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73C1" w14:textId="77777777" w:rsidR="003462BA" w:rsidRPr="00323336" w:rsidRDefault="003462BA" w:rsidP="00115C5C">
      <w:pPr>
        <w:pStyle w:val="Ttulo5"/>
        <w:spacing w:before="240" w:after="240"/>
        <w:rPr>
          <w:rFonts w:ascii="Verdana" w:hAnsi="Verdana"/>
          <w:sz w:val="24"/>
          <w:szCs w:val="24"/>
        </w:rPr>
      </w:pPr>
      <w:r w:rsidRPr="00323336">
        <w:rPr>
          <w:rFonts w:ascii="Verdana" w:hAnsi="Verdana"/>
          <w:sz w:val="24"/>
          <w:szCs w:val="24"/>
        </w:rPr>
        <w:t>Ministerio de Minas y Energía</w:t>
      </w:r>
    </w:p>
    <w:p w14:paraId="71862667" w14:textId="77777777" w:rsidR="003462BA" w:rsidRPr="00323336" w:rsidRDefault="003462BA" w:rsidP="00115C5C">
      <w:pPr>
        <w:pStyle w:val="Ttulo5"/>
        <w:spacing w:before="240" w:after="240"/>
        <w:rPr>
          <w:rFonts w:ascii="Verdana" w:hAnsi="Verdana"/>
          <w:sz w:val="24"/>
          <w:szCs w:val="24"/>
        </w:rPr>
      </w:pPr>
      <w:r w:rsidRPr="00323336">
        <w:rPr>
          <w:rFonts w:ascii="Verdana" w:hAnsi="Verdana"/>
          <w:sz w:val="24"/>
          <w:szCs w:val="24"/>
        </w:rPr>
        <w:t>COMISIÓN DE REGULACIÓN DE ENERGÍA Y GAS</w:t>
      </w:r>
    </w:p>
    <w:p w14:paraId="0B64A163" w14:textId="559950E9" w:rsidR="003462BA" w:rsidRPr="00323336" w:rsidRDefault="003462BA" w:rsidP="00FB0EC0">
      <w:pPr>
        <w:pStyle w:val="Ttulo5"/>
        <w:spacing w:before="360" w:after="360"/>
        <w:rPr>
          <w:rFonts w:ascii="Verdana" w:hAnsi="Verdana"/>
          <w:szCs w:val="28"/>
        </w:rPr>
      </w:pPr>
      <w:r w:rsidRPr="00323336">
        <w:rPr>
          <w:rFonts w:ascii="Verdana" w:hAnsi="Verdana"/>
          <w:szCs w:val="28"/>
        </w:rPr>
        <w:t>PROYECTO DE RESOLUCIÓN No. 701 0</w:t>
      </w:r>
      <w:r w:rsidR="00D01485">
        <w:rPr>
          <w:rFonts w:ascii="Verdana" w:hAnsi="Verdana"/>
          <w:szCs w:val="28"/>
        </w:rPr>
        <w:t>8</w:t>
      </w:r>
      <w:r w:rsidR="00CC420A" w:rsidRPr="00323336">
        <w:rPr>
          <w:rFonts w:ascii="Verdana" w:hAnsi="Verdana"/>
          <w:szCs w:val="28"/>
        </w:rPr>
        <w:t>5</w:t>
      </w:r>
      <w:r w:rsidRPr="00323336">
        <w:rPr>
          <w:rFonts w:ascii="Verdana" w:hAnsi="Verdana"/>
          <w:szCs w:val="28"/>
        </w:rPr>
        <w:t xml:space="preserve"> DE 2025</w:t>
      </w:r>
    </w:p>
    <w:p w14:paraId="6687AC65" w14:textId="3BF95FD1" w:rsidR="003462BA" w:rsidRPr="00323336" w:rsidRDefault="003462BA" w:rsidP="00DE78BB">
      <w:pPr>
        <w:jc w:val="center"/>
        <w:rPr>
          <w:rFonts w:ascii="Verdana" w:hAnsi="Verdana"/>
          <w:b/>
          <w:bCs/>
        </w:rPr>
      </w:pPr>
      <w:r w:rsidRPr="00323336">
        <w:rPr>
          <w:rFonts w:ascii="Verdana" w:hAnsi="Verdana"/>
          <w:b/>
          <w:bCs/>
        </w:rPr>
        <w:t>(</w:t>
      </w:r>
      <w:r w:rsidR="002B1D60" w:rsidRPr="00323336">
        <w:rPr>
          <w:rFonts w:ascii="Verdana" w:hAnsi="Verdana"/>
          <w:b/>
          <w:bCs/>
        </w:rPr>
        <w:t>18</w:t>
      </w:r>
      <w:r w:rsidRPr="00323336">
        <w:rPr>
          <w:rFonts w:ascii="Verdana" w:hAnsi="Verdana"/>
          <w:b/>
          <w:bCs/>
        </w:rPr>
        <w:t xml:space="preserve"> </w:t>
      </w:r>
      <w:r w:rsidR="00B11AC5" w:rsidRPr="00323336">
        <w:rPr>
          <w:rFonts w:ascii="Verdana" w:hAnsi="Verdana"/>
          <w:b/>
          <w:bCs/>
        </w:rPr>
        <w:t>MAR</w:t>
      </w:r>
      <w:r w:rsidRPr="00323336">
        <w:rPr>
          <w:rFonts w:ascii="Verdana" w:hAnsi="Verdana"/>
          <w:b/>
          <w:bCs/>
        </w:rPr>
        <w:t>. 2025)</w:t>
      </w:r>
    </w:p>
    <w:p w14:paraId="0DAF62C1" w14:textId="24CF2A3A" w:rsidR="00F364F2" w:rsidRPr="00323336" w:rsidRDefault="00F364F2" w:rsidP="5D594AB4">
      <w:pPr>
        <w:spacing w:before="240" w:after="240"/>
        <w:rPr>
          <w:rFonts w:ascii="Verdana" w:hAnsi="Verdana"/>
        </w:rPr>
      </w:pPr>
      <w:r w:rsidRPr="00323336">
        <w:rPr>
          <w:rFonts w:ascii="Verdana" w:hAnsi="Verdana"/>
        </w:rPr>
        <w:t>La Comisión de Regulación de Energía y Gas</w:t>
      </w:r>
      <w:r w:rsidR="00692228" w:rsidRPr="00323336">
        <w:rPr>
          <w:rFonts w:ascii="Verdana" w:hAnsi="Verdana"/>
        </w:rPr>
        <w:t xml:space="preserve"> (CREG)</w:t>
      </w:r>
      <w:r w:rsidRPr="00323336">
        <w:rPr>
          <w:rFonts w:ascii="Verdana" w:hAnsi="Verdana"/>
        </w:rPr>
        <w:t xml:space="preserve"> en su sesión </w:t>
      </w:r>
      <w:r w:rsidR="00D44B70" w:rsidRPr="00323336">
        <w:rPr>
          <w:rFonts w:ascii="Verdana" w:hAnsi="Verdana"/>
        </w:rPr>
        <w:t>1377</w:t>
      </w:r>
      <w:r w:rsidRPr="00323336">
        <w:rPr>
          <w:rFonts w:ascii="Verdana" w:hAnsi="Verdana"/>
        </w:rPr>
        <w:t xml:space="preserve"> del </w:t>
      </w:r>
      <w:r w:rsidR="00D44B70" w:rsidRPr="00323336">
        <w:rPr>
          <w:rFonts w:ascii="Verdana" w:hAnsi="Verdana"/>
        </w:rPr>
        <w:t>18</w:t>
      </w:r>
      <w:r w:rsidRPr="00323336">
        <w:rPr>
          <w:rFonts w:ascii="Verdana" w:hAnsi="Verdana"/>
        </w:rPr>
        <w:t xml:space="preserve"> de </w:t>
      </w:r>
      <w:r w:rsidR="00D92B54" w:rsidRPr="00323336">
        <w:rPr>
          <w:rFonts w:ascii="Verdana" w:hAnsi="Verdana"/>
        </w:rPr>
        <w:t>marzo</w:t>
      </w:r>
      <w:r w:rsidRPr="00323336">
        <w:rPr>
          <w:rFonts w:ascii="Verdana" w:hAnsi="Verdana"/>
        </w:rPr>
        <w:t xml:space="preserve"> de 2025, aprobó someter a consulta pública el presente proyecto de resolución por el término de cinco (</w:t>
      </w:r>
      <w:r w:rsidR="001670E7" w:rsidRPr="00323336">
        <w:rPr>
          <w:rFonts w:ascii="Verdana" w:hAnsi="Verdana"/>
        </w:rPr>
        <w:t>1</w:t>
      </w:r>
      <w:r w:rsidRPr="00323336">
        <w:rPr>
          <w:rFonts w:ascii="Verdana" w:hAnsi="Verdana"/>
        </w:rPr>
        <w:t>5) días hábiles contados a partir del día siguiente a su publicación en el portal web de la CREG</w:t>
      </w:r>
      <w:r w:rsidR="00BF14DB" w:rsidRPr="00323336">
        <w:rPr>
          <w:rFonts w:ascii="Verdana" w:hAnsi="Verdana"/>
        </w:rPr>
        <w:t xml:space="preserve">, </w:t>
      </w:r>
      <w:r w:rsidR="00BF14DB" w:rsidRPr="00323336">
        <w:rPr>
          <w:rFonts w:ascii="Verdana" w:eastAsia="Verdana" w:hAnsi="Verdana" w:cs="Verdana"/>
        </w:rPr>
        <w:t xml:space="preserve">en aplicación a lo dispuesto en el numeral </w:t>
      </w:r>
      <w:r w:rsidR="001D221A" w:rsidRPr="00323336">
        <w:rPr>
          <w:rFonts w:ascii="Verdana" w:eastAsia="Verdana" w:hAnsi="Verdana" w:cs="Verdana"/>
        </w:rPr>
        <w:t>73</w:t>
      </w:r>
      <w:r w:rsidR="009745CF" w:rsidRPr="00323336">
        <w:rPr>
          <w:rFonts w:ascii="Verdana" w:eastAsia="Verdana" w:hAnsi="Verdana" w:cs="Verdana"/>
        </w:rPr>
        <w:t>.</w:t>
      </w:r>
      <w:r w:rsidR="00BF14DB" w:rsidRPr="00323336">
        <w:rPr>
          <w:rFonts w:ascii="Verdana" w:eastAsia="Verdana" w:hAnsi="Verdana" w:cs="Verdana"/>
        </w:rPr>
        <w:t>1</w:t>
      </w:r>
      <w:r w:rsidR="009745CF" w:rsidRPr="00323336">
        <w:rPr>
          <w:rFonts w:ascii="Verdana" w:eastAsia="Verdana" w:hAnsi="Verdana" w:cs="Verdana"/>
        </w:rPr>
        <w:t>7</w:t>
      </w:r>
      <w:r w:rsidR="00BF14DB" w:rsidRPr="00323336">
        <w:rPr>
          <w:rFonts w:ascii="Verdana" w:eastAsia="Verdana" w:hAnsi="Verdana" w:cs="Verdana"/>
        </w:rPr>
        <w:t xml:space="preserve"> del artículo 73 de la Ley 142 de 1994</w:t>
      </w:r>
      <w:r w:rsidR="002A2B43" w:rsidRPr="00323336">
        <w:rPr>
          <w:rFonts w:ascii="Verdana" w:eastAsia="Verdana" w:hAnsi="Verdana" w:cs="Verdana"/>
        </w:rPr>
        <w:t>,</w:t>
      </w:r>
      <w:r w:rsidR="00BF14DB" w:rsidRPr="00323336">
        <w:rPr>
          <w:rFonts w:ascii="Verdana" w:eastAsia="Verdana" w:hAnsi="Verdana" w:cs="Verdana"/>
        </w:rPr>
        <w:t xml:space="preserve"> el Decreto 05 de 2025</w:t>
      </w:r>
      <w:r w:rsidR="002A2B43" w:rsidRPr="00323336">
        <w:rPr>
          <w:rFonts w:ascii="Verdana" w:hAnsi="Verdana"/>
        </w:rPr>
        <w:t xml:space="preserve"> y la Resolución CREG</w:t>
      </w:r>
      <w:r w:rsidR="00DD06E0" w:rsidRPr="00323336">
        <w:rPr>
          <w:rFonts w:ascii="Verdana" w:hAnsi="Verdana"/>
        </w:rPr>
        <w:t xml:space="preserve"> </w:t>
      </w:r>
      <w:r w:rsidR="00B86683" w:rsidRPr="00323336">
        <w:rPr>
          <w:rFonts w:ascii="Verdana" w:eastAsia="Verdana" w:hAnsi="Verdana" w:cs="Verdana"/>
        </w:rPr>
        <w:t xml:space="preserve">105 003 del 14 de </w:t>
      </w:r>
      <w:r w:rsidR="00B86683" w:rsidRPr="00323336">
        <w:rPr>
          <w:rFonts w:ascii="Verdana" w:eastAsia="Verdana" w:hAnsi="Verdana" w:cs="Verdana"/>
          <w:color w:val="000000" w:themeColor="text1"/>
        </w:rPr>
        <w:t>septiembre de 2023</w:t>
      </w:r>
      <w:r w:rsidR="00EC2CB6" w:rsidRPr="00323336">
        <w:rPr>
          <w:rFonts w:ascii="Verdana" w:eastAsia="Verdana" w:hAnsi="Verdana" w:cs="Verdana"/>
          <w:color w:val="000000" w:themeColor="text1"/>
        </w:rPr>
        <w:t>.</w:t>
      </w:r>
    </w:p>
    <w:p w14:paraId="1C6C4176" w14:textId="02DE0ED5" w:rsidR="00F364F2" w:rsidRPr="00323336" w:rsidRDefault="00F364F2" w:rsidP="00F364F2">
      <w:pPr>
        <w:spacing w:before="240" w:after="240"/>
        <w:rPr>
          <w:rFonts w:ascii="Verdana" w:hAnsi="Verdana"/>
        </w:rPr>
      </w:pPr>
      <w:r w:rsidRPr="00323336">
        <w:rPr>
          <w:rFonts w:ascii="Verdana" w:hAnsi="Verdana"/>
        </w:rPr>
        <w:t>Se invita a las empresas, los usuarios las autoridades y demás partes interesadas a presentar sus observaciones y sugerencias dentro del plazo establecido, mediante comunicaciones electrónicas dirigidas al Director Ejecutivo de la CREG, a la cuenta creg@creg.gov.co, con asunto: “Comentarios sobre la Resolución CREG 701 0</w:t>
      </w:r>
      <w:r w:rsidR="00CC420A" w:rsidRPr="00323336">
        <w:rPr>
          <w:rFonts w:ascii="Verdana" w:hAnsi="Verdana"/>
        </w:rPr>
        <w:t>85</w:t>
      </w:r>
      <w:r w:rsidRPr="00323336">
        <w:rPr>
          <w:rFonts w:ascii="Verdana" w:hAnsi="Verdana"/>
        </w:rPr>
        <w:t xml:space="preserve"> de 202</w:t>
      </w:r>
      <w:r w:rsidR="00CC420A" w:rsidRPr="00323336">
        <w:rPr>
          <w:rFonts w:ascii="Verdana" w:hAnsi="Verdana"/>
        </w:rPr>
        <w:t>5</w:t>
      </w:r>
      <w:r w:rsidRPr="00323336">
        <w:rPr>
          <w:rFonts w:ascii="Verdana" w:hAnsi="Verdana"/>
        </w:rPr>
        <w:t>”, utilizando el formato anexo.</w:t>
      </w:r>
    </w:p>
    <w:p w14:paraId="6E92F191" w14:textId="338609A2" w:rsidR="00F364F2" w:rsidRPr="00323336" w:rsidRDefault="00F364F2" w:rsidP="00F364F2">
      <w:pPr>
        <w:spacing w:before="240" w:after="240"/>
        <w:rPr>
          <w:rFonts w:ascii="Verdana" w:hAnsi="Verdana"/>
        </w:rPr>
      </w:pPr>
      <w:r w:rsidRPr="00323336">
        <w:rPr>
          <w:rFonts w:ascii="Verdana" w:hAnsi="Verdana"/>
        </w:rPr>
        <w:t xml:space="preserve">En el </w:t>
      </w:r>
      <w:r w:rsidR="00BC6D3D" w:rsidRPr="00323336">
        <w:rPr>
          <w:rFonts w:ascii="Verdana" w:hAnsi="Verdana"/>
        </w:rPr>
        <w:t>D</w:t>
      </w:r>
      <w:r w:rsidRPr="00323336">
        <w:rPr>
          <w:rFonts w:ascii="Verdana" w:hAnsi="Verdana"/>
        </w:rPr>
        <w:t xml:space="preserve">ocumento </w:t>
      </w:r>
      <w:r w:rsidR="00BC6D3D" w:rsidRPr="00323336">
        <w:rPr>
          <w:rFonts w:ascii="Verdana" w:hAnsi="Verdana"/>
        </w:rPr>
        <w:t xml:space="preserve">CREG 901 </w:t>
      </w:r>
      <w:r w:rsidR="00CC420A" w:rsidRPr="00323336">
        <w:rPr>
          <w:rFonts w:ascii="Verdana" w:hAnsi="Verdana"/>
        </w:rPr>
        <w:t>175</w:t>
      </w:r>
      <w:r w:rsidR="00534ECC" w:rsidRPr="00323336">
        <w:rPr>
          <w:rFonts w:ascii="Verdana" w:hAnsi="Verdana"/>
        </w:rPr>
        <w:t xml:space="preserve"> de 2025, </w:t>
      </w:r>
      <w:r w:rsidRPr="00323336">
        <w:rPr>
          <w:rFonts w:ascii="Verdana" w:hAnsi="Verdana"/>
        </w:rPr>
        <w:t>soporte de la presente resolución</w:t>
      </w:r>
      <w:r w:rsidR="00534ECC" w:rsidRPr="00323336">
        <w:rPr>
          <w:rFonts w:ascii="Verdana" w:hAnsi="Verdana"/>
        </w:rPr>
        <w:t>,</w:t>
      </w:r>
      <w:r w:rsidRPr="00323336">
        <w:rPr>
          <w:rFonts w:ascii="Verdana" w:hAnsi="Verdana"/>
        </w:rPr>
        <w:t xml:space="preserve"> se exponen los análisis y la justificación de la propuesta regulatoria que se somete al proceso de consulta pública.</w:t>
      </w:r>
    </w:p>
    <w:p w14:paraId="6C12BB62" w14:textId="1CD4EEDD" w:rsidR="00451DC3" w:rsidRPr="00323336" w:rsidRDefault="00E149A0" w:rsidP="00E06C38">
      <w:pPr>
        <w:spacing w:before="360" w:after="360"/>
        <w:jc w:val="center"/>
        <w:rPr>
          <w:rFonts w:ascii="Verdana" w:hAnsi="Verdana"/>
          <w:b/>
          <w:bCs/>
        </w:rPr>
      </w:pPr>
      <w:r w:rsidRPr="00323336">
        <w:rPr>
          <w:rFonts w:ascii="Verdana" w:hAnsi="Verdana"/>
          <w:b/>
          <w:bCs/>
        </w:rPr>
        <w:t>PROYECTO DE RESOLUCIÓN</w:t>
      </w:r>
    </w:p>
    <w:p w14:paraId="333DB88B" w14:textId="19ACE69E" w:rsidR="00E149A0" w:rsidRPr="00323336" w:rsidRDefault="00674BF4" w:rsidP="00034F11">
      <w:pPr>
        <w:spacing w:before="240" w:after="240"/>
        <w:jc w:val="center"/>
        <w:rPr>
          <w:rFonts w:ascii="Verdana" w:hAnsi="Verdana"/>
        </w:rPr>
      </w:pPr>
      <w:r w:rsidRPr="00323336">
        <w:rPr>
          <w:rFonts w:ascii="Verdana" w:hAnsi="Verdana"/>
        </w:rPr>
        <w:t>Por la cual se fija la oportunidad para llevar a cabo la subasta de asignación de las obligaciones de energía firme del cargo por confiabilidad para el período comprendido entre el 1 de diciembre de 2029 y el 30 de noviembre de 2030</w:t>
      </w:r>
    </w:p>
    <w:p w14:paraId="1C01FCB2" w14:textId="1B963241" w:rsidR="00045D3D" w:rsidRPr="00323336" w:rsidRDefault="00045D3D" w:rsidP="00E06C38">
      <w:pPr>
        <w:spacing w:before="360" w:after="360"/>
        <w:jc w:val="center"/>
        <w:rPr>
          <w:rFonts w:ascii="Verdana" w:hAnsi="Verdana"/>
          <w:b/>
          <w:bCs/>
        </w:rPr>
      </w:pPr>
      <w:r w:rsidRPr="00323336">
        <w:rPr>
          <w:rFonts w:ascii="Verdana" w:hAnsi="Verdana"/>
          <w:b/>
          <w:bCs/>
        </w:rPr>
        <w:t xml:space="preserve">LA COMISIÓN DE REGULACIÓN </w:t>
      </w:r>
      <w:r w:rsidR="00A06C25" w:rsidRPr="00323336">
        <w:rPr>
          <w:rFonts w:ascii="Verdana" w:hAnsi="Verdana"/>
          <w:b/>
          <w:bCs/>
        </w:rPr>
        <w:t>DE ENERGÍA</w:t>
      </w:r>
      <w:r w:rsidRPr="00323336">
        <w:rPr>
          <w:rFonts w:ascii="Verdana" w:hAnsi="Verdana"/>
          <w:b/>
          <w:bCs/>
        </w:rPr>
        <w:t xml:space="preserve"> Y GAS</w:t>
      </w:r>
    </w:p>
    <w:p w14:paraId="560759F9" w14:textId="397DC12F" w:rsidR="00CB079C" w:rsidRPr="00323336" w:rsidRDefault="00D14B0D" w:rsidP="003D4A91">
      <w:pPr>
        <w:spacing w:before="240" w:after="240"/>
        <w:jc w:val="center"/>
        <w:rPr>
          <w:rFonts w:ascii="Verdana" w:hAnsi="Verdana"/>
        </w:rPr>
      </w:pPr>
      <w:r w:rsidRPr="00323336">
        <w:rPr>
          <w:rFonts w:ascii="Verdana" w:hAnsi="Verdana"/>
        </w:rPr>
        <w:t>En ejercicio de sus atribuciones legales, en especial las conferidas por las leyes 142 y 143 de 1994, y en desarrollo de los decretos 1524, 2253 de 1994 y 1260 de 2013</w:t>
      </w:r>
    </w:p>
    <w:p w14:paraId="49DECB61" w14:textId="77777777" w:rsidR="00045D3D" w:rsidRPr="00323336" w:rsidRDefault="00955F64" w:rsidP="003B3EF0">
      <w:pPr>
        <w:suppressAutoHyphens/>
        <w:spacing w:before="480" w:after="480"/>
        <w:jc w:val="center"/>
        <w:rPr>
          <w:rFonts w:ascii="Verdana" w:hAnsi="Verdana"/>
          <w:b/>
        </w:rPr>
      </w:pPr>
      <w:r w:rsidRPr="00323336">
        <w:rPr>
          <w:rFonts w:ascii="Verdana" w:hAnsi="Verdana"/>
          <w:b/>
        </w:rPr>
        <w:t>C</w:t>
      </w:r>
      <w:r w:rsidR="00045D3D" w:rsidRPr="00323336">
        <w:rPr>
          <w:rFonts w:ascii="Verdana" w:hAnsi="Verdana"/>
          <w:b/>
        </w:rPr>
        <w:t>ONSIDERAND</w:t>
      </w:r>
      <w:r w:rsidR="00A06C25" w:rsidRPr="00323336">
        <w:rPr>
          <w:rFonts w:ascii="Verdana" w:hAnsi="Verdana"/>
          <w:b/>
        </w:rPr>
        <w:t>O</w:t>
      </w:r>
      <w:r w:rsidRPr="00323336">
        <w:rPr>
          <w:rFonts w:ascii="Verdana" w:hAnsi="Verdana"/>
          <w:b/>
        </w:rPr>
        <w:t xml:space="preserve"> </w:t>
      </w:r>
      <w:r w:rsidR="00A06C25" w:rsidRPr="00323336">
        <w:rPr>
          <w:rFonts w:ascii="Verdana" w:hAnsi="Verdana"/>
          <w:b/>
        </w:rPr>
        <w:t>Q</w:t>
      </w:r>
      <w:r w:rsidR="00045D3D" w:rsidRPr="00323336">
        <w:rPr>
          <w:rFonts w:ascii="Verdana" w:hAnsi="Verdana"/>
          <w:b/>
        </w:rPr>
        <w:t>UE:</w:t>
      </w:r>
    </w:p>
    <w:p w14:paraId="185ECADF" w14:textId="57AA55C8" w:rsidR="004D4A1C" w:rsidRPr="00323336" w:rsidRDefault="004D4A1C" w:rsidP="004D4A1C">
      <w:pPr>
        <w:spacing w:before="240" w:after="240" w:line="276" w:lineRule="auto"/>
        <w:rPr>
          <w:rFonts w:ascii="Verdana" w:hAnsi="Verdana"/>
          <w:lang w:val="es-CO"/>
        </w:rPr>
      </w:pPr>
      <w:r w:rsidRPr="00323336">
        <w:rPr>
          <w:rFonts w:ascii="Verdana" w:hAnsi="Verdana"/>
          <w:lang w:val="es-CO"/>
        </w:rPr>
        <w:t xml:space="preserve">Conforme </w:t>
      </w:r>
      <w:r w:rsidR="00895B66" w:rsidRPr="00323336">
        <w:rPr>
          <w:rFonts w:ascii="Verdana" w:hAnsi="Verdana"/>
          <w:lang w:val="es-CO"/>
        </w:rPr>
        <w:t>a</w:t>
      </w:r>
      <w:r w:rsidR="00C67434" w:rsidRPr="00323336">
        <w:rPr>
          <w:rFonts w:ascii="Verdana" w:hAnsi="Verdana"/>
          <w:lang w:val="es-CO"/>
        </w:rPr>
        <w:t xml:space="preserve">l artículo 4 de </w:t>
      </w:r>
      <w:r w:rsidRPr="00323336">
        <w:rPr>
          <w:rFonts w:ascii="Verdana" w:hAnsi="Verdana"/>
          <w:lang w:val="es-CO"/>
        </w:rPr>
        <w:t xml:space="preserve">la Ley 143 de 1994, el Estado, en relación con el servicio de electricidad, tendrá como objetivos en el cumplimiento de sus funciones, los de abastecer la demanda de electricidad de la comunidad bajo criterios económicos y de viabilidad financiera, asegurando su cubrimiento en </w:t>
      </w:r>
      <w:r w:rsidRPr="00323336">
        <w:rPr>
          <w:rFonts w:ascii="Verdana" w:hAnsi="Verdana"/>
          <w:lang w:val="es-CO"/>
        </w:rPr>
        <w:lastRenderedPageBreak/>
        <w:t>un marco de uso racional y eficiente de los diferentes recursos energéticos del país; asegurar una operación eficiente, segura y confiable en las actividades del sector; y mantener los niveles de calidad y seguridad establecidos.</w:t>
      </w:r>
    </w:p>
    <w:p w14:paraId="3985F364" w14:textId="5D7F8E9C" w:rsidR="003D4EB5" w:rsidRPr="00323336" w:rsidRDefault="003D4EB5" w:rsidP="004D4A1C">
      <w:pPr>
        <w:spacing w:before="240" w:after="240" w:line="276" w:lineRule="auto"/>
        <w:rPr>
          <w:rFonts w:ascii="Verdana" w:hAnsi="Verdana"/>
          <w:lang w:val="es-CO"/>
        </w:rPr>
      </w:pPr>
      <w:r w:rsidRPr="00323336">
        <w:rPr>
          <w:rFonts w:ascii="Verdana" w:hAnsi="Verdana"/>
          <w:lang w:val="es-CO"/>
        </w:rPr>
        <w:t>El artículo 18 de la Ley 143 de 1994 ordena que la CREG debe desarrollar el marco regulatorio que incentive la inversión en expansión de la capacidad de generación y transmisión del Sistema Interconectado Nacional, SIN, por parte de inversionistas estratégicos, y establecer esquemas que promuevan la entrada de nueva capacidad de generación y transmisión.</w:t>
      </w:r>
    </w:p>
    <w:p w14:paraId="2A86632F" w14:textId="3FACD1A1" w:rsidR="004D4A1C" w:rsidRPr="00323336" w:rsidRDefault="00895B66" w:rsidP="004D4A1C">
      <w:pPr>
        <w:spacing w:before="240" w:after="240" w:line="276" w:lineRule="auto"/>
        <w:rPr>
          <w:rFonts w:ascii="Verdana" w:hAnsi="Verdana"/>
          <w:lang w:val="es-CO"/>
        </w:rPr>
      </w:pPr>
      <w:r w:rsidRPr="00323336">
        <w:rPr>
          <w:rFonts w:ascii="Verdana" w:hAnsi="Verdana"/>
          <w:lang w:val="es-CO"/>
        </w:rPr>
        <w:t>El artículo 20 de l</w:t>
      </w:r>
      <w:r w:rsidR="004D4A1C" w:rsidRPr="00323336">
        <w:rPr>
          <w:rFonts w:ascii="Verdana" w:hAnsi="Verdana"/>
          <w:lang w:val="es-CO"/>
        </w:rPr>
        <w:t xml:space="preserve">a Ley 143 de 1994,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14:paraId="582AE7BD" w14:textId="25B8A4CF" w:rsidR="004D4A1C" w:rsidRPr="00323336" w:rsidRDefault="004D4A1C" w:rsidP="004D4A1C">
      <w:pPr>
        <w:spacing w:before="240" w:after="240" w:line="276" w:lineRule="auto"/>
        <w:rPr>
          <w:rFonts w:ascii="Verdana" w:hAnsi="Verdana"/>
          <w:lang w:val="es-CO"/>
        </w:rPr>
      </w:pPr>
      <w:r w:rsidRPr="00323336">
        <w:rPr>
          <w:rFonts w:ascii="Verdana" w:hAnsi="Verdana"/>
          <w:lang w:val="es-CO"/>
        </w:rPr>
        <w:t xml:space="preserve">Para el cumplimiento del objetivo señalado, </w:t>
      </w:r>
      <w:r w:rsidR="003D7F97" w:rsidRPr="00323336">
        <w:rPr>
          <w:rFonts w:ascii="Verdana" w:hAnsi="Verdana"/>
          <w:lang w:val="es-CO"/>
        </w:rPr>
        <w:t xml:space="preserve">el artículo 23 de </w:t>
      </w:r>
      <w:r w:rsidRPr="00323336">
        <w:rPr>
          <w:rFonts w:ascii="Verdana" w:hAnsi="Verdana"/>
          <w:lang w:val="es-CO"/>
        </w:rPr>
        <w:t xml:space="preserve">la Ley 143 de 1994, le atribuyó a la </w:t>
      </w:r>
      <w:r w:rsidR="00692228" w:rsidRPr="00323336">
        <w:rPr>
          <w:rFonts w:ascii="Verdana" w:hAnsi="Verdana"/>
          <w:lang w:val="es-CO"/>
        </w:rPr>
        <w:t>Comisión</w:t>
      </w:r>
      <w:r w:rsidRPr="00323336">
        <w:rPr>
          <w:rFonts w:ascii="Verdana" w:hAnsi="Verdana"/>
          <w:lang w:val="es-CO"/>
        </w:rPr>
        <w:t>, entre otras, las siguientes funciones:</w:t>
      </w:r>
    </w:p>
    <w:p w14:paraId="0109134F" w14:textId="1B415FA5" w:rsidR="004D4A1C" w:rsidRPr="00323336" w:rsidRDefault="004D4A1C" w:rsidP="00FF2233">
      <w:pPr>
        <w:pStyle w:val="Prrafodelista"/>
        <w:numPr>
          <w:ilvl w:val="0"/>
          <w:numId w:val="9"/>
        </w:numPr>
        <w:spacing w:line="276" w:lineRule="auto"/>
        <w:rPr>
          <w:rFonts w:ascii="Verdana" w:hAnsi="Verdana"/>
        </w:rPr>
      </w:pPr>
      <w:r w:rsidRPr="00323336">
        <w:rPr>
          <w:rFonts w:ascii="Verdana" w:hAnsi="Verdana"/>
        </w:rP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14:paraId="54366DE1" w14:textId="12664F9B" w:rsidR="004D4A1C" w:rsidRPr="00323336" w:rsidRDefault="004D4A1C" w:rsidP="00FF2233">
      <w:pPr>
        <w:pStyle w:val="Prrafodelista"/>
        <w:numPr>
          <w:ilvl w:val="0"/>
          <w:numId w:val="9"/>
        </w:numPr>
        <w:spacing w:line="276" w:lineRule="auto"/>
        <w:rPr>
          <w:rFonts w:ascii="Verdana" w:hAnsi="Verdana"/>
        </w:rPr>
      </w:pPr>
      <w:r w:rsidRPr="00323336">
        <w:rPr>
          <w:rFonts w:ascii="Verdana" w:hAnsi="Verdana"/>
        </w:rPr>
        <w:t>Valorar la capacidad de generación de respaldo de la oferta eficiente.</w:t>
      </w:r>
    </w:p>
    <w:p w14:paraId="472222B6" w14:textId="421AEE51" w:rsidR="004D4A1C" w:rsidRPr="00323336" w:rsidRDefault="004D4A1C" w:rsidP="00FF2233">
      <w:pPr>
        <w:pStyle w:val="Prrafodelista"/>
        <w:numPr>
          <w:ilvl w:val="0"/>
          <w:numId w:val="9"/>
        </w:numPr>
        <w:spacing w:line="276" w:lineRule="auto"/>
        <w:rPr>
          <w:rFonts w:ascii="Verdana" w:hAnsi="Verdana"/>
        </w:rPr>
      </w:pPr>
      <w:r w:rsidRPr="00323336">
        <w:rPr>
          <w:rFonts w:ascii="Verdana" w:hAnsi="Verdana"/>
        </w:rPr>
        <w:t>Definir y hacer operativos los criterios técnicos de calidad, confiabilidad y seguridad del servicio de energía.</w:t>
      </w:r>
    </w:p>
    <w:p w14:paraId="039A7A7C" w14:textId="7D384922" w:rsidR="004D4A1C" w:rsidRPr="00323336" w:rsidRDefault="004D4A1C" w:rsidP="00FF2233">
      <w:pPr>
        <w:pStyle w:val="Prrafodelista"/>
        <w:numPr>
          <w:ilvl w:val="0"/>
          <w:numId w:val="9"/>
        </w:numPr>
        <w:spacing w:line="276" w:lineRule="auto"/>
        <w:rPr>
          <w:rFonts w:ascii="Verdana" w:hAnsi="Verdana"/>
        </w:rPr>
      </w:pPr>
      <w:r w:rsidRPr="00323336">
        <w:rPr>
          <w:rFonts w:ascii="Verdana" w:hAnsi="Verdana"/>
        </w:rPr>
        <w:t xml:space="preserve">Determinar las condiciones para la liberación gradual del mercado hacia la libre competencia. </w:t>
      </w:r>
    </w:p>
    <w:p w14:paraId="00E0147A" w14:textId="77777777" w:rsidR="004D4A1C" w:rsidRPr="00323336" w:rsidRDefault="004D4A1C" w:rsidP="004D4A1C">
      <w:pPr>
        <w:spacing w:before="240" w:after="240" w:line="276" w:lineRule="auto"/>
        <w:rPr>
          <w:rFonts w:ascii="Verdana" w:hAnsi="Verdana"/>
          <w:lang w:val="es-CO"/>
        </w:rPr>
      </w:pPr>
      <w:r w:rsidRPr="00323336">
        <w:rPr>
          <w:rFonts w:ascii="Verdana" w:hAnsi="Verdana"/>
          <w:lang w:val="es-CO"/>
        </w:rPr>
        <w:t>De acuerdo con lo establecido en el literal c) del artículo 74.1 de la ley 142 de 1994, le corresponde a la CREG establecer el Reglamento de Operación, para regular el funcionamiento del Mercado Mayorista.</w:t>
      </w:r>
    </w:p>
    <w:p w14:paraId="1809564E" w14:textId="48E5B87A" w:rsidR="004D4A1C" w:rsidRPr="00323336" w:rsidRDefault="004D4A1C" w:rsidP="004D4A1C">
      <w:pPr>
        <w:spacing w:before="240" w:after="240" w:line="276" w:lineRule="auto"/>
        <w:rPr>
          <w:rFonts w:ascii="Verdana" w:hAnsi="Verdana"/>
          <w:lang w:val="es-CO"/>
        </w:rPr>
      </w:pPr>
      <w:r w:rsidRPr="00323336">
        <w:rPr>
          <w:rFonts w:ascii="Verdana" w:hAnsi="Verdana"/>
          <w:lang w:val="es-CO"/>
        </w:rPr>
        <w:t>La CREG, mediante Resolución CREG 071 de 2006, adoptó la metodología para la remuneración del Cargo por Confiabilidad en el Mercado de Energía Mayorista, en la cual se estableció que, con el fin de garantizar la confiabilidad del servicio de energía eléctrica en el Sistema Interconectado Nacional, se definirá una Demanda Objetivo que se debe cubrir mediante Obligaciones de Energía Firme</w:t>
      </w:r>
      <w:r w:rsidR="00412F4E" w:rsidRPr="00323336">
        <w:rPr>
          <w:rFonts w:ascii="Verdana" w:hAnsi="Verdana"/>
          <w:lang w:val="es-CO"/>
        </w:rPr>
        <w:t xml:space="preserve"> (OEF)</w:t>
      </w:r>
      <w:r w:rsidRPr="00323336">
        <w:rPr>
          <w:rFonts w:ascii="Verdana" w:hAnsi="Verdana"/>
          <w:lang w:val="es-CO"/>
        </w:rPr>
        <w:t>.</w:t>
      </w:r>
    </w:p>
    <w:p w14:paraId="00937E68" w14:textId="407E1F4B" w:rsidR="004D4A1C" w:rsidRPr="00323336" w:rsidRDefault="004D4A1C" w:rsidP="004D4A1C">
      <w:pPr>
        <w:spacing w:before="240" w:after="240" w:line="276" w:lineRule="auto"/>
        <w:rPr>
          <w:rFonts w:ascii="Verdana" w:hAnsi="Verdana"/>
          <w:lang w:val="es-CO"/>
        </w:rPr>
      </w:pPr>
      <w:r w:rsidRPr="00323336">
        <w:rPr>
          <w:rFonts w:ascii="Verdana" w:hAnsi="Verdana"/>
          <w:lang w:val="es-CO"/>
        </w:rPr>
        <w:t>En el artículo 2 de la Resolución CREG 071 de 2006, se definió la demanda objetivo como aquella que “</w:t>
      </w:r>
      <w:r w:rsidRPr="00323336">
        <w:rPr>
          <w:rFonts w:ascii="Verdana" w:hAnsi="Verdana"/>
          <w:i/>
          <w:iCs/>
          <w:lang w:val="es-CO"/>
        </w:rPr>
        <w:t xml:space="preserve">equivale a la Demanda Total Doméstica de Energía </w:t>
      </w:r>
      <w:r w:rsidRPr="00323336">
        <w:rPr>
          <w:rFonts w:ascii="Verdana" w:hAnsi="Verdana"/>
          <w:i/>
          <w:iCs/>
          <w:lang w:val="es-CO"/>
        </w:rPr>
        <w:lastRenderedPageBreak/>
        <w:t>para cada uno de los meses comprendidos entre el 1 de diciembre y el 30 de noviembre del año siguiente al Período de Planeación, más un porcentaje que fijará la CREG</w:t>
      </w:r>
      <w:r w:rsidRPr="00323336">
        <w:rPr>
          <w:rFonts w:ascii="Verdana" w:hAnsi="Verdana"/>
          <w:lang w:val="es-CO"/>
        </w:rPr>
        <w:t>”; y se estableció que “</w:t>
      </w:r>
      <w:r w:rsidRPr="00323336">
        <w:rPr>
          <w:rFonts w:ascii="Verdana" w:hAnsi="Verdana"/>
          <w:i/>
          <w:iCs/>
          <w:lang w:val="es-CO"/>
        </w:rPr>
        <w:t>la Demanda Total Doméstica de Energía corresponderá a la proyección más reciente elaborada por la UPME para el escenario de proyección seleccionado por la CREG</w:t>
      </w:r>
      <w:r w:rsidRPr="00323336">
        <w:rPr>
          <w:rFonts w:ascii="Verdana" w:hAnsi="Verdana"/>
          <w:lang w:val="es-CO"/>
        </w:rPr>
        <w:t>”.</w:t>
      </w:r>
    </w:p>
    <w:p w14:paraId="4F546A27" w14:textId="47DCDC48" w:rsidR="004B278D" w:rsidRPr="00323336" w:rsidRDefault="004B278D" w:rsidP="004D4A1C">
      <w:pPr>
        <w:spacing w:before="240" w:after="240" w:line="276" w:lineRule="auto"/>
        <w:rPr>
          <w:rFonts w:ascii="Verdana" w:hAnsi="Verdana"/>
          <w:lang w:val="es-CO"/>
        </w:rPr>
      </w:pPr>
      <w:r w:rsidRPr="00323336">
        <w:rPr>
          <w:rFonts w:ascii="Verdana" w:hAnsi="Verdana"/>
          <w:lang w:val="es-CO"/>
        </w:rPr>
        <w:t>Mediante la Resolución CREG 075 de 2021 “</w:t>
      </w:r>
      <w:r w:rsidRPr="00323336">
        <w:rPr>
          <w:rFonts w:ascii="Verdana" w:hAnsi="Verdana"/>
          <w:i/>
          <w:iCs/>
          <w:lang w:val="es-CO"/>
        </w:rPr>
        <w:t>Por la cual se definen las disposiciones y procedimientos para la asignación de capacidad de transporte en el Sistema Interconectado Nacional</w:t>
      </w:r>
      <w:r w:rsidRPr="00323336">
        <w:rPr>
          <w:rFonts w:ascii="Verdana" w:hAnsi="Verdana"/>
          <w:lang w:val="es-CO"/>
        </w:rPr>
        <w:t>”, la CREG definió las condiciones regulatorias para la asignación de capacidad de transporte a generadores en el SIN, con fundamento en los lineamientos de política pública establecidos por el Ministerio de Minas y Energía mediante la Resolución 40311 de 2020, señalando los criterios y procedimientos a tener en cuenta por parte de los involucrados en esta actividad.</w:t>
      </w:r>
    </w:p>
    <w:p w14:paraId="7F101F47" w14:textId="3A5A6298" w:rsidR="004D4A1C" w:rsidRPr="00323336" w:rsidRDefault="004D4A1C" w:rsidP="004D4A1C">
      <w:pPr>
        <w:spacing w:before="240" w:after="240" w:line="276" w:lineRule="auto"/>
        <w:rPr>
          <w:rFonts w:ascii="Verdana" w:hAnsi="Verdana"/>
          <w:lang w:val="es-CO"/>
        </w:rPr>
      </w:pPr>
      <w:r w:rsidRPr="00323336">
        <w:rPr>
          <w:rFonts w:ascii="Verdana" w:hAnsi="Verdana"/>
          <w:lang w:val="es-CO"/>
        </w:rPr>
        <w:t>Según lo dispuesto en el artículo 12 de la Resolución CREG 101 024 de 2022 “</w:t>
      </w:r>
      <w:r w:rsidRPr="00323336">
        <w:rPr>
          <w:rFonts w:ascii="Verdana" w:hAnsi="Verdana"/>
          <w:i/>
          <w:iCs/>
          <w:lang w:val="es-CO"/>
        </w:rPr>
        <w:t>La CREG podrá convocar una subasta del cargo por confiabilidad en el momento en que lo considere necesario, cuando para un año t+p la suma de la ENFICC de cada una de las plantas y/o unidades de generación sea menor o igual a la demanda objetivo y/o cuando, a partir del análisis que realice la Comisión, se requiera una subasta para asegurar las condiciones de prestación del servicio en el mediano y largo plazo en el Sistema Interconectado Nacional. Los balances de energía firme se realizarán para el año que inicia el primero de diciembre del año t+p, según el período de planeación de la subasta convocada por la CREG. El valor de p será el que defina la CREG. (…) Para el efecto, la CREG fijará, mediante resolución, la oportunidad en que el ASIC debe llevar a cabo la subasta</w:t>
      </w:r>
      <w:r w:rsidRPr="00323336">
        <w:rPr>
          <w:rFonts w:ascii="Verdana" w:hAnsi="Verdana"/>
          <w:lang w:val="es-CO"/>
        </w:rPr>
        <w:t>.”</w:t>
      </w:r>
    </w:p>
    <w:p w14:paraId="410510B2" w14:textId="46A6B1D4" w:rsidR="004D4A1C" w:rsidRPr="00323336" w:rsidRDefault="004D4A1C" w:rsidP="004D4A1C">
      <w:pPr>
        <w:spacing w:before="240" w:after="240" w:line="276" w:lineRule="auto"/>
        <w:rPr>
          <w:rFonts w:ascii="Verdana" w:hAnsi="Verdana"/>
          <w:lang w:val="es-CO"/>
        </w:rPr>
      </w:pPr>
      <w:r w:rsidRPr="00323336">
        <w:rPr>
          <w:rFonts w:ascii="Verdana" w:hAnsi="Verdana"/>
          <w:lang w:val="es-CO"/>
        </w:rPr>
        <w:t>En el parágrafo del citado artículo 12 de la Resolución CREG 101 024 de 2022 se estableció que “</w:t>
      </w:r>
      <w:r w:rsidRPr="00323336">
        <w:rPr>
          <w:rFonts w:ascii="Verdana" w:hAnsi="Verdana"/>
          <w:i/>
          <w:iCs/>
          <w:lang w:val="es-CO"/>
        </w:rPr>
        <w:t>El día de entrada en vigencia de la resolución que convoque la subasta de que habla este artículo será establecido como el día D, el cual servirá como referencia para los cronogramas, fechas límite y demás tiempos establecidos en esta resolución”.</w:t>
      </w:r>
    </w:p>
    <w:p w14:paraId="682EE3C2" w14:textId="77777777" w:rsidR="001A1784" w:rsidRPr="00323336" w:rsidRDefault="001A1784" w:rsidP="001A1784">
      <w:pPr>
        <w:spacing w:before="240" w:after="240" w:line="276" w:lineRule="auto"/>
        <w:rPr>
          <w:rFonts w:ascii="Verdana" w:hAnsi="Verdana"/>
          <w:lang w:val="es-CO"/>
        </w:rPr>
      </w:pPr>
      <w:r w:rsidRPr="00323336">
        <w:rPr>
          <w:rFonts w:ascii="Verdana" w:hAnsi="Verdana"/>
          <w:lang w:val="es-CO"/>
        </w:rPr>
        <w:t>Mediante la Resolución CREG 101 034A de 2022 se fijó la oportunidad para llevar a cabo la subasta de asignación de las obligaciones de energía firme del cargo por confiabilidad para el período comprendido entre el 1 de diciembre de 2027 y el 30 de noviembre de 2028.</w:t>
      </w:r>
    </w:p>
    <w:p w14:paraId="69E4773F" w14:textId="77777777" w:rsidR="001A1784" w:rsidRPr="00323336" w:rsidRDefault="001A1784" w:rsidP="001A1784">
      <w:pPr>
        <w:spacing w:before="240" w:after="240" w:line="276" w:lineRule="auto"/>
        <w:rPr>
          <w:rFonts w:ascii="Verdana" w:hAnsi="Verdana"/>
          <w:lang w:val="es-CO"/>
        </w:rPr>
      </w:pPr>
      <w:r w:rsidRPr="00323336">
        <w:rPr>
          <w:rFonts w:ascii="Verdana" w:hAnsi="Verdana"/>
          <w:lang w:val="es-CO"/>
        </w:rPr>
        <w:t>Mediante la Resolución CREG 101 062 de 2024 se convocaron subastas de reconfiguración de compra de Obligaciones de Energía Firme para los períodos 2025-2026, 2026-2027 y 2027-2028.</w:t>
      </w:r>
    </w:p>
    <w:p w14:paraId="7CBF89B2" w14:textId="77777777" w:rsidR="001A1784" w:rsidRPr="00323336" w:rsidRDefault="001A1784" w:rsidP="001A1784">
      <w:pPr>
        <w:spacing w:before="240" w:after="240" w:line="276" w:lineRule="auto"/>
        <w:rPr>
          <w:rFonts w:ascii="Verdana" w:hAnsi="Verdana"/>
          <w:lang w:val="es-CO"/>
        </w:rPr>
      </w:pPr>
      <w:r w:rsidRPr="00323336">
        <w:rPr>
          <w:rFonts w:ascii="Verdana" w:hAnsi="Verdana"/>
          <w:lang w:val="es-CO"/>
        </w:rPr>
        <w:t xml:space="preserve">De acuerdo con la agenda regulatoria indicativa publicada mediante la Circular CREG 121 de 2024, en el primer semestre de 2025, la Comisión tiene previsto </w:t>
      </w:r>
      <w:r w:rsidRPr="00323336">
        <w:rPr>
          <w:rFonts w:ascii="Verdana" w:hAnsi="Verdana"/>
          <w:lang w:val="es-CO"/>
        </w:rPr>
        <w:lastRenderedPageBreak/>
        <w:t>adelantar el balance de demanda esperada y oferta de energía firme para convocar una subasta de expansión para el período cargo 2028-2029 mediante la cual se incorpore nuevos proyectos de generación que aporten energía firme al sistema, de tal manera que atienda la demanda esperada de forma confiable.</w:t>
      </w:r>
    </w:p>
    <w:p w14:paraId="6587C954" w14:textId="386690AE" w:rsidR="00C92660" w:rsidRPr="00323336" w:rsidRDefault="00C92660" w:rsidP="00C92660">
      <w:pPr>
        <w:spacing w:before="240" w:after="240" w:line="276" w:lineRule="auto"/>
        <w:rPr>
          <w:rFonts w:ascii="Verdana" w:hAnsi="Verdana"/>
          <w:lang w:val="es-CO"/>
        </w:rPr>
      </w:pPr>
      <w:r w:rsidRPr="00323336">
        <w:rPr>
          <w:rFonts w:ascii="Verdana" w:hAnsi="Verdana"/>
          <w:lang w:val="es-CO"/>
        </w:rPr>
        <w:t>La Unidad de Planeación Minero Energética</w:t>
      </w:r>
      <w:r w:rsidR="00C738B1" w:rsidRPr="00323336">
        <w:rPr>
          <w:rFonts w:ascii="Verdana" w:hAnsi="Verdana"/>
          <w:lang w:val="es-CO"/>
        </w:rPr>
        <w:t xml:space="preserve"> (</w:t>
      </w:r>
      <w:r w:rsidRPr="00323336">
        <w:rPr>
          <w:rFonts w:ascii="Verdana" w:hAnsi="Verdana"/>
          <w:lang w:val="es-CO"/>
        </w:rPr>
        <w:t>UPME</w:t>
      </w:r>
      <w:r w:rsidR="00C738B1" w:rsidRPr="00323336">
        <w:rPr>
          <w:rFonts w:ascii="Verdana" w:hAnsi="Verdana"/>
          <w:lang w:val="es-CO"/>
        </w:rPr>
        <w:t>)</w:t>
      </w:r>
      <w:r w:rsidRPr="00323336">
        <w:rPr>
          <w:rFonts w:ascii="Verdana" w:hAnsi="Verdana"/>
          <w:lang w:val="es-CO"/>
        </w:rPr>
        <w:t xml:space="preserve"> publicó en enero de 2025 el documento titulado </w:t>
      </w:r>
      <w:r w:rsidRPr="00323336">
        <w:rPr>
          <w:rFonts w:ascii="Verdana" w:hAnsi="Verdana"/>
          <w:i/>
          <w:iCs/>
          <w:lang w:val="es-CO"/>
        </w:rPr>
        <w:t>“Proyección de la demanda de energía eléctrica y potencia máxima 2024-2038”.</w:t>
      </w:r>
    </w:p>
    <w:p w14:paraId="34E449A7" w14:textId="06A9019F" w:rsidR="00FF3185" w:rsidRPr="00323336" w:rsidRDefault="00FF3185" w:rsidP="004D4A1C">
      <w:pPr>
        <w:spacing w:before="240" w:after="240" w:line="276" w:lineRule="auto"/>
        <w:rPr>
          <w:rFonts w:ascii="Verdana" w:hAnsi="Verdana"/>
          <w:lang w:val="es-CO"/>
        </w:rPr>
      </w:pPr>
      <w:r w:rsidRPr="00323336">
        <w:rPr>
          <w:rFonts w:ascii="Verdana" w:hAnsi="Verdana"/>
          <w:lang w:val="es-CO"/>
        </w:rPr>
        <w:t xml:space="preserve">Mediante el Proyecto de Resolución CREG </w:t>
      </w:r>
      <w:r w:rsidR="00EF55A2" w:rsidRPr="00323336">
        <w:rPr>
          <w:rFonts w:ascii="Verdana" w:hAnsi="Verdana"/>
          <w:lang w:val="es-CO"/>
        </w:rPr>
        <w:t xml:space="preserve">701 </w:t>
      </w:r>
      <w:r w:rsidR="003F2456" w:rsidRPr="00323336">
        <w:rPr>
          <w:rFonts w:ascii="Verdana" w:hAnsi="Verdana"/>
          <w:lang w:val="es-CO"/>
        </w:rPr>
        <w:t>084</w:t>
      </w:r>
      <w:r w:rsidR="00EF55A2" w:rsidRPr="00323336">
        <w:rPr>
          <w:rFonts w:ascii="Verdana" w:hAnsi="Verdana"/>
          <w:lang w:val="es-CO"/>
        </w:rPr>
        <w:t xml:space="preserve"> de 2025 se propone la definición de reglas transitorias para la agilización de la asignación de capacidad de transporte a proyectos clase 1 con asignación de obligaciones con el sistema o con trámites ambientales cumplidos.</w:t>
      </w:r>
    </w:p>
    <w:p w14:paraId="19FA4A34" w14:textId="13120294" w:rsidR="004D4A1C" w:rsidRPr="00323336" w:rsidRDefault="004D4A1C" w:rsidP="004D4A1C">
      <w:pPr>
        <w:spacing w:before="240" w:after="240" w:line="276" w:lineRule="auto"/>
        <w:rPr>
          <w:rFonts w:ascii="Verdana" w:hAnsi="Verdana"/>
          <w:lang w:val="es-CO"/>
        </w:rPr>
      </w:pPr>
      <w:r w:rsidRPr="00323336">
        <w:rPr>
          <w:rFonts w:ascii="Verdana" w:hAnsi="Verdana"/>
          <w:lang w:val="es-CO"/>
        </w:rPr>
        <w:t xml:space="preserve">En cumplimiento del artículo 12 de la Resolución CREG 101 024 de 2022, se analizó la información existente de los agentes y se verificó si la suma de la ENFICC de cada uno de los recursos de generación de energía es mayor o igual a la demanda objetivo en un horizonte de varios años correspondientes a períodos sin asignación de OEF. Los análisis realizados están contenidos en el Documento que acompaña la presente resolución. </w:t>
      </w:r>
      <w:r w:rsidR="00D23745" w:rsidRPr="00323336">
        <w:rPr>
          <w:rFonts w:ascii="Verdana" w:hAnsi="Verdana"/>
          <w:lang w:val="es-CO"/>
        </w:rPr>
        <w:t>Como resultado</w:t>
      </w:r>
      <w:r w:rsidRPr="00323336">
        <w:rPr>
          <w:rFonts w:ascii="Verdana" w:hAnsi="Verdana"/>
          <w:lang w:val="es-CO"/>
        </w:rPr>
        <w:t xml:space="preserve"> del anterior análisis, la Comisión identificó la conveniencia de convocar una subasta de expansión del cargo por confiabilidad para el período que va del 1 de diciembre de 202</w:t>
      </w:r>
      <w:r w:rsidR="00B17BD0" w:rsidRPr="00323336">
        <w:rPr>
          <w:rFonts w:ascii="Verdana" w:hAnsi="Verdana"/>
          <w:lang w:val="es-CO"/>
        </w:rPr>
        <w:t>9</w:t>
      </w:r>
      <w:r w:rsidRPr="00323336">
        <w:rPr>
          <w:rFonts w:ascii="Verdana" w:hAnsi="Verdana"/>
          <w:lang w:val="es-CO"/>
        </w:rPr>
        <w:t xml:space="preserve"> al 30 de noviembre de 20</w:t>
      </w:r>
      <w:r w:rsidR="00B17BD0" w:rsidRPr="00323336">
        <w:rPr>
          <w:rFonts w:ascii="Verdana" w:hAnsi="Verdana"/>
          <w:lang w:val="es-CO"/>
        </w:rPr>
        <w:t>30</w:t>
      </w:r>
      <w:r w:rsidRPr="00323336">
        <w:rPr>
          <w:rFonts w:ascii="Verdana" w:hAnsi="Verdana"/>
          <w:lang w:val="es-CO"/>
        </w:rPr>
        <w:t>.</w:t>
      </w:r>
    </w:p>
    <w:p w14:paraId="0C09D514" w14:textId="5CDBDB0A" w:rsidR="004D4A1C" w:rsidRPr="00323336" w:rsidRDefault="004D4A1C" w:rsidP="00AA7C46">
      <w:pPr>
        <w:spacing w:before="240" w:after="240" w:line="276" w:lineRule="auto"/>
        <w:rPr>
          <w:rFonts w:ascii="Verdana" w:hAnsi="Verdana"/>
          <w:lang w:val="es-CO"/>
        </w:rPr>
      </w:pPr>
      <w:r w:rsidRPr="00323336">
        <w:rPr>
          <w:rFonts w:ascii="Verdana" w:hAnsi="Verdana"/>
          <w:lang w:val="es-CO"/>
        </w:rPr>
        <w:t xml:space="preserve">Adicionalmente, en el artículo 13 de la Resolución CREG 101 024 de 2022 se dispuso </w:t>
      </w:r>
      <w:r w:rsidRPr="00323336">
        <w:rPr>
          <w:rFonts w:ascii="Verdana" w:hAnsi="Verdana"/>
          <w:i/>
          <w:iCs/>
          <w:lang w:val="es-CO"/>
        </w:rPr>
        <w:t>que “Mediante la resolución por la cual se convoque a una subasta del cargo por confiabilidad, la CREG podrá anunciar requisitos adicionales relacionados con la conexión de los proyectos de generación al Sistema Interconectado Nacional (…)</w:t>
      </w:r>
      <w:r w:rsidRPr="00323336">
        <w:rPr>
          <w:rFonts w:ascii="Verdana" w:hAnsi="Verdana"/>
          <w:lang w:val="es-CO"/>
        </w:rPr>
        <w:t xml:space="preserve">”.  </w:t>
      </w:r>
    </w:p>
    <w:p w14:paraId="0DCF66AF" w14:textId="77777777" w:rsidR="00CB079C" w:rsidRPr="00323336" w:rsidRDefault="00CB079C" w:rsidP="003656E6">
      <w:pPr>
        <w:spacing w:before="360" w:after="360" w:line="276" w:lineRule="auto"/>
        <w:jc w:val="center"/>
        <w:rPr>
          <w:rFonts w:ascii="Verdana" w:hAnsi="Verdana"/>
          <w:b/>
        </w:rPr>
      </w:pPr>
      <w:r w:rsidRPr="00323336">
        <w:rPr>
          <w:rFonts w:ascii="Verdana" w:hAnsi="Verdana"/>
          <w:b/>
        </w:rPr>
        <w:t>RESUELVE:</w:t>
      </w:r>
    </w:p>
    <w:p w14:paraId="708A6E52" w14:textId="1F310898" w:rsidR="00ED4F3D" w:rsidRPr="00323336" w:rsidRDefault="00D735BD"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t xml:space="preserve"> </w:t>
      </w:r>
      <w:r w:rsidR="001E3DB6" w:rsidRPr="00323336">
        <w:rPr>
          <w:rFonts w:ascii="Verdana" w:hAnsi="Verdana"/>
          <w:b/>
          <w:szCs w:val="24"/>
        </w:rPr>
        <w:t>Objeto.</w:t>
      </w:r>
      <w:r w:rsidR="00BA440C" w:rsidRPr="00323336">
        <w:rPr>
          <w:rFonts w:ascii="Verdana" w:hAnsi="Verdana"/>
          <w:b/>
          <w:szCs w:val="24"/>
        </w:rPr>
        <w:t xml:space="preserve"> </w:t>
      </w:r>
      <w:r w:rsidR="00ED4F3D" w:rsidRPr="00323336">
        <w:rPr>
          <w:rFonts w:ascii="Verdana" w:hAnsi="Verdana"/>
          <w:bCs/>
          <w:szCs w:val="24"/>
        </w:rPr>
        <w:t>Mediante esta resolución se establece la convocatoria y oportunidad en que el A</w:t>
      </w:r>
      <w:r w:rsidR="00664092" w:rsidRPr="00323336">
        <w:rPr>
          <w:rFonts w:ascii="Verdana" w:hAnsi="Verdana"/>
          <w:bCs/>
          <w:szCs w:val="24"/>
        </w:rPr>
        <w:t xml:space="preserve">dministrador del </w:t>
      </w:r>
      <w:r w:rsidR="00ED4F3D" w:rsidRPr="00323336">
        <w:rPr>
          <w:rFonts w:ascii="Verdana" w:hAnsi="Verdana"/>
          <w:bCs/>
          <w:szCs w:val="24"/>
        </w:rPr>
        <w:t>S</w:t>
      </w:r>
      <w:r w:rsidR="00664092" w:rsidRPr="00323336">
        <w:rPr>
          <w:rFonts w:ascii="Verdana" w:hAnsi="Verdana"/>
          <w:bCs/>
          <w:szCs w:val="24"/>
        </w:rPr>
        <w:t xml:space="preserve">istema de </w:t>
      </w:r>
      <w:r w:rsidR="00ED4F3D" w:rsidRPr="00323336">
        <w:rPr>
          <w:rFonts w:ascii="Verdana" w:hAnsi="Verdana"/>
          <w:bCs/>
          <w:szCs w:val="24"/>
        </w:rPr>
        <w:t>I</w:t>
      </w:r>
      <w:r w:rsidR="00664092" w:rsidRPr="00323336">
        <w:rPr>
          <w:rFonts w:ascii="Verdana" w:hAnsi="Verdana"/>
          <w:bCs/>
          <w:szCs w:val="24"/>
        </w:rPr>
        <w:t xml:space="preserve">ntercambios </w:t>
      </w:r>
      <w:r w:rsidR="00ED4F3D" w:rsidRPr="00323336">
        <w:rPr>
          <w:rFonts w:ascii="Verdana" w:hAnsi="Verdana"/>
          <w:bCs/>
          <w:szCs w:val="24"/>
        </w:rPr>
        <w:t>C</w:t>
      </w:r>
      <w:r w:rsidR="00664092" w:rsidRPr="00323336">
        <w:rPr>
          <w:rFonts w:ascii="Verdana" w:hAnsi="Verdana"/>
          <w:bCs/>
          <w:szCs w:val="24"/>
        </w:rPr>
        <w:t>omerciales</w:t>
      </w:r>
      <w:r w:rsidR="00ED4F3D" w:rsidRPr="00323336">
        <w:rPr>
          <w:rFonts w:ascii="Verdana" w:hAnsi="Verdana"/>
          <w:bCs/>
          <w:szCs w:val="24"/>
        </w:rPr>
        <w:t xml:space="preserve"> llevará a cabo la subasta de asignación de </w:t>
      </w:r>
      <w:r w:rsidR="00945776" w:rsidRPr="00323336">
        <w:rPr>
          <w:rFonts w:ascii="Verdana" w:hAnsi="Verdana"/>
          <w:bCs/>
          <w:szCs w:val="24"/>
        </w:rPr>
        <w:t>O</w:t>
      </w:r>
      <w:r w:rsidR="00ED4F3D" w:rsidRPr="00323336">
        <w:rPr>
          <w:rFonts w:ascii="Verdana" w:hAnsi="Verdana"/>
          <w:bCs/>
          <w:szCs w:val="24"/>
        </w:rPr>
        <w:t xml:space="preserve">bligaciones de </w:t>
      </w:r>
      <w:r w:rsidR="00945776" w:rsidRPr="00323336">
        <w:rPr>
          <w:rFonts w:ascii="Verdana" w:hAnsi="Verdana"/>
          <w:bCs/>
          <w:szCs w:val="24"/>
        </w:rPr>
        <w:t>E</w:t>
      </w:r>
      <w:r w:rsidR="00ED4F3D" w:rsidRPr="00323336">
        <w:rPr>
          <w:rFonts w:ascii="Verdana" w:hAnsi="Verdana"/>
          <w:bCs/>
          <w:szCs w:val="24"/>
        </w:rPr>
        <w:t xml:space="preserve">nergía </w:t>
      </w:r>
      <w:r w:rsidR="00945776" w:rsidRPr="00323336">
        <w:rPr>
          <w:rFonts w:ascii="Verdana" w:hAnsi="Verdana"/>
          <w:bCs/>
          <w:szCs w:val="24"/>
        </w:rPr>
        <w:t>F</w:t>
      </w:r>
      <w:r w:rsidR="00ED4F3D" w:rsidRPr="00323336">
        <w:rPr>
          <w:rFonts w:ascii="Verdana" w:hAnsi="Verdana"/>
          <w:bCs/>
          <w:szCs w:val="24"/>
        </w:rPr>
        <w:t>irme</w:t>
      </w:r>
      <w:r w:rsidR="00224F5E" w:rsidRPr="00323336">
        <w:rPr>
          <w:rFonts w:ascii="Verdana" w:hAnsi="Verdana"/>
          <w:bCs/>
          <w:szCs w:val="24"/>
        </w:rPr>
        <w:t xml:space="preserve"> (</w:t>
      </w:r>
      <w:r w:rsidR="00ED4F3D" w:rsidRPr="00323336">
        <w:rPr>
          <w:rFonts w:ascii="Verdana" w:hAnsi="Verdana"/>
          <w:bCs/>
          <w:szCs w:val="24"/>
        </w:rPr>
        <w:t>OEF</w:t>
      </w:r>
      <w:r w:rsidR="00224F5E" w:rsidRPr="00323336">
        <w:rPr>
          <w:rFonts w:ascii="Verdana" w:hAnsi="Verdana"/>
          <w:bCs/>
          <w:szCs w:val="24"/>
        </w:rPr>
        <w:t>)</w:t>
      </w:r>
      <w:r w:rsidR="00ED4F3D" w:rsidRPr="00323336">
        <w:rPr>
          <w:rFonts w:ascii="Verdana" w:hAnsi="Verdana"/>
          <w:bCs/>
          <w:szCs w:val="24"/>
        </w:rPr>
        <w:t xml:space="preserve"> del </w:t>
      </w:r>
      <w:r w:rsidR="00945776" w:rsidRPr="00323336">
        <w:rPr>
          <w:rFonts w:ascii="Verdana" w:hAnsi="Verdana"/>
          <w:bCs/>
          <w:szCs w:val="24"/>
        </w:rPr>
        <w:t>C</w:t>
      </w:r>
      <w:r w:rsidR="00ED4F3D" w:rsidRPr="00323336">
        <w:rPr>
          <w:rFonts w:ascii="Verdana" w:hAnsi="Verdana"/>
          <w:bCs/>
          <w:szCs w:val="24"/>
        </w:rPr>
        <w:t xml:space="preserve">argo por </w:t>
      </w:r>
      <w:r w:rsidR="00945776" w:rsidRPr="00323336">
        <w:rPr>
          <w:rFonts w:ascii="Verdana" w:hAnsi="Verdana"/>
          <w:bCs/>
          <w:szCs w:val="24"/>
        </w:rPr>
        <w:t>C</w:t>
      </w:r>
      <w:r w:rsidR="00ED4F3D" w:rsidRPr="00323336">
        <w:rPr>
          <w:rFonts w:ascii="Verdana" w:hAnsi="Verdana"/>
          <w:bCs/>
          <w:szCs w:val="24"/>
        </w:rPr>
        <w:t>onfiablidad para el período</w:t>
      </w:r>
      <w:r w:rsidR="00AA3F54" w:rsidRPr="00323336">
        <w:rPr>
          <w:rFonts w:ascii="Verdana" w:hAnsi="Verdana"/>
          <w:bCs/>
          <w:szCs w:val="24"/>
        </w:rPr>
        <w:t xml:space="preserve"> cargo 2029-2030</w:t>
      </w:r>
      <w:r w:rsidR="00ED4F3D" w:rsidRPr="00323336">
        <w:rPr>
          <w:rFonts w:ascii="Verdana" w:hAnsi="Verdana"/>
          <w:bCs/>
          <w:szCs w:val="24"/>
        </w:rPr>
        <w:t xml:space="preserve"> comprendido entre el 1 de diciembre de 2029 y el 30 de noviembre de 2030</w:t>
      </w:r>
      <w:r w:rsidR="001E1BD0" w:rsidRPr="00323336">
        <w:rPr>
          <w:rFonts w:ascii="Verdana" w:hAnsi="Verdana"/>
          <w:bCs/>
          <w:szCs w:val="24"/>
        </w:rPr>
        <w:t>,</w:t>
      </w:r>
      <w:r w:rsidR="00AA3F54" w:rsidRPr="00323336">
        <w:rPr>
          <w:rFonts w:ascii="Verdana" w:hAnsi="Verdana"/>
          <w:bCs/>
          <w:szCs w:val="24"/>
        </w:rPr>
        <w:t xml:space="preserve"> </w:t>
      </w:r>
      <w:r w:rsidR="004D2C87" w:rsidRPr="00323336">
        <w:rPr>
          <w:rFonts w:ascii="Verdana" w:hAnsi="Verdana"/>
          <w:bCs/>
          <w:szCs w:val="24"/>
        </w:rPr>
        <w:t xml:space="preserve">de </w:t>
      </w:r>
      <w:r w:rsidR="00AA3F54" w:rsidRPr="00323336">
        <w:rPr>
          <w:rFonts w:ascii="Verdana" w:hAnsi="Verdana"/>
          <w:bCs/>
          <w:szCs w:val="24"/>
        </w:rPr>
        <w:t>acuerdo con las reglas establecidas en las Resoluciones CREG 071 de 2006 y 101 024 de 2024</w:t>
      </w:r>
      <w:r w:rsidR="00F55274" w:rsidRPr="00323336">
        <w:rPr>
          <w:rFonts w:ascii="Verdana" w:hAnsi="Verdana"/>
          <w:bCs/>
          <w:szCs w:val="24"/>
        </w:rPr>
        <w:t xml:space="preserve"> y demás resoluciones que </w:t>
      </w:r>
      <w:r w:rsidR="00692228" w:rsidRPr="00323336">
        <w:rPr>
          <w:rFonts w:ascii="Verdana" w:hAnsi="Verdana"/>
          <w:bCs/>
          <w:szCs w:val="24"/>
        </w:rPr>
        <w:t>las</w:t>
      </w:r>
      <w:r w:rsidR="00F55274" w:rsidRPr="00323336">
        <w:rPr>
          <w:rFonts w:ascii="Verdana" w:hAnsi="Verdana"/>
          <w:bCs/>
          <w:szCs w:val="24"/>
        </w:rPr>
        <w:t xml:space="preserve"> </w:t>
      </w:r>
      <w:r w:rsidR="00692228" w:rsidRPr="00323336">
        <w:rPr>
          <w:rFonts w:ascii="Verdana" w:hAnsi="Verdana"/>
          <w:bCs/>
          <w:szCs w:val="24"/>
        </w:rPr>
        <w:t>modifiquen, adicionen o sustituyan</w:t>
      </w:r>
      <w:r w:rsidR="00ED4F3D" w:rsidRPr="00323336">
        <w:rPr>
          <w:rFonts w:ascii="Verdana" w:hAnsi="Verdana"/>
          <w:bCs/>
          <w:szCs w:val="24"/>
        </w:rPr>
        <w:t>.</w:t>
      </w:r>
    </w:p>
    <w:p w14:paraId="56D6BCBE" w14:textId="13CB8A96" w:rsidR="00ED4F3D" w:rsidRPr="00323336" w:rsidRDefault="00EF2F83"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t xml:space="preserve"> </w:t>
      </w:r>
      <w:r w:rsidR="006A7E7F" w:rsidRPr="00323336">
        <w:rPr>
          <w:rFonts w:ascii="Verdana" w:hAnsi="Verdana"/>
          <w:b/>
          <w:szCs w:val="24"/>
        </w:rPr>
        <w:t xml:space="preserve">Convocatoria de la subasta de asignación de OEF. </w:t>
      </w:r>
      <w:r w:rsidR="009C046D" w:rsidRPr="00323336">
        <w:rPr>
          <w:rFonts w:ascii="Verdana" w:hAnsi="Verdana"/>
          <w:bCs/>
          <w:szCs w:val="24"/>
        </w:rPr>
        <w:t xml:space="preserve">La CREG convoca a todos los agentes que representen comercialmente plantas </w:t>
      </w:r>
      <w:r w:rsidR="00A96F9E" w:rsidRPr="00323336">
        <w:rPr>
          <w:rFonts w:ascii="Verdana" w:hAnsi="Verdana"/>
          <w:bCs/>
          <w:szCs w:val="24"/>
        </w:rPr>
        <w:t>y/</w:t>
      </w:r>
      <w:r w:rsidR="009C046D" w:rsidRPr="00323336">
        <w:rPr>
          <w:rFonts w:ascii="Verdana" w:hAnsi="Verdana"/>
          <w:bCs/>
          <w:szCs w:val="24"/>
        </w:rPr>
        <w:t xml:space="preserve">o </w:t>
      </w:r>
      <w:r w:rsidR="009C046D" w:rsidRPr="00323336">
        <w:rPr>
          <w:rFonts w:ascii="Verdana" w:hAnsi="Verdana"/>
          <w:bCs/>
          <w:szCs w:val="24"/>
        </w:rPr>
        <w:lastRenderedPageBreak/>
        <w:t>unidades de generación existentes, existentes con obras, especiales y nuevas, así como personas naturales o jurídicas que representen proyectos de generación que aspiren a recibir asignaciones de obligaciones de energía firme</w:t>
      </w:r>
      <w:r w:rsidR="00A43E37" w:rsidRPr="00323336">
        <w:rPr>
          <w:rFonts w:ascii="Verdana" w:hAnsi="Verdana"/>
          <w:bCs/>
          <w:szCs w:val="24"/>
        </w:rPr>
        <w:t xml:space="preserve">, a participar </w:t>
      </w:r>
      <w:r w:rsidR="006A7E7F" w:rsidRPr="00323336">
        <w:rPr>
          <w:rFonts w:ascii="Verdana" w:hAnsi="Verdana"/>
          <w:bCs/>
          <w:szCs w:val="24"/>
        </w:rPr>
        <w:t xml:space="preserve">en la subasta de asignación de OEF para el período </w:t>
      </w:r>
      <w:r w:rsidR="00224F5E" w:rsidRPr="00323336">
        <w:rPr>
          <w:rFonts w:ascii="Verdana" w:hAnsi="Verdana"/>
          <w:bCs/>
          <w:szCs w:val="24"/>
        </w:rPr>
        <w:t>cargo 2029-2030</w:t>
      </w:r>
      <w:r w:rsidR="006A7E7F" w:rsidRPr="00323336">
        <w:rPr>
          <w:rFonts w:ascii="Verdana" w:hAnsi="Verdana"/>
          <w:bCs/>
          <w:szCs w:val="24"/>
        </w:rPr>
        <w:t>.</w:t>
      </w:r>
    </w:p>
    <w:p w14:paraId="3C1847B8" w14:textId="02206262" w:rsidR="006A7E7F" w:rsidRPr="00323336" w:rsidRDefault="00A5718D" w:rsidP="006A7E7F">
      <w:pPr>
        <w:pStyle w:val="Prrafodelista"/>
        <w:numPr>
          <w:ilvl w:val="0"/>
          <w:numId w:val="0"/>
        </w:numPr>
        <w:spacing w:line="276" w:lineRule="auto"/>
        <w:rPr>
          <w:rFonts w:ascii="Verdana" w:hAnsi="Verdana"/>
          <w:bCs/>
          <w:szCs w:val="24"/>
        </w:rPr>
      </w:pPr>
      <w:r w:rsidRPr="00323336">
        <w:rPr>
          <w:rFonts w:ascii="Verdana" w:hAnsi="Verdana"/>
          <w:bCs/>
          <w:szCs w:val="24"/>
        </w:rPr>
        <w:t xml:space="preserve">La subasta y actividades asociadas a la asignación de OEF serán realizadas </w:t>
      </w:r>
      <w:r w:rsidR="00AA1109" w:rsidRPr="00323336">
        <w:rPr>
          <w:rFonts w:ascii="Verdana" w:hAnsi="Verdana"/>
          <w:bCs/>
          <w:szCs w:val="24"/>
        </w:rPr>
        <w:t>conforme a</w:t>
      </w:r>
      <w:r w:rsidRPr="00323336">
        <w:rPr>
          <w:rFonts w:ascii="Verdana" w:hAnsi="Verdana"/>
          <w:bCs/>
          <w:szCs w:val="24"/>
        </w:rPr>
        <w:t xml:space="preserve"> los plazos establecidos en la Resolución CREG 101 024 de 2022 </w:t>
      </w:r>
      <w:r w:rsidRPr="00323336">
        <w:rPr>
          <w:rFonts w:ascii="Verdana" w:hAnsi="Verdana"/>
          <w:bCs/>
          <w:i/>
          <w:iCs/>
          <w:szCs w:val="24"/>
        </w:rPr>
        <w:t>“Por la cual se definen los procedimientos para las subastas del Cargo por Confiabilidad en el mercado de energía mayorista”,</w:t>
      </w:r>
      <w:r w:rsidRPr="00323336">
        <w:rPr>
          <w:rFonts w:ascii="Verdana" w:hAnsi="Verdana"/>
          <w:bCs/>
          <w:szCs w:val="24"/>
        </w:rPr>
        <w:t xml:space="preserve"> y aquellas que la modifiquen o adicionen.</w:t>
      </w:r>
    </w:p>
    <w:p w14:paraId="7F991A0B" w14:textId="5207EE5C" w:rsidR="007E5CB6" w:rsidRPr="00323336" w:rsidRDefault="000454F3" w:rsidP="006A7E7F">
      <w:pPr>
        <w:pStyle w:val="Prrafodelista"/>
        <w:numPr>
          <w:ilvl w:val="0"/>
          <w:numId w:val="0"/>
        </w:numPr>
        <w:spacing w:line="276" w:lineRule="auto"/>
        <w:rPr>
          <w:rFonts w:ascii="Verdana" w:hAnsi="Verdana"/>
          <w:bCs/>
          <w:szCs w:val="24"/>
        </w:rPr>
      </w:pPr>
      <w:r w:rsidRPr="00323336">
        <w:rPr>
          <w:rFonts w:ascii="Verdana" w:hAnsi="Verdana"/>
          <w:b/>
          <w:szCs w:val="24"/>
        </w:rPr>
        <w:t>Parágrafo 1.</w:t>
      </w:r>
      <w:r w:rsidRPr="00323336">
        <w:rPr>
          <w:rFonts w:ascii="Verdana" w:hAnsi="Verdana"/>
          <w:bCs/>
          <w:szCs w:val="24"/>
        </w:rPr>
        <w:t xml:space="preserve"> </w:t>
      </w:r>
      <w:r w:rsidR="007E5CB6" w:rsidRPr="00323336">
        <w:rPr>
          <w:rFonts w:ascii="Verdana" w:hAnsi="Verdana"/>
          <w:bCs/>
          <w:szCs w:val="24"/>
        </w:rPr>
        <w:t>Los plazos establecidos e</w:t>
      </w:r>
      <w:r w:rsidR="00FA61D8" w:rsidRPr="00323336">
        <w:rPr>
          <w:rFonts w:ascii="Verdana" w:hAnsi="Verdana"/>
          <w:bCs/>
          <w:szCs w:val="24"/>
        </w:rPr>
        <w:t>n</w:t>
      </w:r>
      <w:r w:rsidR="007E5CB6" w:rsidRPr="00323336">
        <w:rPr>
          <w:rFonts w:ascii="Verdana" w:hAnsi="Verdana"/>
          <w:bCs/>
          <w:szCs w:val="24"/>
        </w:rPr>
        <w:t xml:space="preserve"> la Resolución CREG 101 024 de 2022, iniciaran a partir del día “D”, para lo cual, se debe entender que dicho día corresponde a la fecha de publicación de la presente resolución en el </w:t>
      </w:r>
      <w:r w:rsidR="004657AC" w:rsidRPr="00323336">
        <w:rPr>
          <w:rFonts w:ascii="Verdana" w:hAnsi="Verdana"/>
          <w:bCs/>
          <w:i/>
          <w:iCs/>
          <w:szCs w:val="24"/>
        </w:rPr>
        <w:t>D</w:t>
      </w:r>
      <w:r w:rsidR="007E5CB6" w:rsidRPr="00323336">
        <w:rPr>
          <w:rFonts w:ascii="Verdana" w:hAnsi="Verdana"/>
          <w:bCs/>
          <w:i/>
          <w:iCs/>
          <w:szCs w:val="24"/>
        </w:rPr>
        <w:t xml:space="preserve">iario </w:t>
      </w:r>
      <w:r w:rsidR="004657AC" w:rsidRPr="00323336">
        <w:rPr>
          <w:rFonts w:ascii="Verdana" w:hAnsi="Verdana"/>
          <w:bCs/>
          <w:i/>
          <w:iCs/>
          <w:szCs w:val="24"/>
        </w:rPr>
        <w:t>O</w:t>
      </w:r>
      <w:r w:rsidR="007E5CB6" w:rsidRPr="00323336">
        <w:rPr>
          <w:rFonts w:ascii="Verdana" w:hAnsi="Verdana"/>
          <w:bCs/>
          <w:i/>
          <w:iCs/>
          <w:szCs w:val="24"/>
        </w:rPr>
        <w:t>ficial</w:t>
      </w:r>
      <w:r w:rsidR="007E5CB6" w:rsidRPr="00323336">
        <w:rPr>
          <w:rFonts w:ascii="Verdana" w:hAnsi="Verdana"/>
          <w:bCs/>
          <w:szCs w:val="24"/>
        </w:rPr>
        <w:t>.</w:t>
      </w:r>
    </w:p>
    <w:p w14:paraId="0A062C88" w14:textId="4F39775B" w:rsidR="006A7E7F" w:rsidRPr="00323336" w:rsidRDefault="000454F3" w:rsidP="006A7E7F">
      <w:pPr>
        <w:pStyle w:val="Prrafodelista"/>
        <w:numPr>
          <w:ilvl w:val="0"/>
          <w:numId w:val="0"/>
        </w:numPr>
        <w:spacing w:line="276" w:lineRule="auto"/>
        <w:rPr>
          <w:rFonts w:ascii="Verdana" w:hAnsi="Verdana"/>
          <w:bCs/>
          <w:szCs w:val="24"/>
        </w:rPr>
      </w:pPr>
      <w:r w:rsidRPr="00323336">
        <w:rPr>
          <w:rFonts w:ascii="Verdana" w:hAnsi="Verdana"/>
          <w:b/>
          <w:szCs w:val="24"/>
        </w:rPr>
        <w:t>Parágrafo 2.</w:t>
      </w:r>
      <w:r w:rsidR="00924337" w:rsidRPr="00323336">
        <w:rPr>
          <w:rFonts w:ascii="Verdana" w:hAnsi="Verdana"/>
          <w:b/>
          <w:szCs w:val="24"/>
        </w:rPr>
        <w:t xml:space="preserve"> </w:t>
      </w:r>
      <w:r w:rsidR="00C46785" w:rsidRPr="00323336">
        <w:rPr>
          <w:rFonts w:ascii="Verdana" w:hAnsi="Verdana"/>
          <w:bCs/>
          <w:szCs w:val="24"/>
        </w:rPr>
        <w:t>De acuerdo con el día “D” establecido en la presente resolución, el ASIC tendrá un plazo de hasta de tres (3) días hábiles a partir del día “D”, para publicar en la página web del SUICC el cronograma con las obligaciones y plazos que establece la Resolución CREG 101 024 de 2022 para la realización de la subasta que se convoca.</w:t>
      </w:r>
    </w:p>
    <w:p w14:paraId="646C9FF0" w14:textId="5AEAF439" w:rsidR="00A90A0C" w:rsidRPr="00323336" w:rsidRDefault="00A90A0C" w:rsidP="006A7E7F">
      <w:pPr>
        <w:pStyle w:val="Prrafodelista"/>
        <w:numPr>
          <w:ilvl w:val="0"/>
          <w:numId w:val="0"/>
        </w:numPr>
        <w:spacing w:line="276" w:lineRule="auto"/>
        <w:rPr>
          <w:rFonts w:ascii="Verdana" w:hAnsi="Verdana"/>
          <w:bCs/>
          <w:szCs w:val="24"/>
        </w:rPr>
      </w:pPr>
      <w:r w:rsidRPr="00323336">
        <w:rPr>
          <w:rFonts w:ascii="Verdana" w:hAnsi="Verdana"/>
          <w:b/>
          <w:szCs w:val="24"/>
        </w:rPr>
        <w:t xml:space="preserve">Parágrafo 3. </w:t>
      </w:r>
      <w:r w:rsidR="001C64FC" w:rsidRPr="00323336">
        <w:rPr>
          <w:rFonts w:ascii="Verdana" w:hAnsi="Verdana"/>
          <w:bCs/>
          <w:szCs w:val="24"/>
        </w:rPr>
        <w:t>También podrán participar plantas existentes que pretenden adelantar obras de infraestructura que impliquen la conversión de la planta para operar con un combustible que reduzca emisiones de CO2, para estar disponibles con dicho combustible antes del Inicio del Período de Vigencia (IPVO) del período a asignar, a las cuales se les dará la categoría de especiales</w:t>
      </w:r>
      <w:r w:rsidR="00202A6A" w:rsidRPr="00323336">
        <w:rPr>
          <w:rFonts w:ascii="Verdana" w:hAnsi="Verdana"/>
          <w:bCs/>
          <w:szCs w:val="24"/>
        </w:rPr>
        <w:t xml:space="preserve"> para efecto d</w:t>
      </w:r>
      <w:r w:rsidR="009E01C2" w:rsidRPr="00323336">
        <w:rPr>
          <w:rFonts w:ascii="Verdana" w:hAnsi="Verdana"/>
          <w:bCs/>
          <w:szCs w:val="24"/>
        </w:rPr>
        <w:t>el periodo de vigencia de la obligación que se le asigne. Estas plantas</w:t>
      </w:r>
      <w:r w:rsidR="001C64FC" w:rsidRPr="00323336">
        <w:rPr>
          <w:rFonts w:ascii="Verdana" w:hAnsi="Verdana"/>
          <w:bCs/>
          <w:szCs w:val="24"/>
        </w:rPr>
        <w:t xml:space="preserve"> deberán cumplir con todos los requisitos definidos en la Resolución CREG 071 de 2006 o aquellas que la modifiquen, adicionen o sustituyan para dicho tipo de plantas</w:t>
      </w:r>
      <w:r w:rsidR="004435DF" w:rsidRPr="00323336">
        <w:rPr>
          <w:rFonts w:ascii="Verdana" w:hAnsi="Verdana"/>
          <w:bCs/>
          <w:szCs w:val="24"/>
        </w:rPr>
        <w:t>.</w:t>
      </w:r>
    </w:p>
    <w:p w14:paraId="395D85F9" w14:textId="28E667E1" w:rsidR="006A7E7F" w:rsidRPr="00323336" w:rsidRDefault="00924337"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t xml:space="preserve"> </w:t>
      </w:r>
      <w:r w:rsidR="00EF2F83" w:rsidRPr="00323336">
        <w:rPr>
          <w:rFonts w:ascii="Verdana" w:hAnsi="Verdana"/>
          <w:b/>
          <w:szCs w:val="24"/>
        </w:rPr>
        <w:t xml:space="preserve">Período de vigencia de las obligaciones de energía firme que se asignarán en la subasta. </w:t>
      </w:r>
      <w:r w:rsidR="00EF2F83" w:rsidRPr="00323336">
        <w:rPr>
          <w:rFonts w:ascii="Verdana" w:hAnsi="Verdana"/>
          <w:bCs/>
          <w:szCs w:val="24"/>
        </w:rPr>
        <w:t xml:space="preserve">El período de vigencia de las OEF que se asignarán en la subasta convocada en esta resolución será el comprendido entre </w:t>
      </w:r>
      <w:r w:rsidR="00AA3F54" w:rsidRPr="00323336">
        <w:rPr>
          <w:rFonts w:ascii="Verdana" w:hAnsi="Verdana"/>
          <w:bCs/>
          <w:szCs w:val="24"/>
        </w:rPr>
        <w:t xml:space="preserve">1 de </w:t>
      </w:r>
      <w:r w:rsidR="00EF2F83" w:rsidRPr="00323336">
        <w:rPr>
          <w:rFonts w:ascii="Verdana" w:hAnsi="Verdana"/>
          <w:bCs/>
          <w:szCs w:val="24"/>
        </w:rPr>
        <w:t>diciembre de 202</w:t>
      </w:r>
      <w:r w:rsidR="00AA3F54" w:rsidRPr="00323336">
        <w:rPr>
          <w:rFonts w:ascii="Verdana" w:hAnsi="Verdana"/>
          <w:bCs/>
          <w:szCs w:val="24"/>
        </w:rPr>
        <w:t>9</w:t>
      </w:r>
      <w:r w:rsidR="00EF2F83" w:rsidRPr="00323336">
        <w:rPr>
          <w:rFonts w:ascii="Verdana" w:hAnsi="Verdana"/>
          <w:bCs/>
          <w:szCs w:val="24"/>
        </w:rPr>
        <w:t xml:space="preserve"> a</w:t>
      </w:r>
      <w:r w:rsidR="00AA3F54" w:rsidRPr="00323336">
        <w:rPr>
          <w:rFonts w:ascii="Verdana" w:hAnsi="Verdana"/>
          <w:bCs/>
          <w:szCs w:val="24"/>
        </w:rPr>
        <w:t xml:space="preserve">l 30 de </w:t>
      </w:r>
      <w:r w:rsidR="00EF2F83" w:rsidRPr="00323336">
        <w:rPr>
          <w:rFonts w:ascii="Verdana" w:hAnsi="Verdana"/>
          <w:bCs/>
          <w:szCs w:val="24"/>
        </w:rPr>
        <w:t>noviembre de 20</w:t>
      </w:r>
      <w:r w:rsidR="00AA3F54" w:rsidRPr="00323336">
        <w:rPr>
          <w:rFonts w:ascii="Verdana" w:hAnsi="Verdana"/>
          <w:bCs/>
          <w:szCs w:val="24"/>
        </w:rPr>
        <w:t>30</w:t>
      </w:r>
      <w:r w:rsidR="00EF2F83" w:rsidRPr="00323336">
        <w:rPr>
          <w:rFonts w:ascii="Verdana" w:hAnsi="Verdana"/>
          <w:bCs/>
          <w:szCs w:val="24"/>
        </w:rPr>
        <w:t>.</w:t>
      </w:r>
    </w:p>
    <w:p w14:paraId="0EB171A4" w14:textId="785FCFED" w:rsidR="004230BE" w:rsidRPr="00323336" w:rsidRDefault="004230BE" w:rsidP="004230BE">
      <w:pPr>
        <w:pStyle w:val="Prrafodelista"/>
        <w:numPr>
          <w:ilvl w:val="0"/>
          <w:numId w:val="0"/>
        </w:numPr>
        <w:spacing w:line="276" w:lineRule="auto"/>
        <w:rPr>
          <w:rFonts w:ascii="Verdana" w:hAnsi="Verdana"/>
          <w:bCs/>
          <w:szCs w:val="24"/>
        </w:rPr>
      </w:pPr>
      <w:r w:rsidRPr="00323336">
        <w:rPr>
          <w:rFonts w:ascii="Verdana" w:hAnsi="Verdana"/>
          <w:bCs/>
          <w:szCs w:val="24"/>
        </w:rPr>
        <w:t xml:space="preserve">Los participantes que representen plantas </w:t>
      </w:r>
      <w:r w:rsidR="001A793A" w:rsidRPr="00323336">
        <w:rPr>
          <w:rFonts w:ascii="Verdana" w:hAnsi="Verdana"/>
          <w:bCs/>
          <w:szCs w:val="24"/>
        </w:rPr>
        <w:t>y/</w:t>
      </w:r>
      <w:r w:rsidRPr="00323336">
        <w:rPr>
          <w:rFonts w:ascii="Verdana" w:hAnsi="Verdana"/>
          <w:bCs/>
          <w:szCs w:val="24"/>
        </w:rPr>
        <w:t>o unidades de generación que tengan la calidad de nuevas, especiales o existentes con obras, podrán optar por un período de vigencia de la obligación mayor de acuerdo con lo establecido en la Resolución CREG 101 024 de 2022. La extensión del período de vigencia de la obligación asignada será la informada por el participante, siempre que esta se ajuste a la regulación vigente.</w:t>
      </w:r>
    </w:p>
    <w:p w14:paraId="5F2FCEE4" w14:textId="77777777" w:rsidR="00E20393" w:rsidRPr="00323336" w:rsidRDefault="001B24FA"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lastRenderedPageBreak/>
        <w:t>Requisitos adicionales de la subasta</w:t>
      </w:r>
      <w:r w:rsidR="001A14C2" w:rsidRPr="00323336">
        <w:rPr>
          <w:rFonts w:ascii="Verdana" w:hAnsi="Verdana"/>
          <w:b/>
          <w:szCs w:val="24"/>
        </w:rPr>
        <w:t xml:space="preserve">. </w:t>
      </w:r>
      <w:r w:rsidR="00E20393" w:rsidRPr="00323336">
        <w:rPr>
          <w:rFonts w:ascii="Verdana" w:hAnsi="Verdana"/>
          <w:bCs/>
          <w:szCs w:val="24"/>
        </w:rPr>
        <w:t>Los participantes en las subastas deberán considerar los siguientes requisitos:</w:t>
      </w:r>
    </w:p>
    <w:p w14:paraId="259F1DEE" w14:textId="3D8C4E4E" w:rsidR="000B419B" w:rsidRPr="00323336" w:rsidRDefault="001A14C2" w:rsidP="00FF2233">
      <w:pPr>
        <w:pStyle w:val="Prrafodelista"/>
        <w:numPr>
          <w:ilvl w:val="0"/>
          <w:numId w:val="11"/>
        </w:numPr>
        <w:spacing w:line="276" w:lineRule="auto"/>
        <w:rPr>
          <w:rFonts w:ascii="Verdana" w:hAnsi="Verdana"/>
          <w:bCs/>
          <w:szCs w:val="24"/>
        </w:rPr>
      </w:pPr>
      <w:r w:rsidRPr="00323336">
        <w:rPr>
          <w:rFonts w:ascii="Verdana" w:hAnsi="Verdana"/>
          <w:bCs/>
          <w:szCs w:val="24"/>
        </w:rPr>
        <w:t xml:space="preserve">El representante de </w:t>
      </w:r>
      <w:r w:rsidR="003D37DC" w:rsidRPr="00323336">
        <w:rPr>
          <w:rFonts w:ascii="Verdana" w:hAnsi="Verdana"/>
          <w:bCs/>
          <w:szCs w:val="24"/>
        </w:rPr>
        <w:t>proyectos de generación</w:t>
      </w:r>
      <w:r w:rsidRPr="00323336">
        <w:rPr>
          <w:rFonts w:ascii="Verdana" w:hAnsi="Verdana"/>
          <w:bCs/>
          <w:szCs w:val="24"/>
        </w:rPr>
        <w:t xml:space="preserve"> deberá presentar al momento de la declaración de parámetros, un certificado del </w:t>
      </w:r>
      <w:r w:rsidR="003D37DC" w:rsidRPr="00323336">
        <w:rPr>
          <w:rFonts w:ascii="Verdana" w:hAnsi="Verdana"/>
          <w:bCs/>
          <w:szCs w:val="24"/>
        </w:rPr>
        <w:t xml:space="preserve">registro del proyecto ante la </w:t>
      </w:r>
      <w:r w:rsidRPr="00323336">
        <w:rPr>
          <w:rFonts w:ascii="Verdana" w:hAnsi="Verdana"/>
          <w:bCs/>
          <w:szCs w:val="24"/>
        </w:rPr>
        <w:t>U</w:t>
      </w:r>
      <w:r w:rsidR="003D37DC" w:rsidRPr="00323336">
        <w:rPr>
          <w:rFonts w:ascii="Verdana" w:hAnsi="Verdana"/>
          <w:bCs/>
          <w:szCs w:val="24"/>
        </w:rPr>
        <w:t xml:space="preserve">nidad de Planeación </w:t>
      </w:r>
      <w:r w:rsidRPr="00323336">
        <w:rPr>
          <w:rFonts w:ascii="Verdana" w:hAnsi="Verdana"/>
          <w:bCs/>
          <w:szCs w:val="24"/>
        </w:rPr>
        <w:t>M</w:t>
      </w:r>
      <w:r w:rsidR="003D37DC" w:rsidRPr="00323336">
        <w:rPr>
          <w:rFonts w:ascii="Verdana" w:hAnsi="Verdana"/>
          <w:bCs/>
          <w:szCs w:val="24"/>
        </w:rPr>
        <w:t>inero Energética</w:t>
      </w:r>
      <w:r w:rsidRPr="00323336">
        <w:rPr>
          <w:rFonts w:ascii="Verdana" w:hAnsi="Verdana"/>
          <w:bCs/>
          <w:szCs w:val="24"/>
        </w:rPr>
        <w:t xml:space="preserve">, </w:t>
      </w:r>
      <w:r w:rsidR="00BD5C98" w:rsidRPr="00323336">
        <w:rPr>
          <w:rFonts w:ascii="Verdana" w:hAnsi="Verdana"/>
          <w:bCs/>
          <w:szCs w:val="24"/>
        </w:rPr>
        <w:t xml:space="preserve">en </w:t>
      </w:r>
      <w:r w:rsidRPr="00323336">
        <w:rPr>
          <w:rFonts w:ascii="Verdana" w:hAnsi="Verdana"/>
          <w:bCs/>
          <w:szCs w:val="24"/>
        </w:rPr>
        <w:t>donde conste que</w:t>
      </w:r>
      <w:r w:rsidR="00BD5C98" w:rsidRPr="00323336">
        <w:rPr>
          <w:rFonts w:ascii="Verdana" w:hAnsi="Verdana"/>
          <w:bCs/>
          <w:szCs w:val="24"/>
        </w:rPr>
        <w:t xml:space="preserve"> el proyecto se encuentra registrado en fase II de acuerdo con lo señalado en las resoluciones UPME 5</w:t>
      </w:r>
      <w:r w:rsidR="00024F9D" w:rsidRPr="00323336">
        <w:rPr>
          <w:rFonts w:ascii="Verdana" w:hAnsi="Verdana"/>
          <w:bCs/>
          <w:szCs w:val="24"/>
        </w:rPr>
        <w:t xml:space="preserve">20 y 638 de 2007 y 143 de 2016 </w:t>
      </w:r>
      <w:r w:rsidRPr="00323336">
        <w:rPr>
          <w:rFonts w:ascii="Verdana" w:hAnsi="Verdana"/>
          <w:bCs/>
          <w:szCs w:val="24"/>
        </w:rPr>
        <w:t xml:space="preserve">y que la fecha establecida de puesta en operación del proyecto en dicho </w:t>
      </w:r>
      <w:r w:rsidR="00030298" w:rsidRPr="00323336">
        <w:rPr>
          <w:rFonts w:ascii="Verdana" w:hAnsi="Verdana"/>
          <w:bCs/>
          <w:szCs w:val="24"/>
        </w:rPr>
        <w:t>registro</w:t>
      </w:r>
      <w:r w:rsidRPr="00323336">
        <w:rPr>
          <w:rFonts w:ascii="Verdana" w:hAnsi="Verdana"/>
          <w:bCs/>
          <w:szCs w:val="24"/>
        </w:rPr>
        <w:t>, como máximo, corresponde al inicio del período de vigencia de las obligaciones de energía firme que se asignarán en la subasta.</w:t>
      </w:r>
    </w:p>
    <w:p w14:paraId="314022DD" w14:textId="511F5D8E" w:rsidR="0076193E" w:rsidRPr="00323336" w:rsidRDefault="0076193E" w:rsidP="0076193E">
      <w:pPr>
        <w:pStyle w:val="Prrafodelista"/>
        <w:numPr>
          <w:ilvl w:val="0"/>
          <w:numId w:val="0"/>
        </w:numPr>
        <w:spacing w:line="276" w:lineRule="auto"/>
        <w:ind w:left="720"/>
        <w:rPr>
          <w:rFonts w:ascii="Verdana" w:hAnsi="Verdana"/>
          <w:bCs/>
          <w:szCs w:val="24"/>
        </w:rPr>
      </w:pPr>
      <w:r w:rsidRPr="00323336">
        <w:rPr>
          <w:rFonts w:ascii="Verdana" w:hAnsi="Verdana"/>
          <w:bCs/>
          <w:szCs w:val="24"/>
        </w:rPr>
        <w:t xml:space="preserve">La </w:t>
      </w:r>
      <w:r w:rsidR="00F83CCC" w:rsidRPr="00323336">
        <w:rPr>
          <w:rFonts w:ascii="Verdana" w:hAnsi="Verdana"/>
          <w:bCs/>
          <w:szCs w:val="24"/>
        </w:rPr>
        <w:t>fecha de expedición de la</w:t>
      </w:r>
      <w:r w:rsidR="001F365C" w:rsidRPr="00323336">
        <w:rPr>
          <w:rFonts w:ascii="Verdana" w:hAnsi="Verdana"/>
          <w:bCs/>
          <w:szCs w:val="24"/>
        </w:rPr>
        <w:t xml:space="preserve"> citada</w:t>
      </w:r>
      <w:r w:rsidR="00F83CCC" w:rsidRPr="00323336">
        <w:rPr>
          <w:rFonts w:ascii="Verdana" w:hAnsi="Verdana"/>
          <w:bCs/>
          <w:szCs w:val="24"/>
        </w:rPr>
        <w:t xml:space="preserve"> certificación no deberá superar los de noventa (90) días a</w:t>
      </w:r>
      <w:r w:rsidR="003F5DC4" w:rsidRPr="00323336">
        <w:rPr>
          <w:rFonts w:ascii="Verdana" w:hAnsi="Verdana"/>
          <w:bCs/>
          <w:szCs w:val="24"/>
        </w:rPr>
        <w:t>l momento de presentación</w:t>
      </w:r>
      <w:r w:rsidR="00F83CCC" w:rsidRPr="00323336">
        <w:rPr>
          <w:rFonts w:ascii="Verdana" w:hAnsi="Verdana"/>
          <w:bCs/>
          <w:szCs w:val="24"/>
        </w:rPr>
        <w:t>.</w:t>
      </w:r>
    </w:p>
    <w:p w14:paraId="3D93179C" w14:textId="77777777" w:rsidR="001242B7" w:rsidRPr="00323336" w:rsidRDefault="000B419B" w:rsidP="00FF2233">
      <w:pPr>
        <w:pStyle w:val="Prrafodelista"/>
        <w:numPr>
          <w:ilvl w:val="0"/>
          <w:numId w:val="11"/>
        </w:numPr>
        <w:spacing w:line="276" w:lineRule="auto"/>
        <w:rPr>
          <w:rFonts w:ascii="Verdana" w:hAnsi="Verdana"/>
          <w:bCs/>
          <w:szCs w:val="24"/>
        </w:rPr>
      </w:pPr>
      <w:r w:rsidRPr="00323336">
        <w:rPr>
          <w:rFonts w:ascii="Verdana" w:hAnsi="Verdana"/>
          <w:bCs/>
          <w:szCs w:val="24"/>
        </w:rPr>
        <w:t>Las plantas y/o unidades de generación que participen en la subasta que tengan OEF asignadas para el período a subastar y que participen con ENFICC no comprometida deberán declarar al ASIC los contratos que comprometen su ENFICC para el período a subastar en los términos de la Resolución CREG 002 de 2019, o aquellas que la modifiquen, adicionen o sustituyan. Esto se realiza junto con la declaración de parámetros.</w:t>
      </w:r>
    </w:p>
    <w:p w14:paraId="142D4C2A" w14:textId="483BB4CF" w:rsidR="001242B7" w:rsidRPr="00323336" w:rsidRDefault="001242B7" w:rsidP="00FF2233">
      <w:pPr>
        <w:pStyle w:val="Prrafodelista"/>
        <w:numPr>
          <w:ilvl w:val="0"/>
          <w:numId w:val="11"/>
        </w:numPr>
        <w:spacing w:line="276" w:lineRule="auto"/>
        <w:rPr>
          <w:rFonts w:ascii="Verdana" w:hAnsi="Verdana"/>
          <w:bCs/>
          <w:szCs w:val="24"/>
        </w:rPr>
      </w:pPr>
      <w:r w:rsidRPr="00323336">
        <w:rPr>
          <w:rFonts w:ascii="Verdana" w:hAnsi="Verdana"/>
          <w:bCs/>
          <w:szCs w:val="24"/>
        </w:rPr>
        <w:t>Los agentes generadores con plantas o unidades de generación hidráulicas que se encuentren en operación comercial a la fecha de entrada en vigencia de la Resolución CREG 103 de 2018, podrán declarar una ENFICC superior a la ENFICC Base y hasta la ENFICC 98%PSS a la que hace referencia el parágrafo del artículo 35 de la Resolución 071 de 2006, y de acuerdo con lo establecido en el numeral 3.1.5. del Anexo 3 de la misma resolución.</w:t>
      </w:r>
    </w:p>
    <w:p w14:paraId="3CBCC89A" w14:textId="76B9E7FC" w:rsidR="00FB26FD" w:rsidRPr="00323336" w:rsidRDefault="001242B7" w:rsidP="001242B7">
      <w:pPr>
        <w:pStyle w:val="Prrafodelista"/>
        <w:numPr>
          <w:ilvl w:val="0"/>
          <w:numId w:val="0"/>
        </w:numPr>
        <w:spacing w:line="276" w:lineRule="auto"/>
        <w:ind w:left="720"/>
        <w:rPr>
          <w:rFonts w:ascii="Verdana" w:hAnsi="Verdana"/>
          <w:bCs/>
          <w:szCs w:val="24"/>
        </w:rPr>
      </w:pPr>
      <w:r w:rsidRPr="00323336">
        <w:rPr>
          <w:rFonts w:ascii="Verdana" w:hAnsi="Verdana"/>
          <w:bCs/>
          <w:szCs w:val="24"/>
        </w:rPr>
        <w:t>El restante tipo de plantas o unidades de generación hidráulica podrán participar con su ENFICC Base conforme el artículo 35 de la Resolución CREG 071 de 2006</w:t>
      </w:r>
      <w:r w:rsidR="005924D4" w:rsidRPr="00323336">
        <w:rPr>
          <w:rFonts w:ascii="Verdana" w:hAnsi="Verdana"/>
          <w:bCs/>
          <w:szCs w:val="24"/>
        </w:rPr>
        <w:t>.</w:t>
      </w:r>
    </w:p>
    <w:p w14:paraId="04C9C41C" w14:textId="18579640" w:rsidR="009E01C2" w:rsidRPr="00323336" w:rsidRDefault="00EE64CE" w:rsidP="009E01C2">
      <w:pPr>
        <w:pStyle w:val="Prrafodelista"/>
        <w:numPr>
          <w:ilvl w:val="0"/>
          <w:numId w:val="11"/>
        </w:numPr>
        <w:spacing w:line="276" w:lineRule="auto"/>
        <w:rPr>
          <w:rFonts w:ascii="Verdana" w:hAnsi="Verdana"/>
          <w:bCs/>
          <w:szCs w:val="24"/>
        </w:rPr>
      </w:pPr>
      <w:r w:rsidRPr="00323336">
        <w:rPr>
          <w:rFonts w:ascii="Verdana" w:hAnsi="Verdana"/>
          <w:bCs/>
          <w:szCs w:val="24"/>
        </w:rPr>
        <w:t>Para aquellas plantas y/o unidades existentes que pretenden adelantar obras de infraestructura que impliquen la conversión de la planta para operar con un combustible que reduzca emisiones de CO2: adjuntar la declaración y certificación del representante legal de la planta de que se cumple la reducción de emisiones de CO2 y adjuntar la demostración con la calculadora de emisiones FECOC de la UPME.</w:t>
      </w:r>
    </w:p>
    <w:p w14:paraId="4BB16E0E" w14:textId="11E05E7B" w:rsidR="0055422B" w:rsidRPr="00323336" w:rsidRDefault="00846C4C"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t>Opción para la asignación de Obligaciones de Energía Firme a plantas existentes que se respaldan con gas natural.</w:t>
      </w:r>
      <w:r w:rsidR="0055422B" w:rsidRPr="00323336">
        <w:rPr>
          <w:rFonts w:ascii="Verdana" w:hAnsi="Verdana"/>
          <w:b/>
          <w:szCs w:val="24"/>
        </w:rPr>
        <w:t xml:space="preserve"> </w:t>
      </w:r>
      <w:r w:rsidR="0055422B" w:rsidRPr="00323336">
        <w:rPr>
          <w:rFonts w:ascii="Verdana" w:hAnsi="Verdana"/>
          <w:bCs/>
          <w:szCs w:val="24"/>
        </w:rPr>
        <w:t xml:space="preserve">Las plantas </w:t>
      </w:r>
      <w:r w:rsidR="0055422B" w:rsidRPr="00323336">
        <w:rPr>
          <w:rFonts w:ascii="Verdana" w:hAnsi="Verdana"/>
          <w:bCs/>
          <w:szCs w:val="24"/>
        </w:rPr>
        <w:lastRenderedPageBreak/>
        <w:t xml:space="preserve">térmicas </w:t>
      </w:r>
      <w:r w:rsidR="00C50BA4" w:rsidRPr="00323336">
        <w:rPr>
          <w:rFonts w:ascii="Verdana" w:hAnsi="Verdana"/>
          <w:bCs/>
          <w:szCs w:val="24"/>
        </w:rPr>
        <w:t xml:space="preserve">existentes </w:t>
      </w:r>
      <w:r w:rsidR="0055422B" w:rsidRPr="00323336">
        <w:rPr>
          <w:rFonts w:ascii="Verdana" w:hAnsi="Verdana"/>
          <w:bCs/>
          <w:szCs w:val="24"/>
        </w:rPr>
        <w:t>podrán usar el mecanismo de la Resolución CREG 101 017 de 2022, o aquellas que la modifiquen, adicionen o sustituya, y podrán obtener asignaciones hasta los años indicados en dicha norma.</w:t>
      </w:r>
    </w:p>
    <w:p w14:paraId="06DC8241" w14:textId="2D36EAF2" w:rsidR="00734C1A" w:rsidRPr="00323336" w:rsidRDefault="0055422B" w:rsidP="0055422B">
      <w:pPr>
        <w:pStyle w:val="Prrafodelista"/>
        <w:numPr>
          <w:ilvl w:val="0"/>
          <w:numId w:val="0"/>
        </w:numPr>
        <w:spacing w:line="276" w:lineRule="auto"/>
        <w:rPr>
          <w:rFonts w:ascii="Verdana" w:hAnsi="Verdana"/>
          <w:bCs/>
          <w:szCs w:val="24"/>
        </w:rPr>
      </w:pPr>
      <w:r w:rsidRPr="00323336">
        <w:rPr>
          <w:rFonts w:ascii="Verdana" w:hAnsi="Verdana"/>
          <w:bCs/>
          <w:szCs w:val="24"/>
        </w:rPr>
        <w:t>La planta</w:t>
      </w:r>
      <w:r w:rsidR="000B6131" w:rsidRPr="00323336">
        <w:rPr>
          <w:rFonts w:ascii="Verdana" w:hAnsi="Verdana"/>
          <w:bCs/>
          <w:szCs w:val="24"/>
        </w:rPr>
        <w:t xml:space="preserve"> </w:t>
      </w:r>
      <w:r w:rsidR="002C2806" w:rsidRPr="00323336">
        <w:rPr>
          <w:rFonts w:ascii="Verdana" w:hAnsi="Verdana"/>
          <w:bCs/>
          <w:szCs w:val="24"/>
        </w:rPr>
        <w:t>y</w:t>
      </w:r>
      <w:r w:rsidR="000B6131" w:rsidRPr="00323336">
        <w:rPr>
          <w:rFonts w:ascii="Verdana" w:hAnsi="Verdana"/>
          <w:bCs/>
          <w:szCs w:val="24"/>
        </w:rPr>
        <w:t>/</w:t>
      </w:r>
      <w:r w:rsidR="002C2806" w:rsidRPr="00323336">
        <w:rPr>
          <w:rFonts w:ascii="Verdana" w:hAnsi="Verdana"/>
          <w:bCs/>
          <w:szCs w:val="24"/>
        </w:rPr>
        <w:t>o unidad de generación</w:t>
      </w:r>
      <w:r w:rsidRPr="00323336">
        <w:rPr>
          <w:rFonts w:ascii="Verdana" w:hAnsi="Verdana"/>
          <w:bCs/>
          <w:szCs w:val="24"/>
        </w:rPr>
        <w:t xml:space="preserve"> que desee acogerse a esta opción deberá informarlo mediante comunicación firmada por el represente legal en la declaración de interés.</w:t>
      </w:r>
    </w:p>
    <w:p w14:paraId="18A9036F" w14:textId="20690841" w:rsidR="008A4374" w:rsidRPr="00323336" w:rsidRDefault="008A4374"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t xml:space="preserve">Esquema de incentivo a la entrada temprana. </w:t>
      </w:r>
      <w:r w:rsidR="00725365" w:rsidRPr="00323336">
        <w:rPr>
          <w:rFonts w:ascii="Verdana" w:hAnsi="Verdana"/>
          <w:bCs/>
          <w:szCs w:val="24"/>
        </w:rPr>
        <w:t>Las plantas o unidades de generación existentes con obras, especiales y nuevas, todas las anteriores sin OEF previas</w:t>
      </w:r>
      <w:r w:rsidR="00A85059" w:rsidRPr="00323336">
        <w:rPr>
          <w:rFonts w:ascii="Verdana" w:hAnsi="Verdana"/>
          <w:bCs/>
          <w:szCs w:val="24"/>
        </w:rPr>
        <w:t>,</w:t>
      </w:r>
      <w:r w:rsidRPr="00323336">
        <w:rPr>
          <w:rFonts w:ascii="Verdana" w:hAnsi="Verdana"/>
          <w:bCs/>
          <w:szCs w:val="24"/>
        </w:rPr>
        <w:t xml:space="preserve"> que resulten con asignación de OEF como resultado de la subasta que trata esta resolución, y que entren en operación comercial antes del 1 de diciembre de 20</w:t>
      </w:r>
      <w:r w:rsidR="00C936DC" w:rsidRPr="00323336">
        <w:rPr>
          <w:rFonts w:ascii="Verdana" w:hAnsi="Verdana"/>
          <w:bCs/>
          <w:szCs w:val="24"/>
        </w:rPr>
        <w:t>29</w:t>
      </w:r>
      <w:r w:rsidRPr="00323336">
        <w:rPr>
          <w:rFonts w:ascii="Verdana" w:hAnsi="Verdana"/>
          <w:bCs/>
          <w:szCs w:val="24"/>
        </w:rPr>
        <w:t>, podrán optar por el siguiente incentivo mientras se dé cumplimiento a los requisitos establecidos</w:t>
      </w:r>
      <w:r w:rsidR="00AB6790" w:rsidRPr="00323336">
        <w:rPr>
          <w:rFonts w:ascii="Verdana" w:hAnsi="Verdana"/>
          <w:bCs/>
          <w:szCs w:val="24"/>
        </w:rPr>
        <w:t>:</w:t>
      </w:r>
      <w:r w:rsidRPr="00323336">
        <w:rPr>
          <w:rFonts w:ascii="Verdana" w:hAnsi="Verdana"/>
          <w:bCs/>
          <w:szCs w:val="24"/>
        </w:rPr>
        <w:t xml:space="preserve"> </w:t>
      </w:r>
    </w:p>
    <w:p w14:paraId="198F8304" w14:textId="188795DE" w:rsidR="004A2C55" w:rsidRPr="00323336" w:rsidRDefault="00747B86" w:rsidP="004A2C55">
      <w:pPr>
        <w:pStyle w:val="Prrafodelista"/>
        <w:spacing w:line="276" w:lineRule="auto"/>
        <w:rPr>
          <w:rFonts w:ascii="Verdana" w:hAnsi="Verdana"/>
          <w:bCs/>
          <w:szCs w:val="24"/>
        </w:rPr>
      </w:pPr>
      <w:r w:rsidRPr="00323336">
        <w:rPr>
          <w:rFonts w:ascii="Verdana" w:hAnsi="Verdana"/>
          <w:bCs/>
          <w:szCs w:val="24"/>
        </w:rPr>
        <w:t>Si la planta o unidad de generación inicia operación comercial antes del 1 de diciembre del año en que inicia el periodo de vigencia de la obligación para el cual fue asignado, el agente que la representa podrá anticipar el inicio del período de vigencia de la OEF que le fue asignada</w:t>
      </w:r>
      <w:r w:rsidR="004A2C55" w:rsidRPr="00323336">
        <w:rPr>
          <w:rFonts w:ascii="Verdana" w:hAnsi="Verdana"/>
          <w:bCs/>
          <w:szCs w:val="24"/>
        </w:rPr>
        <w:t>.</w:t>
      </w:r>
      <w:r w:rsidR="00525C64" w:rsidRPr="00323336">
        <w:rPr>
          <w:rFonts w:ascii="Verdana" w:hAnsi="Verdana"/>
          <w:bCs/>
          <w:szCs w:val="24"/>
        </w:rPr>
        <w:t xml:space="preserve"> </w:t>
      </w:r>
    </w:p>
    <w:p w14:paraId="42DB555E" w14:textId="77777777" w:rsidR="002E74C8" w:rsidRPr="00323336" w:rsidRDefault="00525C64" w:rsidP="002E74C8">
      <w:pPr>
        <w:pStyle w:val="Prrafodelista"/>
        <w:spacing w:line="276" w:lineRule="auto"/>
        <w:rPr>
          <w:rFonts w:ascii="Verdana" w:hAnsi="Verdana"/>
          <w:bCs/>
          <w:szCs w:val="24"/>
        </w:rPr>
      </w:pPr>
      <w:r w:rsidRPr="00323336">
        <w:rPr>
          <w:rFonts w:ascii="Verdana" w:hAnsi="Verdana"/>
          <w:bCs/>
        </w:rPr>
        <w:t>En tal caso, la fecha de inicio del período de vigencia de la OEF corresponderá a la fecha de entrada en operación comercial declarada por el agente. Esta anticipación del inicio del período de vigencia no modificará la fecha de finalización del período de vigencia de las OEF asignadas como resultado de la subasta.</w:t>
      </w:r>
    </w:p>
    <w:p w14:paraId="123782D2" w14:textId="09C0C1E6" w:rsidR="00525C64" w:rsidRPr="00323336" w:rsidRDefault="00525C64" w:rsidP="002E74C8">
      <w:pPr>
        <w:pStyle w:val="Prrafodelista"/>
        <w:spacing w:line="276" w:lineRule="auto"/>
        <w:rPr>
          <w:rFonts w:ascii="Verdana" w:hAnsi="Verdana"/>
          <w:bCs/>
          <w:szCs w:val="24"/>
        </w:rPr>
      </w:pPr>
      <w:r w:rsidRPr="00323336">
        <w:rPr>
          <w:rFonts w:ascii="Verdana" w:hAnsi="Verdana"/>
          <w:bCs/>
        </w:rPr>
        <w:t>En este caso, el cargo por confiabilidad que remunerará la energía firme comprometida en la OEF será igual al precio de cierre de la subasta de que trata esta resolución.</w:t>
      </w:r>
    </w:p>
    <w:p w14:paraId="5234BEB3" w14:textId="19BF971F" w:rsidR="00525C64" w:rsidRPr="00323336" w:rsidRDefault="00525C64" w:rsidP="00525C64">
      <w:pPr>
        <w:pStyle w:val="Prrafodelista"/>
        <w:spacing w:line="276" w:lineRule="auto"/>
        <w:rPr>
          <w:rFonts w:ascii="Verdana" w:hAnsi="Verdana"/>
          <w:bCs/>
          <w:szCs w:val="24"/>
        </w:rPr>
      </w:pPr>
      <w:r w:rsidRPr="00323336">
        <w:rPr>
          <w:rFonts w:ascii="Verdana" w:hAnsi="Verdana"/>
          <w:bCs/>
          <w:szCs w:val="24"/>
        </w:rPr>
        <w:t>Dado que el inicio del período de vigencia de las OEF de quienes opten por la entrada temprana será igual a la fecha de entrada en operación comercial, estos deberán cumplir con todas las obligaciones que se derivan de las OEF y se encuentren en las resoluciones CREG 071 de 2006, 061 de 2007 y 101 024 de 2022 desde esa fecha.</w:t>
      </w:r>
    </w:p>
    <w:p w14:paraId="18814F53" w14:textId="7FF11CDE" w:rsidR="00525C64" w:rsidRPr="00323336" w:rsidRDefault="00525C64" w:rsidP="00525C64">
      <w:pPr>
        <w:pStyle w:val="Prrafodelista"/>
        <w:spacing w:line="276" w:lineRule="auto"/>
        <w:rPr>
          <w:rFonts w:ascii="Verdana" w:hAnsi="Verdana"/>
          <w:bCs/>
          <w:szCs w:val="24"/>
        </w:rPr>
      </w:pPr>
      <w:r w:rsidRPr="00323336">
        <w:rPr>
          <w:rFonts w:ascii="Verdana" w:hAnsi="Verdana"/>
          <w:bCs/>
          <w:szCs w:val="24"/>
        </w:rPr>
        <w:t xml:space="preserve">Durante la etapa de pruebas, previo a la entrada en operación comercial de la planta o unidad de generación, los participantes que opten por la entrada temprana deberán informar al ASIC, como mínimo siete (7) días antes a la fecha de entrada en operación comercial declarada, a través del formato que el ASIC disponga, </w:t>
      </w:r>
      <w:r w:rsidR="00915CEE" w:rsidRPr="00323336">
        <w:rPr>
          <w:rFonts w:ascii="Verdana" w:hAnsi="Verdana"/>
          <w:bCs/>
          <w:szCs w:val="24"/>
        </w:rPr>
        <w:t>decisión de optar por el esquema de incentivo de entrada temprana de que trata este artículo</w:t>
      </w:r>
      <w:r w:rsidRPr="00323336">
        <w:rPr>
          <w:rFonts w:ascii="Verdana" w:hAnsi="Verdana"/>
          <w:bCs/>
          <w:szCs w:val="24"/>
        </w:rPr>
        <w:t xml:space="preserve">. </w:t>
      </w:r>
    </w:p>
    <w:p w14:paraId="56E7D26A" w14:textId="33599D43" w:rsidR="00525C64" w:rsidRPr="00323336" w:rsidRDefault="00525C64" w:rsidP="00525C64">
      <w:pPr>
        <w:pStyle w:val="Prrafodelista"/>
        <w:spacing w:line="276" w:lineRule="auto"/>
        <w:rPr>
          <w:rFonts w:ascii="Verdana" w:hAnsi="Verdana"/>
          <w:bCs/>
          <w:szCs w:val="24"/>
        </w:rPr>
      </w:pPr>
      <w:r w:rsidRPr="00323336">
        <w:rPr>
          <w:rFonts w:ascii="Verdana" w:hAnsi="Verdana"/>
          <w:bCs/>
          <w:szCs w:val="24"/>
        </w:rPr>
        <w:t xml:space="preserve">Una vez la planta o unidad de generación entre en operación comercial, el ASIC deberá realizar los ajustes en la liquidación del cargo por confiabilidad </w:t>
      </w:r>
      <w:r w:rsidRPr="00323336">
        <w:rPr>
          <w:rFonts w:ascii="Verdana" w:hAnsi="Verdana"/>
          <w:bCs/>
          <w:szCs w:val="24"/>
        </w:rPr>
        <w:lastRenderedPageBreak/>
        <w:t>y todos los que sean necesarios, para que el incentivo descrito en este artículo sea efectivamente recibido por la planta o unidad que hayan cumplido con el requisito establecido en el literal a</w:t>
      </w:r>
      <w:r w:rsidR="005F797E" w:rsidRPr="00323336">
        <w:rPr>
          <w:rFonts w:ascii="Verdana" w:hAnsi="Verdana"/>
          <w:bCs/>
          <w:szCs w:val="24"/>
        </w:rPr>
        <w:t>)</w:t>
      </w:r>
      <w:r w:rsidRPr="00323336">
        <w:rPr>
          <w:rFonts w:ascii="Verdana" w:hAnsi="Verdana"/>
          <w:bCs/>
          <w:szCs w:val="24"/>
        </w:rPr>
        <w:t xml:space="preserve"> de este artículo. La aplicación de este esquema de incentivo no modificará las OEF asignadas previamente en subastas o el mecanismo que haga sus veces.</w:t>
      </w:r>
    </w:p>
    <w:p w14:paraId="25BDA64F" w14:textId="6FD57187" w:rsidR="00582563" w:rsidRPr="00323336" w:rsidRDefault="00582563"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t xml:space="preserve">Asignación de OEF a generadores que representen plantas o unidades de generación con períodos de construcción superiores al de planeación de la subasta. </w:t>
      </w:r>
      <w:r w:rsidRPr="00323336">
        <w:rPr>
          <w:rFonts w:ascii="Verdana" w:hAnsi="Verdana"/>
          <w:bCs/>
          <w:szCs w:val="24"/>
        </w:rPr>
        <w:t xml:space="preserve">No se convoca el procedimiento para la asignación de OEF a quienes representen nuevas plantas o unidades de generación GPPS. Por lo anterior, en esta convocatoria el ASIC se abstendrá de llevar a cabo el procedimiento de asignación de OEF definido en el Anexo 11 de la Resolución CREG 071 de 2006. </w:t>
      </w:r>
    </w:p>
    <w:p w14:paraId="2F88AA76" w14:textId="77777777" w:rsidR="00363790" w:rsidRPr="00323336" w:rsidRDefault="00363790" w:rsidP="000B6131">
      <w:pPr>
        <w:spacing w:line="276" w:lineRule="auto"/>
        <w:rPr>
          <w:rFonts w:ascii="Verdana" w:hAnsi="Verdana"/>
          <w:bCs/>
        </w:rPr>
      </w:pPr>
      <w:r w:rsidRPr="00323336">
        <w:rPr>
          <w:rFonts w:ascii="Verdana" w:hAnsi="Verdana"/>
          <w:bCs/>
        </w:rPr>
        <w:t>Las plantas o unidades de generación GPPS que hayan recibido asignaciones de OEF en subastas anteriores, como resultado del procedimiento definido en el Anexo 11 de la Resolución CREG 071 de 2006, podrán participar en la asignación de OEF de la subasta de que trata esta resolución así:</w:t>
      </w:r>
    </w:p>
    <w:p w14:paraId="4AF2F6EE" w14:textId="2DC072CB" w:rsidR="00B71768" w:rsidRPr="00323336" w:rsidRDefault="00B71768" w:rsidP="00FF2233">
      <w:pPr>
        <w:pStyle w:val="Prrafodelista"/>
        <w:numPr>
          <w:ilvl w:val="0"/>
          <w:numId w:val="10"/>
        </w:numPr>
        <w:spacing w:line="276" w:lineRule="auto"/>
        <w:rPr>
          <w:rFonts w:ascii="Verdana" w:hAnsi="Verdana"/>
          <w:bCs/>
          <w:szCs w:val="24"/>
        </w:rPr>
      </w:pPr>
      <w:r w:rsidRPr="00323336">
        <w:rPr>
          <w:rFonts w:ascii="Verdana" w:hAnsi="Verdana"/>
          <w:bCs/>
          <w:szCs w:val="24"/>
        </w:rPr>
        <w:t xml:space="preserve">Las plantas o unidades de GPPS que a la fecha de realización de la subasta se encuentren en operación comercial y cuenten con ENFICC no comprometida, podrán participar con dicha energía firme como plantas existentes, y recibir OEF con período de vigencia de un (1) año. La ENFICC no comprometida corresponde a la ENFICC verificada descontando las OEF asignadas previamente, y la ENFICC comprometida en el mercado secundario para ese año. </w:t>
      </w:r>
    </w:p>
    <w:p w14:paraId="18F5BBF2" w14:textId="45CC746D" w:rsidR="00363790" w:rsidRPr="00323336" w:rsidRDefault="00B71768" w:rsidP="00761223">
      <w:pPr>
        <w:pStyle w:val="Prrafodelista"/>
        <w:spacing w:line="276" w:lineRule="auto"/>
        <w:rPr>
          <w:rFonts w:ascii="Verdana" w:hAnsi="Verdana"/>
          <w:bCs/>
          <w:szCs w:val="24"/>
        </w:rPr>
      </w:pPr>
      <w:r w:rsidRPr="00323336">
        <w:rPr>
          <w:rFonts w:ascii="Verdana" w:hAnsi="Verdana"/>
          <w:bCs/>
          <w:szCs w:val="24"/>
        </w:rPr>
        <w:t>Las plantas GPPS que a la fecha de realización de la subasta estén en construcción y que tengan ENFICC no comprometida, podrán participar con dicha energía firme como plantas especiales y recibir OEF con período de vigencia de hasta diez (10) años. La ENFICC no comprometida corresponde a la ENFICC verificada, descontando las OEF asignadas previamente y la energía comprometida en el mercado secundario para esos años.</w:t>
      </w:r>
    </w:p>
    <w:p w14:paraId="148DFA4E" w14:textId="77777777" w:rsidR="00C34069" w:rsidRPr="00323336" w:rsidRDefault="00C34069" w:rsidP="00C34069">
      <w:pPr>
        <w:spacing w:line="276" w:lineRule="auto"/>
        <w:rPr>
          <w:rFonts w:ascii="Verdana" w:hAnsi="Verdana"/>
          <w:bCs/>
        </w:rPr>
      </w:pPr>
      <w:r w:rsidRPr="00323336">
        <w:rPr>
          <w:rFonts w:ascii="Verdana" w:hAnsi="Verdana"/>
          <w:bCs/>
        </w:rPr>
        <w:t>Las plantas o unidades de generación GPPS que opten por alguna de las dos opciones descritas en este artículo deberán enviar los documentos correspondientes en los términos de la Resolución CREG 101 024 de 2022, para plantas existentes para el caso a, y para plantas especiales o existentes con obras para el caso b.</w:t>
      </w:r>
    </w:p>
    <w:p w14:paraId="12F8859F" w14:textId="164D738E" w:rsidR="00525C64" w:rsidRPr="00323336" w:rsidRDefault="00C34069" w:rsidP="00C34069">
      <w:pPr>
        <w:spacing w:line="276" w:lineRule="auto"/>
        <w:rPr>
          <w:rFonts w:ascii="Verdana" w:hAnsi="Verdana"/>
          <w:bCs/>
        </w:rPr>
      </w:pPr>
      <w:r w:rsidRPr="00323336">
        <w:rPr>
          <w:rFonts w:ascii="Verdana" w:hAnsi="Verdana"/>
          <w:bCs/>
        </w:rPr>
        <w:t>Las plantas o unidades de generación GPPS que opten por alguna de las dos opciones descritas en este artículo, según corresponda, no podrán participar en asignaciones de OEF que se realicen a través de subastas GPPS que se realicen en un futuro.</w:t>
      </w:r>
    </w:p>
    <w:p w14:paraId="5B30EE96" w14:textId="3C9CAEC5" w:rsidR="00CB0384" w:rsidRPr="00323336" w:rsidRDefault="003F0F6B"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lastRenderedPageBreak/>
        <w:t xml:space="preserve"> </w:t>
      </w:r>
      <w:r w:rsidR="003467FF" w:rsidRPr="00323336">
        <w:rPr>
          <w:rFonts w:ascii="Verdana" w:hAnsi="Verdana"/>
          <w:b/>
          <w:szCs w:val="24"/>
        </w:rPr>
        <w:t xml:space="preserve">Fallas </w:t>
      </w:r>
      <w:r w:rsidR="00CB0384" w:rsidRPr="00323336">
        <w:rPr>
          <w:rFonts w:ascii="Verdana" w:hAnsi="Verdana"/>
          <w:b/>
          <w:szCs w:val="24"/>
        </w:rPr>
        <w:t>o</w:t>
      </w:r>
      <w:r w:rsidR="003467FF" w:rsidRPr="00323336">
        <w:rPr>
          <w:rFonts w:ascii="Verdana" w:hAnsi="Verdana"/>
          <w:b/>
          <w:szCs w:val="24"/>
        </w:rPr>
        <w:t xml:space="preserve"> </w:t>
      </w:r>
      <w:r w:rsidR="00CB0384" w:rsidRPr="00323336">
        <w:rPr>
          <w:rFonts w:ascii="Verdana" w:hAnsi="Verdana"/>
          <w:b/>
          <w:szCs w:val="24"/>
        </w:rPr>
        <w:t>i</w:t>
      </w:r>
      <w:r w:rsidR="00B31ABA" w:rsidRPr="00323336">
        <w:rPr>
          <w:rFonts w:ascii="Verdana" w:hAnsi="Verdana"/>
          <w:b/>
          <w:szCs w:val="24"/>
        </w:rPr>
        <w:t>ndisponibilidades</w:t>
      </w:r>
      <w:r w:rsidR="003467FF" w:rsidRPr="00323336">
        <w:rPr>
          <w:rFonts w:ascii="Verdana" w:hAnsi="Verdana"/>
          <w:b/>
          <w:szCs w:val="24"/>
        </w:rPr>
        <w:t xml:space="preserve"> del SUICC. </w:t>
      </w:r>
      <w:r w:rsidR="00CB0384" w:rsidRPr="00323336">
        <w:rPr>
          <w:rFonts w:ascii="Verdana" w:hAnsi="Verdana"/>
          <w:bCs/>
          <w:szCs w:val="24"/>
        </w:rPr>
        <w:t>Ante fallas o indisponibilidades del SUICC se deberá seguir las siguientes reglas:</w:t>
      </w:r>
      <w:r w:rsidR="00CB0384" w:rsidRPr="00323336">
        <w:rPr>
          <w:rFonts w:ascii="Verdana" w:hAnsi="Verdana"/>
          <w:b/>
          <w:szCs w:val="24"/>
        </w:rPr>
        <w:t xml:space="preserve"> </w:t>
      </w:r>
    </w:p>
    <w:p w14:paraId="7872756E" w14:textId="599BE6F1" w:rsidR="00CB0384" w:rsidRPr="00323336" w:rsidRDefault="00B31ABA" w:rsidP="00FF2233">
      <w:pPr>
        <w:pStyle w:val="Prrafodelista"/>
        <w:numPr>
          <w:ilvl w:val="0"/>
          <w:numId w:val="12"/>
        </w:numPr>
        <w:spacing w:line="276" w:lineRule="auto"/>
        <w:rPr>
          <w:rFonts w:ascii="Verdana" w:hAnsi="Verdana"/>
          <w:bCs/>
          <w:szCs w:val="24"/>
        </w:rPr>
      </w:pPr>
      <w:r w:rsidRPr="00323336">
        <w:rPr>
          <w:rFonts w:ascii="Verdana" w:hAnsi="Verdana"/>
          <w:bCs/>
          <w:szCs w:val="24"/>
        </w:rPr>
        <w:t xml:space="preserve">En caso de fallas en el SUICC y/o el modelo computacional que disponga el ASIC para la ejecución de la subasta de un número o fracción de horas en un día d, el cronograma se desplazará ese mismo número o fracción de horas para ese día. </w:t>
      </w:r>
    </w:p>
    <w:p w14:paraId="12D46D6A" w14:textId="4AECC5F0" w:rsidR="0020790D" w:rsidRPr="00323336" w:rsidRDefault="00B31ABA" w:rsidP="00FF2233">
      <w:pPr>
        <w:pStyle w:val="Prrafodelista"/>
        <w:numPr>
          <w:ilvl w:val="0"/>
          <w:numId w:val="12"/>
        </w:numPr>
        <w:spacing w:line="276" w:lineRule="auto"/>
        <w:rPr>
          <w:rFonts w:ascii="Verdana" w:hAnsi="Verdana"/>
          <w:bCs/>
          <w:szCs w:val="24"/>
        </w:rPr>
      </w:pPr>
      <w:r w:rsidRPr="00323336">
        <w:rPr>
          <w:rFonts w:ascii="Verdana" w:hAnsi="Verdana"/>
          <w:bCs/>
          <w:szCs w:val="24"/>
        </w:rPr>
        <w:t xml:space="preserve">Si el número o fracción de horas en falla hace que no se pueda operar en ese día o definitivamente no se cumpla con el cronograma de ese día, entonces el cronograma se desplazará un día (d+1), para lo cual el ASIC indicará las horas en que se realizarán las actividades en el día d+1 que aún estén pendientes de realizarse del día d. </w:t>
      </w:r>
    </w:p>
    <w:p w14:paraId="7B293AAD" w14:textId="4855D755" w:rsidR="003B0390" w:rsidRPr="00323336" w:rsidRDefault="00B31ABA" w:rsidP="00FF2233">
      <w:pPr>
        <w:pStyle w:val="Prrafodelista"/>
        <w:numPr>
          <w:ilvl w:val="0"/>
          <w:numId w:val="12"/>
        </w:numPr>
        <w:spacing w:line="276" w:lineRule="auto"/>
        <w:rPr>
          <w:rFonts w:ascii="Verdana" w:hAnsi="Verdana"/>
          <w:bCs/>
          <w:szCs w:val="24"/>
        </w:rPr>
      </w:pPr>
      <w:r w:rsidRPr="00323336">
        <w:rPr>
          <w:rFonts w:ascii="Verdana" w:hAnsi="Verdana"/>
          <w:bCs/>
          <w:szCs w:val="24"/>
        </w:rPr>
        <w:t>En cualquier caso, el ASIC debe informar a los participantes del evento ocurrido por medio del SUICC</w:t>
      </w:r>
      <w:r w:rsidR="005960D1" w:rsidRPr="00323336">
        <w:rPr>
          <w:rFonts w:ascii="Verdana" w:hAnsi="Verdana"/>
          <w:bCs/>
          <w:szCs w:val="24"/>
        </w:rPr>
        <w:t>, el</w:t>
      </w:r>
      <w:r w:rsidRPr="00323336">
        <w:rPr>
          <w:rFonts w:ascii="Verdana" w:hAnsi="Verdana"/>
          <w:bCs/>
          <w:szCs w:val="24"/>
        </w:rPr>
        <w:t xml:space="preserve"> correo electrónico</w:t>
      </w:r>
      <w:r w:rsidR="005960D1" w:rsidRPr="00323336">
        <w:rPr>
          <w:rFonts w:ascii="Verdana" w:hAnsi="Verdana"/>
          <w:bCs/>
          <w:szCs w:val="24"/>
        </w:rPr>
        <w:t xml:space="preserve"> registrado por el participante</w:t>
      </w:r>
      <w:r w:rsidRPr="00323336">
        <w:rPr>
          <w:rFonts w:ascii="Verdana" w:hAnsi="Verdana"/>
          <w:bCs/>
          <w:szCs w:val="24"/>
        </w:rPr>
        <w:t>, y también</w:t>
      </w:r>
      <w:r w:rsidR="005960D1" w:rsidRPr="00323336">
        <w:rPr>
          <w:rFonts w:ascii="Verdana" w:hAnsi="Verdana"/>
          <w:bCs/>
          <w:szCs w:val="24"/>
        </w:rPr>
        <w:t>,</w:t>
      </w:r>
      <w:r w:rsidRPr="00323336">
        <w:rPr>
          <w:rFonts w:ascii="Verdana" w:hAnsi="Verdana"/>
          <w:bCs/>
          <w:szCs w:val="24"/>
        </w:rPr>
        <w:t xml:space="preserve"> informarlo en su página de web indicando el tiempo indisponible y </w:t>
      </w:r>
      <w:r w:rsidR="00AA1EB1" w:rsidRPr="00323336">
        <w:rPr>
          <w:rFonts w:ascii="Verdana" w:hAnsi="Verdana"/>
          <w:bCs/>
          <w:szCs w:val="24"/>
        </w:rPr>
        <w:t xml:space="preserve">estableciendo </w:t>
      </w:r>
      <w:r w:rsidRPr="00323336">
        <w:rPr>
          <w:rFonts w:ascii="Verdana" w:hAnsi="Verdana"/>
          <w:bCs/>
          <w:szCs w:val="24"/>
        </w:rPr>
        <w:t>en cuanto se desplaza el cronograma con sus actividades, horas y por días.</w:t>
      </w:r>
    </w:p>
    <w:p w14:paraId="17EAC2B8" w14:textId="5F9DA605" w:rsidR="00B31ABA" w:rsidRPr="00323336" w:rsidRDefault="00B31ABA" w:rsidP="00FF2233">
      <w:pPr>
        <w:pStyle w:val="Prrafodelista"/>
        <w:numPr>
          <w:ilvl w:val="0"/>
          <w:numId w:val="12"/>
        </w:numPr>
        <w:spacing w:line="276" w:lineRule="auto"/>
        <w:rPr>
          <w:rFonts w:ascii="Verdana" w:hAnsi="Verdana"/>
          <w:bCs/>
          <w:szCs w:val="24"/>
        </w:rPr>
      </w:pPr>
      <w:r w:rsidRPr="00323336">
        <w:rPr>
          <w:rFonts w:ascii="Verdana" w:hAnsi="Verdana"/>
          <w:bCs/>
          <w:szCs w:val="24"/>
        </w:rPr>
        <w:t>Cualquier evento y afectación del cronograma debe ser certificado por el auditor de l</w:t>
      </w:r>
      <w:r w:rsidR="003B0390" w:rsidRPr="00323336">
        <w:rPr>
          <w:rFonts w:ascii="Verdana" w:hAnsi="Verdana"/>
          <w:bCs/>
          <w:szCs w:val="24"/>
        </w:rPr>
        <w:t>a</w:t>
      </w:r>
      <w:r w:rsidRPr="00323336">
        <w:rPr>
          <w:rFonts w:ascii="Verdana" w:hAnsi="Verdana"/>
          <w:bCs/>
          <w:szCs w:val="24"/>
        </w:rPr>
        <w:t xml:space="preserve"> subasta.</w:t>
      </w:r>
    </w:p>
    <w:p w14:paraId="526FA3CE" w14:textId="6D7683F8" w:rsidR="00FC66B8" w:rsidRPr="00323336" w:rsidRDefault="00C00849"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t>Mecanismo de tomadores del cargo por confiabilidad para asignaciones de obligaciones de energía firme</w:t>
      </w:r>
      <w:r w:rsidR="00FC66B8" w:rsidRPr="00323336">
        <w:rPr>
          <w:rFonts w:ascii="Verdana" w:hAnsi="Verdana"/>
          <w:b/>
          <w:szCs w:val="24"/>
        </w:rPr>
        <w:t xml:space="preserve">. </w:t>
      </w:r>
      <w:r w:rsidR="00FC66B8" w:rsidRPr="00323336">
        <w:rPr>
          <w:rFonts w:ascii="Verdana" w:hAnsi="Verdana"/>
          <w:bCs/>
          <w:szCs w:val="24"/>
        </w:rPr>
        <w:t>El mecanismo de tomadores del cargo por confiabilidad de que trata la Resolución CREG 132 de 2019 o aquellas que la modifiquen, adicionen o sustituyan deberá estar habilitado durante la ejecución de las subastas de la presente resolución, pero los interesados no podrán participar simultáneamente en dicho mecanismo y en las presentes subastas.</w:t>
      </w:r>
    </w:p>
    <w:p w14:paraId="10187D4F" w14:textId="7D52450C" w:rsidR="00BF14F2" w:rsidRPr="00323336" w:rsidRDefault="00BF14F2"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t xml:space="preserve">Participación de plantas no despachadas centralmente. </w:t>
      </w:r>
      <w:r w:rsidR="003A70EC" w:rsidRPr="00323336">
        <w:rPr>
          <w:rFonts w:ascii="Verdana" w:hAnsi="Verdana"/>
          <w:bCs/>
          <w:szCs w:val="24"/>
        </w:rPr>
        <w:t xml:space="preserve">Las plantas no despachadas centralmente </w:t>
      </w:r>
      <w:r w:rsidR="005936E9" w:rsidRPr="00323336">
        <w:rPr>
          <w:rFonts w:ascii="Verdana" w:hAnsi="Verdana"/>
          <w:bCs/>
          <w:szCs w:val="24"/>
        </w:rPr>
        <w:t xml:space="preserve">que se encuentren en operación comercial </w:t>
      </w:r>
      <w:r w:rsidR="00B10642" w:rsidRPr="00323336">
        <w:rPr>
          <w:rFonts w:ascii="Verdana" w:hAnsi="Verdana"/>
          <w:bCs/>
          <w:szCs w:val="24"/>
        </w:rPr>
        <w:t xml:space="preserve">podrán participar en el proceso de asignación de OEF </w:t>
      </w:r>
      <w:r w:rsidR="00F80129" w:rsidRPr="00323336">
        <w:rPr>
          <w:rFonts w:ascii="Verdana" w:hAnsi="Verdana"/>
          <w:bCs/>
          <w:szCs w:val="24"/>
        </w:rPr>
        <w:t>convocado medi</w:t>
      </w:r>
      <w:r w:rsidR="00EA594B" w:rsidRPr="00323336">
        <w:rPr>
          <w:rFonts w:ascii="Verdana" w:hAnsi="Verdana"/>
          <w:bCs/>
          <w:szCs w:val="24"/>
        </w:rPr>
        <w:t xml:space="preserve">ante la presente resolución </w:t>
      </w:r>
      <w:r w:rsidR="003A70EC" w:rsidRPr="00323336">
        <w:rPr>
          <w:rFonts w:ascii="Verdana" w:hAnsi="Verdana"/>
          <w:bCs/>
          <w:szCs w:val="24"/>
        </w:rPr>
        <w:t xml:space="preserve">y </w:t>
      </w:r>
      <w:r w:rsidR="00B10642" w:rsidRPr="00323336">
        <w:rPr>
          <w:rFonts w:ascii="Verdana" w:hAnsi="Verdana"/>
          <w:bCs/>
          <w:szCs w:val="24"/>
        </w:rPr>
        <w:t>en caso de que resulten con asignaciones</w:t>
      </w:r>
      <w:r w:rsidR="003A70EC" w:rsidRPr="00323336">
        <w:rPr>
          <w:rFonts w:ascii="Verdana" w:hAnsi="Verdana"/>
          <w:bCs/>
          <w:szCs w:val="24"/>
        </w:rPr>
        <w:t>, deberán cumplir con el requisito de ser despachadas centralmente al Inicio del Período de Vigencia de la Obligación (IPVO).</w:t>
      </w:r>
    </w:p>
    <w:p w14:paraId="29976A0C" w14:textId="0C3AADA1" w:rsidR="008D2ECB" w:rsidRPr="00323336" w:rsidRDefault="0094587A"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t>Modificaci</w:t>
      </w:r>
      <w:r w:rsidR="004048B2" w:rsidRPr="00323336">
        <w:rPr>
          <w:rFonts w:ascii="Verdana" w:hAnsi="Verdana"/>
          <w:b/>
          <w:szCs w:val="24"/>
        </w:rPr>
        <w:t>ó</w:t>
      </w:r>
      <w:r w:rsidRPr="00323336">
        <w:rPr>
          <w:rFonts w:ascii="Verdana" w:hAnsi="Verdana"/>
          <w:b/>
          <w:szCs w:val="24"/>
        </w:rPr>
        <w:t xml:space="preserve">n del </w:t>
      </w:r>
      <w:r w:rsidR="00E16C51" w:rsidRPr="00323336">
        <w:rPr>
          <w:rFonts w:ascii="Verdana" w:hAnsi="Verdana"/>
          <w:b/>
          <w:szCs w:val="24"/>
        </w:rPr>
        <w:t>sub</w:t>
      </w:r>
      <w:r w:rsidRPr="00323336">
        <w:rPr>
          <w:rFonts w:ascii="Verdana" w:hAnsi="Verdana"/>
          <w:b/>
          <w:szCs w:val="24"/>
        </w:rPr>
        <w:t xml:space="preserve">numeral 2 del numeral 3.4.2 del </w:t>
      </w:r>
      <w:r w:rsidR="007A0A53" w:rsidRPr="00323336">
        <w:rPr>
          <w:rFonts w:ascii="Verdana" w:hAnsi="Verdana"/>
          <w:b/>
          <w:szCs w:val="24"/>
        </w:rPr>
        <w:t>Anexo 3 de la Resolución CREG 071 de 2006.</w:t>
      </w:r>
      <w:r w:rsidR="007A0A53" w:rsidRPr="00323336">
        <w:rPr>
          <w:rFonts w:ascii="Verdana" w:hAnsi="Verdana"/>
          <w:bCs/>
          <w:szCs w:val="24"/>
        </w:rPr>
        <w:t xml:space="preserve"> El </w:t>
      </w:r>
      <w:r w:rsidR="00EA0773" w:rsidRPr="00323336">
        <w:rPr>
          <w:rFonts w:ascii="Verdana" w:hAnsi="Verdana"/>
          <w:bCs/>
          <w:szCs w:val="24"/>
        </w:rPr>
        <w:t>sub</w:t>
      </w:r>
      <w:r w:rsidR="007A0A53" w:rsidRPr="00323336">
        <w:rPr>
          <w:rFonts w:ascii="Verdana" w:hAnsi="Verdana"/>
          <w:bCs/>
          <w:szCs w:val="24"/>
        </w:rPr>
        <w:t xml:space="preserve">numeral 2 del </w:t>
      </w:r>
      <w:r w:rsidR="00835F3C" w:rsidRPr="00323336">
        <w:rPr>
          <w:rFonts w:ascii="Verdana" w:hAnsi="Verdana"/>
          <w:bCs/>
          <w:szCs w:val="24"/>
        </w:rPr>
        <w:t xml:space="preserve">numeral </w:t>
      </w:r>
      <w:r w:rsidR="005C1EA1" w:rsidRPr="00323336">
        <w:rPr>
          <w:rFonts w:ascii="Verdana" w:hAnsi="Verdana"/>
          <w:bCs/>
          <w:szCs w:val="24"/>
        </w:rPr>
        <w:t xml:space="preserve">3.4.2 del Anexo 3 de la Resolución CREG 071 de 2006 </w:t>
      </w:r>
      <w:r w:rsidR="002D528D" w:rsidRPr="00323336">
        <w:rPr>
          <w:rFonts w:ascii="Verdana" w:hAnsi="Verdana"/>
          <w:bCs/>
          <w:szCs w:val="24"/>
        </w:rPr>
        <w:t>quedará así:</w:t>
      </w:r>
    </w:p>
    <w:p w14:paraId="05ABB17C" w14:textId="69A80981" w:rsidR="004048B2" w:rsidRPr="00323336" w:rsidRDefault="004048B2" w:rsidP="002D528D">
      <w:pPr>
        <w:pStyle w:val="Prrafodelista"/>
        <w:numPr>
          <w:ilvl w:val="0"/>
          <w:numId w:val="0"/>
        </w:numPr>
        <w:spacing w:line="276" w:lineRule="auto"/>
        <w:ind w:left="708"/>
        <w:rPr>
          <w:rFonts w:ascii="Verdana" w:hAnsi="Verdana"/>
          <w:bCs/>
          <w:i/>
          <w:iCs/>
          <w:szCs w:val="24"/>
        </w:rPr>
      </w:pPr>
      <w:r w:rsidRPr="00323336">
        <w:rPr>
          <w:rFonts w:ascii="Verdana" w:hAnsi="Verdana"/>
          <w:bCs/>
          <w:i/>
          <w:iCs/>
          <w:szCs w:val="24"/>
        </w:rPr>
        <w:t xml:space="preserve">2. Entregar </w:t>
      </w:r>
      <w:r w:rsidR="00C20A29" w:rsidRPr="00323336">
        <w:rPr>
          <w:rFonts w:ascii="Verdana" w:hAnsi="Verdana"/>
          <w:bCs/>
          <w:i/>
          <w:iCs/>
          <w:szCs w:val="24"/>
        </w:rPr>
        <w:t xml:space="preserve">mediante el SUICC </w:t>
      </w:r>
      <w:r w:rsidRPr="00323336">
        <w:rPr>
          <w:rFonts w:ascii="Verdana" w:hAnsi="Verdana"/>
          <w:bCs/>
          <w:i/>
          <w:iCs/>
          <w:szCs w:val="24"/>
        </w:rPr>
        <w:t xml:space="preserve">en la fecha establecida </w:t>
      </w:r>
      <w:r w:rsidR="001C0171" w:rsidRPr="00323336">
        <w:rPr>
          <w:rFonts w:ascii="Verdana" w:hAnsi="Verdana"/>
          <w:bCs/>
          <w:i/>
          <w:iCs/>
          <w:szCs w:val="24"/>
        </w:rPr>
        <w:t xml:space="preserve">en la regulación vigente </w:t>
      </w:r>
      <w:r w:rsidRPr="00323336">
        <w:rPr>
          <w:rFonts w:ascii="Verdana" w:hAnsi="Verdana"/>
          <w:bCs/>
          <w:i/>
          <w:iCs/>
          <w:szCs w:val="24"/>
        </w:rPr>
        <w:t xml:space="preserve">para la </w:t>
      </w:r>
      <w:r w:rsidR="002D528D" w:rsidRPr="00323336">
        <w:rPr>
          <w:rFonts w:ascii="Verdana" w:hAnsi="Verdana"/>
          <w:bCs/>
          <w:i/>
          <w:iCs/>
          <w:szCs w:val="24"/>
        </w:rPr>
        <w:t>declaración de parámetros</w:t>
      </w:r>
      <w:r w:rsidRPr="00323336">
        <w:rPr>
          <w:rFonts w:ascii="Verdana" w:hAnsi="Verdana"/>
          <w:bCs/>
          <w:i/>
          <w:iCs/>
          <w:szCs w:val="24"/>
        </w:rPr>
        <w:t>, un cronograma de mejora trimestral del valor del IHF.</w:t>
      </w:r>
    </w:p>
    <w:p w14:paraId="5705B9E4" w14:textId="58BDC994" w:rsidR="00C20A29" w:rsidRPr="00323336" w:rsidRDefault="004B789E"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lastRenderedPageBreak/>
        <w:t xml:space="preserve">Modificar el numeral 20.1 </w:t>
      </w:r>
      <w:r w:rsidR="00EB3C12" w:rsidRPr="00323336">
        <w:rPr>
          <w:rFonts w:ascii="Verdana" w:hAnsi="Verdana"/>
          <w:b/>
          <w:szCs w:val="24"/>
        </w:rPr>
        <w:t xml:space="preserve">del artículo 20 de la Resolución CREG 101 024 de 2022. </w:t>
      </w:r>
      <w:r w:rsidR="00EB3C12" w:rsidRPr="00323336">
        <w:rPr>
          <w:rFonts w:ascii="Verdana" w:hAnsi="Verdana"/>
          <w:bCs/>
          <w:szCs w:val="24"/>
        </w:rPr>
        <w:t xml:space="preserve">El numeral 20.1 </w:t>
      </w:r>
      <w:r w:rsidR="005B40D7" w:rsidRPr="00323336">
        <w:rPr>
          <w:rFonts w:ascii="Verdana" w:hAnsi="Verdana"/>
          <w:bCs/>
          <w:szCs w:val="24"/>
        </w:rPr>
        <w:t>de</w:t>
      </w:r>
      <w:r w:rsidR="00100829" w:rsidRPr="00323336">
        <w:rPr>
          <w:rFonts w:ascii="Verdana" w:hAnsi="Verdana"/>
          <w:bCs/>
          <w:szCs w:val="24"/>
        </w:rPr>
        <w:t xml:space="preserve">l artículo </w:t>
      </w:r>
      <w:r w:rsidR="00DA7D8B" w:rsidRPr="00323336">
        <w:rPr>
          <w:rFonts w:ascii="Verdana" w:hAnsi="Verdana"/>
          <w:bCs/>
          <w:szCs w:val="24"/>
        </w:rPr>
        <w:t>20 de la Resolución CREG 101 024 de 2022 quedará así:</w:t>
      </w:r>
    </w:p>
    <w:p w14:paraId="2C3344F9" w14:textId="1DED0607" w:rsidR="001D6531" w:rsidRPr="00323336" w:rsidRDefault="004B789E" w:rsidP="00DA7D8B">
      <w:pPr>
        <w:pStyle w:val="Prrafodelista"/>
        <w:numPr>
          <w:ilvl w:val="0"/>
          <w:numId w:val="0"/>
        </w:numPr>
        <w:spacing w:line="276" w:lineRule="auto"/>
        <w:ind w:left="708"/>
        <w:rPr>
          <w:rFonts w:ascii="Verdana" w:hAnsi="Verdana"/>
          <w:bCs/>
          <w:i/>
          <w:iCs/>
          <w:szCs w:val="24"/>
        </w:rPr>
      </w:pPr>
      <w:r w:rsidRPr="00323336">
        <w:rPr>
          <w:rFonts w:ascii="Verdana" w:hAnsi="Verdana"/>
          <w:bCs/>
          <w:i/>
          <w:iCs/>
          <w:szCs w:val="24"/>
        </w:rPr>
        <w:t>20.1. La totalidad de parámetros establecidos en el numeral 5.2 del Anexo 5 de la Resolución CREG 071 de 2006</w:t>
      </w:r>
      <w:r w:rsidR="007E5CE4" w:rsidRPr="00323336">
        <w:rPr>
          <w:rFonts w:ascii="Verdana" w:hAnsi="Verdana"/>
          <w:bCs/>
          <w:i/>
          <w:iCs/>
          <w:szCs w:val="24"/>
        </w:rPr>
        <w:t>,</w:t>
      </w:r>
      <w:r w:rsidR="009B25FF" w:rsidRPr="00323336">
        <w:rPr>
          <w:rFonts w:ascii="Verdana" w:hAnsi="Verdana"/>
          <w:bCs/>
          <w:i/>
          <w:iCs/>
          <w:szCs w:val="24"/>
        </w:rPr>
        <w:t xml:space="preserve"> </w:t>
      </w:r>
      <w:r w:rsidR="00E82601" w:rsidRPr="00323336">
        <w:rPr>
          <w:rFonts w:ascii="Verdana" w:hAnsi="Verdana"/>
          <w:bCs/>
          <w:i/>
          <w:iCs/>
          <w:szCs w:val="24"/>
        </w:rPr>
        <w:t xml:space="preserve">en </w:t>
      </w:r>
      <w:r w:rsidR="00F03C81" w:rsidRPr="00323336">
        <w:rPr>
          <w:rFonts w:ascii="Verdana" w:hAnsi="Verdana"/>
          <w:bCs/>
          <w:i/>
          <w:iCs/>
          <w:szCs w:val="24"/>
        </w:rPr>
        <w:t xml:space="preserve">otras resoluciones </w:t>
      </w:r>
      <w:r w:rsidR="00287558" w:rsidRPr="00323336">
        <w:rPr>
          <w:rFonts w:ascii="Verdana" w:hAnsi="Verdana"/>
          <w:bCs/>
          <w:i/>
          <w:iCs/>
          <w:szCs w:val="24"/>
        </w:rPr>
        <w:t xml:space="preserve">que </w:t>
      </w:r>
      <w:r w:rsidR="00F03C81" w:rsidRPr="00323336">
        <w:rPr>
          <w:rFonts w:ascii="Verdana" w:hAnsi="Verdana"/>
          <w:bCs/>
          <w:i/>
          <w:iCs/>
          <w:szCs w:val="24"/>
        </w:rPr>
        <w:t>hayan regulado metodologías de cálculo de ENFICC conforme la tecnología de generación</w:t>
      </w:r>
      <w:r w:rsidRPr="00323336">
        <w:rPr>
          <w:rFonts w:ascii="Verdana" w:hAnsi="Verdana"/>
          <w:bCs/>
          <w:i/>
          <w:iCs/>
          <w:szCs w:val="24"/>
        </w:rPr>
        <w:t xml:space="preserve"> y los parámetros que establezca</w:t>
      </w:r>
      <w:r w:rsidR="005F5902" w:rsidRPr="00323336">
        <w:rPr>
          <w:rFonts w:ascii="Verdana" w:hAnsi="Verdana"/>
          <w:bCs/>
          <w:i/>
          <w:iCs/>
          <w:szCs w:val="24"/>
        </w:rPr>
        <w:t xml:space="preserve"> o haya establecido</w:t>
      </w:r>
      <w:r w:rsidRPr="00323336">
        <w:rPr>
          <w:rFonts w:ascii="Verdana" w:hAnsi="Verdana"/>
          <w:bCs/>
          <w:i/>
          <w:iCs/>
          <w:szCs w:val="24"/>
        </w:rPr>
        <w:t xml:space="preserve"> la CREG mediante circular</w:t>
      </w:r>
      <w:r w:rsidR="00FE3045" w:rsidRPr="00323336">
        <w:rPr>
          <w:rFonts w:ascii="Verdana" w:hAnsi="Verdana"/>
          <w:bCs/>
          <w:i/>
          <w:iCs/>
          <w:szCs w:val="24"/>
        </w:rPr>
        <w:t>es</w:t>
      </w:r>
      <w:r w:rsidRPr="00323336">
        <w:rPr>
          <w:rFonts w:ascii="Verdana" w:hAnsi="Verdana"/>
          <w:bCs/>
          <w:i/>
          <w:iCs/>
          <w:szCs w:val="24"/>
        </w:rPr>
        <w:t xml:space="preserve"> de la Dirección Ejecutiva. El ASIC tendrá un período de veinte (20) días hábiles a partir de la publicación de la circular respectiva, para definir los formatos que los participantes de la subasta utilizarán en el SUICC.</w:t>
      </w:r>
    </w:p>
    <w:p w14:paraId="3A3AD632" w14:textId="6399DFE0" w:rsidR="00387694" w:rsidRPr="00323336" w:rsidRDefault="00387694" w:rsidP="00387694">
      <w:pPr>
        <w:pStyle w:val="Prrafodelista"/>
        <w:numPr>
          <w:ilvl w:val="0"/>
          <w:numId w:val="8"/>
        </w:numPr>
        <w:spacing w:line="276" w:lineRule="auto"/>
        <w:ind w:left="0" w:hanging="11"/>
        <w:rPr>
          <w:rFonts w:ascii="Verdana" w:hAnsi="Verdana"/>
          <w:bCs/>
          <w:szCs w:val="24"/>
        </w:rPr>
      </w:pPr>
      <w:r w:rsidRPr="00323336">
        <w:rPr>
          <w:rFonts w:ascii="Verdana" w:hAnsi="Verdana"/>
          <w:b/>
          <w:szCs w:val="24"/>
        </w:rPr>
        <w:t xml:space="preserve">Modificar </w:t>
      </w:r>
      <w:r w:rsidR="00F83093" w:rsidRPr="00323336">
        <w:rPr>
          <w:rFonts w:ascii="Verdana" w:hAnsi="Verdana"/>
          <w:b/>
          <w:szCs w:val="24"/>
        </w:rPr>
        <w:t>el</w:t>
      </w:r>
      <w:r w:rsidR="00CA4092" w:rsidRPr="00323336">
        <w:rPr>
          <w:rFonts w:ascii="Verdana" w:hAnsi="Verdana"/>
          <w:b/>
          <w:szCs w:val="24"/>
        </w:rPr>
        <w:t xml:space="preserve"> literal ii) del literal a) del artículo 1 de la </w:t>
      </w:r>
      <w:r w:rsidR="00B765FA" w:rsidRPr="00323336">
        <w:rPr>
          <w:rFonts w:ascii="Verdana" w:hAnsi="Verdana"/>
          <w:b/>
          <w:szCs w:val="24"/>
        </w:rPr>
        <w:t>Resolución</w:t>
      </w:r>
      <w:r w:rsidR="00CA4092" w:rsidRPr="00323336">
        <w:rPr>
          <w:rFonts w:ascii="Verdana" w:hAnsi="Verdana"/>
          <w:b/>
          <w:szCs w:val="24"/>
        </w:rPr>
        <w:t xml:space="preserve"> CREG 0</w:t>
      </w:r>
      <w:r w:rsidR="00D424A2" w:rsidRPr="00323336">
        <w:rPr>
          <w:rFonts w:ascii="Verdana" w:hAnsi="Verdana"/>
          <w:b/>
          <w:szCs w:val="24"/>
        </w:rPr>
        <w:t>2 de 2019.</w:t>
      </w:r>
      <w:r w:rsidRPr="00323336">
        <w:rPr>
          <w:rFonts w:ascii="Verdana" w:hAnsi="Verdana"/>
          <w:b/>
          <w:szCs w:val="24"/>
        </w:rPr>
        <w:t xml:space="preserve"> </w:t>
      </w:r>
      <w:r w:rsidRPr="00323336">
        <w:rPr>
          <w:rFonts w:ascii="Verdana" w:hAnsi="Verdana"/>
          <w:bCs/>
          <w:szCs w:val="24"/>
        </w:rPr>
        <w:t xml:space="preserve">El </w:t>
      </w:r>
      <w:r w:rsidR="00D424A2" w:rsidRPr="00323336">
        <w:rPr>
          <w:rFonts w:ascii="Verdana" w:hAnsi="Verdana"/>
          <w:bCs/>
          <w:szCs w:val="24"/>
        </w:rPr>
        <w:t xml:space="preserve">literal ii) del literal a) </w:t>
      </w:r>
      <w:r w:rsidRPr="00323336">
        <w:rPr>
          <w:rFonts w:ascii="Verdana" w:hAnsi="Verdana"/>
          <w:szCs w:val="24"/>
        </w:rPr>
        <w:t xml:space="preserve">del artículo </w:t>
      </w:r>
      <w:r w:rsidR="00D424A2" w:rsidRPr="00323336">
        <w:rPr>
          <w:rFonts w:ascii="Verdana" w:hAnsi="Verdana"/>
          <w:bCs/>
          <w:szCs w:val="24"/>
        </w:rPr>
        <w:t>1</w:t>
      </w:r>
      <w:r w:rsidRPr="00323336">
        <w:rPr>
          <w:rFonts w:ascii="Verdana" w:hAnsi="Verdana"/>
          <w:szCs w:val="24"/>
        </w:rPr>
        <w:t xml:space="preserve"> de la</w:t>
      </w:r>
      <w:r w:rsidRPr="00323336">
        <w:rPr>
          <w:rFonts w:ascii="Verdana" w:hAnsi="Verdana"/>
          <w:bCs/>
          <w:szCs w:val="24"/>
        </w:rPr>
        <w:t xml:space="preserve"> </w:t>
      </w:r>
      <w:r w:rsidRPr="00323336">
        <w:rPr>
          <w:rFonts w:ascii="Verdana" w:hAnsi="Verdana"/>
          <w:szCs w:val="24"/>
        </w:rPr>
        <w:t xml:space="preserve">Resolución CREG </w:t>
      </w:r>
      <w:r w:rsidR="00D424A2" w:rsidRPr="00323336">
        <w:rPr>
          <w:rFonts w:ascii="Verdana" w:hAnsi="Verdana"/>
          <w:bCs/>
          <w:szCs w:val="24"/>
        </w:rPr>
        <w:t>02</w:t>
      </w:r>
      <w:r w:rsidRPr="00323336">
        <w:rPr>
          <w:rFonts w:ascii="Verdana" w:hAnsi="Verdana"/>
          <w:szCs w:val="24"/>
        </w:rPr>
        <w:t xml:space="preserve"> de </w:t>
      </w:r>
      <w:r w:rsidR="00D424A2" w:rsidRPr="00323336">
        <w:rPr>
          <w:rFonts w:ascii="Verdana" w:hAnsi="Verdana"/>
          <w:bCs/>
          <w:szCs w:val="24"/>
        </w:rPr>
        <w:t>2019</w:t>
      </w:r>
      <w:r w:rsidRPr="00323336">
        <w:rPr>
          <w:rFonts w:ascii="Verdana" w:hAnsi="Verdana"/>
          <w:bCs/>
          <w:szCs w:val="24"/>
        </w:rPr>
        <w:t xml:space="preserve"> quedará así:</w:t>
      </w:r>
    </w:p>
    <w:p w14:paraId="4308ED76" w14:textId="64DA378A" w:rsidR="00D424A2" w:rsidRPr="00323336" w:rsidRDefault="00DE5C92" w:rsidP="00F97290">
      <w:pPr>
        <w:pStyle w:val="Prrafodelista"/>
        <w:numPr>
          <w:ilvl w:val="0"/>
          <w:numId w:val="0"/>
        </w:numPr>
        <w:spacing w:line="276" w:lineRule="auto"/>
        <w:ind w:left="708"/>
        <w:rPr>
          <w:rFonts w:ascii="Verdana" w:hAnsi="Verdana"/>
          <w:bCs/>
          <w:i/>
          <w:iCs/>
          <w:szCs w:val="24"/>
        </w:rPr>
      </w:pPr>
      <w:r w:rsidRPr="00323336">
        <w:rPr>
          <w:rFonts w:ascii="Verdana" w:hAnsi="Verdana"/>
          <w:bCs/>
          <w:i/>
          <w:iCs/>
          <w:szCs w:val="24"/>
          <w:lang w:val="es-ES"/>
        </w:rPr>
        <w:t xml:space="preserve">ii) </w:t>
      </w:r>
      <w:r w:rsidR="0001323B" w:rsidRPr="00323336">
        <w:rPr>
          <w:rFonts w:ascii="Verdana" w:hAnsi="Verdana"/>
          <w:bCs/>
          <w:i/>
          <w:iCs/>
          <w:szCs w:val="24"/>
        </w:rPr>
        <w:t xml:space="preserve">Entregar </w:t>
      </w:r>
      <w:r w:rsidR="006616D2" w:rsidRPr="00323336">
        <w:rPr>
          <w:rFonts w:ascii="Verdana" w:hAnsi="Verdana"/>
          <w:bCs/>
          <w:i/>
          <w:iCs/>
          <w:szCs w:val="24"/>
          <w:lang w:val="es-ES"/>
        </w:rPr>
        <w:t xml:space="preserve">la declaración </w:t>
      </w:r>
      <w:r w:rsidR="0001323B" w:rsidRPr="00323336">
        <w:rPr>
          <w:rFonts w:ascii="Verdana" w:hAnsi="Verdana"/>
          <w:bCs/>
          <w:i/>
          <w:iCs/>
          <w:szCs w:val="24"/>
        </w:rPr>
        <w:t>mediante el SUICC en la fecha establecida en la regulación vigente para la declaración de parámetros</w:t>
      </w:r>
      <w:r w:rsidR="00B31636" w:rsidRPr="00323336">
        <w:rPr>
          <w:rFonts w:ascii="Verdana" w:hAnsi="Verdana"/>
          <w:bCs/>
          <w:i/>
          <w:iCs/>
          <w:szCs w:val="24"/>
        </w:rPr>
        <w:t>;</w:t>
      </w:r>
      <w:r w:rsidR="0001323B" w:rsidRPr="00323336">
        <w:rPr>
          <w:rFonts w:ascii="Verdana" w:hAnsi="Verdana"/>
          <w:bCs/>
          <w:i/>
          <w:iCs/>
          <w:szCs w:val="24"/>
          <w:lang w:val="es-ES"/>
        </w:rPr>
        <w:t xml:space="preserve"> </w:t>
      </w:r>
      <w:r w:rsidRPr="00323336">
        <w:rPr>
          <w:rFonts w:ascii="Verdana" w:hAnsi="Verdana"/>
          <w:bCs/>
          <w:i/>
          <w:iCs/>
          <w:szCs w:val="24"/>
          <w:lang w:val="es-ES"/>
        </w:rPr>
        <w:t xml:space="preserve">para lo cual, se deberá </w:t>
      </w:r>
      <w:r w:rsidR="006616D2" w:rsidRPr="00323336">
        <w:rPr>
          <w:rFonts w:ascii="Verdana" w:hAnsi="Verdana"/>
          <w:bCs/>
          <w:i/>
          <w:iCs/>
          <w:szCs w:val="24"/>
          <w:lang w:val="es-ES"/>
        </w:rPr>
        <w:t>incluir</w:t>
      </w:r>
      <w:r w:rsidR="00B31636" w:rsidRPr="00323336">
        <w:rPr>
          <w:rFonts w:ascii="Verdana" w:hAnsi="Verdana"/>
          <w:bCs/>
          <w:i/>
          <w:iCs/>
          <w:szCs w:val="24"/>
          <w:lang w:val="es-ES"/>
        </w:rPr>
        <w:t xml:space="preserve"> también una</w:t>
      </w:r>
      <w:r w:rsidR="006616D2" w:rsidRPr="00323336">
        <w:rPr>
          <w:rFonts w:ascii="Verdana" w:hAnsi="Verdana"/>
          <w:bCs/>
          <w:i/>
          <w:iCs/>
          <w:szCs w:val="24"/>
          <w:lang w:val="es-ES"/>
        </w:rPr>
        <w:t xml:space="preserve"> </w:t>
      </w:r>
      <w:r w:rsidRPr="00323336">
        <w:rPr>
          <w:rFonts w:ascii="Verdana" w:hAnsi="Verdana"/>
          <w:bCs/>
          <w:i/>
          <w:iCs/>
          <w:szCs w:val="24"/>
          <w:lang w:val="es-ES"/>
        </w:rPr>
        <w:t>carta firmada por el representante legal de la empresa</w:t>
      </w:r>
      <w:r w:rsidR="008D6DE9" w:rsidRPr="00323336">
        <w:rPr>
          <w:rFonts w:ascii="Verdana" w:hAnsi="Verdana"/>
          <w:bCs/>
          <w:i/>
          <w:iCs/>
          <w:szCs w:val="24"/>
          <w:lang w:val="es-ES"/>
        </w:rPr>
        <w:t xml:space="preserve"> con la anterior declaración</w:t>
      </w:r>
      <w:r w:rsidRPr="00323336">
        <w:rPr>
          <w:rFonts w:ascii="Verdana" w:hAnsi="Verdana"/>
          <w:bCs/>
          <w:i/>
          <w:iCs/>
          <w:szCs w:val="24"/>
          <w:lang w:val="es-ES"/>
        </w:rPr>
        <w:t>.</w:t>
      </w:r>
    </w:p>
    <w:p w14:paraId="7B695D4C" w14:textId="6EABFC94" w:rsidR="00C5309F" w:rsidRPr="00323336" w:rsidRDefault="00C5309F" w:rsidP="00FF2233">
      <w:pPr>
        <w:pStyle w:val="Prrafodelista"/>
        <w:numPr>
          <w:ilvl w:val="0"/>
          <w:numId w:val="8"/>
        </w:numPr>
        <w:spacing w:line="276" w:lineRule="auto"/>
        <w:ind w:left="0" w:hanging="11"/>
        <w:rPr>
          <w:rFonts w:ascii="Verdana" w:hAnsi="Verdana"/>
          <w:bCs/>
          <w:szCs w:val="24"/>
        </w:rPr>
      </w:pPr>
      <w:r w:rsidRPr="00323336">
        <w:rPr>
          <w:rFonts w:ascii="Verdana" w:hAnsi="Verdana"/>
          <w:b/>
          <w:szCs w:val="24"/>
        </w:rPr>
        <w:t xml:space="preserve">Vigencia. </w:t>
      </w:r>
      <w:r w:rsidRPr="00323336">
        <w:rPr>
          <w:rFonts w:ascii="Verdana" w:hAnsi="Verdana"/>
          <w:bCs/>
          <w:szCs w:val="24"/>
        </w:rPr>
        <w:t xml:space="preserve">Esta resolución rige a partir de su publicación en el </w:t>
      </w:r>
      <w:r w:rsidRPr="00323336">
        <w:rPr>
          <w:rFonts w:ascii="Verdana" w:hAnsi="Verdana"/>
          <w:bCs/>
          <w:i/>
          <w:iCs/>
          <w:szCs w:val="24"/>
        </w:rPr>
        <w:t>Diario Oficial</w:t>
      </w:r>
      <w:r w:rsidRPr="00323336">
        <w:rPr>
          <w:rFonts w:ascii="Verdana" w:hAnsi="Verdana"/>
          <w:bCs/>
          <w:szCs w:val="24"/>
        </w:rPr>
        <w:t>.</w:t>
      </w:r>
    </w:p>
    <w:p w14:paraId="5F567194" w14:textId="77777777" w:rsidR="007579A1" w:rsidRPr="00323336" w:rsidRDefault="007579A1" w:rsidP="007579A1">
      <w:pPr>
        <w:pStyle w:val="Prrafodelista"/>
        <w:numPr>
          <w:ilvl w:val="0"/>
          <w:numId w:val="0"/>
        </w:numPr>
        <w:spacing w:line="276" w:lineRule="auto"/>
        <w:jc w:val="center"/>
        <w:rPr>
          <w:rFonts w:ascii="Verdana" w:hAnsi="Verdana"/>
          <w:b/>
          <w:szCs w:val="24"/>
        </w:rPr>
      </w:pPr>
    </w:p>
    <w:p w14:paraId="435D1402" w14:textId="0A6BA99C" w:rsidR="00405B39" w:rsidRPr="007579A1" w:rsidRDefault="007579A1" w:rsidP="007579A1">
      <w:pPr>
        <w:pStyle w:val="Prrafodelista"/>
        <w:numPr>
          <w:ilvl w:val="0"/>
          <w:numId w:val="0"/>
        </w:numPr>
        <w:spacing w:line="276" w:lineRule="auto"/>
        <w:jc w:val="center"/>
        <w:rPr>
          <w:rFonts w:ascii="Verdana" w:hAnsi="Verdana"/>
          <w:b/>
          <w:szCs w:val="24"/>
        </w:rPr>
      </w:pPr>
      <w:r w:rsidRPr="00323336">
        <w:rPr>
          <w:rFonts w:ascii="Verdana" w:hAnsi="Verdana"/>
          <w:b/>
          <w:szCs w:val="24"/>
        </w:rPr>
        <w:t>PUBLÍQUESE Y CÚMPLASE</w:t>
      </w:r>
    </w:p>
    <w:sectPr w:rsidR="00405B39" w:rsidRPr="007579A1" w:rsidSect="00CB079C">
      <w:headerReference w:type="default" r:id="rId11"/>
      <w:headerReference w:type="first" r:id="rId12"/>
      <w:footerReference w:type="first" r:id="rId13"/>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FB9E" w14:textId="77777777" w:rsidR="00BE246D" w:rsidRDefault="00BE246D">
      <w:r>
        <w:separator/>
      </w:r>
    </w:p>
    <w:p w14:paraId="3431AF1F" w14:textId="77777777" w:rsidR="00BE246D" w:rsidRDefault="00BE246D"/>
    <w:p w14:paraId="7118001E" w14:textId="77777777" w:rsidR="00BE246D" w:rsidRDefault="00BE246D" w:rsidP="00C851C0"/>
  </w:endnote>
  <w:endnote w:type="continuationSeparator" w:id="0">
    <w:p w14:paraId="087AAFAF" w14:textId="77777777" w:rsidR="00BE246D" w:rsidRDefault="00BE246D">
      <w:r>
        <w:continuationSeparator/>
      </w:r>
    </w:p>
    <w:p w14:paraId="65B2752F" w14:textId="77777777" w:rsidR="00BE246D" w:rsidRDefault="00BE246D"/>
    <w:p w14:paraId="0A467726" w14:textId="77777777" w:rsidR="00BE246D" w:rsidRDefault="00BE246D" w:rsidP="00C851C0"/>
  </w:endnote>
  <w:endnote w:type="continuationNotice" w:id="1">
    <w:p w14:paraId="0F317675" w14:textId="77777777" w:rsidR="00BE246D" w:rsidRDefault="00BE24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E8B8" w14:textId="77777777" w:rsidR="00BE246D" w:rsidRDefault="00BE246D">
      <w:r>
        <w:separator/>
      </w:r>
    </w:p>
    <w:p w14:paraId="0BC38A0D" w14:textId="77777777" w:rsidR="00BE246D" w:rsidRDefault="00BE246D"/>
    <w:p w14:paraId="6793D8D5" w14:textId="77777777" w:rsidR="00BE246D" w:rsidRDefault="00BE246D" w:rsidP="00C851C0"/>
  </w:footnote>
  <w:footnote w:type="continuationSeparator" w:id="0">
    <w:p w14:paraId="41C737A5" w14:textId="77777777" w:rsidR="00BE246D" w:rsidRDefault="00BE246D">
      <w:r>
        <w:continuationSeparator/>
      </w:r>
    </w:p>
    <w:p w14:paraId="12AE899D" w14:textId="77777777" w:rsidR="00BE246D" w:rsidRDefault="00BE246D"/>
    <w:p w14:paraId="4CE20940" w14:textId="77777777" w:rsidR="00BE246D" w:rsidRDefault="00BE246D" w:rsidP="00C851C0"/>
  </w:footnote>
  <w:footnote w:type="continuationNotice" w:id="1">
    <w:p w14:paraId="3E68A784" w14:textId="77777777" w:rsidR="00BE246D" w:rsidRDefault="00BE24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0738BB8C" w:rsidR="00C47CF3" w:rsidRPr="005D451D" w:rsidRDefault="005D451D" w:rsidP="004A5BF5">
    <w:pPr>
      <w:pStyle w:val="Ttulo1"/>
      <w:numPr>
        <w:ilvl w:val="0"/>
        <w:numId w:val="0"/>
      </w:numPr>
      <w:ind w:right="6"/>
      <w:rPr>
        <w:rFonts w:ascii="Verdana" w:hAnsi="Verdana" w:cs="Arial"/>
        <w:b w:val="0"/>
        <w:sz w:val="22"/>
        <w:szCs w:val="22"/>
      </w:rPr>
    </w:pPr>
    <w:r>
      <w:rPr>
        <w:rFonts w:ascii="Verdana" w:hAnsi="Verdana" w:cs="Arial"/>
        <w:b w:val="0"/>
        <w:sz w:val="22"/>
        <w:szCs w:val="22"/>
      </w:rPr>
      <w:t xml:space="preserve">PROYECTO DE </w:t>
    </w:r>
    <w:r w:rsidR="00C47CF3" w:rsidRPr="005D451D">
      <w:rPr>
        <w:rFonts w:ascii="Verdana" w:hAnsi="Verdana" w:cs="Arial"/>
        <w:b w:val="0"/>
        <w:sz w:val="22"/>
        <w:szCs w:val="22"/>
      </w:rPr>
      <w:t>RESOLUCIÓN No</w:t>
    </w:r>
    <w:r w:rsidR="004A5BF5" w:rsidRPr="005D451D">
      <w:rPr>
        <w:rFonts w:ascii="Verdana" w:hAnsi="Verdana" w:cs="Arial"/>
        <w:b w:val="0"/>
        <w:sz w:val="22"/>
        <w:szCs w:val="22"/>
      </w:rPr>
      <w:t xml:space="preserve"> </w:t>
    </w:r>
    <w:r w:rsidR="005773EF">
      <w:rPr>
        <w:rFonts w:ascii="Verdana" w:hAnsi="Verdana" w:cs="Arial"/>
        <w:b w:val="0"/>
        <w:sz w:val="22"/>
        <w:szCs w:val="22"/>
      </w:rPr>
      <w:t xml:space="preserve">  </w:t>
    </w:r>
    <w:r w:rsidR="004A5BF5" w:rsidRPr="005D451D">
      <w:rPr>
        <w:rFonts w:ascii="Verdana" w:hAnsi="Verdana" w:cs="Arial"/>
        <w:b w:val="0"/>
        <w:sz w:val="22"/>
        <w:szCs w:val="22"/>
      </w:rPr>
      <w:t xml:space="preserve"> </w:t>
    </w:r>
    <w:r w:rsidRPr="00CC420A">
      <w:rPr>
        <w:rFonts w:ascii="Verdana" w:hAnsi="Verdana" w:cs="Arial"/>
        <w:bCs/>
        <w:sz w:val="22"/>
        <w:szCs w:val="22"/>
        <w:u w:val="single"/>
      </w:rPr>
      <w:t>701</w:t>
    </w:r>
    <w:r w:rsidR="004A5BF5" w:rsidRPr="00CC420A">
      <w:rPr>
        <w:rFonts w:ascii="Verdana" w:hAnsi="Verdana" w:cs="Arial"/>
        <w:bCs/>
        <w:sz w:val="22"/>
        <w:szCs w:val="22"/>
        <w:u w:val="single"/>
      </w:rPr>
      <w:t xml:space="preserve"> </w:t>
    </w:r>
    <w:r w:rsidR="008A2C50" w:rsidRPr="00CC420A">
      <w:rPr>
        <w:rFonts w:ascii="Verdana" w:hAnsi="Verdana" w:cs="Arial"/>
        <w:bCs/>
        <w:sz w:val="22"/>
        <w:szCs w:val="22"/>
        <w:u w:val="single"/>
      </w:rPr>
      <w:t>0</w:t>
    </w:r>
    <w:r w:rsidR="00CC420A" w:rsidRPr="00CC420A">
      <w:rPr>
        <w:rFonts w:ascii="Verdana" w:hAnsi="Verdana" w:cs="Arial"/>
        <w:bCs/>
        <w:sz w:val="22"/>
        <w:szCs w:val="22"/>
        <w:u w:val="single"/>
      </w:rPr>
      <w:t>85</w:t>
    </w:r>
    <w:r w:rsidR="00C47CF3" w:rsidRPr="00CC420A">
      <w:rPr>
        <w:rFonts w:ascii="Verdana" w:hAnsi="Verdana" w:cs="Arial"/>
        <w:b w:val="0"/>
        <w:sz w:val="22"/>
        <w:szCs w:val="22"/>
      </w:rPr>
      <w:t xml:space="preserve">   DE </w:t>
    </w:r>
    <w:r w:rsidR="004A5BF5" w:rsidRPr="00CC420A">
      <w:rPr>
        <w:rFonts w:ascii="Verdana" w:hAnsi="Verdana" w:cs="Arial"/>
        <w:b w:val="0"/>
        <w:sz w:val="22"/>
        <w:szCs w:val="22"/>
      </w:rPr>
      <w:t xml:space="preserve"> </w:t>
    </w:r>
    <w:r w:rsidR="00501AF4" w:rsidRPr="00CC420A">
      <w:rPr>
        <w:rFonts w:ascii="Verdana" w:hAnsi="Verdana" w:cs="Arial"/>
        <w:bCs/>
        <w:sz w:val="22"/>
        <w:szCs w:val="22"/>
        <w:u w:val="single"/>
      </w:rPr>
      <w:t>18</w:t>
    </w:r>
    <w:r w:rsidR="00C47CF3" w:rsidRPr="00CC420A">
      <w:rPr>
        <w:rFonts w:ascii="Verdana" w:hAnsi="Verdana" w:cs="Arial"/>
        <w:bCs/>
        <w:sz w:val="22"/>
        <w:szCs w:val="22"/>
        <w:u w:val="single"/>
      </w:rPr>
      <w:t xml:space="preserve"> </w:t>
    </w:r>
    <w:r w:rsidR="004D4A1C" w:rsidRPr="00CC420A">
      <w:rPr>
        <w:rFonts w:ascii="Verdana" w:hAnsi="Verdana" w:cs="Arial"/>
        <w:bCs/>
        <w:sz w:val="22"/>
        <w:szCs w:val="22"/>
        <w:u w:val="single"/>
      </w:rPr>
      <w:t>MAR</w:t>
    </w:r>
    <w:r w:rsidR="00C47CF3" w:rsidRPr="00CC420A">
      <w:rPr>
        <w:rFonts w:ascii="Verdana" w:hAnsi="Verdana" w:cs="Arial"/>
        <w:bCs/>
        <w:sz w:val="22"/>
        <w:szCs w:val="22"/>
        <w:u w:val="single"/>
      </w:rPr>
      <w:t>.</w:t>
    </w:r>
    <w:r w:rsidR="00C47CF3" w:rsidRPr="005D451D">
      <w:rPr>
        <w:rFonts w:ascii="Verdana" w:hAnsi="Verdana" w:cs="Arial"/>
        <w:bCs/>
        <w:sz w:val="22"/>
        <w:szCs w:val="22"/>
        <w:u w:val="single"/>
      </w:rPr>
      <w:t>202</w:t>
    </w:r>
    <w:r>
      <w:rPr>
        <w:rFonts w:ascii="Verdana" w:hAnsi="Verdana" w:cs="Arial"/>
        <w:bCs/>
        <w:sz w:val="22"/>
        <w:szCs w:val="22"/>
        <w:u w:val="single"/>
      </w:rPr>
      <w:t>5</w:t>
    </w:r>
    <w:r w:rsidR="004A5BF5" w:rsidRPr="005D451D">
      <w:rPr>
        <w:rFonts w:ascii="Verdana" w:hAnsi="Verdana" w:cs="Arial"/>
        <w:bCs/>
        <w:sz w:val="22"/>
        <w:szCs w:val="22"/>
      </w:rPr>
      <w:t xml:space="preserve">    </w:t>
    </w:r>
    <w:r w:rsidR="00C47CF3" w:rsidRPr="005D451D">
      <w:rPr>
        <w:rFonts w:ascii="Verdana" w:hAnsi="Verdana" w:cs="Arial"/>
        <w:b w:val="0"/>
        <w:sz w:val="22"/>
        <w:szCs w:val="22"/>
      </w:rPr>
      <w:t xml:space="preserve">HOJA No. </w:t>
    </w:r>
    <w:r w:rsidR="00C47CF3" w:rsidRPr="005D451D">
      <w:rPr>
        <w:rFonts w:ascii="Verdana" w:hAnsi="Verdana" w:cs="Arial"/>
        <w:b w:val="0"/>
        <w:sz w:val="22"/>
        <w:szCs w:val="22"/>
      </w:rPr>
      <w:fldChar w:fldCharType="begin"/>
    </w:r>
    <w:r w:rsidR="00C47CF3" w:rsidRPr="005D451D">
      <w:rPr>
        <w:rFonts w:ascii="Verdana" w:hAnsi="Verdana" w:cs="Arial"/>
        <w:b w:val="0"/>
        <w:sz w:val="22"/>
        <w:szCs w:val="22"/>
      </w:rPr>
      <w:instrText xml:space="preserve"> PAGE   \* MERGEFORMAT </w:instrText>
    </w:r>
    <w:r w:rsidR="00C47CF3" w:rsidRPr="005D451D">
      <w:rPr>
        <w:rFonts w:ascii="Verdana" w:hAnsi="Verdana" w:cs="Arial"/>
        <w:b w:val="0"/>
        <w:sz w:val="22"/>
        <w:szCs w:val="22"/>
      </w:rPr>
      <w:fldChar w:fldCharType="separate"/>
    </w:r>
    <w:r w:rsidR="002641A4" w:rsidRPr="005D451D">
      <w:rPr>
        <w:rFonts w:ascii="Verdana" w:hAnsi="Verdana" w:cs="Arial"/>
        <w:b w:val="0"/>
        <w:noProof/>
        <w:sz w:val="22"/>
        <w:szCs w:val="22"/>
      </w:rPr>
      <w:t>2</w:t>
    </w:r>
    <w:r w:rsidR="00C47CF3" w:rsidRPr="005D451D">
      <w:rPr>
        <w:rFonts w:ascii="Verdana" w:hAnsi="Verdana" w:cs="Arial"/>
        <w:b w:val="0"/>
        <w:sz w:val="22"/>
        <w:szCs w:val="22"/>
      </w:rPr>
      <w:fldChar w:fldCharType="end"/>
    </w:r>
    <w:r w:rsidR="00C47CF3" w:rsidRPr="005D451D">
      <w:rPr>
        <w:rFonts w:ascii="Verdana" w:hAnsi="Verdana" w:cs="Arial"/>
        <w:b w:val="0"/>
        <w:sz w:val="22"/>
        <w:szCs w:val="22"/>
      </w:rPr>
      <w:t>/</w:t>
    </w:r>
    <w:r w:rsidR="002641A4" w:rsidRPr="005D451D">
      <w:rPr>
        <w:rFonts w:ascii="Verdana" w:hAnsi="Verdana"/>
      </w:rPr>
      <w:fldChar w:fldCharType="begin"/>
    </w:r>
    <w:r w:rsidR="002641A4" w:rsidRPr="005D451D">
      <w:rPr>
        <w:rFonts w:ascii="Verdana" w:hAnsi="Verdana"/>
      </w:rPr>
      <w:instrText>NUMPAGES  \* MERGEFORMAT</w:instrText>
    </w:r>
    <w:r w:rsidR="002641A4" w:rsidRPr="005D451D">
      <w:rPr>
        <w:rFonts w:ascii="Verdana" w:hAnsi="Verdana"/>
      </w:rPr>
      <w:fldChar w:fldCharType="separate"/>
    </w:r>
    <w:r w:rsidR="002641A4" w:rsidRPr="005D451D">
      <w:rPr>
        <w:rFonts w:ascii="Verdana" w:hAnsi="Verdana" w:cs="Arial"/>
        <w:b w:val="0"/>
        <w:noProof/>
        <w:sz w:val="22"/>
        <w:szCs w:val="22"/>
      </w:rPr>
      <w:t>4</w:t>
    </w:r>
    <w:r w:rsidR="002641A4" w:rsidRPr="005D451D">
      <w:rPr>
        <w:rFonts w:ascii="Verdana" w:hAnsi="Verdana" w:cs="Arial"/>
        <w:b w:val="0"/>
        <w:noProof/>
        <w:sz w:val="22"/>
        <w:szCs w:val="22"/>
      </w:rPr>
      <w:fldChar w:fldCharType="end"/>
    </w:r>
  </w:p>
  <w:p w14:paraId="5EEBDD92" w14:textId="51A8C1AE" w:rsidR="00C47CF3" w:rsidRDefault="002A2F27"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DFC90" id="Rectangle 1" o:spid="_x0000_s1026" style="position:absolute;margin-left:-9.55pt;margin-top:11.15pt;width:493.5pt;height:7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IBVj57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" filled="f" strokeweight="1.5pt"/>
          </w:pict>
        </mc:Fallback>
      </mc:AlternateContent>
    </w:r>
  </w:p>
  <w:p w14:paraId="19A008AD" w14:textId="0DE7C1D9" w:rsidR="00C47CF3" w:rsidRPr="00CB079C" w:rsidRDefault="00CB079C" w:rsidP="00C202E9">
    <w:pPr>
      <w:pBdr>
        <w:bottom w:val="single" w:sz="4" w:space="1" w:color="auto"/>
      </w:pBdr>
      <w:rPr>
        <w:rFonts w:ascii="Verdana" w:hAnsi="Verdana"/>
        <w:i/>
        <w:iCs/>
        <w:sz w:val="20"/>
        <w:szCs w:val="20"/>
      </w:rPr>
    </w:pPr>
    <w:r w:rsidRPr="00CB079C">
      <w:rPr>
        <w:rFonts w:ascii="Verdana" w:hAnsi="Verdana"/>
        <w:i/>
        <w:iCs/>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29A7972C"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80AF9" id="Rectangle 2" o:spid="_x0000_s1026" style="position:absolute;margin-left:-21.3pt;margin-top:65.8pt;width:510.7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4" w15:restartNumberingAfterBreak="0">
    <w:nsid w:val="22402762"/>
    <w:multiLevelType w:val="hybridMultilevel"/>
    <w:tmpl w:val="E88CE498"/>
    <w:lvl w:ilvl="0" w:tplc="18EC8C3E">
      <w:start w:val="1"/>
      <w:numFmt w:val="lowerLetter"/>
      <w:lvlText w:val="%1)"/>
      <w:lvlJc w:val="left"/>
      <w:pPr>
        <w:ind w:left="927" w:hanging="360"/>
      </w:pPr>
      <w:rPr>
        <w:rFonts w:ascii="Bookman Old Style" w:hAnsi="Bookman Old Style" w:hint="default"/>
        <w:b/>
        <w:bCs/>
        <w:sz w:val="24"/>
        <w:szCs w:val="24"/>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6"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C701DA"/>
    <w:multiLevelType w:val="hybridMultilevel"/>
    <w:tmpl w:val="34748FA8"/>
    <w:lvl w:ilvl="0" w:tplc="7F509AAC">
      <w:numFmt w:val="bullet"/>
      <w:lvlText w:val="-"/>
      <w:lvlJc w:val="left"/>
      <w:pPr>
        <w:ind w:left="1070" w:hanging="71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C07267"/>
    <w:multiLevelType w:val="hybridMultilevel"/>
    <w:tmpl w:val="48484CD0"/>
    <w:lvl w:ilvl="0" w:tplc="0000000F">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0"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11" w15:restartNumberingAfterBreak="0">
    <w:nsid w:val="581D14CE"/>
    <w:multiLevelType w:val="hybridMultilevel"/>
    <w:tmpl w:val="B9AEC0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6C763F"/>
    <w:multiLevelType w:val="hybridMultilevel"/>
    <w:tmpl w:val="52CAA1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DD347E"/>
    <w:multiLevelType w:val="hybridMultilevel"/>
    <w:tmpl w:val="EEA0F380"/>
    <w:lvl w:ilvl="0" w:tplc="47285348">
      <w:start w:val="1"/>
      <w:numFmt w:val="lowerLetter"/>
      <w:lvlText w:val="%1)"/>
      <w:lvlJc w:val="left"/>
      <w:pPr>
        <w:ind w:left="927" w:hanging="360"/>
      </w:pPr>
      <w:rPr>
        <w:rFonts w:cs="Arial" w:hint="default"/>
      </w:rPr>
    </w:lvl>
    <w:lvl w:ilvl="1" w:tplc="21F0511E">
      <w:start w:val="1"/>
      <w:numFmt w:val="lowerRoman"/>
      <w:lvlText w:val="%2."/>
      <w:lvlJc w:val="left"/>
      <w:pPr>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C0303A8"/>
    <w:multiLevelType w:val="hybridMultilevel"/>
    <w:tmpl w:val="31A039B2"/>
    <w:lvl w:ilvl="0" w:tplc="EE8C14A6">
      <w:start w:val="1"/>
      <w:numFmt w:val="decimal"/>
      <w:lvlText w:val="Artículo %1."/>
      <w:lvlJc w:val="left"/>
      <w:pPr>
        <w:ind w:left="720" w:hanging="360"/>
      </w:pPr>
      <w:rPr>
        <w:rFonts w:ascii="Verdana" w:hAnsi="Verdana"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E352C17"/>
    <w:multiLevelType w:val="hybridMultilevel"/>
    <w:tmpl w:val="7B88A42E"/>
    <w:lvl w:ilvl="0" w:tplc="06100A74">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2" w15:restartNumberingAfterBreak="0">
    <w:nsid w:val="79295EBB"/>
    <w:multiLevelType w:val="hybridMultilevel"/>
    <w:tmpl w:val="E9202A5C"/>
    <w:lvl w:ilvl="0" w:tplc="0000000F">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3D1888"/>
    <w:multiLevelType w:val="hybridMultilevel"/>
    <w:tmpl w:val="DC2AE588"/>
    <w:lvl w:ilvl="0" w:tplc="3CEC982C">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71995600">
    <w:abstractNumId w:val="1"/>
  </w:num>
  <w:num w:numId="2" w16cid:durableId="717970195">
    <w:abstractNumId w:val="5"/>
  </w:num>
  <w:num w:numId="3" w16cid:durableId="56586464">
    <w:abstractNumId w:val="14"/>
  </w:num>
  <w:num w:numId="4" w16cid:durableId="1845702787">
    <w:abstractNumId w:val="10"/>
  </w:num>
  <w:num w:numId="5" w16cid:durableId="451557794">
    <w:abstractNumId w:val="18"/>
  </w:num>
  <w:num w:numId="6" w16cid:durableId="1281650517">
    <w:abstractNumId w:val="6"/>
  </w:num>
  <w:num w:numId="7" w16cid:durableId="167451520">
    <w:abstractNumId w:val="20"/>
  </w:num>
  <w:num w:numId="8" w16cid:durableId="1346398067">
    <w:abstractNumId w:val="17"/>
  </w:num>
  <w:num w:numId="9" w16cid:durableId="1459376322">
    <w:abstractNumId w:val="22"/>
  </w:num>
  <w:num w:numId="10" w16cid:durableId="17196087">
    <w:abstractNumId w:val="18"/>
    <w:lvlOverride w:ilvl="0">
      <w:startOverride w:val="1"/>
    </w:lvlOverride>
  </w:num>
  <w:num w:numId="11" w16cid:durableId="1655642954">
    <w:abstractNumId w:val="23"/>
  </w:num>
  <w:num w:numId="12" w16cid:durableId="1815171142">
    <w:abstractNumId w:val="19"/>
  </w:num>
  <w:num w:numId="13" w16cid:durableId="968247319">
    <w:abstractNumId w:val="11"/>
  </w:num>
  <w:num w:numId="14" w16cid:durableId="462508100">
    <w:abstractNumId w:val="21"/>
  </w:num>
  <w:num w:numId="15" w16cid:durableId="625937620">
    <w:abstractNumId w:val="13"/>
  </w:num>
  <w:num w:numId="16" w16cid:durableId="265309107">
    <w:abstractNumId w:val="2"/>
  </w:num>
  <w:num w:numId="17" w16cid:durableId="384566663">
    <w:abstractNumId w:val="8"/>
  </w:num>
  <w:num w:numId="18" w16cid:durableId="713236776">
    <w:abstractNumId w:val="4"/>
  </w:num>
  <w:num w:numId="19" w16cid:durableId="1898011584">
    <w:abstractNumId w:val="15"/>
  </w:num>
  <w:num w:numId="20" w16cid:durableId="461119962">
    <w:abstractNumId w:val="12"/>
  </w:num>
  <w:num w:numId="21" w16cid:durableId="227541730">
    <w:abstractNumId w:val="7"/>
  </w:num>
  <w:num w:numId="22" w16cid:durableId="1905988441">
    <w:abstractNumId w:val="18"/>
    <w:lvlOverride w:ilvl="0">
      <w:startOverride w:val="1"/>
    </w:lvlOverride>
  </w:num>
  <w:num w:numId="23" w16cid:durableId="185888734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323B"/>
    <w:rsid w:val="0001368F"/>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4F9D"/>
    <w:rsid w:val="00025383"/>
    <w:rsid w:val="0002591D"/>
    <w:rsid w:val="00025D05"/>
    <w:rsid w:val="000268D6"/>
    <w:rsid w:val="00027527"/>
    <w:rsid w:val="000275F7"/>
    <w:rsid w:val="00027868"/>
    <w:rsid w:val="00027C0A"/>
    <w:rsid w:val="00027C0E"/>
    <w:rsid w:val="00030298"/>
    <w:rsid w:val="00031CB6"/>
    <w:rsid w:val="00032C8E"/>
    <w:rsid w:val="00032FD1"/>
    <w:rsid w:val="000338C8"/>
    <w:rsid w:val="00034669"/>
    <w:rsid w:val="000346EE"/>
    <w:rsid w:val="00034F11"/>
    <w:rsid w:val="00034F65"/>
    <w:rsid w:val="0003547A"/>
    <w:rsid w:val="0003562B"/>
    <w:rsid w:val="0003568E"/>
    <w:rsid w:val="000356FD"/>
    <w:rsid w:val="00035903"/>
    <w:rsid w:val="00035DAC"/>
    <w:rsid w:val="000362B5"/>
    <w:rsid w:val="0003695A"/>
    <w:rsid w:val="00036E95"/>
    <w:rsid w:val="00037233"/>
    <w:rsid w:val="00037B11"/>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4F3"/>
    <w:rsid w:val="00045D3D"/>
    <w:rsid w:val="00045D83"/>
    <w:rsid w:val="00046473"/>
    <w:rsid w:val="00046B5A"/>
    <w:rsid w:val="00047950"/>
    <w:rsid w:val="00050287"/>
    <w:rsid w:val="000514CE"/>
    <w:rsid w:val="0005163B"/>
    <w:rsid w:val="0005171B"/>
    <w:rsid w:val="00051D1F"/>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1090"/>
    <w:rsid w:val="00073606"/>
    <w:rsid w:val="00073A75"/>
    <w:rsid w:val="0007409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377D"/>
    <w:rsid w:val="00094406"/>
    <w:rsid w:val="000944AD"/>
    <w:rsid w:val="000944F8"/>
    <w:rsid w:val="000947F7"/>
    <w:rsid w:val="000957BC"/>
    <w:rsid w:val="00095EA2"/>
    <w:rsid w:val="00096719"/>
    <w:rsid w:val="00096B33"/>
    <w:rsid w:val="0009773A"/>
    <w:rsid w:val="00097EC4"/>
    <w:rsid w:val="000A0B0B"/>
    <w:rsid w:val="000A1108"/>
    <w:rsid w:val="000A1319"/>
    <w:rsid w:val="000A19AC"/>
    <w:rsid w:val="000A245A"/>
    <w:rsid w:val="000A26FD"/>
    <w:rsid w:val="000A2DF9"/>
    <w:rsid w:val="000A31B6"/>
    <w:rsid w:val="000A38CC"/>
    <w:rsid w:val="000A403D"/>
    <w:rsid w:val="000A55BC"/>
    <w:rsid w:val="000A5644"/>
    <w:rsid w:val="000B1C02"/>
    <w:rsid w:val="000B2AA3"/>
    <w:rsid w:val="000B2EC9"/>
    <w:rsid w:val="000B3688"/>
    <w:rsid w:val="000B419B"/>
    <w:rsid w:val="000B5566"/>
    <w:rsid w:val="000B6131"/>
    <w:rsid w:val="000B65BD"/>
    <w:rsid w:val="000B6846"/>
    <w:rsid w:val="000B6EAC"/>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0F"/>
    <w:rsid w:val="000D06CB"/>
    <w:rsid w:val="000D0AA4"/>
    <w:rsid w:val="000D16DC"/>
    <w:rsid w:val="000D18D4"/>
    <w:rsid w:val="000D1DB0"/>
    <w:rsid w:val="000D1E36"/>
    <w:rsid w:val="000D26F8"/>
    <w:rsid w:val="000D2A00"/>
    <w:rsid w:val="000D2C95"/>
    <w:rsid w:val="000D32D8"/>
    <w:rsid w:val="000D33D4"/>
    <w:rsid w:val="000D3691"/>
    <w:rsid w:val="000D36AF"/>
    <w:rsid w:val="000D3884"/>
    <w:rsid w:val="000D3FC2"/>
    <w:rsid w:val="000D47E2"/>
    <w:rsid w:val="000D4CFF"/>
    <w:rsid w:val="000D5201"/>
    <w:rsid w:val="000D5429"/>
    <w:rsid w:val="000D5523"/>
    <w:rsid w:val="000D5C79"/>
    <w:rsid w:val="000D7A17"/>
    <w:rsid w:val="000D7A79"/>
    <w:rsid w:val="000E07E4"/>
    <w:rsid w:val="000E1309"/>
    <w:rsid w:val="000E1C36"/>
    <w:rsid w:val="000E1E0B"/>
    <w:rsid w:val="000E22D1"/>
    <w:rsid w:val="000E272B"/>
    <w:rsid w:val="000E2A42"/>
    <w:rsid w:val="000E36C6"/>
    <w:rsid w:val="000E3D26"/>
    <w:rsid w:val="000E41DA"/>
    <w:rsid w:val="000E439A"/>
    <w:rsid w:val="000E4525"/>
    <w:rsid w:val="000E461D"/>
    <w:rsid w:val="000E467C"/>
    <w:rsid w:val="000E4CB3"/>
    <w:rsid w:val="000E5CC4"/>
    <w:rsid w:val="000E5E98"/>
    <w:rsid w:val="000E6526"/>
    <w:rsid w:val="000E7AFF"/>
    <w:rsid w:val="000F1625"/>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7641"/>
    <w:rsid w:val="000F7AE9"/>
    <w:rsid w:val="000F7C81"/>
    <w:rsid w:val="001003E5"/>
    <w:rsid w:val="00100829"/>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6D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5C5C"/>
    <w:rsid w:val="00116227"/>
    <w:rsid w:val="001167F7"/>
    <w:rsid w:val="00116DB2"/>
    <w:rsid w:val="001177E6"/>
    <w:rsid w:val="00117BD9"/>
    <w:rsid w:val="00117CC3"/>
    <w:rsid w:val="00120203"/>
    <w:rsid w:val="00120917"/>
    <w:rsid w:val="00120F3D"/>
    <w:rsid w:val="001230BB"/>
    <w:rsid w:val="001232F1"/>
    <w:rsid w:val="001242B7"/>
    <w:rsid w:val="00124CC3"/>
    <w:rsid w:val="00126140"/>
    <w:rsid w:val="001264C4"/>
    <w:rsid w:val="00126763"/>
    <w:rsid w:val="00126B3C"/>
    <w:rsid w:val="00126B7F"/>
    <w:rsid w:val="00126EB6"/>
    <w:rsid w:val="0012783F"/>
    <w:rsid w:val="00130D85"/>
    <w:rsid w:val="00131269"/>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ACB"/>
    <w:rsid w:val="00142E3A"/>
    <w:rsid w:val="0014307D"/>
    <w:rsid w:val="001430F4"/>
    <w:rsid w:val="0014363D"/>
    <w:rsid w:val="0014365D"/>
    <w:rsid w:val="00144681"/>
    <w:rsid w:val="0014514F"/>
    <w:rsid w:val="00145736"/>
    <w:rsid w:val="00145958"/>
    <w:rsid w:val="001459D6"/>
    <w:rsid w:val="001459FB"/>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14E"/>
    <w:rsid w:val="00155678"/>
    <w:rsid w:val="00155C19"/>
    <w:rsid w:val="00155FC5"/>
    <w:rsid w:val="001560A7"/>
    <w:rsid w:val="00156F82"/>
    <w:rsid w:val="00157B49"/>
    <w:rsid w:val="00160BCF"/>
    <w:rsid w:val="00160D2E"/>
    <w:rsid w:val="00161084"/>
    <w:rsid w:val="001616BE"/>
    <w:rsid w:val="00161E5B"/>
    <w:rsid w:val="001630DB"/>
    <w:rsid w:val="001632F3"/>
    <w:rsid w:val="00164E00"/>
    <w:rsid w:val="00164F9B"/>
    <w:rsid w:val="0016514F"/>
    <w:rsid w:val="001660F0"/>
    <w:rsid w:val="00166572"/>
    <w:rsid w:val="00166AA9"/>
    <w:rsid w:val="00166B53"/>
    <w:rsid w:val="00166CC2"/>
    <w:rsid w:val="001670E7"/>
    <w:rsid w:val="00167A13"/>
    <w:rsid w:val="001710F9"/>
    <w:rsid w:val="00171B59"/>
    <w:rsid w:val="0017228C"/>
    <w:rsid w:val="0017297E"/>
    <w:rsid w:val="001732DA"/>
    <w:rsid w:val="00173889"/>
    <w:rsid w:val="00173C1A"/>
    <w:rsid w:val="00174C4D"/>
    <w:rsid w:val="00174E35"/>
    <w:rsid w:val="00175ED3"/>
    <w:rsid w:val="001762DD"/>
    <w:rsid w:val="0017684A"/>
    <w:rsid w:val="00176B56"/>
    <w:rsid w:val="00177107"/>
    <w:rsid w:val="00177652"/>
    <w:rsid w:val="001777A6"/>
    <w:rsid w:val="001778BC"/>
    <w:rsid w:val="00177C51"/>
    <w:rsid w:val="00177CFC"/>
    <w:rsid w:val="00177D48"/>
    <w:rsid w:val="00177E96"/>
    <w:rsid w:val="0018013B"/>
    <w:rsid w:val="0018241F"/>
    <w:rsid w:val="001827DF"/>
    <w:rsid w:val="00182E70"/>
    <w:rsid w:val="0018305D"/>
    <w:rsid w:val="00183134"/>
    <w:rsid w:val="0018360C"/>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14C2"/>
    <w:rsid w:val="001A1784"/>
    <w:rsid w:val="001A1BC3"/>
    <w:rsid w:val="001A28E0"/>
    <w:rsid w:val="001A2B6E"/>
    <w:rsid w:val="001A2BB7"/>
    <w:rsid w:val="001A31CF"/>
    <w:rsid w:val="001A3643"/>
    <w:rsid w:val="001A39D5"/>
    <w:rsid w:val="001A3DD8"/>
    <w:rsid w:val="001A42B8"/>
    <w:rsid w:val="001A44FC"/>
    <w:rsid w:val="001A47F9"/>
    <w:rsid w:val="001A547A"/>
    <w:rsid w:val="001A5F1B"/>
    <w:rsid w:val="001A6488"/>
    <w:rsid w:val="001A6742"/>
    <w:rsid w:val="001A68A3"/>
    <w:rsid w:val="001A7613"/>
    <w:rsid w:val="001A793A"/>
    <w:rsid w:val="001B03F7"/>
    <w:rsid w:val="001B05A4"/>
    <w:rsid w:val="001B08BC"/>
    <w:rsid w:val="001B0C3A"/>
    <w:rsid w:val="001B0CA6"/>
    <w:rsid w:val="001B17F4"/>
    <w:rsid w:val="001B1BAA"/>
    <w:rsid w:val="001B1C22"/>
    <w:rsid w:val="001B24FA"/>
    <w:rsid w:val="001B30EE"/>
    <w:rsid w:val="001B34C6"/>
    <w:rsid w:val="001B3D78"/>
    <w:rsid w:val="001B6579"/>
    <w:rsid w:val="001B67E0"/>
    <w:rsid w:val="001C0098"/>
    <w:rsid w:val="001C0171"/>
    <w:rsid w:val="001C083E"/>
    <w:rsid w:val="001C0C42"/>
    <w:rsid w:val="001C13C7"/>
    <w:rsid w:val="001C2018"/>
    <w:rsid w:val="001C2365"/>
    <w:rsid w:val="001C2D65"/>
    <w:rsid w:val="001C3206"/>
    <w:rsid w:val="001C36F4"/>
    <w:rsid w:val="001C3877"/>
    <w:rsid w:val="001C4A3C"/>
    <w:rsid w:val="001C4ACA"/>
    <w:rsid w:val="001C4F24"/>
    <w:rsid w:val="001C5DDF"/>
    <w:rsid w:val="001C64FC"/>
    <w:rsid w:val="001C66DB"/>
    <w:rsid w:val="001C6C7D"/>
    <w:rsid w:val="001C72E1"/>
    <w:rsid w:val="001D0772"/>
    <w:rsid w:val="001D1444"/>
    <w:rsid w:val="001D1473"/>
    <w:rsid w:val="001D1582"/>
    <w:rsid w:val="001D1AA0"/>
    <w:rsid w:val="001D221A"/>
    <w:rsid w:val="001D2EA9"/>
    <w:rsid w:val="001D307F"/>
    <w:rsid w:val="001D31E0"/>
    <w:rsid w:val="001D3333"/>
    <w:rsid w:val="001D35D1"/>
    <w:rsid w:val="001D4A1A"/>
    <w:rsid w:val="001D516B"/>
    <w:rsid w:val="001D5262"/>
    <w:rsid w:val="001D5BB5"/>
    <w:rsid w:val="001D6531"/>
    <w:rsid w:val="001D777D"/>
    <w:rsid w:val="001D7832"/>
    <w:rsid w:val="001D7EA3"/>
    <w:rsid w:val="001D7F97"/>
    <w:rsid w:val="001E0A4F"/>
    <w:rsid w:val="001E1023"/>
    <w:rsid w:val="001E12B6"/>
    <w:rsid w:val="001E12CC"/>
    <w:rsid w:val="001E1BD0"/>
    <w:rsid w:val="001E2609"/>
    <w:rsid w:val="001E306E"/>
    <w:rsid w:val="001E3911"/>
    <w:rsid w:val="001E3DB6"/>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365C"/>
    <w:rsid w:val="001F4256"/>
    <w:rsid w:val="001F4369"/>
    <w:rsid w:val="001F496C"/>
    <w:rsid w:val="001F5AFE"/>
    <w:rsid w:val="001F5BB0"/>
    <w:rsid w:val="001F5E64"/>
    <w:rsid w:val="001F780F"/>
    <w:rsid w:val="00200815"/>
    <w:rsid w:val="00200842"/>
    <w:rsid w:val="00200E1C"/>
    <w:rsid w:val="002012D8"/>
    <w:rsid w:val="0020134B"/>
    <w:rsid w:val="002015A0"/>
    <w:rsid w:val="00201816"/>
    <w:rsid w:val="00201998"/>
    <w:rsid w:val="00202992"/>
    <w:rsid w:val="00202A6A"/>
    <w:rsid w:val="00203484"/>
    <w:rsid w:val="002038CE"/>
    <w:rsid w:val="002039D6"/>
    <w:rsid w:val="002040C1"/>
    <w:rsid w:val="00204D82"/>
    <w:rsid w:val="00204DDC"/>
    <w:rsid w:val="00204F97"/>
    <w:rsid w:val="0020503E"/>
    <w:rsid w:val="0020533E"/>
    <w:rsid w:val="00205533"/>
    <w:rsid w:val="002064F0"/>
    <w:rsid w:val="00206B97"/>
    <w:rsid w:val="00206E10"/>
    <w:rsid w:val="0020790D"/>
    <w:rsid w:val="00207D99"/>
    <w:rsid w:val="00207DF5"/>
    <w:rsid w:val="00207F42"/>
    <w:rsid w:val="002103F3"/>
    <w:rsid w:val="00210C0F"/>
    <w:rsid w:val="00210D0C"/>
    <w:rsid w:val="00210DC1"/>
    <w:rsid w:val="00210F57"/>
    <w:rsid w:val="002113E9"/>
    <w:rsid w:val="0021157A"/>
    <w:rsid w:val="00211663"/>
    <w:rsid w:val="0021176A"/>
    <w:rsid w:val="00211D34"/>
    <w:rsid w:val="00211EDA"/>
    <w:rsid w:val="00212514"/>
    <w:rsid w:val="00212926"/>
    <w:rsid w:val="00212A38"/>
    <w:rsid w:val="00212AEB"/>
    <w:rsid w:val="00212CBF"/>
    <w:rsid w:val="00212EFF"/>
    <w:rsid w:val="002131D7"/>
    <w:rsid w:val="002133FA"/>
    <w:rsid w:val="00214328"/>
    <w:rsid w:val="00214D5D"/>
    <w:rsid w:val="00214F04"/>
    <w:rsid w:val="00215F30"/>
    <w:rsid w:val="00215F9A"/>
    <w:rsid w:val="002166E7"/>
    <w:rsid w:val="00216E62"/>
    <w:rsid w:val="002172F4"/>
    <w:rsid w:val="00217D47"/>
    <w:rsid w:val="00220C35"/>
    <w:rsid w:val="002213C3"/>
    <w:rsid w:val="002213FE"/>
    <w:rsid w:val="00223E50"/>
    <w:rsid w:val="0022483E"/>
    <w:rsid w:val="00224F5E"/>
    <w:rsid w:val="00224FC9"/>
    <w:rsid w:val="002259F2"/>
    <w:rsid w:val="00227061"/>
    <w:rsid w:val="00227215"/>
    <w:rsid w:val="00227D53"/>
    <w:rsid w:val="00227E1E"/>
    <w:rsid w:val="00227ED9"/>
    <w:rsid w:val="002301AD"/>
    <w:rsid w:val="00231EAD"/>
    <w:rsid w:val="00232752"/>
    <w:rsid w:val="0023338E"/>
    <w:rsid w:val="00233774"/>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D05"/>
    <w:rsid w:val="0025047F"/>
    <w:rsid w:val="0025074E"/>
    <w:rsid w:val="00250806"/>
    <w:rsid w:val="00251CA5"/>
    <w:rsid w:val="00251FD4"/>
    <w:rsid w:val="0025287D"/>
    <w:rsid w:val="002528C8"/>
    <w:rsid w:val="0025311B"/>
    <w:rsid w:val="00253AF7"/>
    <w:rsid w:val="00254C82"/>
    <w:rsid w:val="0025525F"/>
    <w:rsid w:val="00255649"/>
    <w:rsid w:val="00255960"/>
    <w:rsid w:val="00255DFE"/>
    <w:rsid w:val="002560C5"/>
    <w:rsid w:val="00256DBC"/>
    <w:rsid w:val="00256EA4"/>
    <w:rsid w:val="00256F70"/>
    <w:rsid w:val="002571AD"/>
    <w:rsid w:val="002571C8"/>
    <w:rsid w:val="002578B3"/>
    <w:rsid w:val="002579DC"/>
    <w:rsid w:val="00257A41"/>
    <w:rsid w:val="00257EBA"/>
    <w:rsid w:val="002603B0"/>
    <w:rsid w:val="00260906"/>
    <w:rsid w:val="00261684"/>
    <w:rsid w:val="00261A78"/>
    <w:rsid w:val="00261CF7"/>
    <w:rsid w:val="00262248"/>
    <w:rsid w:val="0026282C"/>
    <w:rsid w:val="00262AEC"/>
    <w:rsid w:val="002631B1"/>
    <w:rsid w:val="002641A4"/>
    <w:rsid w:val="002641E0"/>
    <w:rsid w:val="00264F14"/>
    <w:rsid w:val="0026521A"/>
    <w:rsid w:val="002654BA"/>
    <w:rsid w:val="002657E2"/>
    <w:rsid w:val="00266008"/>
    <w:rsid w:val="00266672"/>
    <w:rsid w:val="00266C51"/>
    <w:rsid w:val="00266CD6"/>
    <w:rsid w:val="002673AC"/>
    <w:rsid w:val="00267B60"/>
    <w:rsid w:val="00270C4A"/>
    <w:rsid w:val="00271781"/>
    <w:rsid w:val="00271C36"/>
    <w:rsid w:val="00271EF7"/>
    <w:rsid w:val="0027278C"/>
    <w:rsid w:val="00272E3C"/>
    <w:rsid w:val="00273484"/>
    <w:rsid w:val="002739BD"/>
    <w:rsid w:val="00274AAE"/>
    <w:rsid w:val="00274C95"/>
    <w:rsid w:val="00275144"/>
    <w:rsid w:val="00275DAB"/>
    <w:rsid w:val="00275F19"/>
    <w:rsid w:val="00276059"/>
    <w:rsid w:val="00276B49"/>
    <w:rsid w:val="00276BEC"/>
    <w:rsid w:val="002779EC"/>
    <w:rsid w:val="00280F65"/>
    <w:rsid w:val="00281001"/>
    <w:rsid w:val="002821BE"/>
    <w:rsid w:val="00283340"/>
    <w:rsid w:val="002836E2"/>
    <w:rsid w:val="002839D4"/>
    <w:rsid w:val="0028662C"/>
    <w:rsid w:val="00286871"/>
    <w:rsid w:val="00287558"/>
    <w:rsid w:val="00290365"/>
    <w:rsid w:val="002903C0"/>
    <w:rsid w:val="002903D1"/>
    <w:rsid w:val="0029145B"/>
    <w:rsid w:val="00291726"/>
    <w:rsid w:val="00291B74"/>
    <w:rsid w:val="00291ED7"/>
    <w:rsid w:val="002922A4"/>
    <w:rsid w:val="002922A7"/>
    <w:rsid w:val="0029266D"/>
    <w:rsid w:val="00292FE9"/>
    <w:rsid w:val="002936B2"/>
    <w:rsid w:val="0029534B"/>
    <w:rsid w:val="00295582"/>
    <w:rsid w:val="00295857"/>
    <w:rsid w:val="00295ACD"/>
    <w:rsid w:val="0029698E"/>
    <w:rsid w:val="00296BB6"/>
    <w:rsid w:val="002977B5"/>
    <w:rsid w:val="002A02F2"/>
    <w:rsid w:val="002A0705"/>
    <w:rsid w:val="002A1463"/>
    <w:rsid w:val="002A1E50"/>
    <w:rsid w:val="002A2B43"/>
    <w:rsid w:val="002A2F27"/>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1D60"/>
    <w:rsid w:val="002B24B8"/>
    <w:rsid w:val="002B25D3"/>
    <w:rsid w:val="002B30C8"/>
    <w:rsid w:val="002B41F1"/>
    <w:rsid w:val="002B5384"/>
    <w:rsid w:val="002B5E3C"/>
    <w:rsid w:val="002B6221"/>
    <w:rsid w:val="002B686A"/>
    <w:rsid w:val="002B71B1"/>
    <w:rsid w:val="002B7231"/>
    <w:rsid w:val="002B73B1"/>
    <w:rsid w:val="002B7EDF"/>
    <w:rsid w:val="002C01FA"/>
    <w:rsid w:val="002C04F0"/>
    <w:rsid w:val="002C0655"/>
    <w:rsid w:val="002C0713"/>
    <w:rsid w:val="002C0DCD"/>
    <w:rsid w:val="002C1997"/>
    <w:rsid w:val="002C1D36"/>
    <w:rsid w:val="002C2484"/>
    <w:rsid w:val="002C2806"/>
    <w:rsid w:val="002C3488"/>
    <w:rsid w:val="002C4170"/>
    <w:rsid w:val="002C48F7"/>
    <w:rsid w:val="002C4945"/>
    <w:rsid w:val="002C4CAD"/>
    <w:rsid w:val="002C5023"/>
    <w:rsid w:val="002C5344"/>
    <w:rsid w:val="002C5612"/>
    <w:rsid w:val="002C61CF"/>
    <w:rsid w:val="002C6DFB"/>
    <w:rsid w:val="002C7252"/>
    <w:rsid w:val="002D015F"/>
    <w:rsid w:val="002D13E5"/>
    <w:rsid w:val="002D1E55"/>
    <w:rsid w:val="002D3602"/>
    <w:rsid w:val="002D3AD3"/>
    <w:rsid w:val="002D3AE9"/>
    <w:rsid w:val="002D3CE7"/>
    <w:rsid w:val="002D4510"/>
    <w:rsid w:val="002D472D"/>
    <w:rsid w:val="002D48D2"/>
    <w:rsid w:val="002D528D"/>
    <w:rsid w:val="002D5D64"/>
    <w:rsid w:val="002D6318"/>
    <w:rsid w:val="002D7D6C"/>
    <w:rsid w:val="002D7FF5"/>
    <w:rsid w:val="002E09F5"/>
    <w:rsid w:val="002E0ACA"/>
    <w:rsid w:val="002E1665"/>
    <w:rsid w:val="002E1770"/>
    <w:rsid w:val="002E1AF2"/>
    <w:rsid w:val="002E1F65"/>
    <w:rsid w:val="002E2697"/>
    <w:rsid w:val="002E2DA7"/>
    <w:rsid w:val="002E3319"/>
    <w:rsid w:val="002E3B7D"/>
    <w:rsid w:val="002E3E00"/>
    <w:rsid w:val="002E5313"/>
    <w:rsid w:val="002E5B4D"/>
    <w:rsid w:val="002E5E63"/>
    <w:rsid w:val="002E635C"/>
    <w:rsid w:val="002E6544"/>
    <w:rsid w:val="002E6699"/>
    <w:rsid w:val="002E6C92"/>
    <w:rsid w:val="002E74C8"/>
    <w:rsid w:val="002E7997"/>
    <w:rsid w:val="002F026E"/>
    <w:rsid w:val="002F036D"/>
    <w:rsid w:val="002F04DC"/>
    <w:rsid w:val="002F0734"/>
    <w:rsid w:val="002F1C48"/>
    <w:rsid w:val="002F1CFE"/>
    <w:rsid w:val="002F1E4A"/>
    <w:rsid w:val="002F22EB"/>
    <w:rsid w:val="002F3712"/>
    <w:rsid w:val="002F46E7"/>
    <w:rsid w:val="002F5988"/>
    <w:rsid w:val="002F72DB"/>
    <w:rsid w:val="002F75C0"/>
    <w:rsid w:val="002F7B19"/>
    <w:rsid w:val="003008A1"/>
    <w:rsid w:val="00301B40"/>
    <w:rsid w:val="00302345"/>
    <w:rsid w:val="00302511"/>
    <w:rsid w:val="003027A7"/>
    <w:rsid w:val="00302EFB"/>
    <w:rsid w:val="0030336F"/>
    <w:rsid w:val="0030373F"/>
    <w:rsid w:val="00303BEA"/>
    <w:rsid w:val="003040BE"/>
    <w:rsid w:val="00304BEA"/>
    <w:rsid w:val="003056DF"/>
    <w:rsid w:val="003060AD"/>
    <w:rsid w:val="0030641B"/>
    <w:rsid w:val="003072A7"/>
    <w:rsid w:val="0030767B"/>
    <w:rsid w:val="003076FD"/>
    <w:rsid w:val="00307E9C"/>
    <w:rsid w:val="00307F8B"/>
    <w:rsid w:val="00307F96"/>
    <w:rsid w:val="003101DA"/>
    <w:rsid w:val="00310593"/>
    <w:rsid w:val="003107DC"/>
    <w:rsid w:val="003111C3"/>
    <w:rsid w:val="00311CED"/>
    <w:rsid w:val="00312443"/>
    <w:rsid w:val="00312DDD"/>
    <w:rsid w:val="0031391C"/>
    <w:rsid w:val="00313B84"/>
    <w:rsid w:val="003140B3"/>
    <w:rsid w:val="00314757"/>
    <w:rsid w:val="003152AA"/>
    <w:rsid w:val="0031547B"/>
    <w:rsid w:val="00315689"/>
    <w:rsid w:val="00315CD0"/>
    <w:rsid w:val="00315F2A"/>
    <w:rsid w:val="003163BC"/>
    <w:rsid w:val="00317410"/>
    <w:rsid w:val="003211CE"/>
    <w:rsid w:val="00321648"/>
    <w:rsid w:val="0032190A"/>
    <w:rsid w:val="00321B6E"/>
    <w:rsid w:val="00322010"/>
    <w:rsid w:val="003225F9"/>
    <w:rsid w:val="00322663"/>
    <w:rsid w:val="00323336"/>
    <w:rsid w:val="00323FB8"/>
    <w:rsid w:val="00324244"/>
    <w:rsid w:val="00324364"/>
    <w:rsid w:val="003246CB"/>
    <w:rsid w:val="003253B3"/>
    <w:rsid w:val="00326185"/>
    <w:rsid w:val="0032714E"/>
    <w:rsid w:val="00327412"/>
    <w:rsid w:val="00327443"/>
    <w:rsid w:val="00327708"/>
    <w:rsid w:val="00330AB2"/>
    <w:rsid w:val="00330E17"/>
    <w:rsid w:val="00331421"/>
    <w:rsid w:val="00331C8C"/>
    <w:rsid w:val="00331E12"/>
    <w:rsid w:val="0033272C"/>
    <w:rsid w:val="003340E9"/>
    <w:rsid w:val="00334334"/>
    <w:rsid w:val="003343C8"/>
    <w:rsid w:val="003343FE"/>
    <w:rsid w:val="003344C3"/>
    <w:rsid w:val="00334599"/>
    <w:rsid w:val="00334944"/>
    <w:rsid w:val="00334CC9"/>
    <w:rsid w:val="00334E8A"/>
    <w:rsid w:val="00335315"/>
    <w:rsid w:val="00335608"/>
    <w:rsid w:val="0033564E"/>
    <w:rsid w:val="00335EAC"/>
    <w:rsid w:val="00336076"/>
    <w:rsid w:val="00336823"/>
    <w:rsid w:val="0033715F"/>
    <w:rsid w:val="003373A2"/>
    <w:rsid w:val="003377C5"/>
    <w:rsid w:val="00337971"/>
    <w:rsid w:val="00337C84"/>
    <w:rsid w:val="00340A43"/>
    <w:rsid w:val="00340ADB"/>
    <w:rsid w:val="00340DAF"/>
    <w:rsid w:val="003410C6"/>
    <w:rsid w:val="00342488"/>
    <w:rsid w:val="00346141"/>
    <w:rsid w:val="003462BA"/>
    <w:rsid w:val="003467FF"/>
    <w:rsid w:val="00347345"/>
    <w:rsid w:val="003473A2"/>
    <w:rsid w:val="0034781C"/>
    <w:rsid w:val="00350274"/>
    <w:rsid w:val="00350304"/>
    <w:rsid w:val="003503B8"/>
    <w:rsid w:val="003509B5"/>
    <w:rsid w:val="00350A8C"/>
    <w:rsid w:val="00350DE4"/>
    <w:rsid w:val="003511D5"/>
    <w:rsid w:val="00351E6B"/>
    <w:rsid w:val="0035213D"/>
    <w:rsid w:val="00352C2F"/>
    <w:rsid w:val="0035322A"/>
    <w:rsid w:val="00353662"/>
    <w:rsid w:val="003537FD"/>
    <w:rsid w:val="00353B37"/>
    <w:rsid w:val="0035403A"/>
    <w:rsid w:val="00354760"/>
    <w:rsid w:val="003548BF"/>
    <w:rsid w:val="00355E88"/>
    <w:rsid w:val="00355FF3"/>
    <w:rsid w:val="003563B9"/>
    <w:rsid w:val="00356983"/>
    <w:rsid w:val="00356A53"/>
    <w:rsid w:val="00356CF8"/>
    <w:rsid w:val="003606A3"/>
    <w:rsid w:val="003614BE"/>
    <w:rsid w:val="003615DC"/>
    <w:rsid w:val="00361EF5"/>
    <w:rsid w:val="0036241E"/>
    <w:rsid w:val="00363790"/>
    <w:rsid w:val="0036394B"/>
    <w:rsid w:val="00363B08"/>
    <w:rsid w:val="003646C3"/>
    <w:rsid w:val="003656E6"/>
    <w:rsid w:val="00366AC7"/>
    <w:rsid w:val="00366DB6"/>
    <w:rsid w:val="003671B0"/>
    <w:rsid w:val="0036724C"/>
    <w:rsid w:val="0036745F"/>
    <w:rsid w:val="0036763F"/>
    <w:rsid w:val="003676B0"/>
    <w:rsid w:val="00367E2C"/>
    <w:rsid w:val="00370325"/>
    <w:rsid w:val="003704FD"/>
    <w:rsid w:val="003706AD"/>
    <w:rsid w:val="003709B5"/>
    <w:rsid w:val="003713C2"/>
    <w:rsid w:val="00371431"/>
    <w:rsid w:val="003714C5"/>
    <w:rsid w:val="0037156B"/>
    <w:rsid w:val="003716DA"/>
    <w:rsid w:val="003717C4"/>
    <w:rsid w:val="00371BB1"/>
    <w:rsid w:val="00372BFF"/>
    <w:rsid w:val="003735E3"/>
    <w:rsid w:val="00373EAA"/>
    <w:rsid w:val="00373EBC"/>
    <w:rsid w:val="003742B8"/>
    <w:rsid w:val="00374855"/>
    <w:rsid w:val="00374B06"/>
    <w:rsid w:val="0037566A"/>
    <w:rsid w:val="003759C2"/>
    <w:rsid w:val="00375A7F"/>
    <w:rsid w:val="00375B33"/>
    <w:rsid w:val="00375C42"/>
    <w:rsid w:val="003762AD"/>
    <w:rsid w:val="003768E9"/>
    <w:rsid w:val="00376E69"/>
    <w:rsid w:val="0037710B"/>
    <w:rsid w:val="00377FCD"/>
    <w:rsid w:val="00380F32"/>
    <w:rsid w:val="00381634"/>
    <w:rsid w:val="00381AA5"/>
    <w:rsid w:val="00381AAD"/>
    <w:rsid w:val="00383533"/>
    <w:rsid w:val="00383AB4"/>
    <w:rsid w:val="003847D8"/>
    <w:rsid w:val="00384BFB"/>
    <w:rsid w:val="003851AB"/>
    <w:rsid w:val="0038560E"/>
    <w:rsid w:val="00385A73"/>
    <w:rsid w:val="0038622E"/>
    <w:rsid w:val="00386A9A"/>
    <w:rsid w:val="00387028"/>
    <w:rsid w:val="00387694"/>
    <w:rsid w:val="0038769B"/>
    <w:rsid w:val="003879B8"/>
    <w:rsid w:val="00387A1C"/>
    <w:rsid w:val="00387C27"/>
    <w:rsid w:val="0039014A"/>
    <w:rsid w:val="00390392"/>
    <w:rsid w:val="003908A1"/>
    <w:rsid w:val="003909F1"/>
    <w:rsid w:val="00390FE4"/>
    <w:rsid w:val="0039127D"/>
    <w:rsid w:val="0039149C"/>
    <w:rsid w:val="0039155D"/>
    <w:rsid w:val="00391679"/>
    <w:rsid w:val="0039172F"/>
    <w:rsid w:val="003919F1"/>
    <w:rsid w:val="003923CF"/>
    <w:rsid w:val="0039240B"/>
    <w:rsid w:val="003927BE"/>
    <w:rsid w:val="003927EE"/>
    <w:rsid w:val="003929E2"/>
    <w:rsid w:val="003936AA"/>
    <w:rsid w:val="00393854"/>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207"/>
    <w:rsid w:val="003A2487"/>
    <w:rsid w:val="003A31F6"/>
    <w:rsid w:val="003A3A6C"/>
    <w:rsid w:val="003A3E98"/>
    <w:rsid w:val="003A4D03"/>
    <w:rsid w:val="003A4D67"/>
    <w:rsid w:val="003A560E"/>
    <w:rsid w:val="003A64BB"/>
    <w:rsid w:val="003A6E21"/>
    <w:rsid w:val="003A6FE1"/>
    <w:rsid w:val="003A70EC"/>
    <w:rsid w:val="003A7169"/>
    <w:rsid w:val="003B0390"/>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CAC"/>
    <w:rsid w:val="003C7D50"/>
    <w:rsid w:val="003C7FA6"/>
    <w:rsid w:val="003D0180"/>
    <w:rsid w:val="003D0607"/>
    <w:rsid w:val="003D076C"/>
    <w:rsid w:val="003D099C"/>
    <w:rsid w:val="003D1367"/>
    <w:rsid w:val="003D160E"/>
    <w:rsid w:val="003D1BDB"/>
    <w:rsid w:val="003D1FD8"/>
    <w:rsid w:val="003D2D50"/>
    <w:rsid w:val="003D2FA7"/>
    <w:rsid w:val="003D34F9"/>
    <w:rsid w:val="003D37DC"/>
    <w:rsid w:val="003D38E3"/>
    <w:rsid w:val="003D3BE5"/>
    <w:rsid w:val="003D4A37"/>
    <w:rsid w:val="003D4A91"/>
    <w:rsid w:val="003D4EB5"/>
    <w:rsid w:val="003D6335"/>
    <w:rsid w:val="003D63E6"/>
    <w:rsid w:val="003D68CE"/>
    <w:rsid w:val="003D6AD0"/>
    <w:rsid w:val="003D6C2E"/>
    <w:rsid w:val="003D7344"/>
    <w:rsid w:val="003D7F97"/>
    <w:rsid w:val="003E01CE"/>
    <w:rsid w:val="003E0745"/>
    <w:rsid w:val="003E0B14"/>
    <w:rsid w:val="003E1C9E"/>
    <w:rsid w:val="003E3442"/>
    <w:rsid w:val="003E47EE"/>
    <w:rsid w:val="003E489D"/>
    <w:rsid w:val="003E51AE"/>
    <w:rsid w:val="003E5626"/>
    <w:rsid w:val="003E5A4D"/>
    <w:rsid w:val="003E5FCF"/>
    <w:rsid w:val="003E65F8"/>
    <w:rsid w:val="003E6648"/>
    <w:rsid w:val="003E6AD1"/>
    <w:rsid w:val="003E7112"/>
    <w:rsid w:val="003E7120"/>
    <w:rsid w:val="003E7817"/>
    <w:rsid w:val="003E7875"/>
    <w:rsid w:val="003E78B5"/>
    <w:rsid w:val="003F06BB"/>
    <w:rsid w:val="003F0B23"/>
    <w:rsid w:val="003F0F6B"/>
    <w:rsid w:val="003F13F5"/>
    <w:rsid w:val="003F1778"/>
    <w:rsid w:val="003F2456"/>
    <w:rsid w:val="003F251B"/>
    <w:rsid w:val="003F3F29"/>
    <w:rsid w:val="003F46A3"/>
    <w:rsid w:val="003F4F6D"/>
    <w:rsid w:val="003F54A4"/>
    <w:rsid w:val="003F55EE"/>
    <w:rsid w:val="003F5DC4"/>
    <w:rsid w:val="003F6A9D"/>
    <w:rsid w:val="003F6F37"/>
    <w:rsid w:val="003F70F2"/>
    <w:rsid w:val="003F71DF"/>
    <w:rsid w:val="003F77E3"/>
    <w:rsid w:val="003F78B5"/>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48B2"/>
    <w:rsid w:val="00405029"/>
    <w:rsid w:val="00405433"/>
    <w:rsid w:val="0040566D"/>
    <w:rsid w:val="00405B39"/>
    <w:rsid w:val="00406D0D"/>
    <w:rsid w:val="00407515"/>
    <w:rsid w:val="0040781C"/>
    <w:rsid w:val="0040783A"/>
    <w:rsid w:val="0040786E"/>
    <w:rsid w:val="00407A25"/>
    <w:rsid w:val="00407FD9"/>
    <w:rsid w:val="00410337"/>
    <w:rsid w:val="00410552"/>
    <w:rsid w:val="004112E8"/>
    <w:rsid w:val="00412D3E"/>
    <w:rsid w:val="00412F4E"/>
    <w:rsid w:val="004134A5"/>
    <w:rsid w:val="004135D1"/>
    <w:rsid w:val="004139AF"/>
    <w:rsid w:val="004151D9"/>
    <w:rsid w:val="0041597A"/>
    <w:rsid w:val="00415BAB"/>
    <w:rsid w:val="00415C22"/>
    <w:rsid w:val="00415ED2"/>
    <w:rsid w:val="00416B8F"/>
    <w:rsid w:val="00416DCB"/>
    <w:rsid w:val="00417358"/>
    <w:rsid w:val="00417EC4"/>
    <w:rsid w:val="004202BD"/>
    <w:rsid w:val="0042068C"/>
    <w:rsid w:val="0042132A"/>
    <w:rsid w:val="00421975"/>
    <w:rsid w:val="00422808"/>
    <w:rsid w:val="00422D5E"/>
    <w:rsid w:val="00422EEA"/>
    <w:rsid w:val="004230BE"/>
    <w:rsid w:val="00423679"/>
    <w:rsid w:val="004236EF"/>
    <w:rsid w:val="0042378F"/>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4D16"/>
    <w:rsid w:val="00435CE4"/>
    <w:rsid w:val="00436359"/>
    <w:rsid w:val="0043763F"/>
    <w:rsid w:val="00440840"/>
    <w:rsid w:val="004408F6"/>
    <w:rsid w:val="00440DC7"/>
    <w:rsid w:val="00441407"/>
    <w:rsid w:val="00441C8E"/>
    <w:rsid w:val="00441FD9"/>
    <w:rsid w:val="00442708"/>
    <w:rsid w:val="004429D9"/>
    <w:rsid w:val="0044318E"/>
    <w:rsid w:val="004435DF"/>
    <w:rsid w:val="00443B35"/>
    <w:rsid w:val="004441E2"/>
    <w:rsid w:val="00444247"/>
    <w:rsid w:val="00445388"/>
    <w:rsid w:val="004457D6"/>
    <w:rsid w:val="00445836"/>
    <w:rsid w:val="00445EB0"/>
    <w:rsid w:val="00446813"/>
    <w:rsid w:val="00446BEE"/>
    <w:rsid w:val="00446C55"/>
    <w:rsid w:val="0044719F"/>
    <w:rsid w:val="00447E47"/>
    <w:rsid w:val="0045002C"/>
    <w:rsid w:val="0045009B"/>
    <w:rsid w:val="004508F2"/>
    <w:rsid w:val="00450A9D"/>
    <w:rsid w:val="00450DE5"/>
    <w:rsid w:val="00451303"/>
    <w:rsid w:val="0045178C"/>
    <w:rsid w:val="00451DC3"/>
    <w:rsid w:val="00451EE2"/>
    <w:rsid w:val="00451F60"/>
    <w:rsid w:val="004520B3"/>
    <w:rsid w:val="00452577"/>
    <w:rsid w:val="004526AC"/>
    <w:rsid w:val="0045293D"/>
    <w:rsid w:val="00452C1F"/>
    <w:rsid w:val="00453055"/>
    <w:rsid w:val="004533BB"/>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878"/>
    <w:rsid w:val="004649C0"/>
    <w:rsid w:val="00464E72"/>
    <w:rsid w:val="00465400"/>
    <w:rsid w:val="004657AC"/>
    <w:rsid w:val="00465E41"/>
    <w:rsid w:val="004668F2"/>
    <w:rsid w:val="00466988"/>
    <w:rsid w:val="004677CB"/>
    <w:rsid w:val="00467D31"/>
    <w:rsid w:val="0047028D"/>
    <w:rsid w:val="00470514"/>
    <w:rsid w:val="00470634"/>
    <w:rsid w:val="0047092D"/>
    <w:rsid w:val="00470F7B"/>
    <w:rsid w:val="00470F98"/>
    <w:rsid w:val="0047122B"/>
    <w:rsid w:val="00472125"/>
    <w:rsid w:val="00473B7A"/>
    <w:rsid w:val="00474922"/>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215"/>
    <w:rsid w:val="004846C7"/>
    <w:rsid w:val="00484BF9"/>
    <w:rsid w:val="004856EF"/>
    <w:rsid w:val="00485B4A"/>
    <w:rsid w:val="00485CA3"/>
    <w:rsid w:val="00485DBF"/>
    <w:rsid w:val="00486EFA"/>
    <w:rsid w:val="00487081"/>
    <w:rsid w:val="004870B0"/>
    <w:rsid w:val="00487926"/>
    <w:rsid w:val="00490CC9"/>
    <w:rsid w:val="00490E5A"/>
    <w:rsid w:val="00491A88"/>
    <w:rsid w:val="0049218A"/>
    <w:rsid w:val="0049240C"/>
    <w:rsid w:val="00492C4A"/>
    <w:rsid w:val="00492ECE"/>
    <w:rsid w:val="00493822"/>
    <w:rsid w:val="00493A74"/>
    <w:rsid w:val="00493D94"/>
    <w:rsid w:val="00494774"/>
    <w:rsid w:val="00494EA1"/>
    <w:rsid w:val="00495EFD"/>
    <w:rsid w:val="004960E9"/>
    <w:rsid w:val="00497384"/>
    <w:rsid w:val="004975CC"/>
    <w:rsid w:val="004979E4"/>
    <w:rsid w:val="004979E7"/>
    <w:rsid w:val="00497DC9"/>
    <w:rsid w:val="004A0B44"/>
    <w:rsid w:val="004A0B80"/>
    <w:rsid w:val="004A221B"/>
    <w:rsid w:val="004A2C55"/>
    <w:rsid w:val="004A2E88"/>
    <w:rsid w:val="004A39F3"/>
    <w:rsid w:val="004A3BDC"/>
    <w:rsid w:val="004A421E"/>
    <w:rsid w:val="004A4313"/>
    <w:rsid w:val="004A5305"/>
    <w:rsid w:val="004A5BF5"/>
    <w:rsid w:val="004A6144"/>
    <w:rsid w:val="004A6D92"/>
    <w:rsid w:val="004A70C5"/>
    <w:rsid w:val="004A716C"/>
    <w:rsid w:val="004A73D6"/>
    <w:rsid w:val="004A78FB"/>
    <w:rsid w:val="004B132B"/>
    <w:rsid w:val="004B13C6"/>
    <w:rsid w:val="004B21A5"/>
    <w:rsid w:val="004B278D"/>
    <w:rsid w:val="004B30A9"/>
    <w:rsid w:val="004B31D3"/>
    <w:rsid w:val="004B41C9"/>
    <w:rsid w:val="004B55AA"/>
    <w:rsid w:val="004B5722"/>
    <w:rsid w:val="004B68F4"/>
    <w:rsid w:val="004B6FE8"/>
    <w:rsid w:val="004B789E"/>
    <w:rsid w:val="004B7FAF"/>
    <w:rsid w:val="004C0257"/>
    <w:rsid w:val="004C0311"/>
    <w:rsid w:val="004C0564"/>
    <w:rsid w:val="004C05BC"/>
    <w:rsid w:val="004C06A6"/>
    <w:rsid w:val="004C2B46"/>
    <w:rsid w:val="004C3072"/>
    <w:rsid w:val="004C415D"/>
    <w:rsid w:val="004C485A"/>
    <w:rsid w:val="004C5DCB"/>
    <w:rsid w:val="004C687E"/>
    <w:rsid w:val="004C69F5"/>
    <w:rsid w:val="004C6BAB"/>
    <w:rsid w:val="004C6C88"/>
    <w:rsid w:val="004C7A31"/>
    <w:rsid w:val="004D040D"/>
    <w:rsid w:val="004D182B"/>
    <w:rsid w:val="004D2521"/>
    <w:rsid w:val="004D2C87"/>
    <w:rsid w:val="004D328C"/>
    <w:rsid w:val="004D355C"/>
    <w:rsid w:val="004D4A1C"/>
    <w:rsid w:val="004D4B8C"/>
    <w:rsid w:val="004D5A3A"/>
    <w:rsid w:val="004D6BB3"/>
    <w:rsid w:val="004D6BC4"/>
    <w:rsid w:val="004D72B2"/>
    <w:rsid w:val="004D74C5"/>
    <w:rsid w:val="004D7634"/>
    <w:rsid w:val="004E0285"/>
    <w:rsid w:val="004E0AC3"/>
    <w:rsid w:val="004E1214"/>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4D"/>
    <w:rsid w:val="004E6452"/>
    <w:rsid w:val="004E650C"/>
    <w:rsid w:val="004E79D3"/>
    <w:rsid w:val="004E7C6D"/>
    <w:rsid w:val="004E7D8C"/>
    <w:rsid w:val="004E7F8F"/>
    <w:rsid w:val="004F0852"/>
    <w:rsid w:val="004F086B"/>
    <w:rsid w:val="004F165C"/>
    <w:rsid w:val="004F177E"/>
    <w:rsid w:val="004F17CA"/>
    <w:rsid w:val="004F1E0C"/>
    <w:rsid w:val="004F2243"/>
    <w:rsid w:val="004F373D"/>
    <w:rsid w:val="004F3DF8"/>
    <w:rsid w:val="004F479D"/>
    <w:rsid w:val="004F4FCA"/>
    <w:rsid w:val="004F515B"/>
    <w:rsid w:val="004F5343"/>
    <w:rsid w:val="004F5962"/>
    <w:rsid w:val="004F5B86"/>
    <w:rsid w:val="004F5F72"/>
    <w:rsid w:val="004F6360"/>
    <w:rsid w:val="004F6460"/>
    <w:rsid w:val="004F70B9"/>
    <w:rsid w:val="005010CF"/>
    <w:rsid w:val="00501AAD"/>
    <w:rsid w:val="00501AF4"/>
    <w:rsid w:val="00501B46"/>
    <w:rsid w:val="00501BA1"/>
    <w:rsid w:val="0050206F"/>
    <w:rsid w:val="0050222B"/>
    <w:rsid w:val="00503B34"/>
    <w:rsid w:val="0050415A"/>
    <w:rsid w:val="0050436B"/>
    <w:rsid w:val="005044C6"/>
    <w:rsid w:val="00504904"/>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362"/>
    <w:rsid w:val="0051287A"/>
    <w:rsid w:val="0051288E"/>
    <w:rsid w:val="00512B25"/>
    <w:rsid w:val="00512C1F"/>
    <w:rsid w:val="00513117"/>
    <w:rsid w:val="00513336"/>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32CE"/>
    <w:rsid w:val="00523494"/>
    <w:rsid w:val="005238F2"/>
    <w:rsid w:val="00523A96"/>
    <w:rsid w:val="00524167"/>
    <w:rsid w:val="0052513E"/>
    <w:rsid w:val="00525389"/>
    <w:rsid w:val="00525697"/>
    <w:rsid w:val="00525AEE"/>
    <w:rsid w:val="00525C64"/>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4ECC"/>
    <w:rsid w:val="0053520D"/>
    <w:rsid w:val="00536925"/>
    <w:rsid w:val="00537499"/>
    <w:rsid w:val="005402A5"/>
    <w:rsid w:val="00540633"/>
    <w:rsid w:val="005407C8"/>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D5"/>
    <w:rsid w:val="0054797E"/>
    <w:rsid w:val="00547B4B"/>
    <w:rsid w:val="00547E18"/>
    <w:rsid w:val="005503D0"/>
    <w:rsid w:val="005509D2"/>
    <w:rsid w:val="00550FF3"/>
    <w:rsid w:val="00551C12"/>
    <w:rsid w:val="00552AD1"/>
    <w:rsid w:val="005532D5"/>
    <w:rsid w:val="00553F3C"/>
    <w:rsid w:val="0055422B"/>
    <w:rsid w:val="00554B07"/>
    <w:rsid w:val="00554C96"/>
    <w:rsid w:val="00554CEA"/>
    <w:rsid w:val="00555534"/>
    <w:rsid w:val="005556FC"/>
    <w:rsid w:val="00555BA6"/>
    <w:rsid w:val="00555E24"/>
    <w:rsid w:val="00555F0E"/>
    <w:rsid w:val="00556043"/>
    <w:rsid w:val="00557262"/>
    <w:rsid w:val="00560967"/>
    <w:rsid w:val="00560A68"/>
    <w:rsid w:val="0056187D"/>
    <w:rsid w:val="005618EF"/>
    <w:rsid w:val="005628C1"/>
    <w:rsid w:val="00563222"/>
    <w:rsid w:val="00563508"/>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CC7"/>
    <w:rsid w:val="005711EC"/>
    <w:rsid w:val="005714A3"/>
    <w:rsid w:val="00571C46"/>
    <w:rsid w:val="00571D26"/>
    <w:rsid w:val="005736BB"/>
    <w:rsid w:val="00574008"/>
    <w:rsid w:val="005744D6"/>
    <w:rsid w:val="00574AD7"/>
    <w:rsid w:val="005750F5"/>
    <w:rsid w:val="00575558"/>
    <w:rsid w:val="00575DDF"/>
    <w:rsid w:val="005764BA"/>
    <w:rsid w:val="00576640"/>
    <w:rsid w:val="00576662"/>
    <w:rsid w:val="005767CB"/>
    <w:rsid w:val="0057707D"/>
    <w:rsid w:val="00577185"/>
    <w:rsid w:val="005773EF"/>
    <w:rsid w:val="00580435"/>
    <w:rsid w:val="0058059D"/>
    <w:rsid w:val="00580DA2"/>
    <w:rsid w:val="0058123C"/>
    <w:rsid w:val="00581AFE"/>
    <w:rsid w:val="00582563"/>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4D4"/>
    <w:rsid w:val="005929C7"/>
    <w:rsid w:val="00593425"/>
    <w:rsid w:val="00593476"/>
    <w:rsid w:val="005936E9"/>
    <w:rsid w:val="00593977"/>
    <w:rsid w:val="00593C43"/>
    <w:rsid w:val="00593C4F"/>
    <w:rsid w:val="005943AA"/>
    <w:rsid w:val="00594609"/>
    <w:rsid w:val="005946A8"/>
    <w:rsid w:val="00594750"/>
    <w:rsid w:val="00595129"/>
    <w:rsid w:val="0059537B"/>
    <w:rsid w:val="005960D1"/>
    <w:rsid w:val="00596B96"/>
    <w:rsid w:val="005A01FB"/>
    <w:rsid w:val="005A0E0C"/>
    <w:rsid w:val="005A10C4"/>
    <w:rsid w:val="005A18E5"/>
    <w:rsid w:val="005A1E31"/>
    <w:rsid w:val="005A32ED"/>
    <w:rsid w:val="005A35ED"/>
    <w:rsid w:val="005A3E1C"/>
    <w:rsid w:val="005A4407"/>
    <w:rsid w:val="005A55B0"/>
    <w:rsid w:val="005A59EF"/>
    <w:rsid w:val="005A5B8B"/>
    <w:rsid w:val="005A5D4E"/>
    <w:rsid w:val="005A5DF6"/>
    <w:rsid w:val="005A648D"/>
    <w:rsid w:val="005A6E65"/>
    <w:rsid w:val="005B0ABE"/>
    <w:rsid w:val="005B1224"/>
    <w:rsid w:val="005B1C7E"/>
    <w:rsid w:val="005B2095"/>
    <w:rsid w:val="005B2098"/>
    <w:rsid w:val="005B2CF0"/>
    <w:rsid w:val="005B3588"/>
    <w:rsid w:val="005B40D7"/>
    <w:rsid w:val="005B42BF"/>
    <w:rsid w:val="005B447C"/>
    <w:rsid w:val="005B6CB3"/>
    <w:rsid w:val="005B6E70"/>
    <w:rsid w:val="005C00E9"/>
    <w:rsid w:val="005C0ACC"/>
    <w:rsid w:val="005C0F45"/>
    <w:rsid w:val="005C1C67"/>
    <w:rsid w:val="005C1EA1"/>
    <w:rsid w:val="005C2146"/>
    <w:rsid w:val="005C2300"/>
    <w:rsid w:val="005C27C6"/>
    <w:rsid w:val="005C2DC4"/>
    <w:rsid w:val="005C368B"/>
    <w:rsid w:val="005C36C6"/>
    <w:rsid w:val="005C3BAA"/>
    <w:rsid w:val="005C5053"/>
    <w:rsid w:val="005C51B8"/>
    <w:rsid w:val="005C61F8"/>
    <w:rsid w:val="005C63D3"/>
    <w:rsid w:val="005C6976"/>
    <w:rsid w:val="005C7464"/>
    <w:rsid w:val="005C772C"/>
    <w:rsid w:val="005C7781"/>
    <w:rsid w:val="005D0151"/>
    <w:rsid w:val="005D0888"/>
    <w:rsid w:val="005D0A73"/>
    <w:rsid w:val="005D0C07"/>
    <w:rsid w:val="005D0C96"/>
    <w:rsid w:val="005D1C05"/>
    <w:rsid w:val="005D1DE8"/>
    <w:rsid w:val="005D3126"/>
    <w:rsid w:val="005D31B9"/>
    <w:rsid w:val="005D352F"/>
    <w:rsid w:val="005D405A"/>
    <w:rsid w:val="005D40F0"/>
    <w:rsid w:val="005D451D"/>
    <w:rsid w:val="005D4A35"/>
    <w:rsid w:val="005D502E"/>
    <w:rsid w:val="005D533D"/>
    <w:rsid w:val="005D5BC6"/>
    <w:rsid w:val="005D5F64"/>
    <w:rsid w:val="005D6C4D"/>
    <w:rsid w:val="005D700C"/>
    <w:rsid w:val="005D7162"/>
    <w:rsid w:val="005D7530"/>
    <w:rsid w:val="005E07AF"/>
    <w:rsid w:val="005E2B7C"/>
    <w:rsid w:val="005E3DB5"/>
    <w:rsid w:val="005E4383"/>
    <w:rsid w:val="005E4914"/>
    <w:rsid w:val="005E59B2"/>
    <w:rsid w:val="005E5BE2"/>
    <w:rsid w:val="005E6234"/>
    <w:rsid w:val="005F023D"/>
    <w:rsid w:val="005F131C"/>
    <w:rsid w:val="005F1E60"/>
    <w:rsid w:val="005F3244"/>
    <w:rsid w:val="005F3416"/>
    <w:rsid w:val="005F39BD"/>
    <w:rsid w:val="005F39CA"/>
    <w:rsid w:val="005F408B"/>
    <w:rsid w:val="005F4C1B"/>
    <w:rsid w:val="005F4F95"/>
    <w:rsid w:val="005F502F"/>
    <w:rsid w:val="005F526D"/>
    <w:rsid w:val="005F558B"/>
    <w:rsid w:val="005F5902"/>
    <w:rsid w:val="005F693E"/>
    <w:rsid w:val="005F6F41"/>
    <w:rsid w:val="005F7013"/>
    <w:rsid w:val="005F7747"/>
    <w:rsid w:val="005F797E"/>
    <w:rsid w:val="006003B6"/>
    <w:rsid w:val="00601487"/>
    <w:rsid w:val="00601DDF"/>
    <w:rsid w:val="00601F10"/>
    <w:rsid w:val="00602A09"/>
    <w:rsid w:val="00602D1B"/>
    <w:rsid w:val="006036D2"/>
    <w:rsid w:val="006051EC"/>
    <w:rsid w:val="006052C5"/>
    <w:rsid w:val="0060532A"/>
    <w:rsid w:val="00605DA0"/>
    <w:rsid w:val="00605DA7"/>
    <w:rsid w:val="0060679E"/>
    <w:rsid w:val="0060783E"/>
    <w:rsid w:val="006102A4"/>
    <w:rsid w:val="00610A14"/>
    <w:rsid w:val="0061112B"/>
    <w:rsid w:val="0061181E"/>
    <w:rsid w:val="00611B5C"/>
    <w:rsid w:val="006123DD"/>
    <w:rsid w:val="00612D3E"/>
    <w:rsid w:val="00612F66"/>
    <w:rsid w:val="00613134"/>
    <w:rsid w:val="00613932"/>
    <w:rsid w:val="006140AF"/>
    <w:rsid w:val="00614138"/>
    <w:rsid w:val="00614509"/>
    <w:rsid w:val="00615632"/>
    <w:rsid w:val="0061581B"/>
    <w:rsid w:val="00615DD5"/>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AF6"/>
    <w:rsid w:val="006259EB"/>
    <w:rsid w:val="00625BCF"/>
    <w:rsid w:val="00625D9F"/>
    <w:rsid w:val="00625DC6"/>
    <w:rsid w:val="006263B4"/>
    <w:rsid w:val="00626DA5"/>
    <w:rsid w:val="0062729D"/>
    <w:rsid w:val="00627335"/>
    <w:rsid w:val="00627E29"/>
    <w:rsid w:val="00630A9A"/>
    <w:rsid w:val="006310C9"/>
    <w:rsid w:val="006314A1"/>
    <w:rsid w:val="00631806"/>
    <w:rsid w:val="00631CCB"/>
    <w:rsid w:val="00632761"/>
    <w:rsid w:val="006327E7"/>
    <w:rsid w:val="00632871"/>
    <w:rsid w:val="00632DA8"/>
    <w:rsid w:val="00634FDA"/>
    <w:rsid w:val="0063513B"/>
    <w:rsid w:val="00635B22"/>
    <w:rsid w:val="00635B25"/>
    <w:rsid w:val="0063602D"/>
    <w:rsid w:val="00636835"/>
    <w:rsid w:val="00636B38"/>
    <w:rsid w:val="00637465"/>
    <w:rsid w:val="00637B06"/>
    <w:rsid w:val="00637F1B"/>
    <w:rsid w:val="006400D5"/>
    <w:rsid w:val="006402E5"/>
    <w:rsid w:val="006413C2"/>
    <w:rsid w:val="00641554"/>
    <w:rsid w:val="00641D65"/>
    <w:rsid w:val="00642570"/>
    <w:rsid w:val="00642705"/>
    <w:rsid w:val="006428D4"/>
    <w:rsid w:val="00642CA2"/>
    <w:rsid w:val="006432CB"/>
    <w:rsid w:val="0064343E"/>
    <w:rsid w:val="0064391D"/>
    <w:rsid w:val="006439B0"/>
    <w:rsid w:val="00644E86"/>
    <w:rsid w:val="00644F42"/>
    <w:rsid w:val="006456FE"/>
    <w:rsid w:val="00645742"/>
    <w:rsid w:val="00645BF9"/>
    <w:rsid w:val="006460DA"/>
    <w:rsid w:val="0064674B"/>
    <w:rsid w:val="00646756"/>
    <w:rsid w:val="00647739"/>
    <w:rsid w:val="0065019F"/>
    <w:rsid w:val="00650858"/>
    <w:rsid w:val="006508AB"/>
    <w:rsid w:val="00650D7D"/>
    <w:rsid w:val="00650ED1"/>
    <w:rsid w:val="00651154"/>
    <w:rsid w:val="006516F4"/>
    <w:rsid w:val="00651821"/>
    <w:rsid w:val="00651BBF"/>
    <w:rsid w:val="00651C8E"/>
    <w:rsid w:val="006528E5"/>
    <w:rsid w:val="00652B8C"/>
    <w:rsid w:val="00653410"/>
    <w:rsid w:val="00653D45"/>
    <w:rsid w:val="00653FE0"/>
    <w:rsid w:val="00653FE9"/>
    <w:rsid w:val="00654384"/>
    <w:rsid w:val="006561FF"/>
    <w:rsid w:val="00656A24"/>
    <w:rsid w:val="00657B06"/>
    <w:rsid w:val="00660613"/>
    <w:rsid w:val="0066063C"/>
    <w:rsid w:val="006616D2"/>
    <w:rsid w:val="006622B2"/>
    <w:rsid w:val="00662A64"/>
    <w:rsid w:val="00662D71"/>
    <w:rsid w:val="00663351"/>
    <w:rsid w:val="00663B7D"/>
    <w:rsid w:val="00664092"/>
    <w:rsid w:val="00664318"/>
    <w:rsid w:val="0066496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40B2"/>
    <w:rsid w:val="00674275"/>
    <w:rsid w:val="00674313"/>
    <w:rsid w:val="006747D5"/>
    <w:rsid w:val="00674932"/>
    <w:rsid w:val="00674BF4"/>
    <w:rsid w:val="00674BF7"/>
    <w:rsid w:val="00675985"/>
    <w:rsid w:val="006764D9"/>
    <w:rsid w:val="00676724"/>
    <w:rsid w:val="00677E6A"/>
    <w:rsid w:val="00677FBF"/>
    <w:rsid w:val="00680BFA"/>
    <w:rsid w:val="00680C6F"/>
    <w:rsid w:val="00680DD2"/>
    <w:rsid w:val="00682A2F"/>
    <w:rsid w:val="0068360C"/>
    <w:rsid w:val="00683EB3"/>
    <w:rsid w:val="00684578"/>
    <w:rsid w:val="00684D9B"/>
    <w:rsid w:val="00684F20"/>
    <w:rsid w:val="0068510A"/>
    <w:rsid w:val="00685BCB"/>
    <w:rsid w:val="00690CEF"/>
    <w:rsid w:val="006918A8"/>
    <w:rsid w:val="00691FFB"/>
    <w:rsid w:val="00692228"/>
    <w:rsid w:val="0069245B"/>
    <w:rsid w:val="00694071"/>
    <w:rsid w:val="006948FC"/>
    <w:rsid w:val="00694E6C"/>
    <w:rsid w:val="00695534"/>
    <w:rsid w:val="00695679"/>
    <w:rsid w:val="00695698"/>
    <w:rsid w:val="0069602D"/>
    <w:rsid w:val="00696F9D"/>
    <w:rsid w:val="00697556"/>
    <w:rsid w:val="006978F7"/>
    <w:rsid w:val="006A0476"/>
    <w:rsid w:val="006A1A2E"/>
    <w:rsid w:val="006A1CA8"/>
    <w:rsid w:val="006A1EB6"/>
    <w:rsid w:val="006A2808"/>
    <w:rsid w:val="006A2EDF"/>
    <w:rsid w:val="006A3BF0"/>
    <w:rsid w:val="006A3C82"/>
    <w:rsid w:val="006A4146"/>
    <w:rsid w:val="006A4993"/>
    <w:rsid w:val="006A4BBD"/>
    <w:rsid w:val="006A524E"/>
    <w:rsid w:val="006A5EB3"/>
    <w:rsid w:val="006A5EBC"/>
    <w:rsid w:val="006A5F82"/>
    <w:rsid w:val="006A6122"/>
    <w:rsid w:val="006A616B"/>
    <w:rsid w:val="006A72C7"/>
    <w:rsid w:val="006A7B6F"/>
    <w:rsid w:val="006A7E7F"/>
    <w:rsid w:val="006B0670"/>
    <w:rsid w:val="006B1433"/>
    <w:rsid w:val="006B191E"/>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AE2"/>
    <w:rsid w:val="006C3E16"/>
    <w:rsid w:val="006C40BF"/>
    <w:rsid w:val="006C4912"/>
    <w:rsid w:val="006C5475"/>
    <w:rsid w:val="006C551B"/>
    <w:rsid w:val="006C5A3C"/>
    <w:rsid w:val="006C5AFE"/>
    <w:rsid w:val="006C5BB1"/>
    <w:rsid w:val="006C5F0F"/>
    <w:rsid w:val="006C7715"/>
    <w:rsid w:val="006C7AF6"/>
    <w:rsid w:val="006C7F6B"/>
    <w:rsid w:val="006D0483"/>
    <w:rsid w:val="006D093B"/>
    <w:rsid w:val="006D185C"/>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EEA"/>
    <w:rsid w:val="006E243D"/>
    <w:rsid w:val="006E24A7"/>
    <w:rsid w:val="006E38F5"/>
    <w:rsid w:val="006E3FEC"/>
    <w:rsid w:val="006E4298"/>
    <w:rsid w:val="006E495A"/>
    <w:rsid w:val="006E4C15"/>
    <w:rsid w:val="006E5FC3"/>
    <w:rsid w:val="006E6B54"/>
    <w:rsid w:val="006E7E68"/>
    <w:rsid w:val="006F0D35"/>
    <w:rsid w:val="006F0D41"/>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7CFE"/>
    <w:rsid w:val="006F7FEE"/>
    <w:rsid w:val="0070138A"/>
    <w:rsid w:val="00701544"/>
    <w:rsid w:val="007018C5"/>
    <w:rsid w:val="00702937"/>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E2F"/>
    <w:rsid w:val="0071234E"/>
    <w:rsid w:val="007127EF"/>
    <w:rsid w:val="00712A4C"/>
    <w:rsid w:val="00712CF4"/>
    <w:rsid w:val="00713372"/>
    <w:rsid w:val="007134B4"/>
    <w:rsid w:val="00713525"/>
    <w:rsid w:val="0071352A"/>
    <w:rsid w:val="00714A31"/>
    <w:rsid w:val="007150BB"/>
    <w:rsid w:val="0071618D"/>
    <w:rsid w:val="0071698A"/>
    <w:rsid w:val="00716BF9"/>
    <w:rsid w:val="00717FED"/>
    <w:rsid w:val="00720AE2"/>
    <w:rsid w:val="00720D2B"/>
    <w:rsid w:val="00720E2E"/>
    <w:rsid w:val="0072116F"/>
    <w:rsid w:val="00721496"/>
    <w:rsid w:val="00721534"/>
    <w:rsid w:val="007215E4"/>
    <w:rsid w:val="00721A52"/>
    <w:rsid w:val="00721D5B"/>
    <w:rsid w:val="00721EAE"/>
    <w:rsid w:val="007222A3"/>
    <w:rsid w:val="00722396"/>
    <w:rsid w:val="007229CF"/>
    <w:rsid w:val="00722B3D"/>
    <w:rsid w:val="00723714"/>
    <w:rsid w:val="00723868"/>
    <w:rsid w:val="00723CF0"/>
    <w:rsid w:val="0072463D"/>
    <w:rsid w:val="00724792"/>
    <w:rsid w:val="00724A10"/>
    <w:rsid w:val="00724C58"/>
    <w:rsid w:val="00724F4C"/>
    <w:rsid w:val="00725365"/>
    <w:rsid w:val="00725FA4"/>
    <w:rsid w:val="00726C64"/>
    <w:rsid w:val="007275E4"/>
    <w:rsid w:val="00727B2C"/>
    <w:rsid w:val="00730302"/>
    <w:rsid w:val="00730AF6"/>
    <w:rsid w:val="00730DA7"/>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C1A"/>
    <w:rsid w:val="00734C73"/>
    <w:rsid w:val="007351C6"/>
    <w:rsid w:val="007359D7"/>
    <w:rsid w:val="00736E15"/>
    <w:rsid w:val="00736FF3"/>
    <w:rsid w:val="00737714"/>
    <w:rsid w:val="00737A26"/>
    <w:rsid w:val="00740446"/>
    <w:rsid w:val="00740BDD"/>
    <w:rsid w:val="0074228C"/>
    <w:rsid w:val="0074260A"/>
    <w:rsid w:val="00742798"/>
    <w:rsid w:val="007438A9"/>
    <w:rsid w:val="00743AD7"/>
    <w:rsid w:val="00743B2A"/>
    <w:rsid w:val="00743DD1"/>
    <w:rsid w:val="00743E7F"/>
    <w:rsid w:val="007443FC"/>
    <w:rsid w:val="0074441A"/>
    <w:rsid w:val="0074450F"/>
    <w:rsid w:val="0074491E"/>
    <w:rsid w:val="00744ACD"/>
    <w:rsid w:val="00744D0A"/>
    <w:rsid w:val="00744E2E"/>
    <w:rsid w:val="00745C85"/>
    <w:rsid w:val="007461A1"/>
    <w:rsid w:val="0074654F"/>
    <w:rsid w:val="0074670B"/>
    <w:rsid w:val="00746E56"/>
    <w:rsid w:val="0074749F"/>
    <w:rsid w:val="00747B86"/>
    <w:rsid w:val="00747D06"/>
    <w:rsid w:val="007505BC"/>
    <w:rsid w:val="007511E4"/>
    <w:rsid w:val="007522EC"/>
    <w:rsid w:val="00752BD0"/>
    <w:rsid w:val="007541E7"/>
    <w:rsid w:val="0075466B"/>
    <w:rsid w:val="007547AE"/>
    <w:rsid w:val="00754C8D"/>
    <w:rsid w:val="007550FC"/>
    <w:rsid w:val="00755178"/>
    <w:rsid w:val="0075578E"/>
    <w:rsid w:val="00756ABB"/>
    <w:rsid w:val="00757039"/>
    <w:rsid w:val="007579A1"/>
    <w:rsid w:val="00760259"/>
    <w:rsid w:val="007602F3"/>
    <w:rsid w:val="007603E4"/>
    <w:rsid w:val="00760D67"/>
    <w:rsid w:val="00761223"/>
    <w:rsid w:val="0076163F"/>
    <w:rsid w:val="0076193E"/>
    <w:rsid w:val="0076247A"/>
    <w:rsid w:val="00762FB0"/>
    <w:rsid w:val="00763072"/>
    <w:rsid w:val="00763175"/>
    <w:rsid w:val="00763381"/>
    <w:rsid w:val="007640A2"/>
    <w:rsid w:val="00764270"/>
    <w:rsid w:val="00764C83"/>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ABE"/>
    <w:rsid w:val="00774AEA"/>
    <w:rsid w:val="00775964"/>
    <w:rsid w:val="0077639F"/>
    <w:rsid w:val="00776548"/>
    <w:rsid w:val="007765FE"/>
    <w:rsid w:val="007766B3"/>
    <w:rsid w:val="00777138"/>
    <w:rsid w:val="00777163"/>
    <w:rsid w:val="00777809"/>
    <w:rsid w:val="00780D34"/>
    <w:rsid w:val="00781E1A"/>
    <w:rsid w:val="00783CA6"/>
    <w:rsid w:val="00785678"/>
    <w:rsid w:val="00785C3E"/>
    <w:rsid w:val="00785E4F"/>
    <w:rsid w:val="00786378"/>
    <w:rsid w:val="00787386"/>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0A53"/>
    <w:rsid w:val="007A1930"/>
    <w:rsid w:val="007A1FE8"/>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46"/>
    <w:rsid w:val="007C0A8E"/>
    <w:rsid w:val="007C127E"/>
    <w:rsid w:val="007C1B10"/>
    <w:rsid w:val="007C1FC9"/>
    <w:rsid w:val="007C2407"/>
    <w:rsid w:val="007C27D1"/>
    <w:rsid w:val="007C2E41"/>
    <w:rsid w:val="007C3F50"/>
    <w:rsid w:val="007C585E"/>
    <w:rsid w:val="007C5B24"/>
    <w:rsid w:val="007C60D5"/>
    <w:rsid w:val="007C636C"/>
    <w:rsid w:val="007C679C"/>
    <w:rsid w:val="007C6A9F"/>
    <w:rsid w:val="007C79E3"/>
    <w:rsid w:val="007D1D55"/>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28AF"/>
    <w:rsid w:val="007E3430"/>
    <w:rsid w:val="007E398A"/>
    <w:rsid w:val="007E3D47"/>
    <w:rsid w:val="007E47AA"/>
    <w:rsid w:val="007E4A8E"/>
    <w:rsid w:val="007E52FB"/>
    <w:rsid w:val="007E53C7"/>
    <w:rsid w:val="007E5792"/>
    <w:rsid w:val="007E5AC9"/>
    <w:rsid w:val="007E5B81"/>
    <w:rsid w:val="007E5CB6"/>
    <w:rsid w:val="007E5CE4"/>
    <w:rsid w:val="007E6265"/>
    <w:rsid w:val="007E66B1"/>
    <w:rsid w:val="007E6772"/>
    <w:rsid w:val="007E6B4D"/>
    <w:rsid w:val="007E71A4"/>
    <w:rsid w:val="007E72CE"/>
    <w:rsid w:val="007E7388"/>
    <w:rsid w:val="007E7A8F"/>
    <w:rsid w:val="007E7A97"/>
    <w:rsid w:val="007F0460"/>
    <w:rsid w:val="007F1280"/>
    <w:rsid w:val="007F1A49"/>
    <w:rsid w:val="007F2732"/>
    <w:rsid w:val="007F4A2F"/>
    <w:rsid w:val="007F54DB"/>
    <w:rsid w:val="007F5E27"/>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638E"/>
    <w:rsid w:val="00806C01"/>
    <w:rsid w:val="00806EBC"/>
    <w:rsid w:val="00807980"/>
    <w:rsid w:val="0081014E"/>
    <w:rsid w:val="00810456"/>
    <w:rsid w:val="008109A6"/>
    <w:rsid w:val="00810A93"/>
    <w:rsid w:val="00811156"/>
    <w:rsid w:val="00811D3E"/>
    <w:rsid w:val="00812BAE"/>
    <w:rsid w:val="00813749"/>
    <w:rsid w:val="00813B37"/>
    <w:rsid w:val="008148CC"/>
    <w:rsid w:val="00814E22"/>
    <w:rsid w:val="008152CA"/>
    <w:rsid w:val="008161B0"/>
    <w:rsid w:val="008166FA"/>
    <w:rsid w:val="008167FC"/>
    <w:rsid w:val="00817678"/>
    <w:rsid w:val="00817731"/>
    <w:rsid w:val="008209DD"/>
    <w:rsid w:val="00820E70"/>
    <w:rsid w:val="008211A4"/>
    <w:rsid w:val="00821986"/>
    <w:rsid w:val="00821A4B"/>
    <w:rsid w:val="00821B99"/>
    <w:rsid w:val="00822032"/>
    <w:rsid w:val="008221CC"/>
    <w:rsid w:val="00822313"/>
    <w:rsid w:val="0082264D"/>
    <w:rsid w:val="00822961"/>
    <w:rsid w:val="0082304A"/>
    <w:rsid w:val="0082311D"/>
    <w:rsid w:val="00823324"/>
    <w:rsid w:val="008237CA"/>
    <w:rsid w:val="00823B9A"/>
    <w:rsid w:val="008251BC"/>
    <w:rsid w:val="00826E96"/>
    <w:rsid w:val="00826FBE"/>
    <w:rsid w:val="008276D9"/>
    <w:rsid w:val="00827DCB"/>
    <w:rsid w:val="008300E3"/>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60C"/>
    <w:rsid w:val="00835CB1"/>
    <w:rsid w:val="00835F3C"/>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6C4C"/>
    <w:rsid w:val="00847A87"/>
    <w:rsid w:val="00850643"/>
    <w:rsid w:val="0085094C"/>
    <w:rsid w:val="00850F2F"/>
    <w:rsid w:val="008510DD"/>
    <w:rsid w:val="008511DC"/>
    <w:rsid w:val="008517D5"/>
    <w:rsid w:val="008518CC"/>
    <w:rsid w:val="00851B06"/>
    <w:rsid w:val="00851E8C"/>
    <w:rsid w:val="00852ACA"/>
    <w:rsid w:val="00852BB8"/>
    <w:rsid w:val="00854203"/>
    <w:rsid w:val="00855DE4"/>
    <w:rsid w:val="0085640E"/>
    <w:rsid w:val="008567D4"/>
    <w:rsid w:val="0085773A"/>
    <w:rsid w:val="0086085E"/>
    <w:rsid w:val="00860886"/>
    <w:rsid w:val="0086104E"/>
    <w:rsid w:val="00861829"/>
    <w:rsid w:val="00861B2B"/>
    <w:rsid w:val="00862022"/>
    <w:rsid w:val="008625B3"/>
    <w:rsid w:val="00862609"/>
    <w:rsid w:val="008629F1"/>
    <w:rsid w:val="00862C4C"/>
    <w:rsid w:val="00862CE7"/>
    <w:rsid w:val="00862E48"/>
    <w:rsid w:val="00863A37"/>
    <w:rsid w:val="00863AB8"/>
    <w:rsid w:val="00864C35"/>
    <w:rsid w:val="00864F48"/>
    <w:rsid w:val="00865FBA"/>
    <w:rsid w:val="008665E5"/>
    <w:rsid w:val="008670D0"/>
    <w:rsid w:val="0086780B"/>
    <w:rsid w:val="00870417"/>
    <w:rsid w:val="008708E0"/>
    <w:rsid w:val="0087090F"/>
    <w:rsid w:val="0087143B"/>
    <w:rsid w:val="00871641"/>
    <w:rsid w:val="008727EB"/>
    <w:rsid w:val="00873150"/>
    <w:rsid w:val="00873E37"/>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1031"/>
    <w:rsid w:val="008818E6"/>
    <w:rsid w:val="00881A25"/>
    <w:rsid w:val="00881FB4"/>
    <w:rsid w:val="00882592"/>
    <w:rsid w:val="0088261E"/>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F31"/>
    <w:rsid w:val="008902C7"/>
    <w:rsid w:val="00890320"/>
    <w:rsid w:val="00890515"/>
    <w:rsid w:val="00890546"/>
    <w:rsid w:val="0089069A"/>
    <w:rsid w:val="008916BC"/>
    <w:rsid w:val="00892528"/>
    <w:rsid w:val="0089291A"/>
    <w:rsid w:val="00892A07"/>
    <w:rsid w:val="00892DC8"/>
    <w:rsid w:val="00892F2C"/>
    <w:rsid w:val="008930E5"/>
    <w:rsid w:val="0089340F"/>
    <w:rsid w:val="00893C2C"/>
    <w:rsid w:val="00893EA9"/>
    <w:rsid w:val="008941BF"/>
    <w:rsid w:val="008944D2"/>
    <w:rsid w:val="008945BF"/>
    <w:rsid w:val="00894B89"/>
    <w:rsid w:val="00894C52"/>
    <w:rsid w:val="00894EF3"/>
    <w:rsid w:val="00895326"/>
    <w:rsid w:val="00895B66"/>
    <w:rsid w:val="00896997"/>
    <w:rsid w:val="00896B06"/>
    <w:rsid w:val="00896F62"/>
    <w:rsid w:val="00896FE4"/>
    <w:rsid w:val="0089779F"/>
    <w:rsid w:val="00897C27"/>
    <w:rsid w:val="00897C75"/>
    <w:rsid w:val="008A06D1"/>
    <w:rsid w:val="008A0F70"/>
    <w:rsid w:val="008A0FDB"/>
    <w:rsid w:val="008A1221"/>
    <w:rsid w:val="008A1461"/>
    <w:rsid w:val="008A1EDB"/>
    <w:rsid w:val="008A2565"/>
    <w:rsid w:val="008A28A9"/>
    <w:rsid w:val="008A2C50"/>
    <w:rsid w:val="008A3B6D"/>
    <w:rsid w:val="008A3CD8"/>
    <w:rsid w:val="008A3FCC"/>
    <w:rsid w:val="008A4148"/>
    <w:rsid w:val="008A4374"/>
    <w:rsid w:val="008A4BD9"/>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3ED5"/>
    <w:rsid w:val="008B449F"/>
    <w:rsid w:val="008B502D"/>
    <w:rsid w:val="008B59F8"/>
    <w:rsid w:val="008B61E5"/>
    <w:rsid w:val="008B6760"/>
    <w:rsid w:val="008B6CFD"/>
    <w:rsid w:val="008B75EA"/>
    <w:rsid w:val="008B775F"/>
    <w:rsid w:val="008B7D90"/>
    <w:rsid w:val="008C03DA"/>
    <w:rsid w:val="008C06E7"/>
    <w:rsid w:val="008C0FF5"/>
    <w:rsid w:val="008C1097"/>
    <w:rsid w:val="008C1130"/>
    <w:rsid w:val="008C18D3"/>
    <w:rsid w:val="008C1914"/>
    <w:rsid w:val="008C225B"/>
    <w:rsid w:val="008C3591"/>
    <w:rsid w:val="008C4694"/>
    <w:rsid w:val="008C4C10"/>
    <w:rsid w:val="008C5419"/>
    <w:rsid w:val="008C54CC"/>
    <w:rsid w:val="008C5703"/>
    <w:rsid w:val="008C5AC7"/>
    <w:rsid w:val="008C6406"/>
    <w:rsid w:val="008C6D97"/>
    <w:rsid w:val="008C6F1F"/>
    <w:rsid w:val="008C7A64"/>
    <w:rsid w:val="008C7DA8"/>
    <w:rsid w:val="008D01AC"/>
    <w:rsid w:val="008D04FF"/>
    <w:rsid w:val="008D0647"/>
    <w:rsid w:val="008D13D1"/>
    <w:rsid w:val="008D18E6"/>
    <w:rsid w:val="008D1DC5"/>
    <w:rsid w:val="008D263A"/>
    <w:rsid w:val="008D27BA"/>
    <w:rsid w:val="008D2C6D"/>
    <w:rsid w:val="008D2ECB"/>
    <w:rsid w:val="008D3105"/>
    <w:rsid w:val="008D3144"/>
    <w:rsid w:val="008D3613"/>
    <w:rsid w:val="008D4375"/>
    <w:rsid w:val="008D6D03"/>
    <w:rsid w:val="008D6DE9"/>
    <w:rsid w:val="008D78E8"/>
    <w:rsid w:val="008D7A9B"/>
    <w:rsid w:val="008D7E0C"/>
    <w:rsid w:val="008E0060"/>
    <w:rsid w:val="008E0F2A"/>
    <w:rsid w:val="008E121C"/>
    <w:rsid w:val="008E1A0B"/>
    <w:rsid w:val="008E1E53"/>
    <w:rsid w:val="008E241A"/>
    <w:rsid w:val="008E2B41"/>
    <w:rsid w:val="008E3982"/>
    <w:rsid w:val="008E3C05"/>
    <w:rsid w:val="008E41D4"/>
    <w:rsid w:val="008E41D8"/>
    <w:rsid w:val="008E4655"/>
    <w:rsid w:val="008E4F4C"/>
    <w:rsid w:val="008E57B9"/>
    <w:rsid w:val="008E5ECA"/>
    <w:rsid w:val="008E5FBB"/>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D7"/>
    <w:rsid w:val="008F72E0"/>
    <w:rsid w:val="008F76EA"/>
    <w:rsid w:val="008F79C3"/>
    <w:rsid w:val="008F7B85"/>
    <w:rsid w:val="008F7E34"/>
    <w:rsid w:val="00900D5E"/>
    <w:rsid w:val="00900E75"/>
    <w:rsid w:val="00901023"/>
    <w:rsid w:val="009013BC"/>
    <w:rsid w:val="00901457"/>
    <w:rsid w:val="0090190E"/>
    <w:rsid w:val="0090198A"/>
    <w:rsid w:val="00901A82"/>
    <w:rsid w:val="00901DFC"/>
    <w:rsid w:val="00902651"/>
    <w:rsid w:val="00902F64"/>
    <w:rsid w:val="009032CF"/>
    <w:rsid w:val="00903386"/>
    <w:rsid w:val="0090352C"/>
    <w:rsid w:val="009049C5"/>
    <w:rsid w:val="00904A12"/>
    <w:rsid w:val="0090513F"/>
    <w:rsid w:val="00906A2D"/>
    <w:rsid w:val="00907270"/>
    <w:rsid w:val="0091124E"/>
    <w:rsid w:val="009113F1"/>
    <w:rsid w:val="00911464"/>
    <w:rsid w:val="0091189B"/>
    <w:rsid w:val="00911915"/>
    <w:rsid w:val="00911F4D"/>
    <w:rsid w:val="00913075"/>
    <w:rsid w:val="0091359D"/>
    <w:rsid w:val="00913C85"/>
    <w:rsid w:val="00913D46"/>
    <w:rsid w:val="00913EE1"/>
    <w:rsid w:val="00914F06"/>
    <w:rsid w:val="00915CEE"/>
    <w:rsid w:val="00915D26"/>
    <w:rsid w:val="00916874"/>
    <w:rsid w:val="00916C8C"/>
    <w:rsid w:val="00916D4C"/>
    <w:rsid w:val="00917201"/>
    <w:rsid w:val="00917367"/>
    <w:rsid w:val="009203B2"/>
    <w:rsid w:val="00920663"/>
    <w:rsid w:val="00920CF6"/>
    <w:rsid w:val="00921183"/>
    <w:rsid w:val="00921680"/>
    <w:rsid w:val="00921834"/>
    <w:rsid w:val="00921A1F"/>
    <w:rsid w:val="009233AB"/>
    <w:rsid w:val="00923784"/>
    <w:rsid w:val="00923B14"/>
    <w:rsid w:val="00923DD0"/>
    <w:rsid w:val="0092420C"/>
    <w:rsid w:val="00924337"/>
    <w:rsid w:val="0092537D"/>
    <w:rsid w:val="00925993"/>
    <w:rsid w:val="00926475"/>
    <w:rsid w:val="00926D40"/>
    <w:rsid w:val="00930543"/>
    <w:rsid w:val="00931ADD"/>
    <w:rsid w:val="00931C0B"/>
    <w:rsid w:val="00931E01"/>
    <w:rsid w:val="0093297A"/>
    <w:rsid w:val="00932B77"/>
    <w:rsid w:val="00933220"/>
    <w:rsid w:val="00933B57"/>
    <w:rsid w:val="00933B8D"/>
    <w:rsid w:val="00935218"/>
    <w:rsid w:val="00935ABC"/>
    <w:rsid w:val="0093614B"/>
    <w:rsid w:val="00936275"/>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CA7"/>
    <w:rsid w:val="00943E31"/>
    <w:rsid w:val="00944E53"/>
    <w:rsid w:val="0094513B"/>
    <w:rsid w:val="009454E9"/>
    <w:rsid w:val="00945776"/>
    <w:rsid w:val="0094587A"/>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EAC"/>
    <w:rsid w:val="00962777"/>
    <w:rsid w:val="0096279C"/>
    <w:rsid w:val="00962E31"/>
    <w:rsid w:val="009631F2"/>
    <w:rsid w:val="0096342A"/>
    <w:rsid w:val="0096416D"/>
    <w:rsid w:val="00964595"/>
    <w:rsid w:val="0096484C"/>
    <w:rsid w:val="0096494C"/>
    <w:rsid w:val="00964BE8"/>
    <w:rsid w:val="0096527A"/>
    <w:rsid w:val="0096528C"/>
    <w:rsid w:val="009656C6"/>
    <w:rsid w:val="00966740"/>
    <w:rsid w:val="00966827"/>
    <w:rsid w:val="00966CBB"/>
    <w:rsid w:val="00967498"/>
    <w:rsid w:val="009703FA"/>
    <w:rsid w:val="00971B12"/>
    <w:rsid w:val="00971CC1"/>
    <w:rsid w:val="00971EA3"/>
    <w:rsid w:val="00972F9D"/>
    <w:rsid w:val="009733BB"/>
    <w:rsid w:val="009734EA"/>
    <w:rsid w:val="00973D68"/>
    <w:rsid w:val="009745CF"/>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0A56"/>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54A"/>
    <w:rsid w:val="009935FB"/>
    <w:rsid w:val="009937FF"/>
    <w:rsid w:val="00993E50"/>
    <w:rsid w:val="009940D5"/>
    <w:rsid w:val="0099505F"/>
    <w:rsid w:val="009950E7"/>
    <w:rsid w:val="00995C30"/>
    <w:rsid w:val="00995D7E"/>
    <w:rsid w:val="00996465"/>
    <w:rsid w:val="00996C5B"/>
    <w:rsid w:val="00996E66"/>
    <w:rsid w:val="009971F5"/>
    <w:rsid w:val="00997964"/>
    <w:rsid w:val="00997985"/>
    <w:rsid w:val="00997E69"/>
    <w:rsid w:val="00997E70"/>
    <w:rsid w:val="009A0187"/>
    <w:rsid w:val="009A0748"/>
    <w:rsid w:val="009A0B12"/>
    <w:rsid w:val="009A235E"/>
    <w:rsid w:val="009A272D"/>
    <w:rsid w:val="009A3A16"/>
    <w:rsid w:val="009A3C4E"/>
    <w:rsid w:val="009A3DAA"/>
    <w:rsid w:val="009A4054"/>
    <w:rsid w:val="009A4D1C"/>
    <w:rsid w:val="009A4F41"/>
    <w:rsid w:val="009A5812"/>
    <w:rsid w:val="009A633A"/>
    <w:rsid w:val="009A6462"/>
    <w:rsid w:val="009A77FC"/>
    <w:rsid w:val="009A7D88"/>
    <w:rsid w:val="009B079A"/>
    <w:rsid w:val="009B096D"/>
    <w:rsid w:val="009B104B"/>
    <w:rsid w:val="009B1328"/>
    <w:rsid w:val="009B2383"/>
    <w:rsid w:val="009B25FF"/>
    <w:rsid w:val="009B283D"/>
    <w:rsid w:val="009B303D"/>
    <w:rsid w:val="009B33F6"/>
    <w:rsid w:val="009B34C3"/>
    <w:rsid w:val="009B3AA0"/>
    <w:rsid w:val="009B44D7"/>
    <w:rsid w:val="009B45B2"/>
    <w:rsid w:val="009B4CB8"/>
    <w:rsid w:val="009B4F8D"/>
    <w:rsid w:val="009B5752"/>
    <w:rsid w:val="009B57F5"/>
    <w:rsid w:val="009B5878"/>
    <w:rsid w:val="009B6410"/>
    <w:rsid w:val="009B646A"/>
    <w:rsid w:val="009B64AC"/>
    <w:rsid w:val="009B659F"/>
    <w:rsid w:val="009B6938"/>
    <w:rsid w:val="009B797F"/>
    <w:rsid w:val="009C046D"/>
    <w:rsid w:val="009C0686"/>
    <w:rsid w:val="009C0BED"/>
    <w:rsid w:val="009C0CA6"/>
    <w:rsid w:val="009C119C"/>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CD0"/>
    <w:rsid w:val="009C6FF8"/>
    <w:rsid w:val="009C7063"/>
    <w:rsid w:val="009C71DA"/>
    <w:rsid w:val="009C7500"/>
    <w:rsid w:val="009C7987"/>
    <w:rsid w:val="009C7E1C"/>
    <w:rsid w:val="009C7F29"/>
    <w:rsid w:val="009D02EA"/>
    <w:rsid w:val="009D0307"/>
    <w:rsid w:val="009D0843"/>
    <w:rsid w:val="009D0F79"/>
    <w:rsid w:val="009D191F"/>
    <w:rsid w:val="009D1F4D"/>
    <w:rsid w:val="009D22C0"/>
    <w:rsid w:val="009D24DB"/>
    <w:rsid w:val="009D261C"/>
    <w:rsid w:val="009D2802"/>
    <w:rsid w:val="009D28E9"/>
    <w:rsid w:val="009D2A09"/>
    <w:rsid w:val="009D2A6F"/>
    <w:rsid w:val="009D2B66"/>
    <w:rsid w:val="009D4626"/>
    <w:rsid w:val="009D469E"/>
    <w:rsid w:val="009D5565"/>
    <w:rsid w:val="009D61CB"/>
    <w:rsid w:val="009D7050"/>
    <w:rsid w:val="009D70BD"/>
    <w:rsid w:val="009D75F9"/>
    <w:rsid w:val="009E01C2"/>
    <w:rsid w:val="009E0563"/>
    <w:rsid w:val="009E06C2"/>
    <w:rsid w:val="009E07DF"/>
    <w:rsid w:val="009E0A18"/>
    <w:rsid w:val="009E12D5"/>
    <w:rsid w:val="009E1320"/>
    <w:rsid w:val="009E1EB8"/>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3ADF"/>
    <w:rsid w:val="009F457C"/>
    <w:rsid w:val="009F47C9"/>
    <w:rsid w:val="009F47F4"/>
    <w:rsid w:val="009F4A54"/>
    <w:rsid w:val="009F4BEC"/>
    <w:rsid w:val="009F4F37"/>
    <w:rsid w:val="009F553B"/>
    <w:rsid w:val="009F5874"/>
    <w:rsid w:val="009F59FE"/>
    <w:rsid w:val="009F6532"/>
    <w:rsid w:val="009F7CCD"/>
    <w:rsid w:val="00A00C9D"/>
    <w:rsid w:val="00A02886"/>
    <w:rsid w:val="00A042F9"/>
    <w:rsid w:val="00A043FB"/>
    <w:rsid w:val="00A04505"/>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52D"/>
    <w:rsid w:val="00A135EC"/>
    <w:rsid w:val="00A13680"/>
    <w:rsid w:val="00A1439A"/>
    <w:rsid w:val="00A144D4"/>
    <w:rsid w:val="00A1450F"/>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31898"/>
    <w:rsid w:val="00A324C5"/>
    <w:rsid w:val="00A32833"/>
    <w:rsid w:val="00A32E21"/>
    <w:rsid w:val="00A332CE"/>
    <w:rsid w:val="00A34797"/>
    <w:rsid w:val="00A35002"/>
    <w:rsid w:val="00A35A72"/>
    <w:rsid w:val="00A36333"/>
    <w:rsid w:val="00A363AB"/>
    <w:rsid w:val="00A366F9"/>
    <w:rsid w:val="00A36D7E"/>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3D85"/>
    <w:rsid w:val="00A43E37"/>
    <w:rsid w:val="00A4482E"/>
    <w:rsid w:val="00A44A5A"/>
    <w:rsid w:val="00A44EEE"/>
    <w:rsid w:val="00A454E3"/>
    <w:rsid w:val="00A458BF"/>
    <w:rsid w:val="00A45ED5"/>
    <w:rsid w:val="00A46303"/>
    <w:rsid w:val="00A50932"/>
    <w:rsid w:val="00A50F78"/>
    <w:rsid w:val="00A51DA4"/>
    <w:rsid w:val="00A51DB4"/>
    <w:rsid w:val="00A51F77"/>
    <w:rsid w:val="00A52D39"/>
    <w:rsid w:val="00A53109"/>
    <w:rsid w:val="00A53289"/>
    <w:rsid w:val="00A532D3"/>
    <w:rsid w:val="00A537A1"/>
    <w:rsid w:val="00A5449F"/>
    <w:rsid w:val="00A54624"/>
    <w:rsid w:val="00A54B8E"/>
    <w:rsid w:val="00A55000"/>
    <w:rsid w:val="00A553D7"/>
    <w:rsid w:val="00A5614F"/>
    <w:rsid w:val="00A565AC"/>
    <w:rsid w:val="00A56D23"/>
    <w:rsid w:val="00A5718D"/>
    <w:rsid w:val="00A57479"/>
    <w:rsid w:val="00A60325"/>
    <w:rsid w:val="00A60C76"/>
    <w:rsid w:val="00A60F91"/>
    <w:rsid w:val="00A61324"/>
    <w:rsid w:val="00A619C0"/>
    <w:rsid w:val="00A61E21"/>
    <w:rsid w:val="00A62334"/>
    <w:rsid w:val="00A6247F"/>
    <w:rsid w:val="00A62C92"/>
    <w:rsid w:val="00A62CF6"/>
    <w:rsid w:val="00A640BE"/>
    <w:rsid w:val="00A6411B"/>
    <w:rsid w:val="00A6416D"/>
    <w:rsid w:val="00A642AD"/>
    <w:rsid w:val="00A645C0"/>
    <w:rsid w:val="00A645DF"/>
    <w:rsid w:val="00A6492A"/>
    <w:rsid w:val="00A64D54"/>
    <w:rsid w:val="00A64D78"/>
    <w:rsid w:val="00A65095"/>
    <w:rsid w:val="00A65AAB"/>
    <w:rsid w:val="00A65E5C"/>
    <w:rsid w:val="00A66313"/>
    <w:rsid w:val="00A702A5"/>
    <w:rsid w:val="00A704DE"/>
    <w:rsid w:val="00A70792"/>
    <w:rsid w:val="00A7111B"/>
    <w:rsid w:val="00A71EA8"/>
    <w:rsid w:val="00A722AA"/>
    <w:rsid w:val="00A72DBD"/>
    <w:rsid w:val="00A731C3"/>
    <w:rsid w:val="00A73303"/>
    <w:rsid w:val="00A734BA"/>
    <w:rsid w:val="00A73698"/>
    <w:rsid w:val="00A736AC"/>
    <w:rsid w:val="00A73B1F"/>
    <w:rsid w:val="00A73F18"/>
    <w:rsid w:val="00A743F3"/>
    <w:rsid w:val="00A745F3"/>
    <w:rsid w:val="00A74AD1"/>
    <w:rsid w:val="00A750AE"/>
    <w:rsid w:val="00A7710A"/>
    <w:rsid w:val="00A774EB"/>
    <w:rsid w:val="00A7793A"/>
    <w:rsid w:val="00A77C02"/>
    <w:rsid w:val="00A80C05"/>
    <w:rsid w:val="00A80C7B"/>
    <w:rsid w:val="00A80EFD"/>
    <w:rsid w:val="00A82091"/>
    <w:rsid w:val="00A820E0"/>
    <w:rsid w:val="00A827B5"/>
    <w:rsid w:val="00A83A71"/>
    <w:rsid w:val="00A83B99"/>
    <w:rsid w:val="00A83EE1"/>
    <w:rsid w:val="00A8497A"/>
    <w:rsid w:val="00A85059"/>
    <w:rsid w:val="00A85C52"/>
    <w:rsid w:val="00A85FD1"/>
    <w:rsid w:val="00A86617"/>
    <w:rsid w:val="00A86B6B"/>
    <w:rsid w:val="00A86C52"/>
    <w:rsid w:val="00A874FC"/>
    <w:rsid w:val="00A90370"/>
    <w:rsid w:val="00A9081D"/>
    <w:rsid w:val="00A90A0C"/>
    <w:rsid w:val="00A90A5A"/>
    <w:rsid w:val="00A9105D"/>
    <w:rsid w:val="00A9121C"/>
    <w:rsid w:val="00A91937"/>
    <w:rsid w:val="00A91D63"/>
    <w:rsid w:val="00A935BF"/>
    <w:rsid w:val="00A94045"/>
    <w:rsid w:val="00A94958"/>
    <w:rsid w:val="00A94B0C"/>
    <w:rsid w:val="00A94F8B"/>
    <w:rsid w:val="00A95099"/>
    <w:rsid w:val="00A956C0"/>
    <w:rsid w:val="00A960D7"/>
    <w:rsid w:val="00A96BFD"/>
    <w:rsid w:val="00A96F9E"/>
    <w:rsid w:val="00AA02D5"/>
    <w:rsid w:val="00AA06CF"/>
    <w:rsid w:val="00AA0FA8"/>
    <w:rsid w:val="00AA1109"/>
    <w:rsid w:val="00AA1EB1"/>
    <w:rsid w:val="00AA2290"/>
    <w:rsid w:val="00AA2722"/>
    <w:rsid w:val="00AA27BB"/>
    <w:rsid w:val="00AA2860"/>
    <w:rsid w:val="00AA289B"/>
    <w:rsid w:val="00AA2CC7"/>
    <w:rsid w:val="00AA30F9"/>
    <w:rsid w:val="00AA367A"/>
    <w:rsid w:val="00AA3C41"/>
    <w:rsid w:val="00AA3E64"/>
    <w:rsid w:val="00AA3F54"/>
    <w:rsid w:val="00AA4CC7"/>
    <w:rsid w:val="00AA4D04"/>
    <w:rsid w:val="00AA535A"/>
    <w:rsid w:val="00AA583A"/>
    <w:rsid w:val="00AA5E8E"/>
    <w:rsid w:val="00AA612B"/>
    <w:rsid w:val="00AA7048"/>
    <w:rsid w:val="00AA771B"/>
    <w:rsid w:val="00AA7C46"/>
    <w:rsid w:val="00AB0281"/>
    <w:rsid w:val="00AB05E2"/>
    <w:rsid w:val="00AB0CF9"/>
    <w:rsid w:val="00AB0EB1"/>
    <w:rsid w:val="00AB1145"/>
    <w:rsid w:val="00AB163A"/>
    <w:rsid w:val="00AB1AF2"/>
    <w:rsid w:val="00AB225B"/>
    <w:rsid w:val="00AB29AA"/>
    <w:rsid w:val="00AB2BAD"/>
    <w:rsid w:val="00AB3CF4"/>
    <w:rsid w:val="00AB46ED"/>
    <w:rsid w:val="00AB4F19"/>
    <w:rsid w:val="00AB566F"/>
    <w:rsid w:val="00AB604C"/>
    <w:rsid w:val="00AB6107"/>
    <w:rsid w:val="00AB6163"/>
    <w:rsid w:val="00AB6790"/>
    <w:rsid w:val="00AB6CA7"/>
    <w:rsid w:val="00AB6D57"/>
    <w:rsid w:val="00AB6D86"/>
    <w:rsid w:val="00AB6DD5"/>
    <w:rsid w:val="00AB6F05"/>
    <w:rsid w:val="00AC0BD4"/>
    <w:rsid w:val="00AC11B9"/>
    <w:rsid w:val="00AC1F33"/>
    <w:rsid w:val="00AC256E"/>
    <w:rsid w:val="00AC298A"/>
    <w:rsid w:val="00AC3B82"/>
    <w:rsid w:val="00AC3EF0"/>
    <w:rsid w:val="00AC422F"/>
    <w:rsid w:val="00AC45AE"/>
    <w:rsid w:val="00AC5050"/>
    <w:rsid w:val="00AC539D"/>
    <w:rsid w:val="00AC6357"/>
    <w:rsid w:val="00AC759F"/>
    <w:rsid w:val="00AD01E4"/>
    <w:rsid w:val="00AD0858"/>
    <w:rsid w:val="00AD096D"/>
    <w:rsid w:val="00AD17E6"/>
    <w:rsid w:val="00AD1CA7"/>
    <w:rsid w:val="00AD3082"/>
    <w:rsid w:val="00AD4D6E"/>
    <w:rsid w:val="00AD5D6A"/>
    <w:rsid w:val="00AD5EF9"/>
    <w:rsid w:val="00AD63AA"/>
    <w:rsid w:val="00AD67BA"/>
    <w:rsid w:val="00AD7338"/>
    <w:rsid w:val="00AD744F"/>
    <w:rsid w:val="00AD751C"/>
    <w:rsid w:val="00AD7779"/>
    <w:rsid w:val="00AD7D7C"/>
    <w:rsid w:val="00AE003B"/>
    <w:rsid w:val="00AE0286"/>
    <w:rsid w:val="00AE02E3"/>
    <w:rsid w:val="00AE1231"/>
    <w:rsid w:val="00AE168C"/>
    <w:rsid w:val="00AE1C98"/>
    <w:rsid w:val="00AE262D"/>
    <w:rsid w:val="00AE2B11"/>
    <w:rsid w:val="00AE411C"/>
    <w:rsid w:val="00AE45D0"/>
    <w:rsid w:val="00AE4F77"/>
    <w:rsid w:val="00AE5145"/>
    <w:rsid w:val="00AE63D7"/>
    <w:rsid w:val="00AE7340"/>
    <w:rsid w:val="00AF0BB5"/>
    <w:rsid w:val="00AF0C52"/>
    <w:rsid w:val="00AF1197"/>
    <w:rsid w:val="00AF1BBD"/>
    <w:rsid w:val="00AF246E"/>
    <w:rsid w:val="00AF29D5"/>
    <w:rsid w:val="00AF492A"/>
    <w:rsid w:val="00AF4CDE"/>
    <w:rsid w:val="00AF5249"/>
    <w:rsid w:val="00AF53F4"/>
    <w:rsid w:val="00AF542A"/>
    <w:rsid w:val="00AF658F"/>
    <w:rsid w:val="00AF7656"/>
    <w:rsid w:val="00AF794B"/>
    <w:rsid w:val="00B006E0"/>
    <w:rsid w:val="00B007C7"/>
    <w:rsid w:val="00B01219"/>
    <w:rsid w:val="00B03139"/>
    <w:rsid w:val="00B03620"/>
    <w:rsid w:val="00B047B4"/>
    <w:rsid w:val="00B04948"/>
    <w:rsid w:val="00B04C4A"/>
    <w:rsid w:val="00B05249"/>
    <w:rsid w:val="00B052C2"/>
    <w:rsid w:val="00B05633"/>
    <w:rsid w:val="00B0643F"/>
    <w:rsid w:val="00B06FFE"/>
    <w:rsid w:val="00B077F9"/>
    <w:rsid w:val="00B09F47"/>
    <w:rsid w:val="00B10207"/>
    <w:rsid w:val="00B10642"/>
    <w:rsid w:val="00B10E76"/>
    <w:rsid w:val="00B11AC5"/>
    <w:rsid w:val="00B11EAF"/>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5C49"/>
    <w:rsid w:val="00B16417"/>
    <w:rsid w:val="00B16B69"/>
    <w:rsid w:val="00B178E4"/>
    <w:rsid w:val="00B179EE"/>
    <w:rsid w:val="00B17A8F"/>
    <w:rsid w:val="00B17BD0"/>
    <w:rsid w:val="00B17CC4"/>
    <w:rsid w:val="00B17D1F"/>
    <w:rsid w:val="00B20839"/>
    <w:rsid w:val="00B20CD4"/>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36"/>
    <w:rsid w:val="00B31665"/>
    <w:rsid w:val="00B3194B"/>
    <w:rsid w:val="00B31ABA"/>
    <w:rsid w:val="00B31D3C"/>
    <w:rsid w:val="00B326D6"/>
    <w:rsid w:val="00B32895"/>
    <w:rsid w:val="00B32F85"/>
    <w:rsid w:val="00B3344F"/>
    <w:rsid w:val="00B33ADA"/>
    <w:rsid w:val="00B33B44"/>
    <w:rsid w:val="00B343DF"/>
    <w:rsid w:val="00B3466A"/>
    <w:rsid w:val="00B349DD"/>
    <w:rsid w:val="00B351B4"/>
    <w:rsid w:val="00B351FA"/>
    <w:rsid w:val="00B35960"/>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528"/>
    <w:rsid w:val="00B478AA"/>
    <w:rsid w:val="00B50A31"/>
    <w:rsid w:val="00B513F5"/>
    <w:rsid w:val="00B5152D"/>
    <w:rsid w:val="00B51AA7"/>
    <w:rsid w:val="00B52415"/>
    <w:rsid w:val="00B5293D"/>
    <w:rsid w:val="00B534DD"/>
    <w:rsid w:val="00B535AB"/>
    <w:rsid w:val="00B537CA"/>
    <w:rsid w:val="00B5482F"/>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37D1"/>
    <w:rsid w:val="00B63E59"/>
    <w:rsid w:val="00B64F3D"/>
    <w:rsid w:val="00B650FD"/>
    <w:rsid w:val="00B65C59"/>
    <w:rsid w:val="00B65F61"/>
    <w:rsid w:val="00B663AB"/>
    <w:rsid w:val="00B663CB"/>
    <w:rsid w:val="00B665CD"/>
    <w:rsid w:val="00B6735F"/>
    <w:rsid w:val="00B7054D"/>
    <w:rsid w:val="00B710D7"/>
    <w:rsid w:val="00B71768"/>
    <w:rsid w:val="00B72E5C"/>
    <w:rsid w:val="00B73DFA"/>
    <w:rsid w:val="00B74125"/>
    <w:rsid w:val="00B741D6"/>
    <w:rsid w:val="00B7428A"/>
    <w:rsid w:val="00B744B8"/>
    <w:rsid w:val="00B746C7"/>
    <w:rsid w:val="00B749E9"/>
    <w:rsid w:val="00B754FA"/>
    <w:rsid w:val="00B75663"/>
    <w:rsid w:val="00B7570C"/>
    <w:rsid w:val="00B760B6"/>
    <w:rsid w:val="00B765FA"/>
    <w:rsid w:val="00B76A1F"/>
    <w:rsid w:val="00B76A8B"/>
    <w:rsid w:val="00B77482"/>
    <w:rsid w:val="00B778F5"/>
    <w:rsid w:val="00B77C2E"/>
    <w:rsid w:val="00B77CD0"/>
    <w:rsid w:val="00B80A4C"/>
    <w:rsid w:val="00B80A53"/>
    <w:rsid w:val="00B8131D"/>
    <w:rsid w:val="00B823D1"/>
    <w:rsid w:val="00B825C2"/>
    <w:rsid w:val="00B82619"/>
    <w:rsid w:val="00B82883"/>
    <w:rsid w:val="00B82DE0"/>
    <w:rsid w:val="00B83CA6"/>
    <w:rsid w:val="00B83F64"/>
    <w:rsid w:val="00B84016"/>
    <w:rsid w:val="00B84993"/>
    <w:rsid w:val="00B84C00"/>
    <w:rsid w:val="00B85325"/>
    <w:rsid w:val="00B85425"/>
    <w:rsid w:val="00B85FD2"/>
    <w:rsid w:val="00B85FD4"/>
    <w:rsid w:val="00B86683"/>
    <w:rsid w:val="00B86FA5"/>
    <w:rsid w:val="00B872AE"/>
    <w:rsid w:val="00B87806"/>
    <w:rsid w:val="00B879F4"/>
    <w:rsid w:val="00B87EC9"/>
    <w:rsid w:val="00B90941"/>
    <w:rsid w:val="00B91F5D"/>
    <w:rsid w:val="00B934E4"/>
    <w:rsid w:val="00B93640"/>
    <w:rsid w:val="00B93B69"/>
    <w:rsid w:val="00B93FF5"/>
    <w:rsid w:val="00B94C9E"/>
    <w:rsid w:val="00B94D33"/>
    <w:rsid w:val="00B95B66"/>
    <w:rsid w:val="00B96A6B"/>
    <w:rsid w:val="00BA04F6"/>
    <w:rsid w:val="00BA070B"/>
    <w:rsid w:val="00BA0C46"/>
    <w:rsid w:val="00BA12F7"/>
    <w:rsid w:val="00BA13ED"/>
    <w:rsid w:val="00BA18E1"/>
    <w:rsid w:val="00BA1A6D"/>
    <w:rsid w:val="00BA2E21"/>
    <w:rsid w:val="00BA3864"/>
    <w:rsid w:val="00BA4149"/>
    <w:rsid w:val="00BA440C"/>
    <w:rsid w:val="00BA4427"/>
    <w:rsid w:val="00BA4948"/>
    <w:rsid w:val="00BA5137"/>
    <w:rsid w:val="00BA5C68"/>
    <w:rsid w:val="00BA5CF9"/>
    <w:rsid w:val="00BA6BC0"/>
    <w:rsid w:val="00BA6E63"/>
    <w:rsid w:val="00BA7C03"/>
    <w:rsid w:val="00BA7F12"/>
    <w:rsid w:val="00BB0B4D"/>
    <w:rsid w:val="00BB0C7D"/>
    <w:rsid w:val="00BB214C"/>
    <w:rsid w:val="00BB2751"/>
    <w:rsid w:val="00BB2D9E"/>
    <w:rsid w:val="00BB2E56"/>
    <w:rsid w:val="00BB3E67"/>
    <w:rsid w:val="00BB4798"/>
    <w:rsid w:val="00BB4D95"/>
    <w:rsid w:val="00BB5F73"/>
    <w:rsid w:val="00BB6133"/>
    <w:rsid w:val="00BB6691"/>
    <w:rsid w:val="00BB6A96"/>
    <w:rsid w:val="00BB6AE3"/>
    <w:rsid w:val="00BB751A"/>
    <w:rsid w:val="00BC0F45"/>
    <w:rsid w:val="00BC2397"/>
    <w:rsid w:val="00BC24A1"/>
    <w:rsid w:val="00BC2614"/>
    <w:rsid w:val="00BC288C"/>
    <w:rsid w:val="00BC3890"/>
    <w:rsid w:val="00BC38FD"/>
    <w:rsid w:val="00BC3BAD"/>
    <w:rsid w:val="00BC3C53"/>
    <w:rsid w:val="00BC40D7"/>
    <w:rsid w:val="00BC43FF"/>
    <w:rsid w:val="00BC4928"/>
    <w:rsid w:val="00BC4C9E"/>
    <w:rsid w:val="00BC5055"/>
    <w:rsid w:val="00BC58DA"/>
    <w:rsid w:val="00BC58F9"/>
    <w:rsid w:val="00BC5BEC"/>
    <w:rsid w:val="00BC66D0"/>
    <w:rsid w:val="00BC6D3D"/>
    <w:rsid w:val="00BC7A50"/>
    <w:rsid w:val="00BC7E9C"/>
    <w:rsid w:val="00BD1C72"/>
    <w:rsid w:val="00BD1F61"/>
    <w:rsid w:val="00BD2747"/>
    <w:rsid w:val="00BD28F0"/>
    <w:rsid w:val="00BD30D2"/>
    <w:rsid w:val="00BD3EB5"/>
    <w:rsid w:val="00BD4252"/>
    <w:rsid w:val="00BD4760"/>
    <w:rsid w:val="00BD59E5"/>
    <w:rsid w:val="00BD5C98"/>
    <w:rsid w:val="00BD5F91"/>
    <w:rsid w:val="00BD6191"/>
    <w:rsid w:val="00BD62BD"/>
    <w:rsid w:val="00BD68A9"/>
    <w:rsid w:val="00BD6A44"/>
    <w:rsid w:val="00BD7269"/>
    <w:rsid w:val="00BD72C1"/>
    <w:rsid w:val="00BD78E6"/>
    <w:rsid w:val="00BD7C92"/>
    <w:rsid w:val="00BE021A"/>
    <w:rsid w:val="00BE064B"/>
    <w:rsid w:val="00BE0805"/>
    <w:rsid w:val="00BE13DC"/>
    <w:rsid w:val="00BE1AC7"/>
    <w:rsid w:val="00BE246D"/>
    <w:rsid w:val="00BE2586"/>
    <w:rsid w:val="00BE2742"/>
    <w:rsid w:val="00BE2E2B"/>
    <w:rsid w:val="00BE479B"/>
    <w:rsid w:val="00BE47E2"/>
    <w:rsid w:val="00BE4A70"/>
    <w:rsid w:val="00BE511F"/>
    <w:rsid w:val="00BE52B5"/>
    <w:rsid w:val="00BE6240"/>
    <w:rsid w:val="00BE636B"/>
    <w:rsid w:val="00BE6451"/>
    <w:rsid w:val="00BE68FB"/>
    <w:rsid w:val="00BE6D1B"/>
    <w:rsid w:val="00BE6FCB"/>
    <w:rsid w:val="00BE72F5"/>
    <w:rsid w:val="00BE7D5B"/>
    <w:rsid w:val="00BF14DB"/>
    <w:rsid w:val="00BF14F2"/>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26E"/>
    <w:rsid w:val="00C003AD"/>
    <w:rsid w:val="00C00849"/>
    <w:rsid w:val="00C00DFC"/>
    <w:rsid w:val="00C012D1"/>
    <w:rsid w:val="00C01D40"/>
    <w:rsid w:val="00C01DF8"/>
    <w:rsid w:val="00C02231"/>
    <w:rsid w:val="00C02AE3"/>
    <w:rsid w:val="00C02BA1"/>
    <w:rsid w:val="00C02D0B"/>
    <w:rsid w:val="00C02D7C"/>
    <w:rsid w:val="00C030AB"/>
    <w:rsid w:val="00C034CB"/>
    <w:rsid w:val="00C03D13"/>
    <w:rsid w:val="00C041A7"/>
    <w:rsid w:val="00C046C2"/>
    <w:rsid w:val="00C0509B"/>
    <w:rsid w:val="00C051A8"/>
    <w:rsid w:val="00C054BC"/>
    <w:rsid w:val="00C0577C"/>
    <w:rsid w:val="00C059D0"/>
    <w:rsid w:val="00C06049"/>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5C1"/>
    <w:rsid w:val="00C12F3B"/>
    <w:rsid w:val="00C13085"/>
    <w:rsid w:val="00C14033"/>
    <w:rsid w:val="00C149BB"/>
    <w:rsid w:val="00C149C5"/>
    <w:rsid w:val="00C14D0B"/>
    <w:rsid w:val="00C158D4"/>
    <w:rsid w:val="00C1631D"/>
    <w:rsid w:val="00C1640B"/>
    <w:rsid w:val="00C16479"/>
    <w:rsid w:val="00C166D3"/>
    <w:rsid w:val="00C16815"/>
    <w:rsid w:val="00C170C2"/>
    <w:rsid w:val="00C17547"/>
    <w:rsid w:val="00C17897"/>
    <w:rsid w:val="00C17F23"/>
    <w:rsid w:val="00C202E9"/>
    <w:rsid w:val="00C20A29"/>
    <w:rsid w:val="00C21370"/>
    <w:rsid w:val="00C2199B"/>
    <w:rsid w:val="00C21A7C"/>
    <w:rsid w:val="00C22072"/>
    <w:rsid w:val="00C22ACF"/>
    <w:rsid w:val="00C2346D"/>
    <w:rsid w:val="00C23C64"/>
    <w:rsid w:val="00C23D5E"/>
    <w:rsid w:val="00C244B5"/>
    <w:rsid w:val="00C24D55"/>
    <w:rsid w:val="00C256AB"/>
    <w:rsid w:val="00C260E5"/>
    <w:rsid w:val="00C2650A"/>
    <w:rsid w:val="00C267A9"/>
    <w:rsid w:val="00C26D29"/>
    <w:rsid w:val="00C273C7"/>
    <w:rsid w:val="00C30460"/>
    <w:rsid w:val="00C30D93"/>
    <w:rsid w:val="00C312D2"/>
    <w:rsid w:val="00C3136D"/>
    <w:rsid w:val="00C328C9"/>
    <w:rsid w:val="00C3290C"/>
    <w:rsid w:val="00C32B95"/>
    <w:rsid w:val="00C32CD4"/>
    <w:rsid w:val="00C32EF4"/>
    <w:rsid w:val="00C34069"/>
    <w:rsid w:val="00C3440F"/>
    <w:rsid w:val="00C357DB"/>
    <w:rsid w:val="00C35E0A"/>
    <w:rsid w:val="00C36017"/>
    <w:rsid w:val="00C36261"/>
    <w:rsid w:val="00C362A6"/>
    <w:rsid w:val="00C367C9"/>
    <w:rsid w:val="00C368B1"/>
    <w:rsid w:val="00C36AE6"/>
    <w:rsid w:val="00C36C55"/>
    <w:rsid w:val="00C37276"/>
    <w:rsid w:val="00C40052"/>
    <w:rsid w:val="00C4027E"/>
    <w:rsid w:val="00C40489"/>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785"/>
    <w:rsid w:val="00C46B05"/>
    <w:rsid w:val="00C47169"/>
    <w:rsid w:val="00C4722C"/>
    <w:rsid w:val="00C47CF3"/>
    <w:rsid w:val="00C50334"/>
    <w:rsid w:val="00C50BA4"/>
    <w:rsid w:val="00C513F0"/>
    <w:rsid w:val="00C51595"/>
    <w:rsid w:val="00C51666"/>
    <w:rsid w:val="00C51B7C"/>
    <w:rsid w:val="00C52727"/>
    <w:rsid w:val="00C52C84"/>
    <w:rsid w:val="00C5309F"/>
    <w:rsid w:val="00C53F02"/>
    <w:rsid w:val="00C54054"/>
    <w:rsid w:val="00C5785F"/>
    <w:rsid w:val="00C608E3"/>
    <w:rsid w:val="00C60C51"/>
    <w:rsid w:val="00C6131D"/>
    <w:rsid w:val="00C61B63"/>
    <w:rsid w:val="00C61E0D"/>
    <w:rsid w:val="00C6234B"/>
    <w:rsid w:val="00C628BB"/>
    <w:rsid w:val="00C6302B"/>
    <w:rsid w:val="00C63826"/>
    <w:rsid w:val="00C63EAE"/>
    <w:rsid w:val="00C649B7"/>
    <w:rsid w:val="00C64C7A"/>
    <w:rsid w:val="00C656EE"/>
    <w:rsid w:val="00C66195"/>
    <w:rsid w:val="00C6729C"/>
    <w:rsid w:val="00C67434"/>
    <w:rsid w:val="00C677BF"/>
    <w:rsid w:val="00C67962"/>
    <w:rsid w:val="00C7000E"/>
    <w:rsid w:val="00C70868"/>
    <w:rsid w:val="00C70CBE"/>
    <w:rsid w:val="00C70E01"/>
    <w:rsid w:val="00C71263"/>
    <w:rsid w:val="00C715FD"/>
    <w:rsid w:val="00C72366"/>
    <w:rsid w:val="00C72398"/>
    <w:rsid w:val="00C72CDC"/>
    <w:rsid w:val="00C73260"/>
    <w:rsid w:val="00C738B1"/>
    <w:rsid w:val="00C742B2"/>
    <w:rsid w:val="00C74B5F"/>
    <w:rsid w:val="00C74DC4"/>
    <w:rsid w:val="00C7540C"/>
    <w:rsid w:val="00C75978"/>
    <w:rsid w:val="00C7629F"/>
    <w:rsid w:val="00C762F3"/>
    <w:rsid w:val="00C766DB"/>
    <w:rsid w:val="00C768F3"/>
    <w:rsid w:val="00C771BE"/>
    <w:rsid w:val="00C772E9"/>
    <w:rsid w:val="00C7778F"/>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660"/>
    <w:rsid w:val="00C92DD1"/>
    <w:rsid w:val="00C936DC"/>
    <w:rsid w:val="00C939C5"/>
    <w:rsid w:val="00C93C63"/>
    <w:rsid w:val="00C94B4F"/>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F1"/>
    <w:rsid w:val="00CA3A3D"/>
    <w:rsid w:val="00CA3AA6"/>
    <w:rsid w:val="00CA3EF3"/>
    <w:rsid w:val="00CA4092"/>
    <w:rsid w:val="00CA4880"/>
    <w:rsid w:val="00CA4A9E"/>
    <w:rsid w:val="00CA4F3A"/>
    <w:rsid w:val="00CA51FC"/>
    <w:rsid w:val="00CA555C"/>
    <w:rsid w:val="00CA571A"/>
    <w:rsid w:val="00CA6716"/>
    <w:rsid w:val="00CA6C0C"/>
    <w:rsid w:val="00CA77FB"/>
    <w:rsid w:val="00CA793D"/>
    <w:rsid w:val="00CA7942"/>
    <w:rsid w:val="00CB026C"/>
    <w:rsid w:val="00CB0384"/>
    <w:rsid w:val="00CB079C"/>
    <w:rsid w:val="00CB0C67"/>
    <w:rsid w:val="00CB12E8"/>
    <w:rsid w:val="00CB146E"/>
    <w:rsid w:val="00CB169F"/>
    <w:rsid w:val="00CB1AA6"/>
    <w:rsid w:val="00CB27CB"/>
    <w:rsid w:val="00CB2886"/>
    <w:rsid w:val="00CB2B8A"/>
    <w:rsid w:val="00CB3293"/>
    <w:rsid w:val="00CB379B"/>
    <w:rsid w:val="00CB3BF4"/>
    <w:rsid w:val="00CB4074"/>
    <w:rsid w:val="00CB454A"/>
    <w:rsid w:val="00CB4F88"/>
    <w:rsid w:val="00CB5DD0"/>
    <w:rsid w:val="00CB654C"/>
    <w:rsid w:val="00CB703B"/>
    <w:rsid w:val="00CB7813"/>
    <w:rsid w:val="00CC00F8"/>
    <w:rsid w:val="00CC06BA"/>
    <w:rsid w:val="00CC0D19"/>
    <w:rsid w:val="00CC1725"/>
    <w:rsid w:val="00CC1F16"/>
    <w:rsid w:val="00CC2254"/>
    <w:rsid w:val="00CC269A"/>
    <w:rsid w:val="00CC3D6A"/>
    <w:rsid w:val="00CC3ECA"/>
    <w:rsid w:val="00CC420A"/>
    <w:rsid w:val="00CC4407"/>
    <w:rsid w:val="00CC4757"/>
    <w:rsid w:val="00CC4AD9"/>
    <w:rsid w:val="00CC51D4"/>
    <w:rsid w:val="00CC5367"/>
    <w:rsid w:val="00CC5633"/>
    <w:rsid w:val="00CC65DA"/>
    <w:rsid w:val="00CC6C62"/>
    <w:rsid w:val="00CC6D40"/>
    <w:rsid w:val="00CC7D91"/>
    <w:rsid w:val="00CD1043"/>
    <w:rsid w:val="00CD13F3"/>
    <w:rsid w:val="00CD14B9"/>
    <w:rsid w:val="00CD1962"/>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11CC"/>
    <w:rsid w:val="00CE18A4"/>
    <w:rsid w:val="00CE1B77"/>
    <w:rsid w:val="00CE1C13"/>
    <w:rsid w:val="00CE2AA7"/>
    <w:rsid w:val="00CE2F93"/>
    <w:rsid w:val="00CE31D4"/>
    <w:rsid w:val="00CE32E9"/>
    <w:rsid w:val="00CE3A9A"/>
    <w:rsid w:val="00CE3C2A"/>
    <w:rsid w:val="00CE4526"/>
    <w:rsid w:val="00CE4916"/>
    <w:rsid w:val="00CE4EA6"/>
    <w:rsid w:val="00CE51AE"/>
    <w:rsid w:val="00CE5AA0"/>
    <w:rsid w:val="00CE5D54"/>
    <w:rsid w:val="00CE5F1D"/>
    <w:rsid w:val="00CE7E44"/>
    <w:rsid w:val="00CF0103"/>
    <w:rsid w:val="00CF174F"/>
    <w:rsid w:val="00CF18AF"/>
    <w:rsid w:val="00CF18FA"/>
    <w:rsid w:val="00CF21B9"/>
    <w:rsid w:val="00CF2A2D"/>
    <w:rsid w:val="00CF2BEA"/>
    <w:rsid w:val="00CF3182"/>
    <w:rsid w:val="00CF369F"/>
    <w:rsid w:val="00CF5104"/>
    <w:rsid w:val="00CF5914"/>
    <w:rsid w:val="00CF6BF9"/>
    <w:rsid w:val="00CF70BE"/>
    <w:rsid w:val="00CF75DD"/>
    <w:rsid w:val="00D000E4"/>
    <w:rsid w:val="00D00274"/>
    <w:rsid w:val="00D00748"/>
    <w:rsid w:val="00D00A0B"/>
    <w:rsid w:val="00D01485"/>
    <w:rsid w:val="00D02A5C"/>
    <w:rsid w:val="00D0301D"/>
    <w:rsid w:val="00D03745"/>
    <w:rsid w:val="00D03800"/>
    <w:rsid w:val="00D03EF8"/>
    <w:rsid w:val="00D03F97"/>
    <w:rsid w:val="00D04F3D"/>
    <w:rsid w:val="00D065D3"/>
    <w:rsid w:val="00D06B96"/>
    <w:rsid w:val="00D0710C"/>
    <w:rsid w:val="00D0751F"/>
    <w:rsid w:val="00D0784F"/>
    <w:rsid w:val="00D10C65"/>
    <w:rsid w:val="00D10DD2"/>
    <w:rsid w:val="00D11C4B"/>
    <w:rsid w:val="00D11F46"/>
    <w:rsid w:val="00D11F87"/>
    <w:rsid w:val="00D12AEC"/>
    <w:rsid w:val="00D13799"/>
    <w:rsid w:val="00D139EE"/>
    <w:rsid w:val="00D14142"/>
    <w:rsid w:val="00D1486D"/>
    <w:rsid w:val="00D14B0D"/>
    <w:rsid w:val="00D14C94"/>
    <w:rsid w:val="00D15D61"/>
    <w:rsid w:val="00D169BF"/>
    <w:rsid w:val="00D1712E"/>
    <w:rsid w:val="00D1727A"/>
    <w:rsid w:val="00D17291"/>
    <w:rsid w:val="00D17351"/>
    <w:rsid w:val="00D1785B"/>
    <w:rsid w:val="00D17B22"/>
    <w:rsid w:val="00D20068"/>
    <w:rsid w:val="00D200B5"/>
    <w:rsid w:val="00D20845"/>
    <w:rsid w:val="00D20C48"/>
    <w:rsid w:val="00D215E1"/>
    <w:rsid w:val="00D21DF3"/>
    <w:rsid w:val="00D220B4"/>
    <w:rsid w:val="00D229B4"/>
    <w:rsid w:val="00D22C00"/>
    <w:rsid w:val="00D22FDD"/>
    <w:rsid w:val="00D23047"/>
    <w:rsid w:val="00D231C8"/>
    <w:rsid w:val="00D23745"/>
    <w:rsid w:val="00D242E2"/>
    <w:rsid w:val="00D2539F"/>
    <w:rsid w:val="00D256FA"/>
    <w:rsid w:val="00D25F2C"/>
    <w:rsid w:val="00D26D63"/>
    <w:rsid w:val="00D27672"/>
    <w:rsid w:val="00D27F49"/>
    <w:rsid w:val="00D30192"/>
    <w:rsid w:val="00D30AB5"/>
    <w:rsid w:val="00D30CE1"/>
    <w:rsid w:val="00D31C4A"/>
    <w:rsid w:val="00D32F3E"/>
    <w:rsid w:val="00D32F94"/>
    <w:rsid w:val="00D33C0E"/>
    <w:rsid w:val="00D3421B"/>
    <w:rsid w:val="00D342A6"/>
    <w:rsid w:val="00D343C4"/>
    <w:rsid w:val="00D34440"/>
    <w:rsid w:val="00D3458A"/>
    <w:rsid w:val="00D35642"/>
    <w:rsid w:val="00D35A33"/>
    <w:rsid w:val="00D3636B"/>
    <w:rsid w:val="00D36A6A"/>
    <w:rsid w:val="00D36C6E"/>
    <w:rsid w:val="00D37634"/>
    <w:rsid w:val="00D37CA3"/>
    <w:rsid w:val="00D400F9"/>
    <w:rsid w:val="00D40F41"/>
    <w:rsid w:val="00D41024"/>
    <w:rsid w:val="00D424A2"/>
    <w:rsid w:val="00D428AA"/>
    <w:rsid w:val="00D42F4A"/>
    <w:rsid w:val="00D43F15"/>
    <w:rsid w:val="00D443BE"/>
    <w:rsid w:val="00D443CC"/>
    <w:rsid w:val="00D44B70"/>
    <w:rsid w:val="00D44D1E"/>
    <w:rsid w:val="00D4575D"/>
    <w:rsid w:val="00D45801"/>
    <w:rsid w:val="00D45CA6"/>
    <w:rsid w:val="00D464BF"/>
    <w:rsid w:val="00D46635"/>
    <w:rsid w:val="00D46E00"/>
    <w:rsid w:val="00D46EAD"/>
    <w:rsid w:val="00D47A86"/>
    <w:rsid w:val="00D47FA5"/>
    <w:rsid w:val="00D502A3"/>
    <w:rsid w:val="00D50AF0"/>
    <w:rsid w:val="00D524B1"/>
    <w:rsid w:val="00D52BDB"/>
    <w:rsid w:val="00D5356B"/>
    <w:rsid w:val="00D53E26"/>
    <w:rsid w:val="00D54357"/>
    <w:rsid w:val="00D54BD4"/>
    <w:rsid w:val="00D5501A"/>
    <w:rsid w:val="00D553D3"/>
    <w:rsid w:val="00D557EE"/>
    <w:rsid w:val="00D55FD3"/>
    <w:rsid w:val="00D56B71"/>
    <w:rsid w:val="00D56C71"/>
    <w:rsid w:val="00D57074"/>
    <w:rsid w:val="00D57124"/>
    <w:rsid w:val="00D57575"/>
    <w:rsid w:val="00D60BCE"/>
    <w:rsid w:val="00D60C62"/>
    <w:rsid w:val="00D60EE3"/>
    <w:rsid w:val="00D60EE7"/>
    <w:rsid w:val="00D61986"/>
    <w:rsid w:val="00D61A48"/>
    <w:rsid w:val="00D624AA"/>
    <w:rsid w:val="00D62F75"/>
    <w:rsid w:val="00D630BE"/>
    <w:rsid w:val="00D6322D"/>
    <w:rsid w:val="00D63517"/>
    <w:rsid w:val="00D65A49"/>
    <w:rsid w:val="00D65EA0"/>
    <w:rsid w:val="00D65EBE"/>
    <w:rsid w:val="00D665F0"/>
    <w:rsid w:val="00D66A81"/>
    <w:rsid w:val="00D66CA8"/>
    <w:rsid w:val="00D70D34"/>
    <w:rsid w:val="00D70DC9"/>
    <w:rsid w:val="00D70E31"/>
    <w:rsid w:val="00D70FA3"/>
    <w:rsid w:val="00D711B2"/>
    <w:rsid w:val="00D711C5"/>
    <w:rsid w:val="00D72A7A"/>
    <w:rsid w:val="00D72DA3"/>
    <w:rsid w:val="00D7302D"/>
    <w:rsid w:val="00D735BD"/>
    <w:rsid w:val="00D75106"/>
    <w:rsid w:val="00D755F8"/>
    <w:rsid w:val="00D76752"/>
    <w:rsid w:val="00D77688"/>
    <w:rsid w:val="00D77B9E"/>
    <w:rsid w:val="00D8043F"/>
    <w:rsid w:val="00D80514"/>
    <w:rsid w:val="00D80618"/>
    <w:rsid w:val="00D8099D"/>
    <w:rsid w:val="00D80B1E"/>
    <w:rsid w:val="00D80BC1"/>
    <w:rsid w:val="00D80C90"/>
    <w:rsid w:val="00D80C9F"/>
    <w:rsid w:val="00D82487"/>
    <w:rsid w:val="00D829B1"/>
    <w:rsid w:val="00D82D1A"/>
    <w:rsid w:val="00D8360F"/>
    <w:rsid w:val="00D8377A"/>
    <w:rsid w:val="00D84D15"/>
    <w:rsid w:val="00D85092"/>
    <w:rsid w:val="00D851A4"/>
    <w:rsid w:val="00D85297"/>
    <w:rsid w:val="00D85B77"/>
    <w:rsid w:val="00D86FA2"/>
    <w:rsid w:val="00D87054"/>
    <w:rsid w:val="00D87308"/>
    <w:rsid w:val="00D87DCA"/>
    <w:rsid w:val="00D87FDD"/>
    <w:rsid w:val="00D9080F"/>
    <w:rsid w:val="00D91382"/>
    <w:rsid w:val="00D91E04"/>
    <w:rsid w:val="00D920F4"/>
    <w:rsid w:val="00D921BE"/>
    <w:rsid w:val="00D92B54"/>
    <w:rsid w:val="00D94CCE"/>
    <w:rsid w:val="00D95055"/>
    <w:rsid w:val="00D95AA4"/>
    <w:rsid w:val="00D95BDE"/>
    <w:rsid w:val="00D95F6B"/>
    <w:rsid w:val="00D95FED"/>
    <w:rsid w:val="00D96490"/>
    <w:rsid w:val="00D964EE"/>
    <w:rsid w:val="00D979E4"/>
    <w:rsid w:val="00D97E3A"/>
    <w:rsid w:val="00D97E45"/>
    <w:rsid w:val="00DA01B6"/>
    <w:rsid w:val="00DA0339"/>
    <w:rsid w:val="00DA1377"/>
    <w:rsid w:val="00DA15DB"/>
    <w:rsid w:val="00DA206F"/>
    <w:rsid w:val="00DA2573"/>
    <w:rsid w:val="00DA2C21"/>
    <w:rsid w:val="00DA3BBD"/>
    <w:rsid w:val="00DA3E12"/>
    <w:rsid w:val="00DA3E95"/>
    <w:rsid w:val="00DA42C5"/>
    <w:rsid w:val="00DA59D4"/>
    <w:rsid w:val="00DA5ADC"/>
    <w:rsid w:val="00DA6172"/>
    <w:rsid w:val="00DA61AD"/>
    <w:rsid w:val="00DA61BD"/>
    <w:rsid w:val="00DA653F"/>
    <w:rsid w:val="00DA6B2C"/>
    <w:rsid w:val="00DA6EF0"/>
    <w:rsid w:val="00DA78EC"/>
    <w:rsid w:val="00DA7CAD"/>
    <w:rsid w:val="00DA7D58"/>
    <w:rsid w:val="00DA7D8B"/>
    <w:rsid w:val="00DB020A"/>
    <w:rsid w:val="00DB182C"/>
    <w:rsid w:val="00DB1A7F"/>
    <w:rsid w:val="00DB2582"/>
    <w:rsid w:val="00DB2A08"/>
    <w:rsid w:val="00DB390F"/>
    <w:rsid w:val="00DB3AC1"/>
    <w:rsid w:val="00DB4001"/>
    <w:rsid w:val="00DB418B"/>
    <w:rsid w:val="00DB4459"/>
    <w:rsid w:val="00DB49CD"/>
    <w:rsid w:val="00DB4E83"/>
    <w:rsid w:val="00DB5402"/>
    <w:rsid w:val="00DB5C34"/>
    <w:rsid w:val="00DB5DF7"/>
    <w:rsid w:val="00DB606F"/>
    <w:rsid w:val="00DB62A2"/>
    <w:rsid w:val="00DB661A"/>
    <w:rsid w:val="00DB77DF"/>
    <w:rsid w:val="00DB7EFC"/>
    <w:rsid w:val="00DB7F6D"/>
    <w:rsid w:val="00DC02C0"/>
    <w:rsid w:val="00DC0BAE"/>
    <w:rsid w:val="00DC0F46"/>
    <w:rsid w:val="00DC1278"/>
    <w:rsid w:val="00DC1326"/>
    <w:rsid w:val="00DC1841"/>
    <w:rsid w:val="00DC1A80"/>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A1"/>
    <w:rsid w:val="00DC4BB6"/>
    <w:rsid w:val="00DC50EB"/>
    <w:rsid w:val="00DC5A2E"/>
    <w:rsid w:val="00DC5A3D"/>
    <w:rsid w:val="00DC61DA"/>
    <w:rsid w:val="00DC6C6E"/>
    <w:rsid w:val="00DC6E50"/>
    <w:rsid w:val="00DC70A4"/>
    <w:rsid w:val="00DC756E"/>
    <w:rsid w:val="00DC7B09"/>
    <w:rsid w:val="00DD06E0"/>
    <w:rsid w:val="00DD096C"/>
    <w:rsid w:val="00DD1336"/>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3078"/>
    <w:rsid w:val="00DE3611"/>
    <w:rsid w:val="00DE3C62"/>
    <w:rsid w:val="00DE3D6D"/>
    <w:rsid w:val="00DE3E82"/>
    <w:rsid w:val="00DE481D"/>
    <w:rsid w:val="00DE4ACD"/>
    <w:rsid w:val="00DE5C92"/>
    <w:rsid w:val="00DE5F5F"/>
    <w:rsid w:val="00DE6A84"/>
    <w:rsid w:val="00DE6EDF"/>
    <w:rsid w:val="00DE74ED"/>
    <w:rsid w:val="00DE78BB"/>
    <w:rsid w:val="00DE78F6"/>
    <w:rsid w:val="00DE7A52"/>
    <w:rsid w:val="00DE7B7E"/>
    <w:rsid w:val="00DF004C"/>
    <w:rsid w:val="00DF090C"/>
    <w:rsid w:val="00DF0BF0"/>
    <w:rsid w:val="00DF0D16"/>
    <w:rsid w:val="00DF186D"/>
    <w:rsid w:val="00DF1CB4"/>
    <w:rsid w:val="00DF2700"/>
    <w:rsid w:val="00DF2AE3"/>
    <w:rsid w:val="00DF36F2"/>
    <w:rsid w:val="00DF3955"/>
    <w:rsid w:val="00DF3CA2"/>
    <w:rsid w:val="00DF4B14"/>
    <w:rsid w:val="00DF5570"/>
    <w:rsid w:val="00DF573E"/>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3B99"/>
    <w:rsid w:val="00E04054"/>
    <w:rsid w:val="00E04B1A"/>
    <w:rsid w:val="00E04F2F"/>
    <w:rsid w:val="00E052C8"/>
    <w:rsid w:val="00E054BF"/>
    <w:rsid w:val="00E05E0A"/>
    <w:rsid w:val="00E060BE"/>
    <w:rsid w:val="00E062E2"/>
    <w:rsid w:val="00E06680"/>
    <w:rsid w:val="00E06C38"/>
    <w:rsid w:val="00E06E35"/>
    <w:rsid w:val="00E10452"/>
    <w:rsid w:val="00E10472"/>
    <w:rsid w:val="00E10E29"/>
    <w:rsid w:val="00E132C7"/>
    <w:rsid w:val="00E147B1"/>
    <w:rsid w:val="00E148E1"/>
    <w:rsid w:val="00E149A0"/>
    <w:rsid w:val="00E14D0E"/>
    <w:rsid w:val="00E150B6"/>
    <w:rsid w:val="00E151C6"/>
    <w:rsid w:val="00E1545B"/>
    <w:rsid w:val="00E16AAC"/>
    <w:rsid w:val="00E16C51"/>
    <w:rsid w:val="00E172D4"/>
    <w:rsid w:val="00E17A09"/>
    <w:rsid w:val="00E20393"/>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608"/>
    <w:rsid w:val="00E27ABE"/>
    <w:rsid w:val="00E30643"/>
    <w:rsid w:val="00E3077C"/>
    <w:rsid w:val="00E3092E"/>
    <w:rsid w:val="00E33D23"/>
    <w:rsid w:val="00E3419F"/>
    <w:rsid w:val="00E348B6"/>
    <w:rsid w:val="00E35613"/>
    <w:rsid w:val="00E36456"/>
    <w:rsid w:val="00E3651B"/>
    <w:rsid w:val="00E371CE"/>
    <w:rsid w:val="00E4023E"/>
    <w:rsid w:val="00E40697"/>
    <w:rsid w:val="00E40B05"/>
    <w:rsid w:val="00E42114"/>
    <w:rsid w:val="00E4302C"/>
    <w:rsid w:val="00E43C3B"/>
    <w:rsid w:val="00E43F74"/>
    <w:rsid w:val="00E442C8"/>
    <w:rsid w:val="00E44594"/>
    <w:rsid w:val="00E44D6B"/>
    <w:rsid w:val="00E45320"/>
    <w:rsid w:val="00E45CC3"/>
    <w:rsid w:val="00E460E3"/>
    <w:rsid w:val="00E461B8"/>
    <w:rsid w:val="00E474A8"/>
    <w:rsid w:val="00E4771A"/>
    <w:rsid w:val="00E47A98"/>
    <w:rsid w:val="00E47BC6"/>
    <w:rsid w:val="00E512DA"/>
    <w:rsid w:val="00E521C9"/>
    <w:rsid w:val="00E52E7A"/>
    <w:rsid w:val="00E534CF"/>
    <w:rsid w:val="00E538D3"/>
    <w:rsid w:val="00E53F6F"/>
    <w:rsid w:val="00E54C9E"/>
    <w:rsid w:val="00E553F7"/>
    <w:rsid w:val="00E5588D"/>
    <w:rsid w:val="00E568C9"/>
    <w:rsid w:val="00E56D4F"/>
    <w:rsid w:val="00E56FEA"/>
    <w:rsid w:val="00E57794"/>
    <w:rsid w:val="00E60997"/>
    <w:rsid w:val="00E609EA"/>
    <w:rsid w:val="00E613E8"/>
    <w:rsid w:val="00E61918"/>
    <w:rsid w:val="00E61B7A"/>
    <w:rsid w:val="00E62A11"/>
    <w:rsid w:val="00E62B27"/>
    <w:rsid w:val="00E636A4"/>
    <w:rsid w:val="00E63D66"/>
    <w:rsid w:val="00E642FB"/>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939"/>
    <w:rsid w:val="00E71DEE"/>
    <w:rsid w:val="00E71EE0"/>
    <w:rsid w:val="00E72226"/>
    <w:rsid w:val="00E72262"/>
    <w:rsid w:val="00E72EDC"/>
    <w:rsid w:val="00E7329D"/>
    <w:rsid w:val="00E739C2"/>
    <w:rsid w:val="00E73CF4"/>
    <w:rsid w:val="00E73D71"/>
    <w:rsid w:val="00E76552"/>
    <w:rsid w:val="00E770BB"/>
    <w:rsid w:val="00E77C52"/>
    <w:rsid w:val="00E80AA0"/>
    <w:rsid w:val="00E80DF9"/>
    <w:rsid w:val="00E81AA5"/>
    <w:rsid w:val="00E81CB4"/>
    <w:rsid w:val="00E82601"/>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0773"/>
    <w:rsid w:val="00EA1DA9"/>
    <w:rsid w:val="00EA1EB0"/>
    <w:rsid w:val="00EA20BE"/>
    <w:rsid w:val="00EA2B2E"/>
    <w:rsid w:val="00EA3193"/>
    <w:rsid w:val="00EA396E"/>
    <w:rsid w:val="00EA3F15"/>
    <w:rsid w:val="00EA4604"/>
    <w:rsid w:val="00EA55D5"/>
    <w:rsid w:val="00EA594B"/>
    <w:rsid w:val="00EA5C47"/>
    <w:rsid w:val="00EA5CB1"/>
    <w:rsid w:val="00EA5E52"/>
    <w:rsid w:val="00EA5F40"/>
    <w:rsid w:val="00EA69C9"/>
    <w:rsid w:val="00EA7847"/>
    <w:rsid w:val="00EA7BB7"/>
    <w:rsid w:val="00EB14C7"/>
    <w:rsid w:val="00EB16F4"/>
    <w:rsid w:val="00EB219D"/>
    <w:rsid w:val="00EB29E1"/>
    <w:rsid w:val="00EB2AD3"/>
    <w:rsid w:val="00EB2F92"/>
    <w:rsid w:val="00EB352A"/>
    <w:rsid w:val="00EB3569"/>
    <w:rsid w:val="00EB3C12"/>
    <w:rsid w:val="00EB3D1E"/>
    <w:rsid w:val="00EB432F"/>
    <w:rsid w:val="00EB4419"/>
    <w:rsid w:val="00EB4453"/>
    <w:rsid w:val="00EB4A38"/>
    <w:rsid w:val="00EB4C2F"/>
    <w:rsid w:val="00EB5054"/>
    <w:rsid w:val="00EB571F"/>
    <w:rsid w:val="00EB6E9E"/>
    <w:rsid w:val="00EC0085"/>
    <w:rsid w:val="00EC143C"/>
    <w:rsid w:val="00EC1D19"/>
    <w:rsid w:val="00EC24EC"/>
    <w:rsid w:val="00EC2908"/>
    <w:rsid w:val="00EC2AFB"/>
    <w:rsid w:val="00EC2CB6"/>
    <w:rsid w:val="00EC32DA"/>
    <w:rsid w:val="00EC4F55"/>
    <w:rsid w:val="00EC5439"/>
    <w:rsid w:val="00EC5451"/>
    <w:rsid w:val="00EC56E8"/>
    <w:rsid w:val="00EC5748"/>
    <w:rsid w:val="00EC57F4"/>
    <w:rsid w:val="00EC5A4B"/>
    <w:rsid w:val="00EC688C"/>
    <w:rsid w:val="00ED00D3"/>
    <w:rsid w:val="00ED0150"/>
    <w:rsid w:val="00ED083E"/>
    <w:rsid w:val="00ED0A96"/>
    <w:rsid w:val="00ED0D19"/>
    <w:rsid w:val="00ED130C"/>
    <w:rsid w:val="00ED1943"/>
    <w:rsid w:val="00ED1945"/>
    <w:rsid w:val="00ED1C48"/>
    <w:rsid w:val="00ED1D47"/>
    <w:rsid w:val="00ED1E94"/>
    <w:rsid w:val="00ED27EE"/>
    <w:rsid w:val="00ED29E0"/>
    <w:rsid w:val="00ED2A72"/>
    <w:rsid w:val="00ED2AFF"/>
    <w:rsid w:val="00ED2CB1"/>
    <w:rsid w:val="00ED2D4C"/>
    <w:rsid w:val="00ED31EA"/>
    <w:rsid w:val="00ED3251"/>
    <w:rsid w:val="00ED39AA"/>
    <w:rsid w:val="00ED3DCD"/>
    <w:rsid w:val="00ED4800"/>
    <w:rsid w:val="00ED4F3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DF4"/>
    <w:rsid w:val="00EE5E86"/>
    <w:rsid w:val="00EE5FCC"/>
    <w:rsid w:val="00EE62C0"/>
    <w:rsid w:val="00EE64AA"/>
    <w:rsid w:val="00EE64CE"/>
    <w:rsid w:val="00EE67C5"/>
    <w:rsid w:val="00EE6C64"/>
    <w:rsid w:val="00EE76C0"/>
    <w:rsid w:val="00EE7D43"/>
    <w:rsid w:val="00EF0398"/>
    <w:rsid w:val="00EF046A"/>
    <w:rsid w:val="00EF056A"/>
    <w:rsid w:val="00EF2548"/>
    <w:rsid w:val="00EF2F83"/>
    <w:rsid w:val="00EF3279"/>
    <w:rsid w:val="00EF3320"/>
    <w:rsid w:val="00EF363D"/>
    <w:rsid w:val="00EF4281"/>
    <w:rsid w:val="00EF50B9"/>
    <w:rsid w:val="00EF521A"/>
    <w:rsid w:val="00EF55A2"/>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C81"/>
    <w:rsid w:val="00F03DD7"/>
    <w:rsid w:val="00F04122"/>
    <w:rsid w:val="00F044B6"/>
    <w:rsid w:val="00F045A9"/>
    <w:rsid w:val="00F04810"/>
    <w:rsid w:val="00F04C6A"/>
    <w:rsid w:val="00F04C88"/>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8E"/>
    <w:rsid w:val="00F144BE"/>
    <w:rsid w:val="00F14C30"/>
    <w:rsid w:val="00F1521A"/>
    <w:rsid w:val="00F15DBE"/>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33"/>
    <w:rsid w:val="00F304FE"/>
    <w:rsid w:val="00F30572"/>
    <w:rsid w:val="00F31249"/>
    <w:rsid w:val="00F3147E"/>
    <w:rsid w:val="00F3199B"/>
    <w:rsid w:val="00F320B2"/>
    <w:rsid w:val="00F328F0"/>
    <w:rsid w:val="00F32E67"/>
    <w:rsid w:val="00F33C6F"/>
    <w:rsid w:val="00F33E68"/>
    <w:rsid w:val="00F3467E"/>
    <w:rsid w:val="00F35276"/>
    <w:rsid w:val="00F35D5E"/>
    <w:rsid w:val="00F35F07"/>
    <w:rsid w:val="00F364F2"/>
    <w:rsid w:val="00F36702"/>
    <w:rsid w:val="00F36AF0"/>
    <w:rsid w:val="00F37413"/>
    <w:rsid w:val="00F37441"/>
    <w:rsid w:val="00F37A1B"/>
    <w:rsid w:val="00F37A39"/>
    <w:rsid w:val="00F40882"/>
    <w:rsid w:val="00F40F88"/>
    <w:rsid w:val="00F422D6"/>
    <w:rsid w:val="00F43599"/>
    <w:rsid w:val="00F43881"/>
    <w:rsid w:val="00F43C5D"/>
    <w:rsid w:val="00F44393"/>
    <w:rsid w:val="00F4555D"/>
    <w:rsid w:val="00F458AF"/>
    <w:rsid w:val="00F46071"/>
    <w:rsid w:val="00F46727"/>
    <w:rsid w:val="00F46780"/>
    <w:rsid w:val="00F4794F"/>
    <w:rsid w:val="00F47F49"/>
    <w:rsid w:val="00F47FF2"/>
    <w:rsid w:val="00F50305"/>
    <w:rsid w:val="00F50396"/>
    <w:rsid w:val="00F50AC4"/>
    <w:rsid w:val="00F51218"/>
    <w:rsid w:val="00F51A86"/>
    <w:rsid w:val="00F51C53"/>
    <w:rsid w:val="00F52701"/>
    <w:rsid w:val="00F532BA"/>
    <w:rsid w:val="00F53489"/>
    <w:rsid w:val="00F54493"/>
    <w:rsid w:val="00F55274"/>
    <w:rsid w:val="00F5566F"/>
    <w:rsid w:val="00F559EF"/>
    <w:rsid w:val="00F55A19"/>
    <w:rsid w:val="00F56125"/>
    <w:rsid w:val="00F564F9"/>
    <w:rsid w:val="00F569F1"/>
    <w:rsid w:val="00F56BA9"/>
    <w:rsid w:val="00F5737F"/>
    <w:rsid w:val="00F57709"/>
    <w:rsid w:val="00F57CCB"/>
    <w:rsid w:val="00F6004A"/>
    <w:rsid w:val="00F600D4"/>
    <w:rsid w:val="00F602B8"/>
    <w:rsid w:val="00F60485"/>
    <w:rsid w:val="00F61CAC"/>
    <w:rsid w:val="00F6205E"/>
    <w:rsid w:val="00F6297F"/>
    <w:rsid w:val="00F62A1B"/>
    <w:rsid w:val="00F6373B"/>
    <w:rsid w:val="00F64373"/>
    <w:rsid w:val="00F64A44"/>
    <w:rsid w:val="00F64A85"/>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129"/>
    <w:rsid w:val="00F80317"/>
    <w:rsid w:val="00F80CE0"/>
    <w:rsid w:val="00F80E82"/>
    <w:rsid w:val="00F81043"/>
    <w:rsid w:val="00F8167D"/>
    <w:rsid w:val="00F81982"/>
    <w:rsid w:val="00F82110"/>
    <w:rsid w:val="00F821A3"/>
    <w:rsid w:val="00F82C05"/>
    <w:rsid w:val="00F82FBB"/>
    <w:rsid w:val="00F83093"/>
    <w:rsid w:val="00F83414"/>
    <w:rsid w:val="00F83735"/>
    <w:rsid w:val="00F8384D"/>
    <w:rsid w:val="00F838CC"/>
    <w:rsid w:val="00F83973"/>
    <w:rsid w:val="00F83CCC"/>
    <w:rsid w:val="00F83FD1"/>
    <w:rsid w:val="00F84316"/>
    <w:rsid w:val="00F8437A"/>
    <w:rsid w:val="00F84552"/>
    <w:rsid w:val="00F84A0C"/>
    <w:rsid w:val="00F84A6D"/>
    <w:rsid w:val="00F84B69"/>
    <w:rsid w:val="00F84C8C"/>
    <w:rsid w:val="00F85CC3"/>
    <w:rsid w:val="00F86162"/>
    <w:rsid w:val="00F8620B"/>
    <w:rsid w:val="00F90D7E"/>
    <w:rsid w:val="00F91043"/>
    <w:rsid w:val="00F9198C"/>
    <w:rsid w:val="00F91C11"/>
    <w:rsid w:val="00F9246F"/>
    <w:rsid w:val="00F9309A"/>
    <w:rsid w:val="00F9314A"/>
    <w:rsid w:val="00F93529"/>
    <w:rsid w:val="00F93CC0"/>
    <w:rsid w:val="00F940B2"/>
    <w:rsid w:val="00F9422A"/>
    <w:rsid w:val="00F94902"/>
    <w:rsid w:val="00F9543A"/>
    <w:rsid w:val="00F95AF6"/>
    <w:rsid w:val="00F95D08"/>
    <w:rsid w:val="00F9670D"/>
    <w:rsid w:val="00F97290"/>
    <w:rsid w:val="00F9742E"/>
    <w:rsid w:val="00FA0181"/>
    <w:rsid w:val="00FA05A7"/>
    <w:rsid w:val="00FA075E"/>
    <w:rsid w:val="00FA0833"/>
    <w:rsid w:val="00FA0F50"/>
    <w:rsid w:val="00FA12E8"/>
    <w:rsid w:val="00FA1462"/>
    <w:rsid w:val="00FA1AED"/>
    <w:rsid w:val="00FA3C92"/>
    <w:rsid w:val="00FA469B"/>
    <w:rsid w:val="00FA4FE3"/>
    <w:rsid w:val="00FA5BD7"/>
    <w:rsid w:val="00FA61D8"/>
    <w:rsid w:val="00FA631B"/>
    <w:rsid w:val="00FA6419"/>
    <w:rsid w:val="00FA6E4C"/>
    <w:rsid w:val="00FA727F"/>
    <w:rsid w:val="00FA75C4"/>
    <w:rsid w:val="00FA75EC"/>
    <w:rsid w:val="00FA7C64"/>
    <w:rsid w:val="00FA7EEE"/>
    <w:rsid w:val="00FA7FEE"/>
    <w:rsid w:val="00FB0D86"/>
    <w:rsid w:val="00FB0EC0"/>
    <w:rsid w:val="00FB0FCD"/>
    <w:rsid w:val="00FB19E8"/>
    <w:rsid w:val="00FB1DA9"/>
    <w:rsid w:val="00FB246A"/>
    <w:rsid w:val="00FB24A5"/>
    <w:rsid w:val="00FB26FD"/>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6C8"/>
    <w:rsid w:val="00FC4B39"/>
    <w:rsid w:val="00FC4BFD"/>
    <w:rsid w:val="00FC524D"/>
    <w:rsid w:val="00FC5798"/>
    <w:rsid w:val="00FC58EF"/>
    <w:rsid w:val="00FC59C9"/>
    <w:rsid w:val="00FC5ADC"/>
    <w:rsid w:val="00FC64D4"/>
    <w:rsid w:val="00FC66B8"/>
    <w:rsid w:val="00FC6844"/>
    <w:rsid w:val="00FC783B"/>
    <w:rsid w:val="00FC786D"/>
    <w:rsid w:val="00FC7C87"/>
    <w:rsid w:val="00FD00D3"/>
    <w:rsid w:val="00FD08DE"/>
    <w:rsid w:val="00FD1049"/>
    <w:rsid w:val="00FD120A"/>
    <w:rsid w:val="00FD1785"/>
    <w:rsid w:val="00FD2588"/>
    <w:rsid w:val="00FD2C48"/>
    <w:rsid w:val="00FD2D52"/>
    <w:rsid w:val="00FD2FC1"/>
    <w:rsid w:val="00FD30C0"/>
    <w:rsid w:val="00FD3149"/>
    <w:rsid w:val="00FD33DF"/>
    <w:rsid w:val="00FD3CBE"/>
    <w:rsid w:val="00FD3FF4"/>
    <w:rsid w:val="00FD5320"/>
    <w:rsid w:val="00FD5668"/>
    <w:rsid w:val="00FD68BA"/>
    <w:rsid w:val="00FD69A5"/>
    <w:rsid w:val="00FD6ADE"/>
    <w:rsid w:val="00FD7A3E"/>
    <w:rsid w:val="00FD7AA3"/>
    <w:rsid w:val="00FD7C71"/>
    <w:rsid w:val="00FE0E01"/>
    <w:rsid w:val="00FE0F2D"/>
    <w:rsid w:val="00FE1031"/>
    <w:rsid w:val="00FE1A12"/>
    <w:rsid w:val="00FE2545"/>
    <w:rsid w:val="00FE2A21"/>
    <w:rsid w:val="00FE3045"/>
    <w:rsid w:val="00FE304A"/>
    <w:rsid w:val="00FE3697"/>
    <w:rsid w:val="00FE38A0"/>
    <w:rsid w:val="00FE39D7"/>
    <w:rsid w:val="00FE4072"/>
    <w:rsid w:val="00FE460F"/>
    <w:rsid w:val="00FE4A21"/>
    <w:rsid w:val="00FE4ECD"/>
    <w:rsid w:val="00FE6205"/>
    <w:rsid w:val="00FE67AD"/>
    <w:rsid w:val="00FE768A"/>
    <w:rsid w:val="00FE771C"/>
    <w:rsid w:val="00FE7EAA"/>
    <w:rsid w:val="00FF03E3"/>
    <w:rsid w:val="00FF0A41"/>
    <w:rsid w:val="00FF0B96"/>
    <w:rsid w:val="00FF0DBB"/>
    <w:rsid w:val="00FF2233"/>
    <w:rsid w:val="00FF2292"/>
    <w:rsid w:val="00FF2D46"/>
    <w:rsid w:val="00FF3040"/>
    <w:rsid w:val="00FF3185"/>
    <w:rsid w:val="00FF3345"/>
    <w:rsid w:val="00FF33B3"/>
    <w:rsid w:val="00FF4689"/>
    <w:rsid w:val="00FF4760"/>
    <w:rsid w:val="00FF4827"/>
    <w:rsid w:val="00FF5DAB"/>
    <w:rsid w:val="00FF5EAA"/>
    <w:rsid w:val="00FF5FDC"/>
    <w:rsid w:val="00FF63C3"/>
    <w:rsid w:val="00FF67D7"/>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06B2A7"/>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081B0B"/>
    <w:rsid w:val="184CF2C1"/>
    <w:rsid w:val="191C3DA7"/>
    <w:rsid w:val="19B4A4EF"/>
    <w:rsid w:val="19C4B739"/>
    <w:rsid w:val="19C764A8"/>
    <w:rsid w:val="1A030C72"/>
    <w:rsid w:val="1A15A53A"/>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2F840464"/>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594AB4"/>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101752D8-090F-4145-897B-E386CECC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49896297">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9f6219-a73f-4366-a00d-6bacb1e9f8e0">
      <UserInfo>
        <DisplayName>Magaly Echeverria</DisplayName>
        <AccountId>255</AccountId>
        <AccountType/>
      </UserInfo>
      <UserInfo>
        <DisplayName>Olga Estella Ramirez Yaima</DisplayName>
        <AccountId>39</AccountId>
        <AccountType/>
      </UserInfo>
    </SharedWithUsers>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6" ma:contentTypeDescription="Crear nuevo documento." ma:contentTypeScope="" ma:versionID="13076a68df2083955cc70d4b5a9e2431">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a61ca010b17a0e50eab64f3de34bd6b"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customXml/itemProps2.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3.xml><?xml version="1.0" encoding="utf-8"?>
<ds:datastoreItem xmlns:ds="http://schemas.openxmlformats.org/officeDocument/2006/customXml" ds:itemID="{2AF6BC2B-E195-4623-9119-9C2255EEE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38C5B-92FF-47DB-A961-C80B6DB03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38</TotalTime>
  <Pages>1</Pages>
  <Words>3511</Words>
  <Characters>19315</Characters>
  <Application>Microsoft Office Word</Application>
  <DocSecurity>0</DocSecurity>
  <Lines>160</Lines>
  <Paragraphs>45</Paragraphs>
  <ScaleCrop>false</ScaleCrop>
  <Company>CREG</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34</cp:revision>
  <cp:lastPrinted>2025-03-19T15:37:00Z</cp:lastPrinted>
  <dcterms:created xsi:type="dcterms:W3CDTF">2025-03-14T12:50:00Z</dcterms:created>
  <dcterms:modified xsi:type="dcterms:W3CDTF">2025-03-19T15:37:00Z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