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BB7E" w14:textId="75620214" w:rsidR="00BA6D78" w:rsidRPr="003E5D0F" w:rsidRDefault="00BA6D78" w:rsidP="00BA6D78">
      <w:pPr>
        <w:rPr>
          <w:rFonts w:ascii="Verdana" w:hAnsi="Verdana" w:cs="Arial"/>
          <w:sz w:val="22"/>
          <w:szCs w:val="22"/>
          <w:lang w:val="es-MX"/>
        </w:rPr>
      </w:pPr>
      <w:r w:rsidRPr="003E5D0F">
        <w:rPr>
          <w:rFonts w:ascii="Verdana" w:hAnsi="Verdana" w:cs="Arial"/>
          <w:sz w:val="22"/>
          <w:szCs w:val="22"/>
          <w:lang w:val="es-MX"/>
        </w:rPr>
        <w:t xml:space="preserve">Bogotá, D. C.,  </w:t>
      </w:r>
      <w:r w:rsidRPr="003E5D0F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3E5D0F">
        <w:rPr>
          <w:rFonts w:ascii="Verdana" w:hAnsi="Verdana" w:cs="Arial"/>
          <w:sz w:val="22"/>
          <w:szCs w:val="22"/>
          <w:lang w:val="es-MX"/>
        </w:rPr>
        <w:instrText xml:space="preserve"> MERGEFIELD  Fecha  \* MERGEFORMAT </w:instrText>
      </w:r>
      <w:r w:rsidRPr="003E5D0F">
        <w:rPr>
          <w:rFonts w:ascii="Verdana" w:hAnsi="Verdana" w:cs="Arial"/>
          <w:sz w:val="22"/>
          <w:szCs w:val="22"/>
          <w:lang w:val="es-MX"/>
        </w:rPr>
        <w:fldChar w:fldCharType="separate"/>
      </w:r>
      <w:r w:rsidRPr="003E5D0F">
        <w:rPr>
          <w:rFonts w:ascii="Verdana" w:hAnsi="Verdana" w:cs="Arial"/>
          <w:noProof/>
          <w:sz w:val="22"/>
          <w:szCs w:val="22"/>
          <w:lang w:val="es-MX"/>
        </w:rPr>
        <w:t>26 de febrero de 2025</w:t>
      </w:r>
      <w:r w:rsidRPr="003E5D0F">
        <w:rPr>
          <w:rFonts w:ascii="Verdana" w:hAnsi="Verdana" w:cs="Arial"/>
          <w:sz w:val="22"/>
          <w:szCs w:val="22"/>
          <w:lang w:val="es-MX"/>
        </w:rPr>
        <w:fldChar w:fldCharType="end"/>
      </w:r>
    </w:p>
    <w:p w14:paraId="4BF6BC04" w14:textId="77777777" w:rsidR="00BA6D78" w:rsidRPr="003E5D0F" w:rsidRDefault="00BA6D78" w:rsidP="00BA6D78">
      <w:pPr>
        <w:rPr>
          <w:rFonts w:ascii="Verdana" w:hAnsi="Verdana" w:cs="Arial"/>
          <w:sz w:val="22"/>
          <w:szCs w:val="22"/>
          <w:lang w:val="es-MX"/>
        </w:rPr>
      </w:pPr>
    </w:p>
    <w:p w14:paraId="2DF36FC6" w14:textId="33257262" w:rsidR="00BA6D78" w:rsidRPr="003E5D0F" w:rsidRDefault="00BA6D78" w:rsidP="00BA6D78">
      <w:pPr>
        <w:pStyle w:val="Ttulo5"/>
        <w:spacing w:before="0" w:line="220" w:lineRule="atLeast"/>
        <w:ind w:left="720"/>
        <w:jc w:val="center"/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3E5D0F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3E5D0F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3E5D0F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3E5D0F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3E5D0F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135 de 2025</w:t>
      </w:r>
      <w:r w:rsidRPr="003E5D0F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3E5D0F" w:rsidRDefault="00BA6D78" w:rsidP="00BA6D78">
      <w:pPr>
        <w:pStyle w:val="Ttulo5"/>
        <w:spacing w:before="0" w:line="220" w:lineRule="atLeast"/>
        <w:ind w:left="720"/>
        <w:jc w:val="center"/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545EC703" w:rsidR="00BA6D78" w:rsidRPr="003E5D0F" w:rsidRDefault="00BA6D78" w:rsidP="004142B1">
      <w:pPr>
        <w:tabs>
          <w:tab w:val="left" w:pos="709"/>
        </w:tabs>
        <w:ind w:left="1418" w:hanging="1418"/>
        <w:jc w:val="both"/>
        <w:rPr>
          <w:rFonts w:ascii="Verdana" w:eastAsia="Times New Roman" w:hAnsi="Verdana" w:cs="Arial"/>
          <w:spacing w:val="-5"/>
          <w:sz w:val="22"/>
          <w:szCs w:val="22"/>
        </w:rPr>
      </w:pPr>
      <w:r w:rsidRPr="003E5D0F">
        <w:rPr>
          <w:rFonts w:ascii="Verdana" w:hAnsi="Verdana" w:cs="Arial"/>
          <w:b/>
        </w:rPr>
        <w:t>PARA:</w:t>
      </w:r>
      <w:r w:rsidRPr="003E5D0F">
        <w:rPr>
          <w:rFonts w:ascii="Verdana" w:hAnsi="Verdana" w:cs="Arial"/>
          <w:b/>
        </w:rPr>
        <w:tab/>
      </w:r>
      <w:r w:rsidRPr="003E5D0F">
        <w:rPr>
          <w:rFonts w:ascii="Verdana" w:hAnsi="Verdana" w:cs="Arial"/>
          <w:b/>
        </w:rPr>
        <w:fldChar w:fldCharType="begin"/>
      </w:r>
      <w:r w:rsidRPr="003E5D0F">
        <w:rPr>
          <w:rFonts w:ascii="Verdana" w:hAnsi="Verdana" w:cs="Arial"/>
          <w:b/>
        </w:rPr>
        <w:instrText xml:space="preserve"> MERGEFIELD  Destinatario  \* MERGEFORMAT </w:instrText>
      </w:r>
      <w:r w:rsidRPr="003E5D0F">
        <w:rPr>
          <w:rFonts w:ascii="Verdana" w:hAnsi="Verdana" w:cs="Arial"/>
          <w:b/>
        </w:rPr>
        <w:fldChar w:fldCharType="separate"/>
      </w:r>
      <w:r w:rsidRPr="003E5D0F">
        <w:rPr>
          <w:rFonts w:ascii="Verdana" w:hAnsi="Verdana" w:cs="Arial"/>
          <w:b/>
          <w:noProof/>
        </w:rPr>
        <w:t>COMERCIALIZADORES MAYORISTAS, TRANSPORTADORES, DISTRIBUIDORES Y COMERCIALIZADORES MINORISTAS DE GLP Y DEMÁS INTERESADOS</w:t>
      </w:r>
      <w:r w:rsidRPr="003E5D0F">
        <w:rPr>
          <w:rFonts w:ascii="Verdana" w:hAnsi="Verdana" w:cs="Arial"/>
          <w:b/>
        </w:rPr>
        <w:fldChar w:fldCharType="end"/>
      </w:r>
    </w:p>
    <w:p w14:paraId="047A3184" w14:textId="77777777" w:rsidR="00BA6D78" w:rsidRPr="003E5D0F" w:rsidRDefault="00BA6D78" w:rsidP="00BA6D78">
      <w:pPr>
        <w:spacing w:line="216" w:lineRule="auto"/>
        <w:ind w:left="1410" w:hanging="1410"/>
        <w:rPr>
          <w:rFonts w:ascii="Verdana" w:hAnsi="Verdana" w:cs="Arial"/>
          <w:b/>
        </w:rPr>
      </w:pPr>
    </w:p>
    <w:p w14:paraId="5ECA4954" w14:textId="77777777" w:rsidR="00BA6D78" w:rsidRPr="003E5D0F" w:rsidRDefault="00BA6D78" w:rsidP="00BA6D78">
      <w:pPr>
        <w:pStyle w:val="Sangradetextonormal"/>
        <w:ind w:left="1410" w:hanging="1410"/>
        <w:rPr>
          <w:rFonts w:ascii="Verdana" w:hAnsi="Verdana" w:cs="Arial"/>
          <w:b/>
        </w:rPr>
      </w:pPr>
      <w:r w:rsidRPr="003E5D0F">
        <w:rPr>
          <w:rFonts w:ascii="Verdana" w:hAnsi="Verdana" w:cs="Arial"/>
          <w:b/>
        </w:rPr>
        <w:t>DE:</w:t>
      </w:r>
      <w:r w:rsidRPr="003E5D0F">
        <w:rPr>
          <w:rFonts w:ascii="Verdana" w:hAnsi="Verdana" w:cs="Arial"/>
          <w:b/>
        </w:rPr>
        <w:tab/>
      </w:r>
      <w:r w:rsidRPr="003E5D0F">
        <w:rPr>
          <w:rFonts w:ascii="Verdana" w:hAnsi="Verdana" w:cs="Arial"/>
          <w:b/>
        </w:rPr>
        <w:fldChar w:fldCharType="begin"/>
      </w:r>
      <w:r w:rsidRPr="003E5D0F">
        <w:rPr>
          <w:rFonts w:ascii="Verdana" w:hAnsi="Verdana" w:cs="Arial"/>
          <w:b/>
        </w:rPr>
        <w:instrText xml:space="preserve"> MERGEFIELD  Remitente  \* MERGEFORMAT </w:instrText>
      </w:r>
      <w:r w:rsidRPr="003E5D0F">
        <w:rPr>
          <w:rFonts w:ascii="Verdana" w:hAnsi="Verdana" w:cs="Arial"/>
          <w:b/>
        </w:rPr>
        <w:fldChar w:fldCharType="separate"/>
      </w:r>
      <w:r w:rsidRPr="003E5D0F">
        <w:rPr>
          <w:rFonts w:ascii="Verdana" w:hAnsi="Verdana" w:cs="Arial"/>
          <w:b/>
          <w:noProof/>
        </w:rPr>
        <w:t>DIRECCIÓN EJECUTIVA</w:t>
      </w:r>
      <w:r w:rsidRPr="003E5D0F">
        <w:rPr>
          <w:rFonts w:ascii="Verdana" w:hAnsi="Verdana" w:cs="Arial"/>
          <w:b/>
        </w:rPr>
        <w:fldChar w:fldCharType="end"/>
      </w:r>
    </w:p>
    <w:p w14:paraId="116BF416" w14:textId="77777777" w:rsidR="00BA6D78" w:rsidRPr="003E5D0F" w:rsidRDefault="00BA6D78" w:rsidP="00BA6D78">
      <w:pPr>
        <w:spacing w:line="216" w:lineRule="auto"/>
        <w:ind w:left="1410" w:hanging="1410"/>
        <w:rPr>
          <w:rFonts w:ascii="Verdana" w:hAnsi="Verdana" w:cs="Arial"/>
          <w:b/>
        </w:rPr>
      </w:pPr>
    </w:p>
    <w:p w14:paraId="3AF4582F" w14:textId="77777777" w:rsidR="00BA6D78" w:rsidRPr="003E5D0F" w:rsidRDefault="00BA6D78" w:rsidP="00BA6D78">
      <w:pPr>
        <w:pStyle w:val="Sangradetextonormal"/>
        <w:ind w:left="1410" w:hanging="1410"/>
        <w:rPr>
          <w:rFonts w:ascii="Verdana" w:hAnsi="Verdana" w:cs="Arial"/>
          <w:b/>
        </w:rPr>
      </w:pPr>
      <w:r w:rsidRPr="003E5D0F">
        <w:rPr>
          <w:rFonts w:ascii="Verdana" w:hAnsi="Verdana" w:cs="Arial"/>
          <w:b/>
        </w:rPr>
        <w:t>ASUNTO:</w:t>
      </w:r>
      <w:r w:rsidRPr="003E5D0F">
        <w:rPr>
          <w:rFonts w:ascii="Verdana" w:hAnsi="Verdana" w:cs="Arial"/>
          <w:b/>
        </w:rPr>
        <w:tab/>
      </w:r>
      <w:r w:rsidRPr="003E5D0F">
        <w:rPr>
          <w:rFonts w:ascii="Verdana" w:hAnsi="Verdana" w:cs="Arial"/>
          <w:b/>
        </w:rPr>
        <w:fldChar w:fldCharType="begin"/>
      </w:r>
      <w:r w:rsidRPr="003E5D0F">
        <w:rPr>
          <w:rFonts w:ascii="Verdana" w:hAnsi="Verdana" w:cs="Arial"/>
          <w:b/>
        </w:rPr>
        <w:instrText xml:space="preserve"> MERGEFIELD  Asunto  \* MERGEFORMAT </w:instrText>
      </w:r>
      <w:r w:rsidRPr="003E5D0F">
        <w:rPr>
          <w:rFonts w:ascii="Verdana" w:hAnsi="Verdana" w:cs="Arial"/>
          <w:b/>
        </w:rPr>
        <w:fldChar w:fldCharType="separate"/>
      </w:r>
      <w:r w:rsidRPr="003E5D0F">
        <w:rPr>
          <w:rFonts w:ascii="Verdana" w:hAnsi="Verdana" w:cs="Arial"/>
          <w:b/>
          <w:noProof/>
        </w:rPr>
        <w:t>INFORMACIÓN SOBRE LA PUBLICACIÓN DE CAPACIDAD DE COMPRA ARTÍCULO 9 DE LA RESOLUCIÓN CREG 063 DE 2016 PARA EL DECIMOCTAVO PERIODO DE COMPRA</w:t>
      </w:r>
      <w:r w:rsidRPr="003E5D0F">
        <w:rPr>
          <w:rFonts w:ascii="Verdana" w:hAnsi="Verdana" w:cs="Arial"/>
          <w:b/>
        </w:rPr>
        <w:fldChar w:fldCharType="end"/>
      </w:r>
    </w:p>
    <w:p w14:paraId="4AE7CAEE" w14:textId="77777777" w:rsidR="00BA6D78" w:rsidRPr="003E5D0F" w:rsidRDefault="00BA6D78" w:rsidP="00BA6D78">
      <w:pPr>
        <w:pStyle w:val="Textoindependiente"/>
        <w:spacing w:after="0" w:line="240" w:lineRule="auto"/>
        <w:ind w:left="1410" w:hanging="1410"/>
        <w:rPr>
          <w:rFonts w:ascii="Verdana" w:hAnsi="Verdana" w:cs="Arial"/>
          <w:sz w:val="22"/>
          <w:szCs w:val="22"/>
        </w:rPr>
      </w:pPr>
    </w:p>
    <w:p w14:paraId="223C006A" w14:textId="77777777" w:rsidR="006C2ECC" w:rsidRDefault="00725E7D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La CREG</w:t>
      </w:r>
      <w:r w:rsidR="006C2ECC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 xml:space="preserve"> publicó el pasado </w:t>
      </w:r>
      <w:r w:rsidR="006C2ECC">
        <w:rPr>
          <w:rFonts w:ascii="Verdana" w:hAnsi="Verdana" w:cs="Arial"/>
          <w:sz w:val="22"/>
          <w:szCs w:val="22"/>
        </w:rPr>
        <w:t>diecinueve (</w:t>
      </w:r>
      <w:r>
        <w:rPr>
          <w:rFonts w:ascii="Verdana" w:hAnsi="Verdana" w:cs="Arial"/>
          <w:sz w:val="22"/>
          <w:szCs w:val="22"/>
        </w:rPr>
        <w:t>19</w:t>
      </w:r>
      <w:r w:rsidR="006C2ECC">
        <w:rPr>
          <w:rFonts w:ascii="Verdana" w:hAnsi="Verdana" w:cs="Arial"/>
          <w:sz w:val="22"/>
          <w:szCs w:val="22"/>
        </w:rPr>
        <w:t>)</w:t>
      </w:r>
      <w:r>
        <w:rPr>
          <w:rFonts w:ascii="Verdana" w:hAnsi="Verdana" w:cs="Arial"/>
          <w:sz w:val="22"/>
          <w:szCs w:val="22"/>
        </w:rPr>
        <w:t xml:space="preserve"> de febrero de 2025 la Resolución 502 147 de 2025 </w:t>
      </w:r>
      <w:r w:rsidR="00565795" w:rsidRPr="00565795">
        <w:rPr>
          <w:rFonts w:ascii="Verdana" w:hAnsi="Verdana" w:cs="Arial"/>
          <w:sz w:val="22"/>
          <w:szCs w:val="22"/>
        </w:rPr>
        <w:t>“</w:t>
      </w:r>
      <w:r w:rsidR="00565795" w:rsidRPr="006C2ECC">
        <w:rPr>
          <w:rFonts w:ascii="Verdana" w:hAnsi="Verdana" w:cs="Arial"/>
          <w:i/>
          <w:iCs/>
          <w:sz w:val="22"/>
          <w:szCs w:val="22"/>
        </w:rPr>
        <w:t>Por medio de la cual se define la capacidad de compra a que hacen referencia los artículos 8 y 9 de la Resolución CREG 063 de 2016 para el decimoctavo período de compra”</w:t>
      </w:r>
      <w:r w:rsidR="00A14F94">
        <w:rPr>
          <w:rFonts w:ascii="Verdana" w:hAnsi="Verdana" w:cs="Arial"/>
          <w:sz w:val="22"/>
          <w:szCs w:val="22"/>
        </w:rPr>
        <w:t xml:space="preserve">. </w:t>
      </w:r>
    </w:p>
    <w:p w14:paraId="2DC169DB" w14:textId="7A6AC26C" w:rsidR="00A14F94" w:rsidRDefault="00622A42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  <w:r w:rsidRPr="00622A42">
        <w:rPr>
          <w:rFonts w:ascii="Verdana" w:hAnsi="Verdana" w:cs="Arial"/>
          <w:sz w:val="22"/>
          <w:szCs w:val="22"/>
        </w:rPr>
        <w:t xml:space="preserve">Frente </w:t>
      </w:r>
      <w:r w:rsidR="006C2ECC">
        <w:rPr>
          <w:rFonts w:ascii="Verdana" w:hAnsi="Verdana" w:cs="Arial"/>
          <w:sz w:val="22"/>
          <w:szCs w:val="22"/>
        </w:rPr>
        <w:t>al</w:t>
      </w:r>
      <w:r w:rsidRPr="00622A42">
        <w:rPr>
          <w:rFonts w:ascii="Verdana" w:hAnsi="Verdana" w:cs="Arial"/>
          <w:sz w:val="22"/>
          <w:szCs w:val="22"/>
        </w:rPr>
        <w:t xml:space="preserve"> acto administrativo</w:t>
      </w:r>
      <w:r w:rsidR="006C2ECC">
        <w:rPr>
          <w:rFonts w:ascii="Verdana" w:hAnsi="Verdana" w:cs="Arial"/>
          <w:sz w:val="22"/>
          <w:szCs w:val="22"/>
        </w:rPr>
        <w:t xml:space="preserve"> señalado en el inciso anterior,</w:t>
      </w:r>
      <w:r w:rsidRPr="00622A42">
        <w:rPr>
          <w:rFonts w:ascii="Verdana" w:hAnsi="Verdana" w:cs="Arial"/>
          <w:sz w:val="22"/>
          <w:szCs w:val="22"/>
        </w:rPr>
        <w:t xml:space="preserve"> es importante </w:t>
      </w:r>
      <w:r w:rsidR="006C2ECC">
        <w:rPr>
          <w:rFonts w:ascii="Verdana" w:hAnsi="Verdana" w:cs="Arial"/>
          <w:sz w:val="22"/>
          <w:szCs w:val="22"/>
        </w:rPr>
        <w:t>resaltar</w:t>
      </w:r>
      <w:r w:rsidRPr="00622A42">
        <w:rPr>
          <w:rFonts w:ascii="Verdana" w:hAnsi="Verdana" w:cs="Arial"/>
          <w:sz w:val="22"/>
          <w:szCs w:val="22"/>
        </w:rPr>
        <w:t xml:space="preserve"> </w:t>
      </w:r>
      <w:r w:rsidR="006C2ECC">
        <w:rPr>
          <w:rFonts w:ascii="Verdana" w:hAnsi="Verdana" w:cs="Arial"/>
          <w:sz w:val="22"/>
          <w:szCs w:val="22"/>
        </w:rPr>
        <w:t>la</w:t>
      </w:r>
      <w:r w:rsidRPr="00622A42">
        <w:rPr>
          <w:rFonts w:ascii="Verdana" w:hAnsi="Verdana" w:cs="Arial"/>
          <w:sz w:val="22"/>
          <w:szCs w:val="22"/>
        </w:rPr>
        <w:t xml:space="preserve"> presunción de legalidad</w:t>
      </w:r>
      <w:r w:rsidR="006C2ECC">
        <w:rPr>
          <w:rFonts w:ascii="Verdana" w:hAnsi="Verdana" w:cs="Arial"/>
          <w:sz w:val="22"/>
          <w:szCs w:val="22"/>
        </w:rPr>
        <w:t xml:space="preserve"> de la cual goza,</w:t>
      </w:r>
      <w:r w:rsidRPr="00622A42">
        <w:rPr>
          <w:rFonts w:ascii="Verdana" w:hAnsi="Verdana" w:cs="Arial"/>
          <w:sz w:val="22"/>
          <w:szCs w:val="22"/>
        </w:rPr>
        <w:t xml:space="preserve"> y </w:t>
      </w:r>
      <w:r w:rsidR="006C2ECC">
        <w:rPr>
          <w:rFonts w:ascii="Verdana" w:hAnsi="Verdana" w:cs="Arial"/>
          <w:sz w:val="22"/>
          <w:szCs w:val="22"/>
        </w:rPr>
        <w:t xml:space="preserve">que </w:t>
      </w:r>
      <w:r w:rsidRPr="00622A42">
        <w:rPr>
          <w:rFonts w:ascii="Verdana" w:hAnsi="Verdana" w:cs="Arial"/>
          <w:sz w:val="22"/>
          <w:szCs w:val="22"/>
        </w:rPr>
        <w:t>se encuentra en trámite de notificación a todos los distribuidores a los cuales se les c</w:t>
      </w:r>
      <w:r w:rsidR="00E87078">
        <w:rPr>
          <w:rFonts w:ascii="Verdana" w:hAnsi="Verdana" w:cs="Arial"/>
          <w:sz w:val="22"/>
          <w:szCs w:val="22"/>
        </w:rPr>
        <w:t>a</w:t>
      </w:r>
      <w:r w:rsidRPr="00622A42">
        <w:rPr>
          <w:rFonts w:ascii="Verdana" w:hAnsi="Verdana" w:cs="Arial"/>
          <w:sz w:val="22"/>
          <w:szCs w:val="22"/>
        </w:rPr>
        <w:t>lcul</w:t>
      </w:r>
      <w:r w:rsidR="00E87078">
        <w:rPr>
          <w:rFonts w:ascii="Verdana" w:hAnsi="Verdana" w:cs="Arial"/>
          <w:sz w:val="22"/>
          <w:szCs w:val="22"/>
        </w:rPr>
        <w:t>ó</w:t>
      </w:r>
      <w:r w:rsidRPr="00622A42">
        <w:rPr>
          <w:rFonts w:ascii="Verdana" w:hAnsi="Verdana" w:cs="Arial"/>
          <w:sz w:val="22"/>
          <w:szCs w:val="22"/>
        </w:rPr>
        <w:t xml:space="preserve"> su capacidad de compra para el periodo de compra respectivo.</w:t>
      </w:r>
      <w:r w:rsidR="00300D32">
        <w:rPr>
          <w:rFonts w:ascii="Verdana" w:hAnsi="Verdana" w:cs="Arial"/>
          <w:sz w:val="22"/>
          <w:szCs w:val="22"/>
        </w:rPr>
        <w:t xml:space="preserve"> </w:t>
      </w:r>
      <w:r w:rsidR="00ED4BB1">
        <w:rPr>
          <w:rFonts w:ascii="Verdana" w:hAnsi="Verdana" w:cs="Arial"/>
          <w:sz w:val="22"/>
          <w:szCs w:val="22"/>
        </w:rPr>
        <w:t>El término para la interposición de</w:t>
      </w:r>
      <w:r w:rsidR="003D163B">
        <w:rPr>
          <w:rFonts w:ascii="Verdana" w:hAnsi="Verdana" w:cs="Arial"/>
          <w:sz w:val="22"/>
          <w:szCs w:val="22"/>
        </w:rPr>
        <w:t>l</w:t>
      </w:r>
      <w:r w:rsidR="00ED4BB1">
        <w:rPr>
          <w:rFonts w:ascii="Verdana" w:hAnsi="Verdana" w:cs="Arial"/>
          <w:sz w:val="22"/>
          <w:szCs w:val="22"/>
        </w:rPr>
        <w:t xml:space="preserve"> recurso de reposición </w:t>
      </w:r>
      <w:r w:rsidR="00BF3B8D">
        <w:rPr>
          <w:rFonts w:ascii="Verdana" w:hAnsi="Verdana" w:cs="Arial"/>
          <w:sz w:val="22"/>
          <w:szCs w:val="22"/>
        </w:rPr>
        <w:t>finaliza</w:t>
      </w:r>
      <w:r w:rsidR="006C2ECC">
        <w:rPr>
          <w:rFonts w:ascii="Verdana" w:hAnsi="Verdana" w:cs="Arial"/>
          <w:sz w:val="22"/>
          <w:szCs w:val="22"/>
        </w:rPr>
        <w:t>rá</w:t>
      </w:r>
      <w:r w:rsidR="00BF3B8D">
        <w:rPr>
          <w:rFonts w:ascii="Verdana" w:hAnsi="Verdana" w:cs="Arial"/>
          <w:sz w:val="22"/>
          <w:szCs w:val="22"/>
        </w:rPr>
        <w:t xml:space="preserve"> el </w:t>
      </w:r>
      <w:r w:rsidR="006C2ECC">
        <w:rPr>
          <w:rFonts w:ascii="Verdana" w:hAnsi="Verdana" w:cs="Arial"/>
          <w:sz w:val="22"/>
          <w:szCs w:val="22"/>
        </w:rPr>
        <w:t>veintiocho (</w:t>
      </w:r>
      <w:r w:rsidR="00BF3B8D">
        <w:rPr>
          <w:rFonts w:ascii="Verdana" w:hAnsi="Verdana" w:cs="Arial"/>
          <w:sz w:val="22"/>
          <w:szCs w:val="22"/>
        </w:rPr>
        <w:t>28</w:t>
      </w:r>
      <w:r w:rsidR="006C2ECC">
        <w:rPr>
          <w:rFonts w:ascii="Verdana" w:hAnsi="Verdana" w:cs="Arial"/>
          <w:sz w:val="22"/>
          <w:szCs w:val="22"/>
        </w:rPr>
        <w:t>)</w:t>
      </w:r>
      <w:r w:rsidR="00BF3B8D">
        <w:rPr>
          <w:rFonts w:ascii="Verdana" w:hAnsi="Verdana" w:cs="Arial"/>
          <w:sz w:val="22"/>
          <w:szCs w:val="22"/>
        </w:rPr>
        <w:t xml:space="preserve"> de febrero del año en curso. </w:t>
      </w:r>
    </w:p>
    <w:p w14:paraId="5F64D71E" w14:textId="3A5107CA" w:rsidR="00A54CA2" w:rsidRDefault="00467EAE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Así mismo, informamos que </w:t>
      </w:r>
      <w:r w:rsidRPr="00467EAE">
        <w:rPr>
          <w:rFonts w:ascii="Verdana" w:hAnsi="Verdana" w:cs="Arial"/>
          <w:sz w:val="22"/>
          <w:szCs w:val="22"/>
        </w:rPr>
        <w:t>esta Comisión recibió</w:t>
      </w:r>
      <w:r w:rsidR="00CE1ECB">
        <w:rPr>
          <w:rFonts w:ascii="Verdana" w:hAnsi="Verdana" w:cs="Arial"/>
          <w:sz w:val="22"/>
          <w:szCs w:val="22"/>
        </w:rPr>
        <w:t xml:space="preserve">, mediante radicado CREG </w:t>
      </w:r>
      <w:r w:rsidR="00CE1ECB" w:rsidRPr="00CE1ECB">
        <w:rPr>
          <w:rFonts w:ascii="Verdana" w:hAnsi="Verdana" w:cs="Arial"/>
          <w:sz w:val="22"/>
          <w:szCs w:val="22"/>
        </w:rPr>
        <w:t>E2025002704</w:t>
      </w:r>
      <w:r w:rsidR="00CE1ECB">
        <w:rPr>
          <w:rFonts w:ascii="Verdana" w:hAnsi="Verdana" w:cs="Arial"/>
          <w:sz w:val="22"/>
          <w:szCs w:val="22"/>
        </w:rPr>
        <w:t xml:space="preserve"> del </w:t>
      </w:r>
      <w:r w:rsidR="006C2ECC">
        <w:rPr>
          <w:rFonts w:ascii="Verdana" w:hAnsi="Verdana" w:cs="Arial"/>
          <w:sz w:val="22"/>
          <w:szCs w:val="22"/>
        </w:rPr>
        <w:t>veinticuatro (</w:t>
      </w:r>
      <w:r w:rsidR="00CE1ECB">
        <w:rPr>
          <w:rFonts w:ascii="Verdana" w:hAnsi="Verdana" w:cs="Arial"/>
          <w:sz w:val="22"/>
          <w:szCs w:val="22"/>
        </w:rPr>
        <w:t>24</w:t>
      </w:r>
      <w:r w:rsidR="006C2ECC">
        <w:rPr>
          <w:rFonts w:ascii="Verdana" w:hAnsi="Verdana" w:cs="Arial"/>
          <w:sz w:val="22"/>
          <w:szCs w:val="22"/>
        </w:rPr>
        <w:t>)</w:t>
      </w:r>
      <w:r w:rsidR="00CE1ECB">
        <w:rPr>
          <w:rFonts w:ascii="Verdana" w:hAnsi="Verdana" w:cs="Arial"/>
          <w:sz w:val="22"/>
          <w:szCs w:val="22"/>
        </w:rPr>
        <w:t xml:space="preserve"> de febrero de 2025, </w:t>
      </w:r>
      <w:r w:rsidRPr="00467EAE">
        <w:rPr>
          <w:rFonts w:ascii="Verdana" w:hAnsi="Verdana" w:cs="Arial"/>
          <w:sz w:val="22"/>
          <w:szCs w:val="22"/>
        </w:rPr>
        <w:t>recurso de reposición de parte de la empresa</w:t>
      </w:r>
      <w:r w:rsidR="0007640B">
        <w:rPr>
          <w:rFonts w:ascii="Verdana" w:hAnsi="Verdana" w:cs="Arial"/>
          <w:sz w:val="22"/>
          <w:szCs w:val="22"/>
        </w:rPr>
        <w:t xml:space="preserve"> </w:t>
      </w:r>
      <w:r w:rsidR="0007640B" w:rsidRPr="0007640B">
        <w:rPr>
          <w:rFonts w:ascii="Verdana" w:hAnsi="Verdana" w:cs="Arial"/>
          <w:sz w:val="22"/>
          <w:szCs w:val="22"/>
        </w:rPr>
        <w:t>COMERCIALIZADORA DE COMBUSTIBLES ENERGIA Y GAS PA.H.E. S.A.S E.S.P.</w:t>
      </w:r>
      <w:r w:rsidR="0037311B">
        <w:rPr>
          <w:rFonts w:ascii="Verdana" w:hAnsi="Verdana" w:cs="Arial"/>
          <w:sz w:val="22"/>
          <w:szCs w:val="22"/>
        </w:rPr>
        <w:t xml:space="preserve">, </w:t>
      </w:r>
      <w:r w:rsidR="0083414D">
        <w:rPr>
          <w:rFonts w:ascii="Verdana" w:hAnsi="Verdana" w:cs="Arial"/>
          <w:sz w:val="22"/>
          <w:szCs w:val="22"/>
        </w:rPr>
        <w:t xml:space="preserve">solicitando </w:t>
      </w:r>
      <w:r w:rsidR="0006651E">
        <w:rPr>
          <w:rFonts w:ascii="Verdana" w:hAnsi="Verdana" w:cs="Arial"/>
          <w:sz w:val="22"/>
          <w:szCs w:val="22"/>
        </w:rPr>
        <w:t xml:space="preserve">que se calcule </w:t>
      </w:r>
      <w:r w:rsidR="00377466">
        <w:rPr>
          <w:rFonts w:ascii="Verdana" w:hAnsi="Verdana" w:cs="Arial"/>
          <w:sz w:val="22"/>
          <w:szCs w:val="22"/>
        </w:rPr>
        <w:t>su capacidad de compra</w:t>
      </w:r>
      <w:r w:rsidR="00015E5F">
        <w:rPr>
          <w:rFonts w:ascii="Verdana" w:hAnsi="Verdana" w:cs="Arial"/>
          <w:sz w:val="22"/>
          <w:szCs w:val="22"/>
        </w:rPr>
        <w:t xml:space="preserve"> </w:t>
      </w:r>
      <w:r w:rsidR="00015E5F" w:rsidRPr="006C2ECC">
        <w:rPr>
          <w:rFonts w:ascii="Verdana" w:hAnsi="Verdana" w:cs="Arial"/>
          <w:i/>
          <w:iCs/>
          <w:sz w:val="22"/>
          <w:szCs w:val="22"/>
        </w:rPr>
        <w:t>“</w:t>
      </w:r>
      <w:r w:rsidR="006C2ECC" w:rsidRPr="006C2ECC">
        <w:rPr>
          <w:rFonts w:ascii="Verdana" w:hAnsi="Verdana" w:cs="Arial"/>
          <w:i/>
          <w:iCs/>
          <w:sz w:val="22"/>
          <w:szCs w:val="22"/>
        </w:rPr>
        <w:t xml:space="preserve">(…) </w:t>
      </w:r>
      <w:r w:rsidR="00015E5F" w:rsidRPr="006C2ECC">
        <w:rPr>
          <w:rFonts w:ascii="Verdana" w:hAnsi="Verdana" w:cs="Arial"/>
          <w:i/>
          <w:iCs/>
          <w:sz w:val="22"/>
          <w:szCs w:val="22"/>
        </w:rPr>
        <w:t xml:space="preserve">con </w:t>
      </w:r>
      <w:r w:rsidR="00015E5F" w:rsidRPr="00015E5F">
        <w:rPr>
          <w:rFonts w:ascii="Verdana" w:hAnsi="Verdana" w:cs="Arial"/>
          <w:i/>
          <w:iCs/>
          <w:sz w:val="22"/>
          <w:szCs w:val="22"/>
        </w:rPr>
        <w:t>base en las cantidades y las capacidades de los tanques estacionarios certificados en el Formato (1661) Tanques Estacionarios Atendidos por el Distribuidor para el cuarto trimestre del 2025</w:t>
      </w:r>
      <w:r w:rsidR="00015E5F">
        <w:rPr>
          <w:rFonts w:ascii="Verdana" w:hAnsi="Verdana" w:cs="Arial"/>
          <w:sz w:val="22"/>
          <w:szCs w:val="22"/>
        </w:rPr>
        <w:t>”</w:t>
      </w:r>
      <w:r w:rsidR="00377466">
        <w:rPr>
          <w:rFonts w:ascii="Verdana" w:hAnsi="Verdana" w:cs="Arial"/>
          <w:sz w:val="22"/>
          <w:szCs w:val="22"/>
        </w:rPr>
        <w:t>.</w:t>
      </w:r>
    </w:p>
    <w:p w14:paraId="58F7771E" w14:textId="77777777" w:rsidR="006C2ECC" w:rsidRDefault="006C2ECC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Teniendo en cuenta que</w:t>
      </w:r>
      <w:r w:rsidR="00C919BA" w:rsidRPr="00833ACD">
        <w:rPr>
          <w:rFonts w:ascii="Verdana" w:hAnsi="Verdana" w:cs="Arial"/>
          <w:sz w:val="22"/>
          <w:szCs w:val="22"/>
        </w:rPr>
        <w:t xml:space="preserve"> todavía no se encuentran en firme las capacidades de compra de las empresa</w:t>
      </w:r>
      <w:r w:rsidR="001B76BD">
        <w:rPr>
          <w:rFonts w:ascii="Verdana" w:hAnsi="Verdana" w:cs="Arial"/>
          <w:sz w:val="22"/>
          <w:szCs w:val="22"/>
        </w:rPr>
        <w:t>s</w:t>
      </w:r>
      <w:r w:rsidR="00C919BA" w:rsidRPr="00833ACD">
        <w:rPr>
          <w:rFonts w:ascii="Verdana" w:hAnsi="Verdana" w:cs="Arial"/>
          <w:sz w:val="22"/>
          <w:szCs w:val="22"/>
        </w:rPr>
        <w:t xml:space="preserve"> señaladas en la Resolución CREG </w:t>
      </w:r>
      <w:r w:rsidR="002F399E">
        <w:rPr>
          <w:rFonts w:ascii="Verdana" w:hAnsi="Verdana" w:cs="Arial"/>
          <w:sz w:val="22"/>
          <w:szCs w:val="22"/>
        </w:rPr>
        <w:t>502 147 de 2025</w:t>
      </w:r>
      <w:r>
        <w:rPr>
          <w:rFonts w:ascii="Verdana" w:hAnsi="Verdana" w:cs="Arial"/>
          <w:sz w:val="22"/>
          <w:szCs w:val="22"/>
        </w:rPr>
        <w:t>,</w:t>
      </w:r>
      <w:r w:rsidR="002F399E">
        <w:rPr>
          <w:rFonts w:ascii="Verdana" w:hAnsi="Verdana" w:cs="Arial"/>
          <w:sz w:val="22"/>
          <w:szCs w:val="22"/>
        </w:rPr>
        <w:t xml:space="preserve"> </w:t>
      </w:r>
      <w:r w:rsidR="00C919BA" w:rsidRPr="00833ACD">
        <w:rPr>
          <w:rFonts w:ascii="Verdana" w:hAnsi="Verdana" w:cs="Arial"/>
          <w:sz w:val="22"/>
          <w:szCs w:val="22"/>
        </w:rPr>
        <w:t xml:space="preserve">y que en </w:t>
      </w:r>
      <w:r w:rsidR="00B95E5C">
        <w:rPr>
          <w:rFonts w:ascii="Verdana" w:hAnsi="Verdana" w:cs="Arial"/>
          <w:sz w:val="22"/>
          <w:szCs w:val="22"/>
        </w:rPr>
        <w:t xml:space="preserve">Sesión CREG </w:t>
      </w:r>
      <w:r w:rsidR="00395708" w:rsidRPr="00E75B77">
        <w:rPr>
          <w:rFonts w:ascii="Verdana" w:hAnsi="Verdana" w:cs="Arial"/>
          <w:sz w:val="22"/>
          <w:szCs w:val="22"/>
        </w:rPr>
        <w:t xml:space="preserve">1371 del </w:t>
      </w:r>
      <w:r>
        <w:rPr>
          <w:rFonts w:ascii="Verdana" w:hAnsi="Verdana" w:cs="Arial"/>
          <w:sz w:val="22"/>
          <w:szCs w:val="22"/>
        </w:rPr>
        <w:t xml:space="preserve">seis (06) </w:t>
      </w:r>
      <w:r w:rsidR="00395708" w:rsidRPr="00E75B77">
        <w:rPr>
          <w:rFonts w:ascii="Verdana" w:hAnsi="Verdana" w:cs="Arial"/>
          <w:sz w:val="22"/>
          <w:szCs w:val="22"/>
        </w:rPr>
        <w:t>de febrero de 2025</w:t>
      </w:r>
      <w:r w:rsidR="00395708">
        <w:rPr>
          <w:rFonts w:ascii="Verdana" w:hAnsi="Verdana" w:cs="Arial"/>
          <w:sz w:val="22"/>
          <w:szCs w:val="22"/>
        </w:rPr>
        <w:t xml:space="preserve"> </w:t>
      </w:r>
      <w:r w:rsidR="00C919BA" w:rsidRPr="00833ACD">
        <w:rPr>
          <w:rFonts w:ascii="Verdana" w:hAnsi="Verdana" w:cs="Arial"/>
          <w:sz w:val="22"/>
          <w:szCs w:val="22"/>
        </w:rPr>
        <w:t>esta Comisión definió la capacidad de compra aplicable para el XV</w:t>
      </w:r>
      <w:r w:rsidR="00124CB2">
        <w:rPr>
          <w:rFonts w:ascii="Verdana" w:hAnsi="Verdana" w:cs="Arial"/>
          <w:sz w:val="22"/>
          <w:szCs w:val="22"/>
        </w:rPr>
        <w:t>III</w:t>
      </w:r>
      <w:r w:rsidR="00C919BA" w:rsidRPr="00833ACD">
        <w:rPr>
          <w:rFonts w:ascii="Verdana" w:hAnsi="Verdana" w:cs="Arial"/>
          <w:sz w:val="22"/>
          <w:szCs w:val="22"/>
        </w:rPr>
        <w:t xml:space="preserve"> periodo compra, el Comercializador Mayorista podrá tomar de forma inicial las capacidades de compra allí definidas como insumo para adelantar el proceso de OPC</w:t>
      </w:r>
      <w:r>
        <w:rPr>
          <w:rFonts w:ascii="Verdana" w:hAnsi="Verdana" w:cs="Arial"/>
          <w:sz w:val="22"/>
          <w:szCs w:val="22"/>
        </w:rPr>
        <w:t>,</w:t>
      </w:r>
      <w:r w:rsidR="00C919BA" w:rsidRPr="00833ACD">
        <w:rPr>
          <w:rFonts w:ascii="Verdana" w:hAnsi="Verdana" w:cs="Arial"/>
          <w:sz w:val="22"/>
          <w:szCs w:val="22"/>
        </w:rPr>
        <w:t xml:space="preserve"> y si lo considera necesario podrá incluir una cláusula de ajuste regulatorio en los contratos que celebre con los distribuidores de GLP para el periodo de compra que inicia el </w:t>
      </w:r>
      <w:r>
        <w:rPr>
          <w:rFonts w:ascii="Verdana" w:hAnsi="Verdana" w:cs="Arial"/>
          <w:sz w:val="22"/>
          <w:szCs w:val="22"/>
        </w:rPr>
        <w:t>primero (</w:t>
      </w:r>
      <w:r w:rsidR="00C919BA" w:rsidRPr="00833ACD">
        <w:rPr>
          <w:rFonts w:ascii="Verdana" w:hAnsi="Verdana" w:cs="Arial"/>
          <w:sz w:val="22"/>
          <w:szCs w:val="22"/>
        </w:rPr>
        <w:t>01</w:t>
      </w:r>
      <w:r>
        <w:rPr>
          <w:rFonts w:ascii="Verdana" w:hAnsi="Verdana" w:cs="Arial"/>
          <w:sz w:val="22"/>
          <w:szCs w:val="22"/>
        </w:rPr>
        <w:t>)</w:t>
      </w:r>
      <w:r w:rsidR="00C919BA" w:rsidRPr="00833ACD">
        <w:rPr>
          <w:rFonts w:ascii="Verdana" w:hAnsi="Verdana" w:cs="Arial"/>
          <w:sz w:val="22"/>
          <w:szCs w:val="22"/>
        </w:rPr>
        <w:t xml:space="preserve"> de </w:t>
      </w:r>
      <w:r w:rsidR="00124CB2">
        <w:rPr>
          <w:rFonts w:ascii="Verdana" w:hAnsi="Verdana" w:cs="Arial"/>
          <w:sz w:val="22"/>
          <w:szCs w:val="22"/>
        </w:rPr>
        <w:t>marzo</w:t>
      </w:r>
      <w:r w:rsidR="001F176D">
        <w:rPr>
          <w:rFonts w:ascii="Verdana" w:hAnsi="Verdana" w:cs="Arial"/>
          <w:sz w:val="22"/>
          <w:szCs w:val="22"/>
        </w:rPr>
        <w:t xml:space="preserve"> del 2025</w:t>
      </w:r>
      <w:r w:rsidR="00C919BA" w:rsidRPr="00833ACD">
        <w:rPr>
          <w:rFonts w:ascii="Verdana" w:hAnsi="Verdana" w:cs="Arial"/>
          <w:sz w:val="22"/>
          <w:szCs w:val="22"/>
        </w:rPr>
        <w:t>.</w:t>
      </w:r>
      <w:r w:rsidR="00306EAD">
        <w:rPr>
          <w:rFonts w:ascii="Verdana" w:hAnsi="Verdana" w:cs="Arial"/>
          <w:sz w:val="22"/>
          <w:szCs w:val="22"/>
        </w:rPr>
        <w:t xml:space="preserve"> </w:t>
      </w:r>
    </w:p>
    <w:p w14:paraId="49D4B8A3" w14:textId="22D9E391" w:rsidR="00A54CA2" w:rsidRPr="003E5D0F" w:rsidRDefault="00306EAD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  <w:r w:rsidRPr="00833ACD">
        <w:rPr>
          <w:rFonts w:ascii="Verdana" w:hAnsi="Verdana" w:cs="Arial"/>
          <w:sz w:val="22"/>
          <w:szCs w:val="22"/>
        </w:rPr>
        <w:t xml:space="preserve">Lo anterior, considerando que las cantidades publicadas mediante </w:t>
      </w:r>
      <w:r w:rsidR="006C2ECC">
        <w:rPr>
          <w:rFonts w:ascii="Verdana" w:hAnsi="Verdana" w:cs="Arial"/>
          <w:sz w:val="22"/>
          <w:szCs w:val="22"/>
        </w:rPr>
        <w:t>el acto administrativo en mención</w:t>
      </w:r>
      <w:r w:rsidRPr="00833ACD">
        <w:rPr>
          <w:rFonts w:ascii="Verdana" w:hAnsi="Verdana" w:cs="Arial"/>
          <w:sz w:val="22"/>
          <w:szCs w:val="22"/>
        </w:rPr>
        <w:t xml:space="preserve"> no se encuentran en firme</w:t>
      </w:r>
      <w:r w:rsidR="006C2ECC">
        <w:rPr>
          <w:rFonts w:ascii="Verdana" w:hAnsi="Verdana" w:cs="Arial"/>
          <w:sz w:val="22"/>
          <w:szCs w:val="22"/>
        </w:rPr>
        <w:t>,</w:t>
      </w:r>
      <w:r w:rsidRPr="00833ACD">
        <w:rPr>
          <w:rFonts w:ascii="Verdana" w:hAnsi="Verdana" w:cs="Arial"/>
          <w:sz w:val="22"/>
          <w:szCs w:val="22"/>
        </w:rPr>
        <w:t xml:space="preserve"> y pueden llegar a ser sujetas de ajuste si las empresas interponen recursos</w:t>
      </w:r>
      <w:r w:rsidR="00E156BD">
        <w:rPr>
          <w:rFonts w:ascii="Verdana" w:hAnsi="Verdana" w:cs="Arial"/>
          <w:sz w:val="22"/>
          <w:szCs w:val="22"/>
        </w:rPr>
        <w:t xml:space="preserve"> </w:t>
      </w:r>
      <w:r w:rsidR="00580F8F">
        <w:rPr>
          <w:rFonts w:ascii="Verdana" w:hAnsi="Verdana" w:cs="Arial"/>
          <w:sz w:val="22"/>
          <w:szCs w:val="22"/>
        </w:rPr>
        <w:t>de reposición</w:t>
      </w:r>
      <w:r w:rsidRPr="00833ACD">
        <w:rPr>
          <w:rFonts w:ascii="Verdana" w:hAnsi="Verdana" w:cs="Arial"/>
          <w:sz w:val="22"/>
          <w:szCs w:val="22"/>
        </w:rPr>
        <w:t>.</w:t>
      </w:r>
    </w:p>
    <w:p w14:paraId="692B0C5D" w14:textId="1BFC05AC" w:rsidR="004B3256" w:rsidRDefault="00BF2FF9" w:rsidP="004B3256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</w:t>
      </w:r>
      <w:r w:rsidR="004B3256" w:rsidRPr="00833ACD">
        <w:rPr>
          <w:rFonts w:ascii="Verdana" w:hAnsi="Verdana" w:cs="Arial"/>
          <w:sz w:val="22"/>
          <w:szCs w:val="22"/>
        </w:rPr>
        <w:t>s importante tener en cuenta lo previsto en los artículos 3 y 15 de la Resolución CREG 053 de 2011</w:t>
      </w:r>
      <w:r w:rsidR="006C2ECC">
        <w:rPr>
          <w:rFonts w:ascii="Verdana" w:hAnsi="Verdana" w:cs="Arial"/>
          <w:sz w:val="22"/>
          <w:szCs w:val="22"/>
        </w:rPr>
        <w:t>,</w:t>
      </w:r>
      <w:r w:rsidR="004B3256" w:rsidRPr="00833ACD">
        <w:rPr>
          <w:rFonts w:ascii="Verdana" w:hAnsi="Verdana" w:cs="Arial"/>
          <w:sz w:val="22"/>
          <w:szCs w:val="22"/>
        </w:rPr>
        <w:t xml:space="preserve"> que señalan lo siguiente: </w:t>
      </w:r>
    </w:p>
    <w:p w14:paraId="27F236BE" w14:textId="77777777" w:rsidR="001A5460" w:rsidRDefault="001A5460" w:rsidP="004B3256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33863A28" w14:textId="6F3A32D4" w:rsidR="004B3256" w:rsidRPr="001A5460" w:rsidRDefault="006C2ECC" w:rsidP="006C2ECC">
      <w:pPr>
        <w:pStyle w:val="Textoindependiente"/>
        <w:spacing w:after="0" w:line="240" w:lineRule="auto"/>
        <w:ind w:left="709"/>
        <w:rPr>
          <w:rFonts w:ascii="Verdana" w:hAnsi="Verdana" w:cs="Arial"/>
          <w:i/>
          <w:iCs/>
        </w:rPr>
      </w:pPr>
      <w:r>
        <w:rPr>
          <w:rFonts w:ascii="Verdana" w:hAnsi="Verdana" w:cs="Arial"/>
          <w:i/>
          <w:iCs/>
        </w:rPr>
        <w:t>“</w:t>
      </w:r>
      <w:r w:rsidR="004B3256" w:rsidRPr="001A5460">
        <w:rPr>
          <w:rFonts w:ascii="Verdana" w:hAnsi="Verdana" w:cs="Arial"/>
          <w:i/>
          <w:iCs/>
        </w:rPr>
        <w:t>(…) ARTÍCULO 3o. OBJETIVO DEL REGLAMENTO. En la aplicación e interpretación de este Reglamento, las empresas que estén sujetas al mismo tendrán en cuenta que sus objetivos con relación al desarrollo de la actividad de compra y venta de GLP al por mayor son: (…)</w:t>
      </w:r>
    </w:p>
    <w:p w14:paraId="54539E82" w14:textId="77777777" w:rsidR="00175770" w:rsidRDefault="004B3256" w:rsidP="006C2ECC">
      <w:pPr>
        <w:pStyle w:val="Textoindependiente"/>
        <w:spacing w:after="0" w:line="240" w:lineRule="auto"/>
        <w:ind w:left="709"/>
        <w:rPr>
          <w:rFonts w:ascii="Verdana" w:hAnsi="Verdana" w:cs="Arial"/>
          <w:i/>
          <w:iCs/>
        </w:rPr>
      </w:pPr>
      <w:r w:rsidRPr="001A5460">
        <w:rPr>
          <w:rFonts w:ascii="Verdana" w:hAnsi="Verdana" w:cs="Arial"/>
          <w:i/>
          <w:iCs/>
        </w:rPr>
        <w:t>c) Evitar que el acceso al producto, mientras el mismo proceda en su gran mayoría del que puede disponer Ecopetrol, se convierta en una barrera para la competencia en la Distribución y Comercialización Minorista de GLP o en una ventaja para aumentar la posición dominante de este agente u otro agente, para lo cual se busca una asignación del producto:</w:t>
      </w:r>
    </w:p>
    <w:p w14:paraId="2B967C7C" w14:textId="77777777" w:rsidR="00175770" w:rsidRDefault="004B3256" w:rsidP="006C2ECC">
      <w:pPr>
        <w:pStyle w:val="Textoindependiente"/>
        <w:spacing w:after="0" w:line="240" w:lineRule="auto"/>
        <w:ind w:left="709"/>
        <w:rPr>
          <w:rFonts w:ascii="Verdana" w:hAnsi="Verdana" w:cs="Arial"/>
          <w:i/>
          <w:iCs/>
        </w:rPr>
      </w:pPr>
      <w:r w:rsidRPr="001A5460">
        <w:rPr>
          <w:rFonts w:ascii="Verdana" w:hAnsi="Verdana" w:cs="Arial"/>
          <w:i/>
          <w:iCs/>
        </w:rPr>
        <w:t>- Justa, en igualdad de oportunidades de compra para todos los interesados.</w:t>
      </w:r>
    </w:p>
    <w:p w14:paraId="0A82B64C" w14:textId="77777777" w:rsidR="00175770" w:rsidRDefault="004B3256" w:rsidP="006C2ECC">
      <w:pPr>
        <w:pStyle w:val="Textoindependiente"/>
        <w:spacing w:after="0" w:line="240" w:lineRule="auto"/>
        <w:ind w:left="709"/>
        <w:rPr>
          <w:rFonts w:ascii="Verdana" w:hAnsi="Verdana" w:cs="Arial"/>
          <w:i/>
          <w:iCs/>
        </w:rPr>
      </w:pPr>
      <w:r w:rsidRPr="001A5460">
        <w:rPr>
          <w:rFonts w:ascii="Verdana" w:hAnsi="Verdana" w:cs="Arial"/>
          <w:i/>
          <w:iCs/>
        </w:rPr>
        <w:t>- Transparente, para hacer claros los resultados de la asignación.</w:t>
      </w:r>
    </w:p>
    <w:p w14:paraId="0F39FB94" w14:textId="72E9B2F1" w:rsidR="001A5460" w:rsidRDefault="004B3256" w:rsidP="006C2ECC">
      <w:pPr>
        <w:pStyle w:val="Textoindependiente"/>
        <w:spacing w:after="0" w:line="240" w:lineRule="auto"/>
        <w:ind w:left="709"/>
        <w:rPr>
          <w:rFonts w:ascii="Verdana" w:hAnsi="Verdana" w:cs="Arial"/>
          <w:i/>
          <w:iCs/>
        </w:rPr>
      </w:pPr>
      <w:r w:rsidRPr="001A5460">
        <w:rPr>
          <w:rFonts w:ascii="Verdana" w:hAnsi="Verdana" w:cs="Arial"/>
          <w:i/>
          <w:iCs/>
        </w:rPr>
        <w:t>- Eficiente, reflejando la disponibilidad a pagar de la demanda. (…)’</w:t>
      </w:r>
    </w:p>
    <w:p w14:paraId="0EC80905" w14:textId="77777777" w:rsidR="001A5460" w:rsidRDefault="001A5460" w:rsidP="006C2ECC">
      <w:pPr>
        <w:pStyle w:val="Textoindependiente"/>
        <w:spacing w:after="0" w:line="240" w:lineRule="auto"/>
        <w:ind w:left="709"/>
        <w:rPr>
          <w:rFonts w:ascii="Verdana" w:hAnsi="Verdana" w:cs="Arial"/>
          <w:i/>
          <w:iCs/>
        </w:rPr>
      </w:pPr>
    </w:p>
    <w:p w14:paraId="3F71D95D" w14:textId="40AFC70A" w:rsidR="004B3256" w:rsidRPr="001A5460" w:rsidRDefault="004B3256" w:rsidP="006C2ECC">
      <w:pPr>
        <w:pStyle w:val="Textoindependiente"/>
        <w:spacing w:after="0" w:line="240" w:lineRule="auto"/>
        <w:ind w:left="709"/>
        <w:rPr>
          <w:rFonts w:ascii="Verdana" w:hAnsi="Verdana" w:cs="Arial"/>
          <w:i/>
          <w:iCs/>
        </w:rPr>
      </w:pPr>
      <w:r w:rsidRPr="001A5460">
        <w:rPr>
          <w:rFonts w:ascii="Verdana" w:hAnsi="Verdana" w:cs="Arial"/>
          <w:i/>
          <w:iCs/>
        </w:rPr>
        <w:t>‘(…) ARTÍCULO 15. CONTRATO DE SUMINISTRO DE GLP AL POR MAYOR. El Contrato de Suministro deberá contener como mínimo lo siguiente: (…) n) Cláusula de ajuste regulatorio. (…)</w:t>
      </w:r>
      <w:r w:rsidR="006C2ECC">
        <w:rPr>
          <w:rFonts w:ascii="Verdana" w:hAnsi="Verdana" w:cs="Arial"/>
          <w:i/>
          <w:iCs/>
        </w:rPr>
        <w:t>”</w:t>
      </w:r>
    </w:p>
    <w:p w14:paraId="5CF7E72D" w14:textId="77777777" w:rsidR="00BA6D78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6348EEFC" w14:textId="3273B46F" w:rsidR="00374074" w:rsidRDefault="00BF2FF9" w:rsidP="006C2ECC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  <w:r w:rsidRPr="00833ACD">
        <w:rPr>
          <w:rFonts w:ascii="Verdana" w:hAnsi="Verdana" w:cs="Arial"/>
          <w:sz w:val="22"/>
          <w:szCs w:val="22"/>
        </w:rPr>
        <w:t>Finalmente,</w:t>
      </w:r>
      <w:r>
        <w:rPr>
          <w:rFonts w:ascii="Verdana" w:hAnsi="Verdana" w:cs="Arial"/>
          <w:sz w:val="22"/>
          <w:szCs w:val="22"/>
        </w:rPr>
        <w:t xml:space="preserve"> mediante circular posterior se informará </w:t>
      </w:r>
      <w:r w:rsidR="00D916A0">
        <w:rPr>
          <w:rFonts w:ascii="Verdana" w:hAnsi="Verdana" w:cs="Arial"/>
          <w:sz w:val="22"/>
          <w:szCs w:val="22"/>
        </w:rPr>
        <w:t xml:space="preserve">sobre las capacidades de compra </w:t>
      </w:r>
      <w:r w:rsidR="00791B6A">
        <w:rPr>
          <w:rFonts w:ascii="Verdana" w:hAnsi="Verdana" w:cs="Arial"/>
          <w:sz w:val="22"/>
          <w:szCs w:val="22"/>
        </w:rPr>
        <w:t xml:space="preserve">en firme </w:t>
      </w:r>
      <w:r w:rsidR="000A69EA">
        <w:rPr>
          <w:rFonts w:ascii="Verdana" w:hAnsi="Verdana" w:cs="Arial"/>
          <w:sz w:val="22"/>
          <w:szCs w:val="22"/>
        </w:rPr>
        <w:t xml:space="preserve">para los distribuidores de GLP </w:t>
      </w:r>
      <w:r w:rsidR="00283D1B">
        <w:rPr>
          <w:rFonts w:ascii="Verdana" w:hAnsi="Verdana" w:cs="Arial"/>
          <w:sz w:val="22"/>
          <w:szCs w:val="22"/>
        </w:rPr>
        <w:t xml:space="preserve">correspondientes al decimoctavo periodo de compra. </w:t>
      </w:r>
    </w:p>
    <w:p w14:paraId="37EBD68A" w14:textId="74E72A26" w:rsidR="00B55127" w:rsidRPr="003E5D0F" w:rsidRDefault="00B55127" w:rsidP="00B55127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  <w:r w:rsidRPr="003E5D0F">
        <w:rPr>
          <w:rFonts w:ascii="Verdana" w:hAnsi="Verdana" w:cs="Arial"/>
          <w:sz w:val="22"/>
          <w:szCs w:val="22"/>
        </w:rPr>
        <w:t>Cordialmente,</w:t>
      </w:r>
    </w:p>
    <w:p w14:paraId="1CD8B28F" w14:textId="77777777" w:rsidR="00B55127" w:rsidRPr="003E5D0F" w:rsidRDefault="00B55127" w:rsidP="00B55127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4046CF06" w14:textId="77777777" w:rsidR="00B55127" w:rsidRPr="003E5D0F" w:rsidRDefault="00B55127" w:rsidP="00B55127">
      <w:pPr>
        <w:pStyle w:val="Textoindependiente"/>
        <w:spacing w:after="0" w:line="240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3E5D0F">
        <w:rPr>
          <w:rFonts w:ascii="Verdana" w:hAnsi="Verdana" w:cs="Arial"/>
          <w:b/>
          <w:bCs/>
          <w:sz w:val="22"/>
          <w:szCs w:val="22"/>
        </w:rPr>
        <w:t>ANTONIO JIMÉNEZ RIVERA</w:t>
      </w:r>
    </w:p>
    <w:p w14:paraId="5C28B169" w14:textId="3E610E72" w:rsidR="00BA6D78" w:rsidRPr="007118D6" w:rsidRDefault="00B55127" w:rsidP="007118D6">
      <w:pPr>
        <w:pStyle w:val="Textoindependiente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  <w:r w:rsidRPr="003E5D0F">
        <w:rPr>
          <w:rFonts w:ascii="Verdana" w:hAnsi="Verdana" w:cs="Arial"/>
          <w:sz w:val="22"/>
          <w:szCs w:val="22"/>
        </w:rPr>
        <w:t>Director Ejecutivo</w:t>
      </w:r>
    </w:p>
    <w:sectPr w:rsidR="00BA6D78" w:rsidRPr="007118D6" w:rsidSect="008B094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21912" w14:textId="77777777" w:rsidR="008755E0" w:rsidRDefault="008755E0" w:rsidP="00AA0519">
      <w:r>
        <w:separator/>
      </w:r>
    </w:p>
  </w:endnote>
  <w:endnote w:type="continuationSeparator" w:id="0">
    <w:p w14:paraId="47118B20" w14:textId="77777777" w:rsidR="008755E0" w:rsidRDefault="008755E0" w:rsidP="00AA0519">
      <w:r>
        <w:continuationSeparator/>
      </w:r>
    </w:p>
  </w:endnote>
  <w:endnote w:type="continuationNotice" w:id="1">
    <w:p w14:paraId="01B31A34" w14:textId="77777777" w:rsidR="008755E0" w:rsidRDefault="008755E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C3BC" w14:textId="77777777" w:rsidR="00EA4035" w:rsidRPr="00942F2C" w:rsidRDefault="00EA4035" w:rsidP="00EA4035">
    <w:pPr>
      <w:pBdr>
        <w:bottom w:val="single" w:sz="12" w:space="1" w:color="auto"/>
      </w:pBdr>
      <w:spacing w:before="0" w:after="0" w:line="240" w:lineRule="atLeast"/>
      <w:jc w:val="right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>RG</w:t>
    </w:r>
    <w:r w:rsidRPr="00942F2C">
      <w:rPr>
        <w:rFonts w:ascii="Helvetica" w:hAnsi="Helvetica"/>
        <w:sz w:val="12"/>
        <w:szCs w:val="12"/>
      </w:rPr>
      <w:t xml:space="preserve"> FT 0</w:t>
    </w:r>
    <w:r>
      <w:rPr>
        <w:rFonts w:ascii="Helvetica" w:hAnsi="Helvetica"/>
        <w:sz w:val="12"/>
        <w:szCs w:val="12"/>
      </w:rPr>
      <w:t>07</w:t>
    </w:r>
    <w:r w:rsidRPr="00942F2C">
      <w:rPr>
        <w:rFonts w:ascii="Helvetica" w:hAnsi="Helvetica"/>
        <w:sz w:val="12"/>
        <w:szCs w:val="12"/>
      </w:rPr>
      <w:t>_V</w:t>
    </w:r>
    <w:r>
      <w:rPr>
        <w:rFonts w:ascii="Helvetica" w:hAnsi="Helvetica"/>
        <w:sz w:val="12"/>
        <w:szCs w:val="12"/>
      </w:rPr>
      <w:t>6</w:t>
    </w:r>
  </w:p>
  <w:p w14:paraId="2175F531" w14:textId="77777777" w:rsidR="00EA4035" w:rsidRPr="000774A9" w:rsidRDefault="00EA4035" w:rsidP="00EA4035">
    <w:pP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54C0FE0" w14:textId="77777777" w:rsidR="00EA4035" w:rsidRPr="000774A9" w:rsidRDefault="00EA4035" w:rsidP="00EA4035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1209CB43" w14:textId="77777777" w:rsidR="00EA4035" w:rsidRPr="000774A9" w:rsidRDefault="00EA4035" w:rsidP="00EA4035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CC77660" w14:textId="77777777" w:rsidR="00EA4035" w:rsidRPr="009273B3" w:rsidRDefault="00EA4035" w:rsidP="00EA4035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0A3A" w14:textId="77777777" w:rsidR="00EA4035" w:rsidRPr="00942F2C" w:rsidRDefault="00EA4035" w:rsidP="00EA4035">
    <w:pPr>
      <w:pBdr>
        <w:bottom w:val="single" w:sz="12" w:space="1" w:color="auto"/>
      </w:pBdr>
      <w:spacing w:before="0" w:after="0" w:line="240" w:lineRule="atLeast"/>
      <w:jc w:val="right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>RG</w:t>
    </w:r>
    <w:r w:rsidRPr="00942F2C">
      <w:rPr>
        <w:rFonts w:ascii="Helvetica" w:hAnsi="Helvetica"/>
        <w:sz w:val="12"/>
        <w:szCs w:val="12"/>
      </w:rPr>
      <w:t xml:space="preserve"> FT 0</w:t>
    </w:r>
    <w:r>
      <w:rPr>
        <w:rFonts w:ascii="Helvetica" w:hAnsi="Helvetica"/>
        <w:sz w:val="12"/>
        <w:szCs w:val="12"/>
      </w:rPr>
      <w:t>07</w:t>
    </w:r>
    <w:r w:rsidRPr="00942F2C">
      <w:rPr>
        <w:rFonts w:ascii="Helvetica" w:hAnsi="Helvetica"/>
        <w:sz w:val="12"/>
        <w:szCs w:val="12"/>
      </w:rPr>
      <w:t>_V</w:t>
    </w:r>
    <w:r>
      <w:rPr>
        <w:rFonts w:ascii="Helvetica" w:hAnsi="Helvetica"/>
        <w:sz w:val="12"/>
        <w:szCs w:val="12"/>
      </w:rPr>
      <w:t>6</w:t>
    </w:r>
  </w:p>
  <w:p w14:paraId="3E833633" w14:textId="77777777" w:rsidR="00EA4035" w:rsidRPr="000774A9" w:rsidRDefault="00EA4035" w:rsidP="00EA4035">
    <w:pP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AC3285B" w14:textId="77777777" w:rsidR="00EA4035" w:rsidRPr="000774A9" w:rsidRDefault="00EA4035" w:rsidP="00EA4035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BEFFF21" w14:textId="77777777" w:rsidR="00EA4035" w:rsidRPr="000774A9" w:rsidRDefault="00EA4035" w:rsidP="00EA4035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42A01C8F" w:rsidR="003F2F4B" w:rsidRDefault="00EA4035" w:rsidP="00EA4035">
    <w:pPr>
      <w:spacing w:after="0" w:line="276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BC2D3" w14:textId="77777777" w:rsidR="008755E0" w:rsidRDefault="008755E0" w:rsidP="00AA0519">
      <w:r>
        <w:separator/>
      </w:r>
    </w:p>
  </w:footnote>
  <w:footnote w:type="continuationSeparator" w:id="0">
    <w:p w14:paraId="305DED39" w14:textId="77777777" w:rsidR="008755E0" w:rsidRDefault="008755E0" w:rsidP="00AA0519">
      <w:r>
        <w:continuationSeparator/>
      </w:r>
    </w:p>
  </w:footnote>
  <w:footnote w:type="continuationNotice" w:id="1">
    <w:p w14:paraId="44012F53" w14:textId="77777777" w:rsidR="008755E0" w:rsidRDefault="008755E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8324" w14:textId="48A4119C" w:rsidR="003F2F4B" w:rsidRPr="008C0A5F" w:rsidRDefault="00EA4035" w:rsidP="008C0A5F">
    <w:pPr>
      <w:pStyle w:val="Destinario"/>
      <w:spacing w:before="240"/>
      <w:ind w:left="708" w:hanging="708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594463D7" wp14:editId="63176F78">
          <wp:simplePos x="0" y="0"/>
          <wp:positionH relativeFrom="margin">
            <wp:posOffset>2051050</wp:posOffset>
          </wp:positionH>
          <wp:positionV relativeFrom="margin">
            <wp:posOffset>-882650</wp:posOffset>
          </wp:positionV>
          <wp:extent cx="1581150" cy="721360"/>
          <wp:effectExtent l="0" t="0" r="0" b="2540"/>
          <wp:wrapSquare wrapText="bothSides"/>
          <wp:docPr id="602906011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702FC" w14:textId="77777777" w:rsidR="00EA4035" w:rsidRPr="00044DBA" w:rsidRDefault="00EA4035" w:rsidP="00EA403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6A2E53" wp14:editId="13800983">
          <wp:simplePos x="0" y="0"/>
          <wp:positionH relativeFrom="margin">
            <wp:posOffset>2197100</wp:posOffset>
          </wp:positionH>
          <wp:positionV relativeFrom="margin">
            <wp:posOffset>-885825</wp:posOffset>
          </wp:positionV>
          <wp:extent cx="1581150" cy="721360"/>
          <wp:effectExtent l="0" t="0" r="0" b="2540"/>
          <wp:wrapSquare wrapText="bothSides"/>
          <wp:docPr id="331772907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C63DE" w14:textId="769345BB" w:rsidR="00F82573" w:rsidRPr="00EA4035" w:rsidRDefault="00F82573" w:rsidP="00EA403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15E5F"/>
    <w:rsid w:val="0003751F"/>
    <w:rsid w:val="00040E20"/>
    <w:rsid w:val="00046BDF"/>
    <w:rsid w:val="00050C7D"/>
    <w:rsid w:val="0006651E"/>
    <w:rsid w:val="00071BA7"/>
    <w:rsid w:val="00074D17"/>
    <w:rsid w:val="0007640B"/>
    <w:rsid w:val="00082430"/>
    <w:rsid w:val="000A69EA"/>
    <w:rsid w:val="000B439A"/>
    <w:rsid w:val="000F0259"/>
    <w:rsid w:val="000F11F6"/>
    <w:rsid w:val="000F38B4"/>
    <w:rsid w:val="00107A21"/>
    <w:rsid w:val="00111122"/>
    <w:rsid w:val="001215BB"/>
    <w:rsid w:val="00124C31"/>
    <w:rsid w:val="00124CB2"/>
    <w:rsid w:val="00132DAF"/>
    <w:rsid w:val="0014353D"/>
    <w:rsid w:val="00153BE7"/>
    <w:rsid w:val="0016195C"/>
    <w:rsid w:val="00167D6B"/>
    <w:rsid w:val="00175770"/>
    <w:rsid w:val="00176729"/>
    <w:rsid w:val="00184F11"/>
    <w:rsid w:val="00185A5D"/>
    <w:rsid w:val="001A5460"/>
    <w:rsid w:val="001B76BD"/>
    <w:rsid w:val="001C1D53"/>
    <w:rsid w:val="001E2DD2"/>
    <w:rsid w:val="001F176D"/>
    <w:rsid w:val="001F303A"/>
    <w:rsid w:val="001F47AB"/>
    <w:rsid w:val="001F722D"/>
    <w:rsid w:val="00202ACA"/>
    <w:rsid w:val="00212267"/>
    <w:rsid w:val="00223E3F"/>
    <w:rsid w:val="002272B7"/>
    <w:rsid w:val="0023010A"/>
    <w:rsid w:val="0024085D"/>
    <w:rsid w:val="00242300"/>
    <w:rsid w:val="002576CE"/>
    <w:rsid w:val="00283D1B"/>
    <w:rsid w:val="002944F2"/>
    <w:rsid w:val="002A09EB"/>
    <w:rsid w:val="002A0F6E"/>
    <w:rsid w:val="002C0218"/>
    <w:rsid w:val="002C11DD"/>
    <w:rsid w:val="002C26C3"/>
    <w:rsid w:val="002F0386"/>
    <w:rsid w:val="002F399E"/>
    <w:rsid w:val="00300D32"/>
    <w:rsid w:val="00306EAD"/>
    <w:rsid w:val="00323790"/>
    <w:rsid w:val="00324760"/>
    <w:rsid w:val="00330722"/>
    <w:rsid w:val="00342E64"/>
    <w:rsid w:val="00353D1D"/>
    <w:rsid w:val="0035541B"/>
    <w:rsid w:val="0035632E"/>
    <w:rsid w:val="00361DFF"/>
    <w:rsid w:val="0037311B"/>
    <w:rsid w:val="00374074"/>
    <w:rsid w:val="00377466"/>
    <w:rsid w:val="0038014E"/>
    <w:rsid w:val="00395708"/>
    <w:rsid w:val="0039685A"/>
    <w:rsid w:val="003A08DE"/>
    <w:rsid w:val="003A0D57"/>
    <w:rsid w:val="003A7FC9"/>
    <w:rsid w:val="003B1FEC"/>
    <w:rsid w:val="003B2F6C"/>
    <w:rsid w:val="003C5D9A"/>
    <w:rsid w:val="003C7E1C"/>
    <w:rsid w:val="003D163B"/>
    <w:rsid w:val="003E5D0F"/>
    <w:rsid w:val="003F2F4B"/>
    <w:rsid w:val="003F75A1"/>
    <w:rsid w:val="00401E61"/>
    <w:rsid w:val="004142B1"/>
    <w:rsid w:val="004170AF"/>
    <w:rsid w:val="00427F7E"/>
    <w:rsid w:val="004553AD"/>
    <w:rsid w:val="00456720"/>
    <w:rsid w:val="00457CC2"/>
    <w:rsid w:val="00467EAE"/>
    <w:rsid w:val="00483D6B"/>
    <w:rsid w:val="0048717A"/>
    <w:rsid w:val="004A6CAB"/>
    <w:rsid w:val="004B3256"/>
    <w:rsid w:val="004C0855"/>
    <w:rsid w:val="004C5774"/>
    <w:rsid w:val="004C69B7"/>
    <w:rsid w:val="004E017D"/>
    <w:rsid w:val="004E4590"/>
    <w:rsid w:val="004E6322"/>
    <w:rsid w:val="00515BEF"/>
    <w:rsid w:val="00515F72"/>
    <w:rsid w:val="0053330D"/>
    <w:rsid w:val="00546164"/>
    <w:rsid w:val="005544D6"/>
    <w:rsid w:val="00560337"/>
    <w:rsid w:val="005604AC"/>
    <w:rsid w:val="00565795"/>
    <w:rsid w:val="00571E96"/>
    <w:rsid w:val="005723D7"/>
    <w:rsid w:val="00580F8F"/>
    <w:rsid w:val="00587F12"/>
    <w:rsid w:val="005A0CF0"/>
    <w:rsid w:val="005A3520"/>
    <w:rsid w:val="005A4453"/>
    <w:rsid w:val="005B4F83"/>
    <w:rsid w:val="005B53D9"/>
    <w:rsid w:val="005B5736"/>
    <w:rsid w:val="005C287A"/>
    <w:rsid w:val="005C42EC"/>
    <w:rsid w:val="005D5736"/>
    <w:rsid w:val="005D7D66"/>
    <w:rsid w:val="005E366C"/>
    <w:rsid w:val="005F53B3"/>
    <w:rsid w:val="005F6877"/>
    <w:rsid w:val="00600042"/>
    <w:rsid w:val="00602072"/>
    <w:rsid w:val="006034BF"/>
    <w:rsid w:val="00622A42"/>
    <w:rsid w:val="00651863"/>
    <w:rsid w:val="006629AD"/>
    <w:rsid w:val="00682275"/>
    <w:rsid w:val="006B04F4"/>
    <w:rsid w:val="006C2ECC"/>
    <w:rsid w:val="006C7BED"/>
    <w:rsid w:val="006E1726"/>
    <w:rsid w:val="006E22E8"/>
    <w:rsid w:val="00707447"/>
    <w:rsid w:val="007118D6"/>
    <w:rsid w:val="00717096"/>
    <w:rsid w:val="007247FF"/>
    <w:rsid w:val="00725E7D"/>
    <w:rsid w:val="00735E1F"/>
    <w:rsid w:val="00740DD0"/>
    <w:rsid w:val="0074199A"/>
    <w:rsid w:val="00752DEC"/>
    <w:rsid w:val="00762CBD"/>
    <w:rsid w:val="0078631A"/>
    <w:rsid w:val="00791B6A"/>
    <w:rsid w:val="007955A9"/>
    <w:rsid w:val="007A7C1D"/>
    <w:rsid w:val="007D1313"/>
    <w:rsid w:val="007D7775"/>
    <w:rsid w:val="007E6E19"/>
    <w:rsid w:val="007E772F"/>
    <w:rsid w:val="007F42E3"/>
    <w:rsid w:val="007F4E31"/>
    <w:rsid w:val="00805BB0"/>
    <w:rsid w:val="008066FD"/>
    <w:rsid w:val="00823401"/>
    <w:rsid w:val="00833ACD"/>
    <w:rsid w:val="00833CF7"/>
    <w:rsid w:val="0083414D"/>
    <w:rsid w:val="00847FE4"/>
    <w:rsid w:val="0086582B"/>
    <w:rsid w:val="00874609"/>
    <w:rsid w:val="008755E0"/>
    <w:rsid w:val="008776E3"/>
    <w:rsid w:val="008B0943"/>
    <w:rsid w:val="008B0FB7"/>
    <w:rsid w:val="008C0A5F"/>
    <w:rsid w:val="008F5D4D"/>
    <w:rsid w:val="00902889"/>
    <w:rsid w:val="00915460"/>
    <w:rsid w:val="00916606"/>
    <w:rsid w:val="0093018E"/>
    <w:rsid w:val="00930F73"/>
    <w:rsid w:val="00957BE3"/>
    <w:rsid w:val="009677A2"/>
    <w:rsid w:val="00976702"/>
    <w:rsid w:val="009805C5"/>
    <w:rsid w:val="00987673"/>
    <w:rsid w:val="009A0C52"/>
    <w:rsid w:val="009A3312"/>
    <w:rsid w:val="009B1782"/>
    <w:rsid w:val="009B44BC"/>
    <w:rsid w:val="009C620A"/>
    <w:rsid w:val="009E7865"/>
    <w:rsid w:val="009F3478"/>
    <w:rsid w:val="009F5428"/>
    <w:rsid w:val="00A10971"/>
    <w:rsid w:val="00A14F94"/>
    <w:rsid w:val="00A15CDD"/>
    <w:rsid w:val="00A15D55"/>
    <w:rsid w:val="00A54CA2"/>
    <w:rsid w:val="00A55775"/>
    <w:rsid w:val="00A57653"/>
    <w:rsid w:val="00A675A6"/>
    <w:rsid w:val="00A84924"/>
    <w:rsid w:val="00A84EB8"/>
    <w:rsid w:val="00A90A86"/>
    <w:rsid w:val="00A92B44"/>
    <w:rsid w:val="00AA0519"/>
    <w:rsid w:val="00AA7A5F"/>
    <w:rsid w:val="00AC2B0D"/>
    <w:rsid w:val="00AC547C"/>
    <w:rsid w:val="00AD66F9"/>
    <w:rsid w:val="00AF66B3"/>
    <w:rsid w:val="00B061B5"/>
    <w:rsid w:val="00B37FAA"/>
    <w:rsid w:val="00B47D12"/>
    <w:rsid w:val="00B55127"/>
    <w:rsid w:val="00B706FB"/>
    <w:rsid w:val="00B74DFE"/>
    <w:rsid w:val="00B867C3"/>
    <w:rsid w:val="00B868E9"/>
    <w:rsid w:val="00B95E5C"/>
    <w:rsid w:val="00BA6D78"/>
    <w:rsid w:val="00BB3689"/>
    <w:rsid w:val="00BD4C8C"/>
    <w:rsid w:val="00BD57A6"/>
    <w:rsid w:val="00BE4932"/>
    <w:rsid w:val="00BF2FF9"/>
    <w:rsid w:val="00BF3B8D"/>
    <w:rsid w:val="00C46C31"/>
    <w:rsid w:val="00C81E1F"/>
    <w:rsid w:val="00C9169C"/>
    <w:rsid w:val="00C919BA"/>
    <w:rsid w:val="00C93328"/>
    <w:rsid w:val="00C961B0"/>
    <w:rsid w:val="00CB3666"/>
    <w:rsid w:val="00CC6C42"/>
    <w:rsid w:val="00CD6394"/>
    <w:rsid w:val="00CE1ECB"/>
    <w:rsid w:val="00CE66F4"/>
    <w:rsid w:val="00CF4E49"/>
    <w:rsid w:val="00D011DA"/>
    <w:rsid w:val="00D02A2F"/>
    <w:rsid w:val="00D30C14"/>
    <w:rsid w:val="00D30CA3"/>
    <w:rsid w:val="00D31768"/>
    <w:rsid w:val="00D609E5"/>
    <w:rsid w:val="00D62AFE"/>
    <w:rsid w:val="00D754A1"/>
    <w:rsid w:val="00D8217B"/>
    <w:rsid w:val="00D915DC"/>
    <w:rsid w:val="00D916A0"/>
    <w:rsid w:val="00DA3FC9"/>
    <w:rsid w:val="00DD3223"/>
    <w:rsid w:val="00DF79E2"/>
    <w:rsid w:val="00E035CC"/>
    <w:rsid w:val="00E04BCB"/>
    <w:rsid w:val="00E06BFB"/>
    <w:rsid w:val="00E156BD"/>
    <w:rsid w:val="00E31EEB"/>
    <w:rsid w:val="00E40737"/>
    <w:rsid w:val="00E51F6E"/>
    <w:rsid w:val="00E56853"/>
    <w:rsid w:val="00E75B77"/>
    <w:rsid w:val="00E77923"/>
    <w:rsid w:val="00E87078"/>
    <w:rsid w:val="00EA0931"/>
    <w:rsid w:val="00EA4035"/>
    <w:rsid w:val="00EA6A03"/>
    <w:rsid w:val="00EC5291"/>
    <w:rsid w:val="00ED1CFE"/>
    <w:rsid w:val="00ED3CA4"/>
    <w:rsid w:val="00ED4BB1"/>
    <w:rsid w:val="00ED585F"/>
    <w:rsid w:val="00EE0EF9"/>
    <w:rsid w:val="00F02D43"/>
    <w:rsid w:val="00F13D47"/>
    <w:rsid w:val="00F1584D"/>
    <w:rsid w:val="00F35EFC"/>
    <w:rsid w:val="00F66BF3"/>
    <w:rsid w:val="00F743EC"/>
    <w:rsid w:val="00F80B1D"/>
    <w:rsid w:val="00F82573"/>
    <w:rsid w:val="00FA6661"/>
    <w:rsid w:val="00FB07C1"/>
    <w:rsid w:val="00FB0E2E"/>
    <w:rsid w:val="00FC4A0A"/>
    <w:rsid w:val="00FC759B"/>
    <w:rsid w:val="00FD0A4E"/>
    <w:rsid w:val="00FD2A8B"/>
    <w:rsid w:val="00FD726E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86AD6A40-9833-461B-9825-2CB109FF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e352c5-a0a5-4aff-9101-fc8c076df9f7" xsi:nil="true"/>
    <lcf76f155ced4ddcb4097134ff3c332f xmlns="52f50d89-700a-49c3-acb1-cc45863f80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DD0B26ABEDD0459BD4267A57D8442E" ma:contentTypeVersion="18" ma:contentTypeDescription="Crear nuevo documento." ma:contentTypeScope="" ma:versionID="63345bc15eff37b58dbc522584adda90">
  <xsd:schema xmlns:xsd="http://www.w3.org/2001/XMLSchema" xmlns:xs="http://www.w3.org/2001/XMLSchema" xmlns:p="http://schemas.microsoft.com/office/2006/metadata/properties" xmlns:ns2="52f50d89-700a-49c3-acb1-cc45863f80d1" xmlns:ns3="c5e352c5-a0a5-4aff-9101-fc8c076df9f7" targetNamespace="http://schemas.microsoft.com/office/2006/metadata/properties" ma:root="true" ma:fieldsID="d7dbd54db26729453a066201da170044" ns2:_="" ns3:_="">
    <xsd:import namespace="52f50d89-700a-49c3-acb1-cc45863f80d1"/>
    <xsd:import namespace="c5e352c5-a0a5-4aff-9101-fc8c076df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0d89-700a-49c3-acb1-cc45863f8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352c5-a0a5-4aff-9101-fc8c076d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11bec3-26df-47a9-92ee-f2870e4266c1}" ma:internalName="TaxCatchAll" ma:showField="CatchAllData" ma:web="c5e352c5-a0a5-4aff-9101-fc8c076df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1084-4222-4406-8A94-1490C4019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506F7-60A5-42B5-8124-2A7E6E4A2491}">
  <ds:schemaRefs>
    <ds:schemaRef ds:uri="http://schemas.microsoft.com/office/2006/metadata/properties"/>
    <ds:schemaRef ds:uri="http://schemas.microsoft.com/office/infopath/2007/PartnerControls"/>
    <ds:schemaRef ds:uri="c5e352c5-a0a5-4aff-9101-fc8c076df9f7"/>
    <ds:schemaRef ds:uri="52f50d89-700a-49c3-acb1-cc45863f80d1"/>
  </ds:schemaRefs>
</ds:datastoreItem>
</file>

<file path=customXml/itemProps3.xml><?xml version="1.0" encoding="utf-8"?>
<ds:datastoreItem xmlns:ds="http://schemas.openxmlformats.org/officeDocument/2006/customXml" ds:itemID="{730EF4DA-232D-4A6D-8218-1B6157AC6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50d89-700a-49c3-acb1-cc45863f80d1"/>
    <ds:schemaRef ds:uri="c5e352c5-a0a5-4aff-9101-fc8c076d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Ingrid Sussell Lopez Gomez</cp:lastModifiedBy>
  <cp:revision>77</cp:revision>
  <cp:lastPrinted>2022-04-01T16:48:00Z</cp:lastPrinted>
  <dcterms:created xsi:type="dcterms:W3CDTF">2025-02-26T19:36:00Z</dcterms:created>
  <dcterms:modified xsi:type="dcterms:W3CDTF">2025-02-26T19:18:00Z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0x010100DCDD0B26ABEDD0459BD4267A57D8442E</vt:lpwstr>
  </property>
  <property fmtid="{D5CDD505-2E9C-101B-9397-08002B2CF9AE}" pid="3" name="MediaServiceImageTags">
    <vt:lpwstr/>
  </property>
</Properties>
</file>