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3B2D6" w14:textId="77777777" w:rsidR="0000361B" w:rsidRPr="00753A77" w:rsidRDefault="00000000" w:rsidP="0000361B">
      <w:pPr>
        <w:pStyle w:val="Encabezado"/>
        <w:tabs>
          <w:tab w:val="clear" w:pos="8504"/>
          <w:tab w:val="right" w:pos="9356"/>
        </w:tabs>
        <w:ind w:left="0"/>
        <w:jc w:val="both"/>
        <w:rPr>
          <w:rFonts w:ascii="Bookman Old Style" w:hAnsi="Bookman Old Style"/>
          <w:sz w:val="23"/>
          <w:szCs w:val="23"/>
        </w:rPr>
      </w:pPr>
      <w:r w:rsidRPr="00753A77">
        <w:rPr>
          <w:rFonts w:ascii="Bookman Old Style" w:hAnsi="Bookman Old Style"/>
          <w:noProof/>
          <w:sz w:val="23"/>
          <w:szCs w:val="23"/>
        </w:rPr>
        <w:object w:dxaOrig="1440" w:dyaOrig="1440" w14:anchorId="4C309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97.15pt;margin-top:-53.35pt;width:52.5pt;height:48.75pt;z-index:251658240;mso-wrap-edited:f;mso-width-percent:0;mso-height-percent:0;mso-width-percent:0;mso-height-percent:0" fillcolor="#0c9">
            <v:imagedata r:id="rId11" o:title=""/>
          </v:shape>
          <o:OLEObject Type="Embed" ProgID="PBrush" ShapeID="_x0000_s2050" DrawAspect="Content" ObjectID="_1803886548" r:id="rId12"/>
        </w:object>
      </w:r>
    </w:p>
    <w:p w14:paraId="3CAC7DFA" w14:textId="77777777" w:rsidR="005A0A41" w:rsidRPr="00753A77" w:rsidRDefault="005A0A41" w:rsidP="005A0A41">
      <w:pPr>
        <w:pStyle w:val="Ttulo4"/>
        <w:keepNext w:val="0"/>
        <w:tabs>
          <w:tab w:val="left" w:pos="0"/>
          <w:tab w:val="right" w:pos="9356"/>
        </w:tabs>
        <w:ind w:left="0"/>
        <w:rPr>
          <w:rFonts w:ascii="Bookman Old Style" w:hAnsi="Bookman Old Style"/>
          <w:b w:val="0"/>
          <w:bCs/>
          <w:noProof/>
          <w:sz w:val="24"/>
          <w:szCs w:val="24"/>
          <w:lang w:val="es-ES"/>
        </w:rPr>
      </w:pPr>
      <w:r w:rsidRPr="00753A77">
        <w:rPr>
          <w:rFonts w:ascii="Bookman Old Style" w:hAnsi="Bookman Old Style"/>
          <w:b w:val="0"/>
          <w:bCs/>
          <w:sz w:val="24"/>
          <w:szCs w:val="24"/>
        </w:rPr>
        <w:t>Ministerio de Minas y Energía</w:t>
      </w:r>
    </w:p>
    <w:p w14:paraId="4069C2CD" w14:textId="77777777" w:rsidR="005A0A41" w:rsidRPr="00753A77" w:rsidRDefault="005A0A41" w:rsidP="005A0A41">
      <w:pPr>
        <w:pStyle w:val="Ttulo4"/>
        <w:keepNext w:val="0"/>
        <w:tabs>
          <w:tab w:val="left" w:pos="0"/>
          <w:tab w:val="right" w:pos="9356"/>
        </w:tabs>
        <w:ind w:left="0"/>
        <w:rPr>
          <w:rFonts w:ascii="Bookman Old Style" w:hAnsi="Bookman Old Style"/>
          <w:b w:val="0"/>
          <w:bCs/>
          <w:sz w:val="24"/>
          <w:szCs w:val="24"/>
        </w:rPr>
      </w:pPr>
    </w:p>
    <w:p w14:paraId="34630A4A" w14:textId="77777777" w:rsidR="005A0A41" w:rsidRPr="00753A77" w:rsidRDefault="005A0A41" w:rsidP="005A0A41">
      <w:pPr>
        <w:pStyle w:val="Ttulo3"/>
        <w:keepNext w:val="0"/>
        <w:tabs>
          <w:tab w:val="left" w:pos="0"/>
          <w:tab w:val="right" w:pos="9356"/>
        </w:tabs>
        <w:ind w:left="0"/>
        <w:rPr>
          <w:rFonts w:ascii="Bookman Old Style" w:hAnsi="Bookman Old Style" w:cs="Arial"/>
          <w:spacing w:val="20"/>
          <w:szCs w:val="24"/>
        </w:rPr>
      </w:pPr>
      <w:r w:rsidRPr="00753A77">
        <w:rPr>
          <w:rFonts w:ascii="Bookman Old Style" w:hAnsi="Bookman Old Style" w:cs="Arial"/>
          <w:spacing w:val="20"/>
          <w:szCs w:val="24"/>
        </w:rPr>
        <w:t>COMISIÓN DE REGULACIÓN DE ENERGÍA Y GAS</w:t>
      </w:r>
    </w:p>
    <w:p w14:paraId="568E8E3A" w14:textId="77777777" w:rsidR="005A0A41" w:rsidRPr="00753A77" w:rsidRDefault="005A0A41" w:rsidP="005A0A41">
      <w:pPr>
        <w:pStyle w:val="Ttulo5"/>
        <w:keepNext w:val="0"/>
        <w:tabs>
          <w:tab w:val="left" w:pos="0"/>
          <w:tab w:val="right" w:pos="9356"/>
        </w:tabs>
        <w:ind w:left="0"/>
        <w:rPr>
          <w:rFonts w:ascii="Bookman Old Style" w:hAnsi="Bookman Old Style"/>
          <w:sz w:val="24"/>
          <w:szCs w:val="24"/>
        </w:rPr>
      </w:pPr>
    </w:p>
    <w:p w14:paraId="35F31CA4" w14:textId="77777777" w:rsidR="005A0A41" w:rsidRPr="00753A77" w:rsidRDefault="005A0A41" w:rsidP="005A0A41">
      <w:pPr>
        <w:pStyle w:val="Ttulo5"/>
        <w:keepNext w:val="0"/>
        <w:tabs>
          <w:tab w:val="left" w:pos="0"/>
          <w:tab w:val="right" w:pos="9356"/>
        </w:tabs>
        <w:ind w:left="0"/>
        <w:rPr>
          <w:rFonts w:ascii="Bookman Old Style" w:hAnsi="Bookman Old Style"/>
          <w:sz w:val="24"/>
          <w:szCs w:val="24"/>
        </w:rPr>
      </w:pPr>
    </w:p>
    <w:p w14:paraId="4A9E83B0" w14:textId="0EA09FAA" w:rsidR="005A0A41" w:rsidRPr="00753A77" w:rsidRDefault="001215D3" w:rsidP="005A0A41">
      <w:pPr>
        <w:pStyle w:val="Ttulo5"/>
        <w:keepNext w:val="0"/>
        <w:tabs>
          <w:tab w:val="left" w:pos="0"/>
          <w:tab w:val="right" w:pos="9356"/>
        </w:tabs>
        <w:ind w:left="0"/>
        <w:rPr>
          <w:rFonts w:ascii="Bookman Old Style" w:hAnsi="Bookman Old Style"/>
          <w:sz w:val="24"/>
          <w:szCs w:val="24"/>
        </w:rPr>
      </w:pPr>
      <w:r w:rsidRPr="00753A77">
        <w:rPr>
          <w:rFonts w:ascii="Bookman Old Style" w:hAnsi="Bookman Old Style"/>
          <w:sz w:val="24"/>
          <w:szCs w:val="24"/>
        </w:rPr>
        <w:t xml:space="preserve">PROYECTO DE </w:t>
      </w:r>
      <w:r w:rsidR="005A0A41" w:rsidRPr="00753A77">
        <w:rPr>
          <w:rFonts w:ascii="Bookman Old Style" w:hAnsi="Bookman Old Style"/>
          <w:sz w:val="24"/>
          <w:szCs w:val="24"/>
        </w:rPr>
        <w:t xml:space="preserve">RESOLUCIÓN No. </w:t>
      </w:r>
      <w:r w:rsidR="005A0A41" w:rsidRPr="00753A77">
        <w:rPr>
          <w:rFonts w:ascii="Bookman Old Style" w:hAnsi="Bookman Old Style"/>
          <w:sz w:val="32"/>
          <w:szCs w:val="32"/>
        </w:rPr>
        <w:fldChar w:fldCharType="begin"/>
      </w:r>
      <w:r w:rsidR="005A0A41" w:rsidRPr="00753A77">
        <w:rPr>
          <w:rFonts w:ascii="Bookman Old Style" w:hAnsi="Bookman Old Style"/>
          <w:sz w:val="32"/>
          <w:szCs w:val="32"/>
        </w:rPr>
        <w:instrText xml:space="preserve"> MERGEFIELD  NumeroResolucion  \* MERGEFORMAT </w:instrText>
      </w:r>
      <w:r w:rsidR="005A0A41" w:rsidRPr="00753A77">
        <w:rPr>
          <w:rFonts w:ascii="Bookman Old Style" w:hAnsi="Bookman Old Style"/>
          <w:sz w:val="32"/>
          <w:szCs w:val="32"/>
        </w:rPr>
        <w:fldChar w:fldCharType="separate"/>
      </w:r>
      <w:r w:rsidR="00DE037A" w:rsidRPr="00753A77">
        <w:rPr>
          <w:rFonts w:ascii="Bookman Old Style" w:hAnsi="Bookman Old Style"/>
          <w:noProof/>
          <w:sz w:val="32"/>
          <w:szCs w:val="32"/>
        </w:rPr>
        <w:t>701 0</w:t>
      </w:r>
      <w:r w:rsidR="00E94EF3" w:rsidRPr="00753A77">
        <w:rPr>
          <w:rFonts w:ascii="Bookman Old Style" w:hAnsi="Bookman Old Style"/>
          <w:noProof/>
          <w:sz w:val="32"/>
          <w:szCs w:val="32"/>
        </w:rPr>
        <w:t>8</w:t>
      </w:r>
      <w:r w:rsidR="00626F9E" w:rsidRPr="00753A77">
        <w:rPr>
          <w:rFonts w:ascii="Bookman Old Style" w:hAnsi="Bookman Old Style"/>
          <w:noProof/>
          <w:sz w:val="32"/>
          <w:szCs w:val="32"/>
        </w:rPr>
        <w:t>2</w:t>
      </w:r>
      <w:r w:rsidR="005A0A41" w:rsidRPr="00753A77">
        <w:rPr>
          <w:rFonts w:ascii="Bookman Old Style" w:hAnsi="Bookman Old Style"/>
          <w:sz w:val="32"/>
          <w:szCs w:val="32"/>
        </w:rPr>
        <w:fldChar w:fldCharType="end"/>
      </w:r>
      <w:r w:rsidR="005A0A41" w:rsidRPr="00753A77">
        <w:rPr>
          <w:rFonts w:ascii="Bookman Old Style" w:hAnsi="Bookman Old Style"/>
          <w:sz w:val="32"/>
          <w:szCs w:val="32"/>
        </w:rPr>
        <w:t xml:space="preserve"> DE </w:t>
      </w:r>
      <w:r w:rsidR="00626F9E" w:rsidRPr="00753A77">
        <w:rPr>
          <w:rFonts w:ascii="Bookman Old Style" w:hAnsi="Bookman Old Style"/>
          <w:sz w:val="32"/>
          <w:szCs w:val="32"/>
        </w:rPr>
        <w:t>2025</w:t>
      </w:r>
    </w:p>
    <w:p w14:paraId="3E2ED50C" w14:textId="77777777" w:rsidR="005A0A41" w:rsidRPr="00753A77" w:rsidRDefault="005A0A41" w:rsidP="005A0A41">
      <w:pPr>
        <w:tabs>
          <w:tab w:val="left" w:pos="0"/>
          <w:tab w:val="right" w:pos="9356"/>
        </w:tabs>
        <w:ind w:left="0"/>
        <w:jc w:val="center"/>
        <w:rPr>
          <w:rFonts w:ascii="Bookman Old Style" w:hAnsi="Bookman Old Style" w:cs="Arial"/>
          <w:b/>
          <w:snapToGrid w:val="0"/>
          <w:color w:val="000000"/>
          <w:lang w:val="es-ES_tradnl"/>
        </w:rPr>
      </w:pPr>
    </w:p>
    <w:p w14:paraId="25B00C98" w14:textId="4976F9B1" w:rsidR="005A0A41" w:rsidRPr="00753A77" w:rsidRDefault="005A0A41" w:rsidP="005A0A41">
      <w:pPr>
        <w:pStyle w:val="Ttulo3"/>
        <w:keepNext w:val="0"/>
        <w:tabs>
          <w:tab w:val="left" w:pos="0"/>
          <w:tab w:val="right" w:pos="9356"/>
        </w:tabs>
        <w:ind w:left="0"/>
        <w:rPr>
          <w:rFonts w:ascii="Bookman Old Style" w:hAnsi="Bookman Old Style"/>
          <w:bCs/>
          <w:szCs w:val="24"/>
        </w:rPr>
      </w:pPr>
      <w:r w:rsidRPr="00753A77">
        <w:rPr>
          <w:rFonts w:ascii="Bookman Old Style" w:hAnsi="Bookman Old Style"/>
          <w:bCs/>
          <w:szCs w:val="24"/>
        </w:rPr>
        <w:t>(</w:t>
      </w:r>
      <w:r w:rsidR="00626F9E" w:rsidRPr="00753A77">
        <w:rPr>
          <w:rFonts w:ascii="Bookman Old Style" w:hAnsi="Bookman Old Style"/>
          <w:bCs/>
          <w:szCs w:val="24"/>
        </w:rPr>
        <w:t>27</w:t>
      </w:r>
      <w:r w:rsidR="00CE3C07" w:rsidRPr="00753A77">
        <w:rPr>
          <w:rFonts w:ascii="Bookman Old Style" w:hAnsi="Bookman Old Style"/>
          <w:bCs/>
          <w:szCs w:val="24"/>
        </w:rPr>
        <w:t xml:space="preserve"> </w:t>
      </w:r>
      <w:r w:rsidR="00626F9E" w:rsidRPr="00753A77">
        <w:rPr>
          <w:rFonts w:ascii="Bookman Old Style" w:hAnsi="Bookman Old Style"/>
          <w:bCs/>
          <w:szCs w:val="24"/>
        </w:rPr>
        <w:t>FEB</w:t>
      </w:r>
      <w:r w:rsidR="00CE3C07" w:rsidRPr="00753A77">
        <w:rPr>
          <w:rFonts w:ascii="Bookman Old Style" w:hAnsi="Bookman Old Style"/>
          <w:bCs/>
          <w:szCs w:val="24"/>
        </w:rPr>
        <w:t>.202</w:t>
      </w:r>
      <w:r w:rsidR="00DC7D9A" w:rsidRPr="00753A77">
        <w:rPr>
          <w:rFonts w:ascii="Bookman Old Style" w:hAnsi="Bookman Old Style"/>
          <w:bCs/>
          <w:szCs w:val="24"/>
        </w:rPr>
        <w:t>5</w:t>
      </w:r>
      <w:r w:rsidRPr="00753A77">
        <w:rPr>
          <w:rFonts w:ascii="Bookman Old Style" w:hAnsi="Bookman Old Style"/>
          <w:bCs/>
          <w:szCs w:val="24"/>
        </w:rPr>
        <w:t>)</w:t>
      </w:r>
    </w:p>
    <w:p w14:paraId="398D8965" w14:textId="6B399F7E" w:rsidR="00DB5EA8" w:rsidRPr="00753A77" w:rsidRDefault="00DB5EA8" w:rsidP="34A49101">
      <w:pPr>
        <w:spacing w:before="480"/>
        <w:ind w:left="0"/>
        <w:jc w:val="both"/>
        <w:rPr>
          <w:rFonts w:ascii="Bookman Old Style" w:hAnsi="Bookman Old Style"/>
        </w:rPr>
      </w:pPr>
      <w:r w:rsidRPr="00753A77">
        <w:rPr>
          <w:rFonts w:ascii="Bookman Old Style" w:hAnsi="Bookman Old Style"/>
        </w:rPr>
        <w:t>La Comisión de Regulación de Energía y Gas, en su sesión 1</w:t>
      </w:r>
      <w:r w:rsidR="00626F9E" w:rsidRPr="00753A77">
        <w:rPr>
          <w:rFonts w:ascii="Bookman Old Style" w:hAnsi="Bookman Old Style"/>
        </w:rPr>
        <w:t>374</w:t>
      </w:r>
      <w:r w:rsidRPr="00753A77">
        <w:rPr>
          <w:rFonts w:ascii="Bookman Old Style" w:hAnsi="Bookman Old Style"/>
        </w:rPr>
        <w:t xml:space="preserve"> del </w:t>
      </w:r>
      <w:r w:rsidR="00626F9E" w:rsidRPr="00753A77">
        <w:rPr>
          <w:rFonts w:ascii="Bookman Old Style" w:hAnsi="Bookman Old Style"/>
        </w:rPr>
        <w:t>27</w:t>
      </w:r>
      <w:r w:rsidRPr="00753A77">
        <w:rPr>
          <w:rFonts w:ascii="Bookman Old Style" w:hAnsi="Bookman Old Style"/>
        </w:rPr>
        <w:t xml:space="preserve"> de </w:t>
      </w:r>
      <w:r w:rsidR="00626F9E" w:rsidRPr="00753A77">
        <w:rPr>
          <w:rFonts w:ascii="Bookman Old Style" w:hAnsi="Bookman Old Style"/>
        </w:rPr>
        <w:t>febrero</w:t>
      </w:r>
      <w:r w:rsidRPr="00753A77">
        <w:rPr>
          <w:rFonts w:ascii="Bookman Old Style" w:hAnsi="Bookman Old Style"/>
        </w:rPr>
        <w:t xml:space="preserve"> de 202</w:t>
      </w:r>
      <w:r w:rsidR="00626F9E" w:rsidRPr="00753A77">
        <w:rPr>
          <w:rFonts w:ascii="Bookman Old Style" w:hAnsi="Bookman Old Style"/>
        </w:rPr>
        <w:t>5</w:t>
      </w:r>
      <w:r w:rsidRPr="00753A77">
        <w:rPr>
          <w:rFonts w:ascii="Bookman Old Style" w:hAnsi="Bookman Old Style"/>
        </w:rPr>
        <w:t xml:space="preserve">, aprobó someter a consulta pública el presente proyecto de resolución por el término de </w:t>
      </w:r>
      <w:r w:rsidR="00B71D1D" w:rsidRPr="00753A77">
        <w:rPr>
          <w:rFonts w:ascii="Bookman Old Style" w:hAnsi="Bookman Old Style"/>
        </w:rPr>
        <w:t xml:space="preserve">diez </w:t>
      </w:r>
      <w:r w:rsidRPr="00753A77">
        <w:rPr>
          <w:rFonts w:ascii="Bookman Old Style" w:hAnsi="Bookman Old Style"/>
        </w:rPr>
        <w:t>(</w:t>
      </w:r>
      <w:r w:rsidR="00B71D1D" w:rsidRPr="00753A77">
        <w:rPr>
          <w:rFonts w:ascii="Bookman Old Style" w:hAnsi="Bookman Old Style"/>
        </w:rPr>
        <w:t>10</w:t>
      </w:r>
      <w:r w:rsidRPr="00753A77">
        <w:rPr>
          <w:rFonts w:ascii="Bookman Old Style" w:hAnsi="Bookman Old Style"/>
        </w:rPr>
        <w:t>) días hábiles contados a partir del día siguiente a su publicación en el portal web de la CREG.</w:t>
      </w:r>
    </w:p>
    <w:p w14:paraId="018349E0" w14:textId="50D3AC7D" w:rsidR="00DB5EA8" w:rsidRPr="00753A77" w:rsidRDefault="00DB5EA8" w:rsidP="34A49101">
      <w:pPr>
        <w:spacing w:before="240"/>
        <w:ind w:left="0"/>
        <w:jc w:val="both"/>
        <w:rPr>
          <w:rFonts w:ascii="Bookman Old Style" w:hAnsi="Bookman Old Style"/>
        </w:rPr>
      </w:pPr>
      <w:r w:rsidRPr="00753A77">
        <w:rPr>
          <w:rFonts w:ascii="Bookman Old Style" w:hAnsi="Bookman Old Style"/>
        </w:rPr>
        <w:t>Se invita a las empresas, los usuarios</w:t>
      </w:r>
      <w:r w:rsidR="00A21B6A" w:rsidRPr="00753A77">
        <w:rPr>
          <w:rFonts w:ascii="Bookman Old Style" w:hAnsi="Bookman Old Style"/>
        </w:rPr>
        <w:t>,</w:t>
      </w:r>
      <w:r w:rsidRPr="00753A77">
        <w:rPr>
          <w:rFonts w:ascii="Bookman Old Style" w:hAnsi="Bookman Old Style"/>
        </w:rPr>
        <w:t xml:space="preserve"> las autoridades y demás partes interesadas a presentar sus observaciones y sugerencias dentro del plazo establecido, mediante comunicaciones electrónicas dirigidas al Director Ejecutivo de la CREG, a la cuenta creg@creg.gov.co, con asunto: “Comentarios sobre la Resolución CREG 701 </w:t>
      </w:r>
      <w:r w:rsidR="00626F9E" w:rsidRPr="00753A77">
        <w:rPr>
          <w:rFonts w:ascii="Bookman Old Style" w:hAnsi="Bookman Old Style"/>
        </w:rPr>
        <w:t>0</w:t>
      </w:r>
      <w:r w:rsidR="00E94EF3" w:rsidRPr="00753A77">
        <w:rPr>
          <w:rFonts w:ascii="Bookman Old Style" w:hAnsi="Bookman Old Style"/>
        </w:rPr>
        <w:t>8</w:t>
      </w:r>
      <w:r w:rsidR="00626F9E" w:rsidRPr="00753A77">
        <w:rPr>
          <w:rFonts w:ascii="Bookman Old Style" w:hAnsi="Bookman Old Style"/>
        </w:rPr>
        <w:t>2</w:t>
      </w:r>
      <w:r w:rsidRPr="00753A77">
        <w:rPr>
          <w:rFonts w:ascii="Bookman Old Style" w:hAnsi="Bookman Old Style"/>
        </w:rPr>
        <w:t xml:space="preserve"> de 202</w:t>
      </w:r>
      <w:r w:rsidR="00746F73" w:rsidRPr="00753A77">
        <w:rPr>
          <w:rFonts w:ascii="Bookman Old Style" w:hAnsi="Bookman Old Style"/>
        </w:rPr>
        <w:t>5 contrato respaldo</w:t>
      </w:r>
      <w:r w:rsidRPr="00753A77">
        <w:rPr>
          <w:rFonts w:ascii="Bookman Old Style" w:hAnsi="Bookman Old Style"/>
        </w:rPr>
        <w:t>”, utilizando el formato anexo.</w:t>
      </w:r>
    </w:p>
    <w:p w14:paraId="6C164CFD" w14:textId="77777777" w:rsidR="00DB5EA8" w:rsidRPr="00753A77" w:rsidRDefault="00DB5EA8" w:rsidP="00920E3C">
      <w:pPr>
        <w:spacing w:before="240"/>
        <w:ind w:left="0"/>
        <w:jc w:val="both"/>
        <w:rPr>
          <w:rFonts w:ascii="Bookman Old Style" w:hAnsi="Bookman Old Style"/>
        </w:rPr>
      </w:pPr>
      <w:r w:rsidRPr="00753A77">
        <w:rPr>
          <w:rFonts w:ascii="Bookman Old Style" w:hAnsi="Bookman Old Style"/>
        </w:rPr>
        <w:t>En el documento soporte de la presente resolución se exponen los análisis y la justificación de la propuesta regulatoria que se somete al proceso de consulta pública.</w:t>
      </w:r>
    </w:p>
    <w:p w14:paraId="1030C7AF" w14:textId="77777777" w:rsidR="00DB5EA8" w:rsidRPr="00753A77" w:rsidRDefault="00DB5EA8" w:rsidP="34A49101">
      <w:pPr>
        <w:spacing w:before="240"/>
        <w:ind w:left="0"/>
        <w:jc w:val="both"/>
        <w:rPr>
          <w:rFonts w:ascii="Bookman Old Style" w:hAnsi="Bookman Old Style"/>
        </w:rPr>
      </w:pPr>
      <w:r w:rsidRPr="00753A77">
        <w:rPr>
          <w:rFonts w:ascii="Bookman Old Style" w:hAnsi="Bookman Old Style"/>
        </w:rPr>
        <w:t>Al vencimiento de la consulta pública, la CREG determinará si el proyecto debe ser informado a la Superintendencia de Industria y Comercio, para el ejercicio de la Abogacía de la Competencia, con fundamento en las disposiciones del Decreto 1074 de 2015, artículo 2.2.2.30.5.</w:t>
      </w:r>
    </w:p>
    <w:p w14:paraId="736127D4" w14:textId="77777777" w:rsidR="00DB5EA8" w:rsidRPr="00753A77" w:rsidRDefault="00DB5EA8" w:rsidP="00DB5EA8">
      <w:pPr>
        <w:spacing w:before="480"/>
        <w:ind w:left="0"/>
        <w:jc w:val="center"/>
        <w:rPr>
          <w:rFonts w:ascii="Bookman Old Style" w:hAnsi="Bookman Old Style"/>
          <w:b/>
          <w:bCs/>
        </w:rPr>
      </w:pPr>
      <w:r w:rsidRPr="00753A77">
        <w:rPr>
          <w:rFonts w:ascii="Bookman Old Style" w:hAnsi="Bookman Old Style"/>
          <w:b/>
          <w:bCs/>
        </w:rPr>
        <w:t>PROYECTO DE RESOLUCIÓN</w:t>
      </w:r>
    </w:p>
    <w:p w14:paraId="44699BA9" w14:textId="2BE6BFB7" w:rsidR="00616ED2" w:rsidRPr="00753A77" w:rsidRDefault="00616ED2" w:rsidP="34A49101">
      <w:pPr>
        <w:spacing w:before="480"/>
        <w:ind w:left="0"/>
        <w:jc w:val="center"/>
        <w:rPr>
          <w:rFonts w:ascii="Bookman Old Style" w:hAnsi="Bookman Old Style"/>
        </w:rPr>
      </w:pPr>
      <w:r w:rsidRPr="00753A77">
        <w:rPr>
          <w:rFonts w:ascii="Bookman Old Style" w:hAnsi="Bookman Old Style"/>
        </w:rPr>
        <w:t>Por la cual se</w:t>
      </w:r>
      <w:r w:rsidR="00961BC7" w:rsidRPr="00753A77">
        <w:rPr>
          <w:rFonts w:ascii="Bookman Old Style" w:hAnsi="Bookman Old Style"/>
        </w:rPr>
        <w:t xml:space="preserve"> </w:t>
      </w:r>
      <w:r w:rsidR="00E92035" w:rsidRPr="00753A77">
        <w:rPr>
          <w:rFonts w:ascii="Bookman Old Style" w:hAnsi="Bookman Old Style"/>
        </w:rPr>
        <w:t>actualizan</w:t>
      </w:r>
      <w:r w:rsidR="00961BC7" w:rsidRPr="00753A77">
        <w:rPr>
          <w:rFonts w:ascii="Bookman Old Style" w:hAnsi="Bookman Old Style"/>
        </w:rPr>
        <w:t xml:space="preserve"> las reglas </w:t>
      </w:r>
      <w:r w:rsidR="009949E0" w:rsidRPr="00753A77">
        <w:rPr>
          <w:rFonts w:ascii="Bookman Old Style" w:hAnsi="Bookman Old Style"/>
        </w:rPr>
        <w:t xml:space="preserve">para la suscripción de contratos de respaldo </w:t>
      </w:r>
      <w:r w:rsidR="00A95E8C" w:rsidRPr="00753A77">
        <w:rPr>
          <w:rFonts w:ascii="Bookman Old Style" w:hAnsi="Bookman Old Style"/>
        </w:rPr>
        <w:t>para usuarios autogeneradores del SDL o STR</w:t>
      </w:r>
      <w:r w:rsidR="00CC726C" w:rsidRPr="00753A77">
        <w:rPr>
          <w:rFonts w:ascii="Bookman Old Style" w:hAnsi="Bookman Old Style"/>
        </w:rPr>
        <w:t xml:space="preserve">, en cumplimiento del Decreto </w:t>
      </w:r>
      <w:r w:rsidR="00B71D1D" w:rsidRPr="00753A77">
        <w:rPr>
          <w:rFonts w:ascii="Bookman Old Style" w:hAnsi="Bookman Old Style"/>
        </w:rPr>
        <w:t xml:space="preserve">1403 </w:t>
      </w:r>
      <w:r w:rsidR="00CC726C" w:rsidRPr="00753A77">
        <w:rPr>
          <w:rFonts w:ascii="Bookman Old Style" w:hAnsi="Bookman Old Style"/>
        </w:rPr>
        <w:t>de 2024.</w:t>
      </w:r>
    </w:p>
    <w:p w14:paraId="14C2984B" w14:textId="77777777" w:rsidR="00616ED2" w:rsidRPr="00753A77" w:rsidRDefault="00616ED2" w:rsidP="00E85592">
      <w:pPr>
        <w:spacing w:before="480"/>
        <w:ind w:left="0" w:right="51"/>
        <w:jc w:val="center"/>
        <w:rPr>
          <w:rFonts w:ascii="Bookman Old Style" w:hAnsi="Bookman Old Style"/>
          <w:b/>
        </w:rPr>
      </w:pPr>
      <w:r w:rsidRPr="00753A77">
        <w:rPr>
          <w:rFonts w:ascii="Bookman Old Style" w:hAnsi="Bookman Old Style"/>
          <w:b/>
        </w:rPr>
        <w:t>LA COMISIÓN DE REGULACIÓN DE ENERGÍA Y GAS</w:t>
      </w:r>
    </w:p>
    <w:p w14:paraId="5F709365" w14:textId="143B20C4" w:rsidR="00616ED2" w:rsidRPr="00753A77" w:rsidRDefault="00CE5BB5" w:rsidP="00E85592">
      <w:pPr>
        <w:pStyle w:val="Textoindependiente3"/>
        <w:spacing w:before="240"/>
        <w:ind w:left="0" w:right="284"/>
        <w:rPr>
          <w:rFonts w:ascii="Bookman Old Style" w:hAnsi="Bookman Old Style"/>
          <w:b w:val="0"/>
        </w:rPr>
      </w:pPr>
      <w:r w:rsidRPr="00753A77">
        <w:rPr>
          <w:rFonts w:ascii="Bookman Old Style" w:hAnsi="Bookman Old Style"/>
          <w:b w:val="0"/>
        </w:rPr>
        <w:t>En ejercicio de sus atribuciones constitucionales y legales, en especial las conferidas por las leyes 142 y 143 de 1994, y en desarrollo de los decretos 1524 y 2253 de 1994 y 1260 de 2013, y</w:t>
      </w:r>
    </w:p>
    <w:p w14:paraId="019D9F43" w14:textId="5A010A0A" w:rsidR="00616ED2" w:rsidRPr="00753A77" w:rsidRDefault="00616ED2" w:rsidP="00E85592">
      <w:pPr>
        <w:spacing w:before="480"/>
        <w:ind w:left="0" w:right="51"/>
        <w:jc w:val="center"/>
        <w:rPr>
          <w:rFonts w:ascii="Bookman Old Style" w:hAnsi="Bookman Old Style"/>
          <w:b/>
          <w:spacing w:val="80"/>
          <w:lang w:val="es-CO"/>
        </w:rPr>
      </w:pPr>
      <w:r w:rsidRPr="00753A77">
        <w:rPr>
          <w:rFonts w:ascii="Bookman Old Style" w:hAnsi="Bookman Old Style"/>
          <w:b/>
          <w:spacing w:val="80"/>
          <w:lang w:val="es-CO"/>
        </w:rPr>
        <w:t>CONSIDERANDO</w:t>
      </w:r>
      <w:r w:rsidR="00CE5BB5" w:rsidRPr="00753A77">
        <w:rPr>
          <w:rFonts w:ascii="Bookman Old Style" w:hAnsi="Bookman Old Style"/>
          <w:b/>
          <w:spacing w:val="80"/>
          <w:lang w:val="es-CO"/>
        </w:rPr>
        <w:t xml:space="preserve"> </w:t>
      </w:r>
      <w:r w:rsidRPr="00753A77">
        <w:rPr>
          <w:rFonts w:ascii="Bookman Old Style" w:hAnsi="Bookman Old Style"/>
          <w:b/>
          <w:spacing w:val="80"/>
          <w:lang w:val="es-CO"/>
        </w:rPr>
        <w:t>QUE:</w:t>
      </w:r>
    </w:p>
    <w:p w14:paraId="40F6A29E" w14:textId="77777777" w:rsidR="00616ED2" w:rsidRPr="00753A77" w:rsidRDefault="00616ED2" w:rsidP="006F102F">
      <w:pPr>
        <w:spacing w:before="240"/>
        <w:ind w:left="0"/>
        <w:jc w:val="both"/>
        <w:rPr>
          <w:rFonts w:ascii="Bookman Old Style" w:hAnsi="Bookman Old Style" w:cs="Arial"/>
          <w:lang w:val="es-CO"/>
        </w:rPr>
      </w:pPr>
      <w:r w:rsidRPr="00753A77">
        <w:rPr>
          <w:rFonts w:ascii="Bookman Old Style" w:hAnsi="Bookman Old Style" w:cs="Arial"/>
          <w:lang w:val="es-CO"/>
        </w:rPr>
        <w:t xml:space="preserve">El artículo 4 de la Ley 143 de 1994 dispone que el Estado, en relación con el servicio de electricidad, tiene dentro de sus objetivos abastecer la demanda de electricidad de la comunidad bajo criterios económicos y de viabilidad financiera, </w:t>
      </w:r>
      <w:r w:rsidRPr="00753A77">
        <w:rPr>
          <w:rFonts w:ascii="Bookman Old Style" w:hAnsi="Bookman Old Style" w:cs="Arial"/>
          <w:lang w:val="es-CO"/>
        </w:rPr>
        <w:lastRenderedPageBreak/>
        <w:t>asegurando su cubrimiento en un marco de uso racional y eficiente de los diferentes recursos energéticos del país.</w:t>
      </w:r>
    </w:p>
    <w:p w14:paraId="59A40752" w14:textId="77777777" w:rsidR="00616ED2" w:rsidRPr="00753A77" w:rsidRDefault="00616ED2" w:rsidP="006F102F">
      <w:pPr>
        <w:spacing w:before="240"/>
        <w:ind w:left="0"/>
        <w:jc w:val="both"/>
        <w:rPr>
          <w:rFonts w:ascii="Bookman Old Style" w:hAnsi="Bookman Old Style" w:cs="Arial"/>
          <w:lang w:val="es-CO"/>
        </w:rPr>
      </w:pPr>
      <w:r w:rsidRPr="00753A77">
        <w:rPr>
          <w:rFonts w:ascii="Bookman Old Style" w:hAnsi="Bookman Old Style" w:cs="Arial"/>
          <w:lang w:val="es-CO"/>
        </w:rPr>
        <w:t xml:space="preserve">Igualmente, el citado artículo 4 de la Ley 143 de 1994 definió como objetivo del Estado asegurar una operación eficiente, segura y confiable en las actividades del sector, y </w:t>
      </w:r>
      <w:r w:rsidRPr="00753A77">
        <w:rPr>
          <w:rFonts w:ascii="Bookman Old Style" w:hAnsi="Bookman Old Style" w:cs="Arial"/>
        </w:rPr>
        <w:t>mantener los niveles de calidad y seguridad establecidos.</w:t>
      </w:r>
    </w:p>
    <w:p w14:paraId="64E2ABD6" w14:textId="77777777" w:rsidR="00616ED2" w:rsidRPr="00753A77" w:rsidRDefault="00616ED2" w:rsidP="006F102F">
      <w:pPr>
        <w:spacing w:before="240"/>
        <w:ind w:left="0"/>
        <w:jc w:val="both"/>
        <w:rPr>
          <w:rFonts w:ascii="Bookman Old Style" w:hAnsi="Bookman Old Style" w:cs="Arial"/>
          <w:lang w:val="es-CO"/>
        </w:rPr>
      </w:pPr>
      <w:r w:rsidRPr="00753A77">
        <w:rPr>
          <w:rFonts w:ascii="Bookman Old Style" w:hAnsi="Bookman Old Style" w:cs="Arial"/>
          <w:lang w:val="es-CO"/>
        </w:rPr>
        <w:t>La Ley 143 de 1994, en su artículo 6, dispuso que las actividades relacionadas con el servicio de electricidad se regirán, entre otros principios, por el de eficiencia, el cual “</w:t>
      </w:r>
      <w:r w:rsidRPr="00753A77">
        <w:rPr>
          <w:rFonts w:ascii="Bookman Old Style" w:hAnsi="Bookman Old Style" w:cs="Arial"/>
          <w:i/>
          <w:lang w:val="es-CO"/>
        </w:rPr>
        <w:t>obliga a la correcta asignación y utilización de los recursos de tal forma que se garantice la prestación del servicio al menor costo económico</w:t>
      </w:r>
      <w:r w:rsidRPr="00753A77">
        <w:rPr>
          <w:rFonts w:ascii="Bookman Old Style" w:hAnsi="Bookman Old Style" w:cs="Arial"/>
          <w:lang w:val="es-CO"/>
        </w:rPr>
        <w:t>”.</w:t>
      </w:r>
    </w:p>
    <w:p w14:paraId="4B370926" w14:textId="77777777" w:rsidR="00616ED2" w:rsidRPr="00753A77" w:rsidRDefault="00616ED2" w:rsidP="006F102F">
      <w:pPr>
        <w:spacing w:before="240"/>
        <w:ind w:left="0"/>
        <w:jc w:val="both"/>
        <w:rPr>
          <w:rFonts w:ascii="Bookman Old Style" w:hAnsi="Bookman Old Style" w:cs="Arial"/>
        </w:rPr>
      </w:pPr>
      <w:r w:rsidRPr="00753A77">
        <w:rPr>
          <w:rFonts w:ascii="Bookman Old Style" w:hAnsi="Bookman Old Style" w:cs="Arial"/>
        </w:rPr>
        <w:t xml:space="preserve">El artículo 20 de la Ley 143 de 1994 definió como objetivo fundamental de la regulación en el sector eléctrico, asegurar una adecuada prestación del servicio mediante el aprovechamiento eficiente de los diferentes recursos energéticos, en beneficio del usuario en términos de calidad, oportunidad y costo del servicio. </w:t>
      </w:r>
    </w:p>
    <w:p w14:paraId="083826E2" w14:textId="41910C2A" w:rsidR="00616ED2" w:rsidRPr="00753A77" w:rsidRDefault="00E85592" w:rsidP="00E85592">
      <w:pPr>
        <w:spacing w:before="240"/>
        <w:ind w:left="0"/>
        <w:jc w:val="both"/>
        <w:rPr>
          <w:rFonts w:ascii="Bookman Old Style" w:hAnsi="Bookman Old Style" w:cs="Arial"/>
        </w:rPr>
      </w:pPr>
      <w:r w:rsidRPr="00753A77">
        <w:rPr>
          <w:rFonts w:ascii="Bookman Old Style" w:hAnsi="Bookman Old Style" w:cs="Arial"/>
        </w:rPr>
        <w:t xml:space="preserve">Mediante la </w:t>
      </w:r>
      <w:r w:rsidRPr="00753A77">
        <w:rPr>
          <w:rFonts w:ascii="Bookman Old Style" w:hAnsi="Bookman Old Style"/>
        </w:rPr>
        <w:t xml:space="preserve">Resolución CREG 015 de 2018 se estableció la </w:t>
      </w:r>
      <w:r w:rsidRPr="00753A77">
        <w:rPr>
          <w:rFonts w:ascii="Bookman Old Style" w:hAnsi="Bookman Old Style" w:cs="Arial"/>
        </w:rPr>
        <w:t>metodología para la remuneración de la actividad de distribución de energía eléctrica en el Sistema Interconectado Nacional</w:t>
      </w:r>
      <w:r w:rsidR="00EE2E26" w:rsidRPr="00753A77">
        <w:rPr>
          <w:rFonts w:ascii="Bookman Old Style" w:hAnsi="Bookman Old Style" w:cs="Arial"/>
        </w:rPr>
        <w:t xml:space="preserve"> (SIN)</w:t>
      </w:r>
      <w:r w:rsidRPr="00753A77">
        <w:rPr>
          <w:rFonts w:ascii="Bookman Old Style" w:hAnsi="Bookman Old Style" w:cs="Arial"/>
        </w:rPr>
        <w:t>.</w:t>
      </w:r>
      <w:r w:rsidR="002D2F77" w:rsidRPr="00753A77">
        <w:rPr>
          <w:rFonts w:ascii="Bookman Old Style" w:hAnsi="Bookman Old Style" w:cs="Arial"/>
        </w:rPr>
        <w:t xml:space="preserve"> En relación con </w:t>
      </w:r>
      <w:r w:rsidR="00AB4B94" w:rsidRPr="00753A77">
        <w:rPr>
          <w:rFonts w:ascii="Bookman Old Style" w:hAnsi="Bookman Old Style" w:cs="Arial"/>
        </w:rPr>
        <w:t>los cargos por disponibilidad de capacidad de respaldo de la red</w:t>
      </w:r>
      <w:r w:rsidR="002D2F77" w:rsidRPr="00753A77">
        <w:rPr>
          <w:rFonts w:ascii="Bookman Old Style" w:hAnsi="Bookman Old Style" w:cs="Arial"/>
        </w:rPr>
        <w:t xml:space="preserve">, </w:t>
      </w:r>
      <w:r w:rsidR="00D225A9" w:rsidRPr="00753A77">
        <w:rPr>
          <w:rFonts w:ascii="Bookman Old Style" w:hAnsi="Bookman Old Style" w:cs="Arial"/>
        </w:rPr>
        <w:t xml:space="preserve">en </w:t>
      </w:r>
      <w:r w:rsidR="00A412BA" w:rsidRPr="00753A77">
        <w:rPr>
          <w:rFonts w:ascii="Bookman Old Style" w:hAnsi="Bookman Old Style" w:cs="Arial"/>
        </w:rPr>
        <w:t>los artículos 4 y</w:t>
      </w:r>
      <w:r w:rsidR="002D2F77" w:rsidRPr="00753A77">
        <w:rPr>
          <w:rFonts w:ascii="Bookman Old Style" w:hAnsi="Bookman Old Style" w:cs="Arial"/>
        </w:rPr>
        <w:t xml:space="preserve"> 1</w:t>
      </w:r>
      <w:r w:rsidR="00EE2E26" w:rsidRPr="00753A77">
        <w:rPr>
          <w:rFonts w:ascii="Bookman Old Style" w:hAnsi="Bookman Old Style" w:cs="Arial"/>
        </w:rPr>
        <w:t>5</w:t>
      </w:r>
      <w:r w:rsidR="002D2F77" w:rsidRPr="00753A77">
        <w:rPr>
          <w:rFonts w:ascii="Bookman Old Style" w:hAnsi="Bookman Old Style" w:cs="Arial"/>
        </w:rPr>
        <w:t xml:space="preserve"> de esta norma se establece lo siguiente:</w:t>
      </w:r>
    </w:p>
    <w:p w14:paraId="5FAC1757" w14:textId="6989230B" w:rsidR="00FF7C93" w:rsidRPr="00753A77" w:rsidRDefault="00FF7C93" w:rsidP="00FF7C93">
      <w:pPr>
        <w:pStyle w:val="Cita"/>
        <w:rPr>
          <w:color w:val="auto"/>
        </w:rPr>
      </w:pPr>
      <w:r w:rsidRPr="00753A77">
        <w:rPr>
          <w:b/>
          <w:bCs/>
          <w:color w:val="auto"/>
        </w:rPr>
        <w:t xml:space="preserve">Artículo </w:t>
      </w:r>
      <w:r w:rsidR="00A412BA" w:rsidRPr="00753A77">
        <w:rPr>
          <w:b/>
          <w:bCs/>
          <w:color w:val="auto"/>
        </w:rPr>
        <w:t>4</w:t>
      </w:r>
      <w:r w:rsidRPr="00753A77">
        <w:rPr>
          <w:b/>
          <w:bCs/>
          <w:color w:val="auto"/>
        </w:rPr>
        <w:t xml:space="preserve">. </w:t>
      </w:r>
      <w:r w:rsidRPr="00753A77">
        <w:rPr>
          <w:color w:val="auto"/>
        </w:rPr>
        <w:t>Criterios generales. La metodología que se aplicará para el cálculo de los ingresos y cargos por uso de los STR o SDL tendrá en cuenta los siguientes criterios generales: (…)</w:t>
      </w:r>
    </w:p>
    <w:p w14:paraId="0C3C9FFD" w14:textId="77777777" w:rsidR="00A412BA" w:rsidRPr="00753A77" w:rsidRDefault="00A412BA" w:rsidP="00A412BA">
      <w:pPr>
        <w:rPr>
          <w:lang w:val="es-CO"/>
        </w:rPr>
      </w:pPr>
    </w:p>
    <w:p w14:paraId="7BDB654B" w14:textId="5EF0534D" w:rsidR="00A412BA" w:rsidRPr="00753A77" w:rsidRDefault="00A412BA" w:rsidP="00A412BA">
      <w:pPr>
        <w:ind w:left="284"/>
        <w:rPr>
          <w:rFonts w:ascii="Bookman Old Style" w:hAnsi="Bookman Old Style"/>
          <w:i/>
          <w:iCs/>
          <w:lang w:val="es-CO"/>
        </w:rPr>
      </w:pPr>
      <w:r w:rsidRPr="00753A77">
        <w:rPr>
          <w:rFonts w:ascii="Bookman Old Style" w:hAnsi="Bookman Old Style"/>
          <w:i/>
          <w:iCs/>
          <w:lang w:val="es-CO"/>
        </w:rPr>
        <w:t>t. Cualquier usuario del STR o SDL podrá contratar la disponibilidad de capacidad de respaldo de la red con el OR del sistema al cual se conecta, siempre y cuando exista la posibilidad técnica de ofrecerla.</w:t>
      </w:r>
    </w:p>
    <w:p w14:paraId="2E473B63" w14:textId="77777777" w:rsidR="00A412BA" w:rsidRPr="00753A77" w:rsidRDefault="00A412BA" w:rsidP="00A412BA">
      <w:pPr>
        <w:ind w:left="284"/>
        <w:rPr>
          <w:rFonts w:ascii="Bookman Old Style" w:hAnsi="Bookman Old Style"/>
          <w:i/>
          <w:iCs/>
          <w:lang w:val="es-CO"/>
        </w:rPr>
      </w:pPr>
    </w:p>
    <w:p w14:paraId="7F8C5310" w14:textId="10E8EFEC" w:rsidR="00FF7C93" w:rsidRPr="00753A77" w:rsidRDefault="00A412BA" w:rsidP="00A412BA">
      <w:pPr>
        <w:ind w:left="284"/>
        <w:rPr>
          <w:lang w:val="es-CO"/>
        </w:rPr>
      </w:pPr>
      <w:r w:rsidRPr="00753A77">
        <w:rPr>
          <w:rFonts w:ascii="Bookman Old Style" w:hAnsi="Bookman Old Style"/>
          <w:i/>
          <w:iCs/>
          <w:lang w:val="es-CO"/>
        </w:rPr>
        <w:t>(…)</w:t>
      </w:r>
    </w:p>
    <w:p w14:paraId="32D64329" w14:textId="748C7E9F" w:rsidR="00170CDF" w:rsidRPr="00753A77" w:rsidRDefault="009D7FAB" w:rsidP="00FF7C93">
      <w:pPr>
        <w:pStyle w:val="Cita"/>
        <w:rPr>
          <w:color w:val="auto"/>
        </w:rPr>
      </w:pPr>
      <w:r w:rsidRPr="00753A77">
        <w:rPr>
          <w:b/>
          <w:bCs/>
          <w:color w:val="auto"/>
        </w:rPr>
        <w:t xml:space="preserve">Artículo </w:t>
      </w:r>
      <w:r w:rsidR="00FD693F" w:rsidRPr="00753A77">
        <w:rPr>
          <w:b/>
          <w:bCs/>
          <w:color w:val="auto"/>
        </w:rPr>
        <w:t>15</w:t>
      </w:r>
      <w:r w:rsidRPr="00753A77">
        <w:rPr>
          <w:b/>
          <w:bCs/>
          <w:color w:val="auto"/>
        </w:rPr>
        <w:t xml:space="preserve">. Cargos por disponibilidad de capacidad de respaldo de la red. </w:t>
      </w:r>
      <w:r w:rsidRPr="00753A77">
        <w:rPr>
          <w:color w:val="auto"/>
        </w:rPr>
        <w:t>Los usuarios de los STR o SDL podrán solicitar al OR del sistema al cual se conectan, a través de su comercializador, la suscripción de un contrato de disponibilidad de capacidad de respaldo de la red, de acuerdo con lo establecido en el capítulo 10, en los plazos vigentes establecidos para la conexión de nuevos</w:t>
      </w:r>
      <w:r w:rsidRPr="00753A77">
        <w:rPr>
          <w:b/>
          <w:bCs/>
          <w:color w:val="auto"/>
        </w:rPr>
        <w:t xml:space="preserve"> </w:t>
      </w:r>
      <w:r w:rsidR="00E61A65" w:rsidRPr="00753A77">
        <w:rPr>
          <w:color w:val="auto"/>
        </w:rPr>
        <w:t>usuarios. El OR deberá otorgar dicha disponibilidad, siempre y cuando tenga la capacidad disponible en su sistema en el punto de conexión solicitado por el usuario.</w:t>
      </w:r>
    </w:p>
    <w:p w14:paraId="3F8A29F2" w14:textId="6BFE4F2E" w:rsidR="00170CDF" w:rsidRPr="00753A77" w:rsidRDefault="00170CDF" w:rsidP="00170CDF">
      <w:pPr>
        <w:pStyle w:val="Cita"/>
        <w:rPr>
          <w:b/>
          <w:bCs/>
          <w:color w:val="auto"/>
        </w:rPr>
      </w:pPr>
      <w:r w:rsidRPr="00753A77">
        <w:rPr>
          <w:b/>
          <w:bCs/>
          <w:color w:val="auto"/>
        </w:rPr>
        <w:t xml:space="preserve">Parágrafo 1. </w:t>
      </w:r>
      <w:r w:rsidRPr="00753A77">
        <w:rPr>
          <w:color w:val="auto"/>
        </w:rPr>
        <w:t xml:space="preserve">El valor total del costo asociado con los cargos de respaldo debe ser reportado por el OR al LAC para que su valor sea descontado del ingreso del respectivo nivel de tensión del OR. El LAC debe llevar un registro de los contratos de respaldo en los SDL y STR donde se encuentre la capacidad, el valor y la subestación en el formato que XM defina para tal fin. </w:t>
      </w:r>
    </w:p>
    <w:p w14:paraId="0C2966CB" w14:textId="1E873F0E" w:rsidR="009D7FAB" w:rsidRPr="00753A77" w:rsidRDefault="00170CDF" w:rsidP="00170CDF">
      <w:pPr>
        <w:pStyle w:val="Cita"/>
        <w:rPr>
          <w:b/>
          <w:bCs/>
          <w:color w:val="auto"/>
        </w:rPr>
      </w:pPr>
      <w:r w:rsidRPr="00753A77">
        <w:rPr>
          <w:b/>
          <w:bCs/>
          <w:color w:val="auto"/>
        </w:rPr>
        <w:t xml:space="preserve">Parágrafo 2. </w:t>
      </w:r>
      <w:r w:rsidRPr="00753A77">
        <w:rPr>
          <w:color w:val="auto"/>
        </w:rPr>
        <w:t>Cuando no se contrate el servicio de capacidad de respaldo o no se disponga de la capacidad requerida para la prestación del servicio, los OR no estarán obligados a garantizar la disponibilidad.</w:t>
      </w:r>
    </w:p>
    <w:p w14:paraId="6AD8DBA1" w14:textId="55BE4FD9" w:rsidR="00E85592" w:rsidRPr="00753A77" w:rsidRDefault="00E85592" w:rsidP="00E85592">
      <w:pPr>
        <w:spacing w:before="240"/>
        <w:ind w:left="0"/>
        <w:jc w:val="both"/>
        <w:rPr>
          <w:rFonts w:ascii="Bookman Old Style" w:hAnsi="Bookman Old Style" w:cs="Arial"/>
        </w:rPr>
      </w:pPr>
      <w:r w:rsidRPr="00753A77">
        <w:rPr>
          <w:rFonts w:ascii="Bookman Old Style" w:hAnsi="Bookman Old Style" w:cs="Arial"/>
        </w:rPr>
        <w:t xml:space="preserve">En la </w:t>
      </w:r>
      <w:r w:rsidR="002D2F77" w:rsidRPr="00753A77">
        <w:rPr>
          <w:rFonts w:ascii="Bookman Old Style" w:hAnsi="Bookman Old Style" w:cs="Arial"/>
        </w:rPr>
        <w:t xml:space="preserve">referida </w:t>
      </w:r>
      <w:r w:rsidRPr="00753A77">
        <w:rPr>
          <w:rFonts w:ascii="Bookman Old Style" w:hAnsi="Bookman Old Style" w:cs="Arial"/>
        </w:rPr>
        <w:t>resolución se</w:t>
      </w:r>
      <w:r w:rsidR="0037041B" w:rsidRPr="00753A77">
        <w:rPr>
          <w:rFonts w:ascii="Bookman Old Style" w:hAnsi="Bookman Old Style" w:cs="Arial"/>
        </w:rPr>
        <w:t xml:space="preserve"> establecen l</w:t>
      </w:r>
      <w:r w:rsidR="007F16B0" w:rsidRPr="00753A77">
        <w:rPr>
          <w:rFonts w:ascii="Bookman Old Style" w:hAnsi="Bookman Old Style" w:cs="Arial"/>
        </w:rPr>
        <w:t xml:space="preserve">os criterios relacionados con la aplicación de </w:t>
      </w:r>
      <w:r w:rsidR="005F6928" w:rsidRPr="00753A77">
        <w:rPr>
          <w:rFonts w:ascii="Bookman Old Style" w:hAnsi="Bookman Old Style" w:cs="Arial"/>
        </w:rPr>
        <w:t xml:space="preserve">cargos por respaldo de red, el contenido mínimo que deben tener dichos </w:t>
      </w:r>
      <w:r w:rsidR="005F6928" w:rsidRPr="00753A77">
        <w:rPr>
          <w:rFonts w:ascii="Bookman Old Style" w:hAnsi="Bookman Old Style" w:cs="Arial"/>
        </w:rPr>
        <w:lastRenderedPageBreak/>
        <w:t>contratos y las situaciones en las que deben ser suscritos</w:t>
      </w:r>
      <w:r w:rsidR="0058447C" w:rsidRPr="00753A77">
        <w:rPr>
          <w:rFonts w:ascii="Bookman Old Style" w:hAnsi="Bookman Old Style" w:cs="Arial"/>
        </w:rPr>
        <w:t xml:space="preserve">. También se </w:t>
      </w:r>
      <w:r w:rsidR="005F6928" w:rsidRPr="00753A77">
        <w:rPr>
          <w:rFonts w:ascii="Bookman Old Style" w:hAnsi="Bookman Old Style" w:cs="Arial"/>
        </w:rPr>
        <w:t xml:space="preserve">indica el procedimiento para el cálculo </w:t>
      </w:r>
      <w:r w:rsidR="00E21E04" w:rsidRPr="00753A77">
        <w:rPr>
          <w:rFonts w:ascii="Bookman Old Style" w:hAnsi="Bookman Old Style" w:cs="Arial"/>
        </w:rPr>
        <w:t>de dichos valores en los casos aplicables</w:t>
      </w:r>
      <w:r w:rsidR="0058447C" w:rsidRPr="00753A77">
        <w:rPr>
          <w:rFonts w:ascii="Bookman Old Style" w:hAnsi="Bookman Old Style" w:cs="Arial"/>
        </w:rPr>
        <w:t>.</w:t>
      </w:r>
    </w:p>
    <w:p w14:paraId="783BD2EE" w14:textId="05ACE5A1" w:rsidR="009B52C3" w:rsidRPr="00753A77" w:rsidRDefault="009B52C3" w:rsidP="00E85592">
      <w:pPr>
        <w:spacing w:before="240"/>
        <w:ind w:left="0"/>
        <w:jc w:val="both"/>
        <w:rPr>
          <w:rFonts w:ascii="Bookman Old Style" w:hAnsi="Bookman Old Style" w:cs="Arial"/>
        </w:rPr>
      </w:pPr>
      <w:r w:rsidRPr="00753A77">
        <w:rPr>
          <w:rFonts w:ascii="Bookman Old Style" w:hAnsi="Bookman Old Style" w:cs="Arial"/>
        </w:rPr>
        <w:t>Mediante la Resolución CREG 174 de 2021 se regularon las actividades de autogeneración a pequeña escala y de generación distribuida en el Sistema Interconectado Nacional. En relación con el cargo por respaldo de red, esta resolución no incluyó reglas ni criterios adicionales a los contenidos en la metodología para la remuneración de la actividad de distribución.</w:t>
      </w:r>
    </w:p>
    <w:p w14:paraId="6FFC53BA" w14:textId="77777777" w:rsidR="00FA40E6" w:rsidRPr="00753A77" w:rsidRDefault="00E21E04" w:rsidP="00E85592">
      <w:pPr>
        <w:spacing w:before="240"/>
        <w:ind w:left="0"/>
        <w:jc w:val="both"/>
        <w:rPr>
          <w:rFonts w:ascii="Bookman Old Style" w:hAnsi="Bookman Old Style" w:cs="Arial"/>
        </w:rPr>
      </w:pPr>
      <w:r w:rsidRPr="00753A77">
        <w:rPr>
          <w:rFonts w:ascii="Bookman Old Style" w:hAnsi="Bookman Old Style" w:cs="Arial"/>
        </w:rPr>
        <w:t>El Decreto 1403</w:t>
      </w:r>
      <w:r w:rsidR="00134111" w:rsidRPr="00753A77">
        <w:rPr>
          <w:rFonts w:ascii="Bookman Old Style" w:hAnsi="Bookman Old Style" w:cs="Arial"/>
        </w:rPr>
        <w:t xml:space="preserve"> de 2024, en su artículo</w:t>
      </w:r>
      <w:r w:rsidR="00405BC0" w:rsidRPr="00753A77">
        <w:rPr>
          <w:rFonts w:ascii="Bookman Old Style" w:hAnsi="Bookman Old Style" w:cs="Arial"/>
        </w:rPr>
        <w:t xml:space="preserve"> 1 modificó la </w:t>
      </w:r>
      <w:r w:rsidR="00FA40E6" w:rsidRPr="00753A77">
        <w:rPr>
          <w:rFonts w:ascii="Bookman Old Style" w:hAnsi="Bookman Old Style" w:cs="Arial"/>
        </w:rPr>
        <w:t>Sección 4 del Capítulo 2, Título III Sector de Energía Eléctrica, Parte 2, Libro 2 del Decreto 1073 de 2015 de tal manera que en el numeral</w:t>
      </w:r>
      <w:r w:rsidR="00134111" w:rsidRPr="00753A77">
        <w:rPr>
          <w:rFonts w:ascii="Bookman Old Style" w:hAnsi="Bookman Old Style" w:cs="Arial"/>
        </w:rPr>
        <w:t xml:space="preserve"> </w:t>
      </w:r>
      <w:r w:rsidR="00405BC0" w:rsidRPr="00753A77">
        <w:rPr>
          <w:rFonts w:ascii="Bookman Old Style" w:hAnsi="Bookman Old Style" w:cs="Arial"/>
        </w:rPr>
        <w:t>2.2.3.2.4.2.</w:t>
      </w:r>
      <w:r w:rsidR="00FA40E6" w:rsidRPr="00753A77">
        <w:rPr>
          <w:rFonts w:ascii="Bookman Old Style" w:hAnsi="Bookman Old Style" w:cs="Arial"/>
        </w:rPr>
        <w:t xml:space="preserve"> se estableció lo siguiente:</w:t>
      </w:r>
    </w:p>
    <w:p w14:paraId="018C645C" w14:textId="77777777" w:rsidR="003F3B05" w:rsidRPr="00753A77" w:rsidRDefault="003F3B05" w:rsidP="003F3B05">
      <w:pPr>
        <w:pStyle w:val="Cita"/>
        <w:rPr>
          <w:color w:val="auto"/>
        </w:rPr>
      </w:pPr>
      <w:r w:rsidRPr="00753A77">
        <w:rPr>
          <w:color w:val="auto"/>
        </w:rPr>
        <w:t>Los autogeneradores a pequeña escala podrán suscribir contrato de respaldo con el operador de red o el transportador al cual se conecten, en los términos que para ello defina la CREG.</w:t>
      </w:r>
    </w:p>
    <w:p w14:paraId="5C89AA9D" w14:textId="5C0A59F6" w:rsidR="003F3B05" w:rsidRPr="00753A77" w:rsidRDefault="003F3B05" w:rsidP="003F3B05">
      <w:pPr>
        <w:pStyle w:val="Cita"/>
        <w:rPr>
          <w:color w:val="auto"/>
        </w:rPr>
      </w:pPr>
      <w:r w:rsidRPr="00753A77">
        <w:rPr>
          <w:color w:val="auto"/>
        </w:rPr>
        <w:t>Dentro de los tres (3) meses siguientes a la publicación del presente decreto, la CREG emitirá los lineamientos e indicará el contenido mínimo que se tendrá en cuenta para el diseño de estos contratos tipo, y establecerá una metodología para calcular los valores máximos permitidos para remunerar la disponibilidad de respaldo en la distribución y en la transmisión en el SIN.</w:t>
      </w:r>
    </w:p>
    <w:p w14:paraId="29123EB0" w14:textId="7F198C2F" w:rsidR="00FA40E6" w:rsidRPr="00753A77" w:rsidRDefault="003F3B05" w:rsidP="003F3B05">
      <w:pPr>
        <w:pStyle w:val="Cita"/>
        <w:rPr>
          <w:color w:val="auto"/>
        </w:rPr>
      </w:pPr>
      <w:r w:rsidRPr="00753A77">
        <w:rPr>
          <w:color w:val="auto"/>
        </w:rPr>
        <w:t>Para los autogeneradores a pequeña escala aplicarán las medidas dispuestas en la Sección 4B del Capítulo 2, Título III Sector de Energía Eléctrica, Parte 2, Libro 2 del Decreto 1073 de 2015.</w:t>
      </w:r>
    </w:p>
    <w:p w14:paraId="316FE61E" w14:textId="13A63297" w:rsidR="0058447C" w:rsidRPr="00753A77" w:rsidRDefault="000E7B07" w:rsidP="34A49101">
      <w:pPr>
        <w:spacing w:before="240"/>
        <w:ind w:left="0"/>
        <w:jc w:val="both"/>
        <w:rPr>
          <w:rFonts w:ascii="Bookman Old Style" w:hAnsi="Bookman Old Style" w:cs="Arial"/>
        </w:rPr>
      </w:pPr>
      <w:r w:rsidRPr="00753A77">
        <w:rPr>
          <w:rFonts w:ascii="Bookman Old Style" w:hAnsi="Bookman Old Style" w:cs="Arial"/>
        </w:rPr>
        <w:t xml:space="preserve">Con el propósito de </w:t>
      </w:r>
      <w:r w:rsidR="00C9287A" w:rsidRPr="00753A77">
        <w:rPr>
          <w:rFonts w:ascii="Bookman Old Style" w:hAnsi="Bookman Old Style" w:cs="Arial"/>
        </w:rPr>
        <w:t>cumplir lo ordenado en el anterior decreto</w:t>
      </w:r>
      <w:r w:rsidR="00EE2E26" w:rsidRPr="00753A77">
        <w:rPr>
          <w:rFonts w:ascii="Bookman Old Style" w:hAnsi="Bookman Old Style" w:cs="Arial"/>
        </w:rPr>
        <w:t>,</w:t>
      </w:r>
      <w:r w:rsidRPr="00753A77">
        <w:rPr>
          <w:rFonts w:ascii="Bookman Old Style" w:hAnsi="Bookman Old Style" w:cs="Arial"/>
        </w:rPr>
        <w:t xml:space="preserve"> se ha</w:t>
      </w:r>
      <w:r w:rsidR="00C9287A" w:rsidRPr="00753A77">
        <w:rPr>
          <w:rFonts w:ascii="Bookman Old Style" w:hAnsi="Bookman Old Style" w:cs="Arial"/>
        </w:rPr>
        <w:t>ce necesario ajustar</w:t>
      </w:r>
      <w:r w:rsidRPr="00753A77">
        <w:rPr>
          <w:rFonts w:ascii="Bookman Old Style" w:hAnsi="Bookman Old Style" w:cs="Arial"/>
        </w:rPr>
        <w:t xml:space="preserve"> la regulación vigente.</w:t>
      </w:r>
    </w:p>
    <w:p w14:paraId="7F519745" w14:textId="2B08B830" w:rsidR="005369AF" w:rsidRPr="00753A77" w:rsidRDefault="005369AF" w:rsidP="34A49101">
      <w:pPr>
        <w:spacing w:before="240"/>
        <w:ind w:left="0"/>
        <w:jc w:val="both"/>
        <w:rPr>
          <w:rFonts w:ascii="Bookman Old Style" w:hAnsi="Bookman Old Style" w:cs="Arial"/>
        </w:rPr>
      </w:pPr>
      <w:r w:rsidRPr="00753A77">
        <w:rPr>
          <w:rFonts w:ascii="Bookman Old Style" w:hAnsi="Bookman Old Style" w:cs="Arial"/>
        </w:rPr>
        <w:t xml:space="preserve">Con base en lo anterior, la Comisión de Regulación de Energía y Gas, en su sesión No. </w:t>
      </w:r>
      <w:r w:rsidR="00626F9E" w:rsidRPr="00753A77">
        <w:rPr>
          <w:rFonts w:ascii="Bookman Old Style" w:hAnsi="Bookman Old Style" w:cs="Arial"/>
        </w:rPr>
        <w:t>1374</w:t>
      </w:r>
      <w:r w:rsidRPr="00753A77">
        <w:rPr>
          <w:rFonts w:ascii="Bookman Old Style" w:hAnsi="Bookman Old Style" w:cs="Arial"/>
        </w:rPr>
        <w:t xml:space="preserve"> del </w:t>
      </w:r>
      <w:r w:rsidR="00626F9E" w:rsidRPr="00753A77">
        <w:rPr>
          <w:rFonts w:ascii="Bookman Old Style" w:hAnsi="Bookman Old Style" w:cs="Arial"/>
        </w:rPr>
        <w:t>27</w:t>
      </w:r>
      <w:r w:rsidRPr="00753A77">
        <w:rPr>
          <w:rFonts w:ascii="Bookman Old Style" w:hAnsi="Bookman Old Style" w:cs="Arial"/>
        </w:rPr>
        <w:t xml:space="preserve"> de </w:t>
      </w:r>
      <w:r w:rsidR="00626F9E" w:rsidRPr="00753A77">
        <w:rPr>
          <w:rFonts w:ascii="Bookman Old Style" w:hAnsi="Bookman Old Style" w:cs="Arial"/>
        </w:rPr>
        <w:t>febrero</w:t>
      </w:r>
      <w:r w:rsidRPr="00753A77">
        <w:rPr>
          <w:rFonts w:ascii="Bookman Old Style" w:hAnsi="Bookman Old Style" w:cs="Arial"/>
        </w:rPr>
        <w:t xml:space="preserve"> de 202</w:t>
      </w:r>
      <w:r w:rsidR="00C9287A" w:rsidRPr="00753A77">
        <w:rPr>
          <w:rFonts w:ascii="Bookman Old Style" w:hAnsi="Bookman Old Style" w:cs="Arial"/>
        </w:rPr>
        <w:t>5</w:t>
      </w:r>
      <w:r w:rsidRPr="00753A77">
        <w:rPr>
          <w:rFonts w:ascii="Bookman Old Style" w:hAnsi="Bookman Old Style" w:cs="Arial"/>
        </w:rPr>
        <w:t xml:space="preserve">, aprobó expedir </w:t>
      </w:r>
      <w:r w:rsidR="00EE2E26" w:rsidRPr="00753A77">
        <w:rPr>
          <w:rFonts w:ascii="Bookman Old Style" w:hAnsi="Bookman Old Style" w:cs="Arial"/>
        </w:rPr>
        <w:t>el</w:t>
      </w:r>
      <w:r w:rsidRPr="00753A77">
        <w:rPr>
          <w:rFonts w:ascii="Bookman Old Style" w:hAnsi="Bookman Old Style" w:cs="Arial"/>
        </w:rPr>
        <w:t xml:space="preserve"> presente</w:t>
      </w:r>
      <w:r w:rsidR="00EE2E26" w:rsidRPr="00753A77">
        <w:rPr>
          <w:rFonts w:ascii="Bookman Old Style" w:hAnsi="Bookman Old Style" w:cs="Arial"/>
        </w:rPr>
        <w:t xml:space="preserve"> proyecto de resolución</w:t>
      </w:r>
      <w:r w:rsidRPr="00753A77">
        <w:rPr>
          <w:rFonts w:ascii="Bookman Old Style" w:hAnsi="Bookman Old Style" w:cs="Arial"/>
        </w:rPr>
        <w:t xml:space="preserve"> </w:t>
      </w:r>
      <w:r w:rsidR="00EE2E26" w:rsidRPr="00753A77">
        <w:rPr>
          <w:rFonts w:ascii="Bookman Old Style" w:hAnsi="Bookman Old Style" w:cs="Arial"/>
        </w:rPr>
        <w:t xml:space="preserve"> </w:t>
      </w:r>
      <w:r w:rsidRPr="00753A77">
        <w:rPr>
          <w:rFonts w:ascii="Bookman Old Style" w:hAnsi="Bookman Old Style" w:cs="Arial"/>
        </w:rPr>
        <w:t>y, en consecuencia</w:t>
      </w:r>
    </w:p>
    <w:p w14:paraId="268C6461" w14:textId="77777777" w:rsidR="00616ED2" w:rsidRPr="00753A77" w:rsidRDefault="00616ED2" w:rsidP="00180052">
      <w:pPr>
        <w:keepNext/>
        <w:suppressAutoHyphens/>
        <w:spacing w:before="480"/>
        <w:ind w:left="0"/>
        <w:jc w:val="center"/>
        <w:rPr>
          <w:rFonts w:ascii="Bookman Old Style" w:hAnsi="Bookman Old Style"/>
          <w:spacing w:val="-3"/>
        </w:rPr>
      </w:pPr>
      <w:r w:rsidRPr="00753A77">
        <w:rPr>
          <w:rFonts w:ascii="Bookman Old Style" w:hAnsi="Bookman Old Style"/>
          <w:b/>
          <w:spacing w:val="-3"/>
        </w:rPr>
        <w:t>R E S U E L V E:</w:t>
      </w:r>
    </w:p>
    <w:p w14:paraId="469F111A" w14:textId="0E032878" w:rsidR="008D22A9" w:rsidRPr="00753A77" w:rsidRDefault="0088064C" w:rsidP="008D22A9">
      <w:pPr>
        <w:pStyle w:val="Estilo5"/>
        <w:keepNext w:val="0"/>
        <w:numPr>
          <w:ilvl w:val="0"/>
          <w:numId w:val="19"/>
        </w:numPr>
        <w:tabs>
          <w:tab w:val="left" w:pos="1560"/>
          <w:tab w:val="left" w:pos="3544"/>
        </w:tabs>
        <w:spacing w:before="480" w:after="0"/>
        <w:ind w:left="0" w:right="142"/>
        <w:rPr>
          <w:bCs/>
          <w:szCs w:val="24"/>
          <w:lang w:val="es-CO"/>
        </w:rPr>
      </w:pPr>
      <w:bookmarkStart w:id="0" w:name="_Ref182476728"/>
      <w:r w:rsidRPr="00753A77">
        <w:rPr>
          <w:bCs/>
        </w:rPr>
        <w:t xml:space="preserve">Criterios para </w:t>
      </w:r>
      <w:r w:rsidR="001B3EF2" w:rsidRPr="00753A77">
        <w:rPr>
          <w:bCs/>
        </w:rPr>
        <w:t>la aplicación de cargos por respaldo de red</w:t>
      </w:r>
      <w:r w:rsidR="00616ED2" w:rsidRPr="00753A77">
        <w:t xml:space="preserve">. </w:t>
      </w:r>
      <w:bookmarkEnd w:id="0"/>
      <w:r w:rsidR="001B3EF2" w:rsidRPr="00753A77">
        <w:rPr>
          <w:b w:val="0"/>
          <w:bCs/>
        </w:rPr>
        <w:t xml:space="preserve">Para la aplicación de cargos por respaldo de red de usuarios autogeneradores </w:t>
      </w:r>
      <w:r w:rsidR="002447BD" w:rsidRPr="00753A77">
        <w:rPr>
          <w:b w:val="0"/>
          <w:bCs/>
        </w:rPr>
        <w:t xml:space="preserve">se </w:t>
      </w:r>
      <w:r w:rsidR="002447BD" w:rsidRPr="00753A77">
        <w:rPr>
          <w:b w:val="0"/>
          <w:bCs/>
          <w:szCs w:val="24"/>
        </w:rPr>
        <w:t xml:space="preserve">tendrán en cuenta </w:t>
      </w:r>
      <w:r w:rsidR="009D050A" w:rsidRPr="00753A77">
        <w:rPr>
          <w:b w:val="0"/>
          <w:bCs/>
          <w:szCs w:val="24"/>
        </w:rPr>
        <w:t>los siguientes criterios</w:t>
      </w:r>
      <w:r w:rsidR="002447BD" w:rsidRPr="00753A77">
        <w:rPr>
          <w:b w:val="0"/>
          <w:bCs/>
          <w:szCs w:val="24"/>
        </w:rPr>
        <w:t>:</w:t>
      </w:r>
    </w:p>
    <w:p w14:paraId="19DE1F8B" w14:textId="3E5B3A8B" w:rsidR="00CB0871" w:rsidRPr="00753A77" w:rsidRDefault="00CB0871" w:rsidP="00894AD9">
      <w:pPr>
        <w:pStyle w:val="Prrafodelista"/>
        <w:numPr>
          <w:ilvl w:val="7"/>
          <w:numId w:val="26"/>
        </w:numPr>
        <w:spacing w:before="120"/>
        <w:ind w:left="562"/>
        <w:jc w:val="both"/>
        <w:rPr>
          <w:rFonts w:ascii="Bookman Old Style" w:hAnsi="Bookman Old Style"/>
        </w:rPr>
      </w:pPr>
      <w:r w:rsidRPr="00753A77">
        <w:rPr>
          <w:rFonts w:ascii="Bookman Old Style" w:hAnsi="Bookman Old Style"/>
          <w:sz w:val="24"/>
          <w:szCs w:val="24"/>
        </w:rPr>
        <w:t xml:space="preserve">Cualquier usuario </w:t>
      </w:r>
      <w:proofErr w:type="spellStart"/>
      <w:r w:rsidRPr="00753A77">
        <w:rPr>
          <w:rFonts w:ascii="Bookman Old Style" w:hAnsi="Bookman Old Style"/>
          <w:sz w:val="24"/>
          <w:szCs w:val="24"/>
        </w:rPr>
        <w:t>autogenerador</w:t>
      </w:r>
      <w:proofErr w:type="spellEnd"/>
      <w:r w:rsidRPr="00753A77">
        <w:rPr>
          <w:rFonts w:ascii="Bookman Old Style" w:hAnsi="Bookman Old Style"/>
          <w:sz w:val="24"/>
          <w:szCs w:val="24"/>
        </w:rPr>
        <w:t xml:space="preserve"> del S</w:t>
      </w:r>
      <w:r w:rsidR="00EE2E26" w:rsidRPr="00753A77">
        <w:rPr>
          <w:rFonts w:ascii="Bookman Old Style" w:hAnsi="Bookman Old Style"/>
          <w:sz w:val="24"/>
          <w:szCs w:val="24"/>
        </w:rPr>
        <w:t xml:space="preserve">istema de </w:t>
      </w:r>
      <w:r w:rsidRPr="00753A77">
        <w:rPr>
          <w:rFonts w:ascii="Bookman Old Style" w:hAnsi="Bookman Old Style"/>
          <w:sz w:val="24"/>
          <w:szCs w:val="24"/>
        </w:rPr>
        <w:t>D</w:t>
      </w:r>
      <w:r w:rsidR="00EE2E26" w:rsidRPr="00753A77">
        <w:rPr>
          <w:rFonts w:ascii="Bookman Old Style" w:hAnsi="Bookman Old Style"/>
          <w:sz w:val="24"/>
          <w:szCs w:val="24"/>
        </w:rPr>
        <w:t xml:space="preserve">istribución </w:t>
      </w:r>
      <w:r w:rsidRPr="00753A77">
        <w:rPr>
          <w:rFonts w:ascii="Bookman Old Style" w:hAnsi="Bookman Old Style"/>
          <w:sz w:val="24"/>
          <w:szCs w:val="24"/>
        </w:rPr>
        <w:t>L</w:t>
      </w:r>
      <w:r w:rsidR="00EE2E26" w:rsidRPr="00753A77">
        <w:rPr>
          <w:rFonts w:ascii="Bookman Old Style" w:hAnsi="Bookman Old Style"/>
          <w:sz w:val="24"/>
          <w:szCs w:val="24"/>
        </w:rPr>
        <w:t>ocal (SDL)</w:t>
      </w:r>
      <w:r w:rsidRPr="00753A77">
        <w:rPr>
          <w:rFonts w:ascii="Bookman Old Style" w:hAnsi="Bookman Old Style"/>
          <w:sz w:val="24"/>
          <w:szCs w:val="24"/>
        </w:rPr>
        <w:t xml:space="preserve"> o S</w:t>
      </w:r>
      <w:r w:rsidR="00EE2E26" w:rsidRPr="00753A77">
        <w:rPr>
          <w:rFonts w:ascii="Bookman Old Style" w:hAnsi="Bookman Old Style"/>
          <w:sz w:val="24"/>
          <w:szCs w:val="24"/>
        </w:rPr>
        <w:t xml:space="preserve">istema de </w:t>
      </w:r>
      <w:r w:rsidRPr="00753A77">
        <w:rPr>
          <w:rFonts w:ascii="Bookman Old Style" w:hAnsi="Bookman Old Style"/>
          <w:sz w:val="24"/>
          <w:szCs w:val="24"/>
        </w:rPr>
        <w:t>T</w:t>
      </w:r>
      <w:r w:rsidR="00EE2E26" w:rsidRPr="00753A77">
        <w:rPr>
          <w:rFonts w:ascii="Bookman Old Style" w:hAnsi="Bookman Old Style"/>
          <w:sz w:val="24"/>
          <w:szCs w:val="24"/>
        </w:rPr>
        <w:t xml:space="preserve">ransmisión </w:t>
      </w:r>
      <w:r w:rsidRPr="00753A77">
        <w:rPr>
          <w:rFonts w:ascii="Bookman Old Style" w:hAnsi="Bookman Old Style"/>
          <w:sz w:val="24"/>
          <w:szCs w:val="24"/>
        </w:rPr>
        <w:t>R</w:t>
      </w:r>
      <w:r w:rsidR="00EE2E26" w:rsidRPr="00753A77">
        <w:rPr>
          <w:rFonts w:ascii="Bookman Old Style" w:hAnsi="Bookman Old Style"/>
          <w:sz w:val="24"/>
          <w:szCs w:val="24"/>
        </w:rPr>
        <w:t>egional (STR)</w:t>
      </w:r>
      <w:r w:rsidRPr="00753A77">
        <w:rPr>
          <w:rFonts w:ascii="Bookman Old Style" w:hAnsi="Bookman Old Style"/>
          <w:sz w:val="24"/>
          <w:szCs w:val="24"/>
        </w:rPr>
        <w:t xml:space="preserve"> con capacidad instalada igual o mayor a 100 kW</w:t>
      </w:r>
      <w:r w:rsidR="0025067B" w:rsidRPr="00753A77">
        <w:rPr>
          <w:rFonts w:ascii="Bookman Old Style" w:hAnsi="Bookman Old Style"/>
          <w:sz w:val="24"/>
          <w:szCs w:val="24"/>
        </w:rPr>
        <w:t>,</w:t>
      </w:r>
      <w:r w:rsidRPr="00753A77">
        <w:rPr>
          <w:rFonts w:ascii="Bookman Old Style" w:hAnsi="Bookman Old Style"/>
          <w:sz w:val="24"/>
          <w:szCs w:val="24"/>
        </w:rPr>
        <w:t xml:space="preserve"> deberá contratar capacidad de respaldo de la red, en la cantidad que defina dicho usuario y sujeto a la disponibilidad técnica del O</w:t>
      </w:r>
      <w:r w:rsidR="00EE2E26" w:rsidRPr="00753A77">
        <w:rPr>
          <w:rFonts w:ascii="Bookman Old Style" w:hAnsi="Bookman Old Style"/>
          <w:sz w:val="24"/>
          <w:szCs w:val="24"/>
        </w:rPr>
        <w:t xml:space="preserve">perador de </w:t>
      </w:r>
      <w:r w:rsidRPr="00753A77">
        <w:rPr>
          <w:rFonts w:ascii="Bookman Old Style" w:hAnsi="Bookman Old Style"/>
          <w:sz w:val="24"/>
          <w:szCs w:val="24"/>
        </w:rPr>
        <w:t>R</w:t>
      </w:r>
      <w:r w:rsidR="00EE2E26" w:rsidRPr="00753A77">
        <w:rPr>
          <w:rFonts w:ascii="Bookman Old Style" w:hAnsi="Bookman Old Style"/>
          <w:sz w:val="24"/>
          <w:szCs w:val="24"/>
        </w:rPr>
        <w:t>ed (OR)</w:t>
      </w:r>
      <w:r w:rsidRPr="00753A77">
        <w:rPr>
          <w:rFonts w:ascii="Bookman Old Style" w:hAnsi="Bookman Old Style"/>
          <w:sz w:val="24"/>
          <w:szCs w:val="24"/>
        </w:rPr>
        <w:t xml:space="preserve">. </w:t>
      </w:r>
    </w:p>
    <w:p w14:paraId="56B6EF08" w14:textId="46F46478" w:rsidR="00A8700A" w:rsidRPr="00753A77" w:rsidRDefault="00CB0871" w:rsidP="00894AD9">
      <w:pPr>
        <w:pStyle w:val="Prrafodelista"/>
        <w:numPr>
          <w:ilvl w:val="7"/>
          <w:numId w:val="26"/>
        </w:numPr>
        <w:spacing w:before="120"/>
        <w:ind w:left="562"/>
        <w:jc w:val="both"/>
        <w:rPr>
          <w:rFonts w:ascii="Bookman Old Style" w:hAnsi="Bookman Old Style"/>
        </w:rPr>
      </w:pPr>
      <w:r w:rsidRPr="00753A77">
        <w:rPr>
          <w:rFonts w:ascii="Bookman Old Style" w:hAnsi="Bookman Old Style"/>
          <w:sz w:val="24"/>
          <w:szCs w:val="24"/>
        </w:rPr>
        <w:t>Los usuarios autogeneradores del SDL o STR con capacidad instalada inferior a 100 kW que requieran respaldo de red no están sujetos al pago de la misma.</w:t>
      </w:r>
    </w:p>
    <w:p w14:paraId="6E79164E" w14:textId="088ED246" w:rsidR="00CB0871" w:rsidRPr="00753A77" w:rsidRDefault="00E54E89" w:rsidP="00894AD9">
      <w:pPr>
        <w:pStyle w:val="Prrafodelista"/>
        <w:numPr>
          <w:ilvl w:val="7"/>
          <w:numId w:val="26"/>
        </w:numPr>
        <w:spacing w:before="120"/>
        <w:ind w:left="562"/>
        <w:jc w:val="both"/>
        <w:rPr>
          <w:rFonts w:ascii="Bookman Old Style" w:hAnsi="Bookman Old Style"/>
        </w:rPr>
      </w:pPr>
      <w:r w:rsidRPr="00753A77">
        <w:rPr>
          <w:rFonts w:ascii="Bookman Old Style" w:hAnsi="Bookman Old Style"/>
          <w:sz w:val="24"/>
          <w:szCs w:val="24"/>
        </w:rPr>
        <w:t xml:space="preserve">El </w:t>
      </w:r>
      <w:r w:rsidR="00EE2E26" w:rsidRPr="00753A77">
        <w:rPr>
          <w:rFonts w:ascii="Bookman Old Style" w:hAnsi="Bookman Old Style"/>
          <w:sz w:val="24"/>
          <w:szCs w:val="24"/>
        </w:rPr>
        <w:t>c</w:t>
      </w:r>
      <w:r w:rsidRPr="00753A77">
        <w:rPr>
          <w:rFonts w:ascii="Bookman Old Style" w:hAnsi="Bookman Old Style"/>
          <w:sz w:val="24"/>
          <w:szCs w:val="24"/>
        </w:rPr>
        <w:t xml:space="preserve">osto de respaldo de red </w:t>
      </w:r>
      <w:r w:rsidR="00EE2E26" w:rsidRPr="00753A77">
        <w:rPr>
          <w:rFonts w:ascii="Bookman Old Style" w:hAnsi="Bookman Old Style"/>
          <w:sz w:val="24"/>
          <w:szCs w:val="24"/>
        </w:rPr>
        <w:t>(</w:t>
      </w:r>
      <w:r w:rsidR="00EE2E26" w:rsidRPr="00753A77">
        <w:rPr>
          <w:rFonts w:ascii="Bookman Old Style" w:hAnsi="Bookman Old Style"/>
          <w:i/>
          <w:iCs/>
          <w:sz w:val="24"/>
          <w:szCs w:val="24"/>
        </w:rPr>
        <w:t>CRESP</w:t>
      </w:r>
      <w:r w:rsidR="00EE2E26" w:rsidRPr="00753A77">
        <w:rPr>
          <w:rFonts w:ascii="Bookman Old Style" w:hAnsi="Bookman Old Style"/>
          <w:i/>
          <w:iCs/>
          <w:sz w:val="24"/>
          <w:szCs w:val="24"/>
          <w:vertAlign w:val="subscript"/>
        </w:rPr>
        <w:t>u,n</w:t>
      </w:r>
      <w:r w:rsidR="00EE2E26" w:rsidRPr="00753A77">
        <w:rPr>
          <w:rFonts w:ascii="Bookman Old Style" w:hAnsi="Bookman Old Style"/>
          <w:sz w:val="24"/>
          <w:szCs w:val="24"/>
        </w:rPr>
        <w:t xml:space="preserve">) </w:t>
      </w:r>
      <w:r w:rsidRPr="00753A77">
        <w:rPr>
          <w:rFonts w:ascii="Bookman Old Style" w:hAnsi="Bookman Old Style"/>
          <w:sz w:val="24"/>
          <w:szCs w:val="24"/>
        </w:rPr>
        <w:t xml:space="preserve">será calculado de acuerdo con lo definido en </w:t>
      </w:r>
      <w:r w:rsidR="0078494A" w:rsidRPr="00753A77">
        <w:rPr>
          <w:rFonts w:ascii="Bookman Old Style" w:hAnsi="Bookman Old Style"/>
          <w:sz w:val="24"/>
          <w:szCs w:val="24"/>
        </w:rPr>
        <w:t>los numerales 10.2 y 10.4 del Anexo General de la Resolución CREG 015 de 2018 o aquella que la modifique o sustituya.</w:t>
      </w:r>
    </w:p>
    <w:p w14:paraId="518985A2" w14:textId="6E5BD3D1" w:rsidR="00771905" w:rsidRPr="00753A77" w:rsidRDefault="00771905" w:rsidP="00894AD9">
      <w:pPr>
        <w:pStyle w:val="Prrafodelista"/>
        <w:numPr>
          <w:ilvl w:val="7"/>
          <w:numId w:val="26"/>
        </w:numPr>
        <w:spacing w:before="120"/>
        <w:ind w:left="562"/>
        <w:jc w:val="both"/>
        <w:rPr>
          <w:rFonts w:ascii="Bookman Old Style" w:hAnsi="Bookman Old Style"/>
        </w:rPr>
      </w:pPr>
      <w:r w:rsidRPr="00753A77">
        <w:rPr>
          <w:rFonts w:ascii="Bookman Old Style" w:hAnsi="Bookman Old Style"/>
          <w:sz w:val="24"/>
          <w:szCs w:val="24"/>
        </w:rPr>
        <w:lastRenderedPageBreak/>
        <w:t xml:space="preserve">El OR será responsable por la distribución de energía hasta el límite de potencia acordada.  </w:t>
      </w:r>
    </w:p>
    <w:p w14:paraId="2719BAD3" w14:textId="7C394DEF" w:rsidR="00D06028" w:rsidRPr="00753A77" w:rsidRDefault="00D06028" w:rsidP="00894AD9">
      <w:pPr>
        <w:pStyle w:val="Prrafodelista"/>
        <w:numPr>
          <w:ilvl w:val="7"/>
          <w:numId w:val="26"/>
        </w:numPr>
        <w:spacing w:before="120"/>
        <w:ind w:left="562"/>
        <w:jc w:val="both"/>
        <w:rPr>
          <w:rFonts w:ascii="Bookman Old Style" w:hAnsi="Bookman Old Style"/>
        </w:rPr>
      </w:pPr>
      <w:r w:rsidRPr="00753A77">
        <w:rPr>
          <w:rFonts w:ascii="Bookman Old Style" w:hAnsi="Bookman Old Style"/>
          <w:sz w:val="24"/>
          <w:szCs w:val="24"/>
        </w:rPr>
        <w:t>El pago del respaldo remunera la disponibilidad de la red en un momento determinado y es independiente del uso de la misma</w:t>
      </w:r>
      <w:r w:rsidR="0025067B" w:rsidRPr="00753A77">
        <w:rPr>
          <w:rFonts w:ascii="Bookman Old Style" w:hAnsi="Bookman Old Style"/>
          <w:sz w:val="24"/>
          <w:szCs w:val="24"/>
        </w:rPr>
        <w:t>,</w:t>
      </w:r>
      <w:r w:rsidRPr="00753A77">
        <w:rPr>
          <w:rFonts w:ascii="Bookman Old Style" w:hAnsi="Bookman Old Style"/>
          <w:sz w:val="24"/>
          <w:szCs w:val="24"/>
        </w:rPr>
        <w:t xml:space="preserve"> por lo que, cuando el usuario del STR o SDL haga uso de la red, pagará los cargos por uso que correspondan por la totalidad de la energía consumida. </w:t>
      </w:r>
    </w:p>
    <w:p w14:paraId="7AB97753" w14:textId="5E474A48" w:rsidR="00EF3703" w:rsidRPr="00753A77" w:rsidRDefault="00EF3703" w:rsidP="00894AD9">
      <w:pPr>
        <w:pStyle w:val="Prrafodelista"/>
        <w:numPr>
          <w:ilvl w:val="7"/>
          <w:numId w:val="26"/>
        </w:numPr>
        <w:spacing w:before="120"/>
        <w:ind w:left="562"/>
        <w:jc w:val="both"/>
        <w:rPr>
          <w:rFonts w:ascii="Bookman Old Style" w:hAnsi="Bookman Old Style"/>
        </w:rPr>
      </w:pPr>
      <w:r w:rsidRPr="00753A77">
        <w:rPr>
          <w:rFonts w:ascii="Bookman Old Style" w:hAnsi="Bookman Old Style"/>
          <w:sz w:val="24"/>
          <w:szCs w:val="24"/>
        </w:rPr>
        <w:t>Cuando la potencia máxima alcanzada por un usuario del STR o SDL supere la potencia respaldada y ponga en riesgo el suministro del servicio a otros usuarios, el OR podrá instalar equipos para el control de la potencia máxima a ser entregada por la red. Los costos de suministro e instalación de estos equipos estarán a cargo del usuario del STR o SDL que incurrió en esta situación</w:t>
      </w:r>
      <w:r w:rsidR="0025067B" w:rsidRPr="00753A77">
        <w:rPr>
          <w:rFonts w:ascii="Bookman Old Style" w:hAnsi="Bookman Old Style"/>
          <w:sz w:val="24"/>
          <w:szCs w:val="24"/>
        </w:rPr>
        <w:t>,</w:t>
      </w:r>
      <w:r w:rsidRPr="00753A77">
        <w:rPr>
          <w:rFonts w:ascii="Bookman Old Style" w:hAnsi="Bookman Old Style"/>
          <w:sz w:val="24"/>
          <w:szCs w:val="24"/>
        </w:rPr>
        <w:t xml:space="preserve"> y su remuneración podrá ser acordada entre las partes en el contrato de respaldo que se suscriba. </w:t>
      </w:r>
    </w:p>
    <w:p w14:paraId="382399AC" w14:textId="6D4537C1" w:rsidR="00EF3703" w:rsidRPr="00753A77" w:rsidRDefault="00EF3703" w:rsidP="00894AD9">
      <w:pPr>
        <w:pStyle w:val="Prrafodelista"/>
        <w:numPr>
          <w:ilvl w:val="7"/>
          <w:numId w:val="26"/>
        </w:numPr>
        <w:spacing w:before="120"/>
        <w:ind w:left="562"/>
        <w:jc w:val="both"/>
        <w:rPr>
          <w:rFonts w:ascii="Bookman Old Style" w:hAnsi="Bookman Old Style"/>
        </w:rPr>
      </w:pPr>
      <w:r w:rsidRPr="00753A77">
        <w:rPr>
          <w:rFonts w:ascii="Bookman Old Style" w:hAnsi="Bookman Old Style"/>
          <w:sz w:val="24"/>
          <w:szCs w:val="24"/>
        </w:rPr>
        <w:t xml:space="preserve">Cuando el respaldo de red solicitado requiera una ampliación de la infraestructura disponible no considerada en el plan de inversión de un OR, el (los) solicitante(s) deberá(n) asumir los costos asociados con dicha ampliación. </w:t>
      </w:r>
    </w:p>
    <w:p w14:paraId="47349444" w14:textId="1E096DE6" w:rsidR="00BF5A60" w:rsidRPr="00753A77" w:rsidRDefault="00BF5A60" w:rsidP="00894AD9">
      <w:pPr>
        <w:pStyle w:val="Prrafodelista"/>
        <w:numPr>
          <w:ilvl w:val="8"/>
          <w:numId w:val="26"/>
        </w:numPr>
        <w:spacing w:before="120"/>
        <w:ind w:left="562"/>
        <w:jc w:val="both"/>
        <w:rPr>
          <w:rFonts w:ascii="Bookman Old Style" w:hAnsi="Bookman Old Style"/>
        </w:rPr>
      </w:pPr>
      <w:r w:rsidRPr="00753A77">
        <w:rPr>
          <w:rFonts w:ascii="Bookman Old Style" w:hAnsi="Bookman Old Style"/>
          <w:sz w:val="24"/>
          <w:szCs w:val="24"/>
        </w:rPr>
        <w:t xml:space="preserve">Cuando, para un año determinado, existan varias solicitudes de respaldo sobre una misma infraestructura de uso, la capacidad de la red para respaldo será distribuida de manera equitativa a prorrata de la potencia instalada de los usuarios que solicitaron el respaldo. </w:t>
      </w:r>
    </w:p>
    <w:p w14:paraId="56207753" w14:textId="58B5EF87" w:rsidR="002447BD" w:rsidRPr="00753A77" w:rsidRDefault="005C71DF" w:rsidP="0075236B">
      <w:pPr>
        <w:pStyle w:val="Estilo5"/>
        <w:keepNext w:val="0"/>
        <w:numPr>
          <w:ilvl w:val="0"/>
          <w:numId w:val="19"/>
        </w:numPr>
        <w:tabs>
          <w:tab w:val="left" w:pos="1560"/>
          <w:tab w:val="left" w:pos="3544"/>
        </w:tabs>
        <w:spacing w:after="0"/>
        <w:ind w:left="0" w:right="142"/>
      </w:pPr>
      <w:r w:rsidRPr="00753A77">
        <w:rPr>
          <w:bCs/>
        </w:rPr>
        <w:t>Contenido del contrato de respaldo</w:t>
      </w:r>
      <w:r w:rsidR="002447BD" w:rsidRPr="00753A77">
        <w:rPr>
          <w:bCs/>
        </w:rPr>
        <w:t>.</w:t>
      </w:r>
      <w:r w:rsidR="00971166" w:rsidRPr="00753A77">
        <w:rPr>
          <w:bCs/>
        </w:rPr>
        <w:t xml:space="preserve"> </w:t>
      </w:r>
      <w:r w:rsidR="008F4B5B" w:rsidRPr="00753A77">
        <w:rPr>
          <w:b w:val="0"/>
        </w:rPr>
        <w:t>Los contratos que se suscriban deben tener en cuenta las siguientes consideraciones mínimas:</w:t>
      </w:r>
    </w:p>
    <w:p w14:paraId="39DDE2EC" w14:textId="0EB599BC" w:rsidR="00641762" w:rsidRPr="00753A77" w:rsidRDefault="00641762" w:rsidP="34A49101">
      <w:pPr>
        <w:spacing w:before="240"/>
        <w:ind w:left="0"/>
        <w:jc w:val="both"/>
        <w:rPr>
          <w:rFonts w:ascii="Bookman Old Style" w:hAnsi="Bookman Old Style"/>
        </w:rPr>
      </w:pPr>
      <w:r w:rsidRPr="00753A77">
        <w:rPr>
          <w:rFonts w:ascii="Bookman Old Style" w:hAnsi="Bookman Old Style"/>
        </w:rPr>
        <w:t>a. Condiciones de verificación anual de disponibilidad de carga en el punto donde se requiere el respaldo y condiciones de renegociación</w:t>
      </w:r>
      <w:r w:rsidR="0025067B" w:rsidRPr="00753A77">
        <w:rPr>
          <w:rFonts w:ascii="Bookman Old Style" w:hAnsi="Bookman Old Style"/>
        </w:rPr>
        <w:t>,</w:t>
      </w:r>
      <w:r w:rsidRPr="00753A77">
        <w:rPr>
          <w:rFonts w:ascii="Bookman Old Style" w:hAnsi="Bookman Old Style"/>
        </w:rPr>
        <w:t xml:space="preserve"> en caso de modificación de curva de carga o necesidad de distribución de disponibilidad para respaldo por otras solicitudes de respaldo</w:t>
      </w:r>
      <w:r w:rsidR="0025067B" w:rsidRPr="00753A77">
        <w:rPr>
          <w:rFonts w:ascii="Bookman Old Style" w:hAnsi="Bookman Old Style"/>
        </w:rPr>
        <w:t>,</w:t>
      </w:r>
      <w:r w:rsidRPr="00753A77">
        <w:rPr>
          <w:rFonts w:ascii="Bookman Old Style" w:hAnsi="Bookman Old Style"/>
        </w:rPr>
        <w:t xml:space="preserve"> en el mismo circuito o subestación. </w:t>
      </w:r>
    </w:p>
    <w:p w14:paraId="5DA108DC" w14:textId="42777BE8" w:rsidR="00641762" w:rsidRPr="00753A77" w:rsidRDefault="00641762" w:rsidP="00330A4B">
      <w:pPr>
        <w:spacing w:before="240"/>
        <w:ind w:left="0"/>
        <w:jc w:val="both"/>
        <w:rPr>
          <w:rFonts w:ascii="Bookman Old Style" w:hAnsi="Bookman Old Style"/>
        </w:rPr>
      </w:pPr>
      <w:r w:rsidRPr="00753A77">
        <w:rPr>
          <w:rFonts w:ascii="Bookman Old Style" w:hAnsi="Bookman Old Style"/>
        </w:rPr>
        <w:t>b. Capacidad de respaldo de red contratada, carga instalada del usuario, capacidad de auto o cogeneración, cálculo de la variable CRESPu,n</w:t>
      </w:r>
      <w:r w:rsidR="00330A4B" w:rsidRPr="00753A77">
        <w:rPr>
          <w:rFonts w:ascii="Bookman Old Style" w:hAnsi="Bookman Old Style"/>
        </w:rPr>
        <w:t xml:space="preserve"> </w:t>
      </w:r>
      <w:r w:rsidRPr="00753A77">
        <w:rPr>
          <w:rFonts w:ascii="Bookman Old Style" w:hAnsi="Bookman Old Style"/>
        </w:rPr>
        <w:t xml:space="preserve">y valor del respaldo en cada año. </w:t>
      </w:r>
    </w:p>
    <w:p w14:paraId="77CB3BA2" w14:textId="5D6105F5" w:rsidR="00616ED2" w:rsidRPr="00753A77" w:rsidRDefault="00616ED2" w:rsidP="00CB28B8">
      <w:pPr>
        <w:pStyle w:val="Estilo5"/>
        <w:keepNext w:val="0"/>
        <w:numPr>
          <w:ilvl w:val="0"/>
          <w:numId w:val="19"/>
        </w:numPr>
        <w:tabs>
          <w:tab w:val="left" w:pos="1560"/>
          <w:tab w:val="left" w:pos="3544"/>
        </w:tabs>
        <w:spacing w:before="480" w:after="0"/>
        <w:ind w:left="0" w:right="142"/>
        <w:rPr>
          <w:lang w:val="es-ES"/>
        </w:rPr>
      </w:pPr>
      <w:r w:rsidRPr="00753A77">
        <w:rPr>
          <w:lang w:val="es-ES"/>
        </w:rPr>
        <w:t>Vigencia</w:t>
      </w:r>
      <w:r w:rsidR="00CA5277" w:rsidRPr="00753A77">
        <w:rPr>
          <w:lang w:val="es-ES"/>
        </w:rPr>
        <w:t xml:space="preserve"> y </w:t>
      </w:r>
      <w:r w:rsidR="00041095" w:rsidRPr="00753A77">
        <w:rPr>
          <w:lang w:val="es-ES"/>
        </w:rPr>
        <w:t>derogatorias</w:t>
      </w:r>
      <w:r w:rsidRPr="00753A77">
        <w:rPr>
          <w:lang w:val="es-ES"/>
        </w:rPr>
        <w:t xml:space="preserve">. </w:t>
      </w:r>
      <w:r w:rsidRPr="00753A77">
        <w:rPr>
          <w:b w:val="0"/>
          <w:bCs/>
          <w:lang w:val="es-ES"/>
        </w:rPr>
        <w:t xml:space="preserve">Esta resolución rige a partir de la fecha de su publicación en el </w:t>
      </w:r>
      <w:r w:rsidRPr="00753A77">
        <w:rPr>
          <w:b w:val="0"/>
          <w:bCs/>
          <w:i/>
          <w:iCs/>
          <w:lang w:val="es-ES"/>
        </w:rPr>
        <w:t>Diario Oficial</w:t>
      </w:r>
      <w:r w:rsidR="009B52C3" w:rsidRPr="00753A77">
        <w:rPr>
          <w:b w:val="0"/>
          <w:bCs/>
          <w:i/>
          <w:iCs/>
          <w:lang w:val="es-ES"/>
        </w:rPr>
        <w:t>.</w:t>
      </w:r>
      <w:r w:rsidR="004D320E" w:rsidRPr="00753A77">
        <w:rPr>
          <w:b w:val="0"/>
          <w:bCs/>
          <w:lang w:val="es-ES"/>
        </w:rPr>
        <w:t xml:space="preserve"> </w:t>
      </w:r>
    </w:p>
    <w:p w14:paraId="16539EED" w14:textId="77777777" w:rsidR="00A6510A" w:rsidRPr="00753A77" w:rsidRDefault="00A6510A" w:rsidP="00894AD9">
      <w:pPr>
        <w:pStyle w:val="Estilo5"/>
        <w:keepNext w:val="0"/>
        <w:tabs>
          <w:tab w:val="left" w:pos="1560"/>
          <w:tab w:val="left" w:pos="3544"/>
        </w:tabs>
        <w:spacing w:before="480" w:after="0"/>
        <w:ind w:right="142"/>
        <w:rPr>
          <w:lang w:val="es-ES"/>
        </w:rPr>
      </w:pPr>
    </w:p>
    <w:p w14:paraId="76B93FF4" w14:textId="7C5A08B0" w:rsidR="00616ED2" w:rsidRPr="00CE3C07" w:rsidRDefault="00CE3C07" w:rsidP="00CE3C07">
      <w:pPr>
        <w:ind w:left="0"/>
        <w:jc w:val="center"/>
        <w:rPr>
          <w:rFonts w:ascii="Bookman Old Style" w:hAnsi="Bookman Old Style"/>
          <w:b/>
          <w:bCs/>
        </w:rPr>
      </w:pPr>
      <w:r w:rsidRPr="00753A77">
        <w:rPr>
          <w:rFonts w:ascii="Bookman Old Style" w:hAnsi="Bookman Old Style"/>
          <w:b/>
          <w:bCs/>
        </w:rPr>
        <w:t>PUBLÍQUESE Y CÚMPLASE</w:t>
      </w:r>
    </w:p>
    <w:sectPr w:rsidR="00616ED2" w:rsidRPr="00CE3C07" w:rsidSect="00C57DA3">
      <w:headerReference w:type="default" r:id="rId13"/>
      <w:headerReference w:type="first" r:id="rId14"/>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06AD6" w14:textId="77777777" w:rsidR="00A555A8" w:rsidRPr="000E4B55" w:rsidRDefault="00A555A8">
      <w:pPr>
        <w:rPr>
          <w:sz w:val="23"/>
          <w:szCs w:val="23"/>
        </w:rPr>
      </w:pPr>
      <w:r w:rsidRPr="000E4B55">
        <w:rPr>
          <w:sz w:val="23"/>
          <w:szCs w:val="23"/>
        </w:rPr>
        <w:separator/>
      </w:r>
    </w:p>
  </w:endnote>
  <w:endnote w:type="continuationSeparator" w:id="0">
    <w:p w14:paraId="5ACCCE43" w14:textId="77777777" w:rsidR="00A555A8" w:rsidRPr="000E4B55" w:rsidRDefault="00A555A8">
      <w:pPr>
        <w:rPr>
          <w:sz w:val="23"/>
          <w:szCs w:val="23"/>
        </w:rPr>
      </w:pPr>
      <w:r w:rsidRPr="000E4B55">
        <w:rPr>
          <w:sz w:val="23"/>
          <w:szCs w:val="23"/>
        </w:rPr>
        <w:continuationSeparator/>
      </w:r>
    </w:p>
  </w:endnote>
  <w:endnote w:type="continuationNotice" w:id="1">
    <w:p w14:paraId="0B7ECD19" w14:textId="77777777" w:rsidR="00A555A8" w:rsidRDefault="00A555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8FB62" w14:textId="77777777" w:rsidR="00A555A8" w:rsidRPr="000E4B55" w:rsidRDefault="00A555A8">
      <w:pPr>
        <w:rPr>
          <w:sz w:val="23"/>
          <w:szCs w:val="23"/>
        </w:rPr>
      </w:pPr>
      <w:r w:rsidRPr="000E4B55">
        <w:rPr>
          <w:sz w:val="23"/>
          <w:szCs w:val="23"/>
        </w:rPr>
        <w:separator/>
      </w:r>
    </w:p>
  </w:footnote>
  <w:footnote w:type="continuationSeparator" w:id="0">
    <w:p w14:paraId="6F9165F8" w14:textId="77777777" w:rsidR="00A555A8" w:rsidRPr="000E4B55" w:rsidRDefault="00A555A8">
      <w:pPr>
        <w:rPr>
          <w:sz w:val="23"/>
          <w:szCs w:val="23"/>
        </w:rPr>
      </w:pPr>
      <w:r w:rsidRPr="000E4B55">
        <w:rPr>
          <w:sz w:val="23"/>
          <w:szCs w:val="23"/>
        </w:rPr>
        <w:continuationSeparator/>
      </w:r>
    </w:p>
  </w:footnote>
  <w:footnote w:type="continuationNotice" w:id="1">
    <w:p w14:paraId="36E58B5C" w14:textId="77777777" w:rsidR="00A555A8" w:rsidRDefault="00A555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91BFB" w14:textId="77777777" w:rsidR="000B1FCD" w:rsidRPr="000E4B55" w:rsidRDefault="000B1FCD" w:rsidP="00951F79">
    <w:pPr>
      <w:pStyle w:val="Ttulo1"/>
      <w:ind w:right="6"/>
      <w:jc w:val="left"/>
      <w:rPr>
        <w:rFonts w:ascii="Bookman Old Style" w:hAnsi="Bookman Old Style" w:cs="Arial"/>
        <w:b w:val="0"/>
        <w:sz w:val="21"/>
        <w:szCs w:val="21"/>
      </w:rPr>
    </w:pPr>
  </w:p>
  <w:p w14:paraId="1BF32595" w14:textId="03D6CCBB" w:rsidR="000B1FCD" w:rsidRPr="000E4B55" w:rsidRDefault="000B1A70" w:rsidP="00626F9E">
    <w:pPr>
      <w:pStyle w:val="Ttulo1"/>
      <w:ind w:left="0" w:right="6"/>
      <w:rPr>
        <w:rFonts w:ascii="Bookman Old Style" w:hAnsi="Bookman Old Style" w:cs="Arial"/>
        <w:b w:val="0"/>
        <w:sz w:val="21"/>
        <w:szCs w:val="21"/>
      </w:rPr>
    </w:pPr>
    <w:r>
      <w:rPr>
        <w:rFonts w:ascii="Bookman Old Style" w:hAnsi="Bookman Old Style" w:cs="Arial"/>
        <w:b w:val="0"/>
        <w:sz w:val="21"/>
        <w:szCs w:val="21"/>
      </w:rPr>
      <w:t xml:space="preserve">PROYECTO DE </w:t>
    </w:r>
    <w:r w:rsidR="000B1FCD" w:rsidRPr="000E4B55">
      <w:rPr>
        <w:rFonts w:ascii="Bookman Old Style" w:hAnsi="Bookman Old Style" w:cs="Arial"/>
        <w:b w:val="0"/>
        <w:sz w:val="21"/>
        <w:szCs w:val="21"/>
      </w:rPr>
      <w:t>RESOLUCIÓN No</w:t>
    </w:r>
    <w:r w:rsidR="000B1FCD" w:rsidRPr="00626F9E">
      <w:rPr>
        <w:rFonts w:ascii="Bookman Old Style" w:hAnsi="Bookman Old Style" w:cs="Arial"/>
        <w:bCs/>
        <w:sz w:val="21"/>
        <w:szCs w:val="21"/>
      </w:rPr>
      <w:t>.</w:t>
    </w:r>
    <w:r w:rsidR="00CE3C07" w:rsidRPr="00626F9E">
      <w:rPr>
        <w:rFonts w:ascii="Bookman Old Style" w:hAnsi="Bookman Old Style" w:cs="Arial"/>
        <w:bCs/>
        <w:sz w:val="21"/>
        <w:szCs w:val="21"/>
      </w:rPr>
      <w:t xml:space="preserve">  </w:t>
    </w:r>
    <w:r w:rsidR="00566EE3" w:rsidRPr="00626F9E">
      <w:rPr>
        <w:rFonts w:ascii="Bookman Old Style" w:hAnsi="Bookman Old Style" w:cs="Arial"/>
        <w:bCs/>
        <w:sz w:val="21"/>
        <w:szCs w:val="21"/>
      </w:rPr>
      <w:t xml:space="preserve"> </w:t>
    </w:r>
    <w:r w:rsidR="00CE3C07" w:rsidRPr="00626F9E">
      <w:rPr>
        <w:rFonts w:ascii="Bookman Old Style" w:hAnsi="Bookman Old Style" w:cs="Arial"/>
        <w:bCs/>
        <w:sz w:val="22"/>
        <w:szCs w:val="22"/>
        <w:u w:val="single"/>
      </w:rPr>
      <w:t>701 0</w:t>
    </w:r>
    <w:r w:rsidR="00E94EF3">
      <w:rPr>
        <w:rFonts w:ascii="Bookman Old Style" w:hAnsi="Bookman Old Style" w:cs="Arial"/>
        <w:bCs/>
        <w:sz w:val="22"/>
        <w:szCs w:val="22"/>
        <w:u w:val="single"/>
      </w:rPr>
      <w:t>8</w:t>
    </w:r>
    <w:r w:rsidR="00626F9E" w:rsidRPr="00626F9E">
      <w:rPr>
        <w:rFonts w:ascii="Bookman Old Style" w:hAnsi="Bookman Old Style" w:cs="Arial"/>
        <w:bCs/>
        <w:sz w:val="22"/>
        <w:szCs w:val="22"/>
        <w:u w:val="single"/>
      </w:rPr>
      <w:t>2</w:t>
    </w:r>
    <w:r w:rsidR="00CE3C07">
      <w:rPr>
        <w:rFonts w:ascii="Bookman Old Style" w:hAnsi="Bookman Old Style" w:cs="Arial"/>
        <w:b w:val="0"/>
        <w:sz w:val="21"/>
        <w:szCs w:val="21"/>
      </w:rPr>
      <w:t xml:space="preserve">  </w:t>
    </w:r>
    <w:r w:rsidR="000B1FCD" w:rsidRPr="000E4B55">
      <w:rPr>
        <w:rFonts w:ascii="Bookman Old Style" w:hAnsi="Bookman Old Style" w:cs="Arial"/>
        <w:b w:val="0"/>
        <w:sz w:val="21"/>
        <w:szCs w:val="21"/>
      </w:rPr>
      <w:t>DE</w:t>
    </w:r>
    <w:r w:rsidR="00CE3C07">
      <w:rPr>
        <w:rFonts w:ascii="Bookman Old Style" w:hAnsi="Bookman Old Style" w:cs="Arial"/>
        <w:b w:val="0"/>
        <w:sz w:val="21"/>
        <w:szCs w:val="21"/>
      </w:rPr>
      <w:t xml:space="preserve">  </w:t>
    </w:r>
    <w:r w:rsidR="000B1FCD" w:rsidRPr="000E4B55">
      <w:rPr>
        <w:rFonts w:ascii="Bookman Old Style" w:hAnsi="Bookman Old Style" w:cs="Arial"/>
        <w:b w:val="0"/>
        <w:sz w:val="21"/>
        <w:szCs w:val="21"/>
      </w:rPr>
      <w:t xml:space="preserve"> </w:t>
    </w:r>
    <w:r w:rsidR="00626F9E">
      <w:rPr>
        <w:rFonts w:ascii="Bookman Old Style" w:hAnsi="Bookman Old Style"/>
        <w:bCs/>
        <w:szCs w:val="24"/>
        <w:u w:val="single"/>
      </w:rPr>
      <w:t>27 FEB</w:t>
    </w:r>
    <w:r w:rsidR="00CE3C07" w:rsidRPr="00CE3C07">
      <w:rPr>
        <w:rFonts w:ascii="Bookman Old Style" w:hAnsi="Bookman Old Style"/>
        <w:bCs/>
        <w:szCs w:val="24"/>
        <w:u w:val="single"/>
      </w:rPr>
      <w:t>.202</w:t>
    </w:r>
    <w:r w:rsidR="0088064C">
      <w:rPr>
        <w:rFonts w:ascii="Bookman Old Style" w:hAnsi="Bookman Old Style"/>
        <w:bCs/>
        <w:szCs w:val="24"/>
        <w:u w:val="single"/>
      </w:rPr>
      <w:t>5</w:t>
    </w:r>
    <w:r w:rsidR="000B1FCD" w:rsidRPr="000E4B55">
      <w:rPr>
        <w:rFonts w:ascii="Bookman Old Style" w:hAnsi="Bookman Old Style" w:cs="Arial"/>
        <w:b w:val="0"/>
        <w:sz w:val="21"/>
        <w:szCs w:val="21"/>
      </w:rPr>
      <w:tab/>
      <w:t xml:space="preserve">HOJA No. </w:t>
    </w:r>
    <w:r w:rsidR="000B1FCD" w:rsidRPr="000E4B55">
      <w:rPr>
        <w:rFonts w:ascii="Bookman Old Style" w:hAnsi="Bookman Old Style" w:cs="Arial"/>
        <w:b w:val="0"/>
        <w:sz w:val="21"/>
        <w:szCs w:val="21"/>
      </w:rPr>
      <w:fldChar w:fldCharType="begin"/>
    </w:r>
    <w:r w:rsidR="000B1FCD" w:rsidRPr="000E4B55">
      <w:rPr>
        <w:rFonts w:ascii="Bookman Old Style" w:hAnsi="Bookman Old Style" w:cs="Arial"/>
        <w:b w:val="0"/>
        <w:sz w:val="21"/>
        <w:szCs w:val="21"/>
      </w:rPr>
      <w:instrText xml:space="preserve"> PAGE   \* MERGEFORMAT </w:instrText>
    </w:r>
    <w:r w:rsidR="000B1FCD" w:rsidRPr="000E4B55">
      <w:rPr>
        <w:rFonts w:ascii="Bookman Old Style" w:hAnsi="Bookman Old Style" w:cs="Arial"/>
        <w:b w:val="0"/>
        <w:sz w:val="21"/>
        <w:szCs w:val="21"/>
      </w:rPr>
      <w:fldChar w:fldCharType="separate"/>
    </w:r>
    <w:r w:rsidR="00FD7BAA">
      <w:rPr>
        <w:rFonts w:ascii="Bookman Old Style" w:hAnsi="Bookman Old Style" w:cs="Arial"/>
        <w:b w:val="0"/>
        <w:noProof/>
        <w:sz w:val="21"/>
        <w:szCs w:val="21"/>
      </w:rPr>
      <w:t>5</w:t>
    </w:r>
    <w:r w:rsidR="000B1FCD" w:rsidRPr="000E4B55">
      <w:rPr>
        <w:rFonts w:ascii="Bookman Old Style" w:hAnsi="Bookman Old Style" w:cs="Arial"/>
        <w:b w:val="0"/>
        <w:sz w:val="21"/>
        <w:szCs w:val="21"/>
      </w:rPr>
      <w:fldChar w:fldCharType="end"/>
    </w:r>
    <w:r w:rsidR="000B1FCD" w:rsidRPr="000E4B55">
      <w:rPr>
        <w:rFonts w:ascii="Bookman Old Style" w:hAnsi="Bookman Old Style" w:cs="Arial"/>
        <w:b w:val="0"/>
        <w:sz w:val="21"/>
        <w:szCs w:val="21"/>
      </w:rPr>
      <w:t>/</w:t>
    </w:r>
    <w:r w:rsidR="000B1FCD" w:rsidRPr="000E4B55">
      <w:rPr>
        <w:sz w:val="23"/>
      </w:rPr>
      <w:fldChar w:fldCharType="begin"/>
    </w:r>
    <w:r w:rsidR="000B1FCD" w:rsidRPr="000E4B55">
      <w:rPr>
        <w:sz w:val="23"/>
        <w:szCs w:val="23"/>
      </w:rPr>
      <w:instrText xml:space="preserve"> NUMPAGES  \* MERGEFORMAT </w:instrText>
    </w:r>
    <w:r w:rsidR="000B1FCD" w:rsidRPr="000E4B55">
      <w:rPr>
        <w:sz w:val="23"/>
      </w:rPr>
      <w:fldChar w:fldCharType="separate"/>
    </w:r>
    <w:r w:rsidR="00FD7BAA" w:rsidRPr="00FD7BAA">
      <w:rPr>
        <w:rFonts w:ascii="Bookman Old Style" w:hAnsi="Bookman Old Style" w:cs="Arial"/>
        <w:b w:val="0"/>
        <w:noProof/>
        <w:sz w:val="21"/>
        <w:szCs w:val="22"/>
      </w:rPr>
      <w:t>5</w:t>
    </w:r>
    <w:r w:rsidR="000B1FCD" w:rsidRPr="000E4B55">
      <w:rPr>
        <w:rFonts w:ascii="Bookman Old Style" w:hAnsi="Bookman Old Style" w:cs="Arial"/>
        <w:b w:val="0"/>
        <w:noProof/>
        <w:sz w:val="21"/>
        <w:szCs w:val="21"/>
      </w:rPr>
      <w:fldChar w:fldCharType="end"/>
    </w:r>
  </w:p>
  <w:p w14:paraId="59F57DD9" w14:textId="25493E27" w:rsidR="000B1FCD" w:rsidRPr="000E4B55" w:rsidRDefault="00CE3C07" w:rsidP="00AD01E4">
    <w:pPr>
      <w:ind w:left="142" w:right="148"/>
      <w:rPr>
        <w:rFonts w:ascii="Bookman Old Style" w:hAnsi="Bookman Old Style" w:cs="Arial"/>
        <w:sz w:val="23"/>
        <w:szCs w:val="23"/>
      </w:rPr>
    </w:pPr>
    <w:r w:rsidRPr="000E4B55">
      <w:rPr>
        <w:noProof/>
        <w:sz w:val="23"/>
        <w:szCs w:val="23"/>
        <w:lang w:val="es-CO" w:eastAsia="es-CO"/>
      </w:rPr>
      <mc:AlternateContent>
        <mc:Choice Requires="wps">
          <w:drawing>
            <wp:anchor distT="0" distB="0" distL="114300" distR="114300" simplePos="0" relativeHeight="251658240" behindDoc="0" locked="0" layoutInCell="1" allowOverlap="1" wp14:anchorId="553A0102" wp14:editId="68EAC1A4">
              <wp:simplePos x="0" y="0"/>
              <wp:positionH relativeFrom="column">
                <wp:posOffset>-175260</wp:posOffset>
              </wp:positionH>
              <wp:positionV relativeFrom="paragraph">
                <wp:posOffset>139065</wp:posOffset>
              </wp:positionV>
              <wp:extent cx="6267450" cy="9900920"/>
              <wp:effectExtent l="9525" t="12065" r="9525" b="1206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81B07FB">
            <v:rect id="Rectangle 1" style="position:absolute;margin-left:-13.8pt;margin-top:10.95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2797C4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w:pict>
        </mc:Fallback>
      </mc:AlternateContent>
    </w:r>
  </w:p>
  <w:p w14:paraId="36D46822" w14:textId="6CAF89E0" w:rsidR="00CE3C07" w:rsidRPr="00F30572" w:rsidRDefault="00CE3C07" w:rsidP="00CE3C07">
    <w:pPr>
      <w:pBdr>
        <w:bottom w:val="single" w:sz="4" w:space="1" w:color="auto"/>
      </w:pBdr>
      <w:jc w:val="center"/>
      <w:rPr>
        <w:sz w:val="22"/>
        <w:szCs w:val="22"/>
      </w:rPr>
    </w:pPr>
  </w:p>
  <w:p w14:paraId="5B80A1EB" w14:textId="77777777" w:rsidR="00E62289" w:rsidRDefault="00E62289" w:rsidP="00CE3C07">
    <w:pPr>
      <w:pStyle w:val="Textodebloque"/>
      <w:spacing w:after="0"/>
      <w:ind w:left="0" w:right="0"/>
      <w:jc w:val="center"/>
      <w:rPr>
        <w:rFonts w:ascii="Bookman Old Style" w:hAnsi="Bookman Old Style" w:cs="Arial"/>
        <w:sz w:val="2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D0613" w14:textId="081C7DBB" w:rsidR="000B1FCD" w:rsidRPr="000E4B55" w:rsidRDefault="009B4DAD" w:rsidP="00025383">
    <w:pPr>
      <w:pStyle w:val="Encabezado"/>
      <w:jc w:val="both"/>
      <w:rPr>
        <w:rFonts w:ascii="Arial" w:hAnsi="Arial" w:cs="Arial"/>
        <w:spacing w:val="20"/>
        <w:sz w:val="19"/>
        <w:szCs w:val="19"/>
      </w:rPr>
    </w:pPr>
    <w:r>
      <w:rPr>
        <w:rFonts w:ascii="Arial" w:hAnsi="Arial" w:cs="Arial"/>
        <w:spacing w:val="20"/>
        <w:sz w:val="19"/>
        <w:szCs w:val="19"/>
      </w:rPr>
      <w:tab/>
    </w:r>
    <w:r w:rsidR="00566EE3">
      <w:rPr>
        <w:rFonts w:ascii="Arial" w:hAnsi="Arial" w:cs="Arial"/>
        <w:spacing w:val="20"/>
        <w:sz w:val="19"/>
        <w:szCs w:val="19"/>
      </w:rPr>
      <w:t xml:space="preserve">         </w:t>
    </w:r>
    <w:r w:rsidR="000B1FCD" w:rsidRPr="000E4B55">
      <w:rPr>
        <w:rFonts w:ascii="Arial" w:hAnsi="Arial" w:cs="Arial"/>
        <w:spacing w:val="20"/>
        <w:sz w:val="19"/>
        <w:szCs w:val="19"/>
      </w:rPr>
      <w:t>República de Colombia</w:t>
    </w:r>
  </w:p>
  <w:p w14:paraId="0A7EBC08" w14:textId="77777777" w:rsidR="000B1FCD" w:rsidRPr="000E4B55" w:rsidRDefault="000B1FCD">
    <w:pPr>
      <w:pStyle w:val="Encabezado"/>
      <w:jc w:val="center"/>
      <w:rPr>
        <w:rFonts w:ascii="Arial" w:hAnsi="Arial" w:cs="Arial"/>
        <w:spacing w:val="20"/>
        <w:sz w:val="19"/>
        <w:szCs w:val="19"/>
      </w:rPr>
    </w:pPr>
  </w:p>
  <w:p w14:paraId="3B002A11" w14:textId="77777777" w:rsidR="000B1FCD" w:rsidRPr="000E4B55" w:rsidRDefault="000B1FCD" w:rsidP="00CA77FB">
    <w:pPr>
      <w:pStyle w:val="Encabezado"/>
      <w:jc w:val="center"/>
      <w:rPr>
        <w:sz w:val="23"/>
        <w:szCs w:val="23"/>
      </w:rPr>
    </w:pPr>
    <w:r w:rsidRPr="000E4B55">
      <w:rPr>
        <w:rFonts w:ascii="Arial" w:hAnsi="Arial" w:cs="Arial"/>
        <w:noProof/>
        <w:spacing w:val="20"/>
        <w:sz w:val="19"/>
        <w:szCs w:val="19"/>
        <w:lang w:eastAsia="es-CO"/>
      </w:rPr>
      <mc:AlternateContent>
        <mc:Choice Requires="wps">
          <w:drawing>
            <wp:anchor distT="0" distB="0" distL="114300" distR="114300" simplePos="0" relativeHeight="251658241" behindDoc="0" locked="0" layoutInCell="1" allowOverlap="1" wp14:anchorId="5DD26EFC" wp14:editId="6CF8AC8F">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F8AA292">
            <v:rect id="Rectangle 2"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08662E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1BFF"/>
    <w:multiLevelType w:val="hybridMultilevel"/>
    <w:tmpl w:val="BA6EB352"/>
    <w:lvl w:ilvl="0" w:tplc="FE3273EC">
      <w:start w:val="1"/>
      <w:numFmt w:val="decimal"/>
      <w:pStyle w:val="ARTICULOS"/>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9803586"/>
    <w:multiLevelType w:val="hybridMultilevel"/>
    <w:tmpl w:val="1884C59A"/>
    <w:lvl w:ilvl="0" w:tplc="2FD0AADE">
      <w:start w:val="1"/>
      <w:numFmt w:val="decimal"/>
      <w:lvlText w:val="Artículo %1° ."/>
      <w:lvlJc w:val="left"/>
      <w:pPr>
        <w:tabs>
          <w:tab w:val="num" w:pos="1800"/>
        </w:tabs>
        <w:ind w:left="0" w:firstLine="0"/>
      </w:pPr>
      <w:rPr>
        <w:rFonts w:ascii="Bookman Old Style" w:hAnsi="Bookman Old Style" w:hint="default"/>
        <w:b/>
        <w:i w:val="0"/>
        <w:sz w:val="24"/>
        <w:vertAlign w:val="baseline"/>
      </w:rPr>
    </w:lvl>
    <w:lvl w:ilvl="1" w:tplc="5912679E">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E90B26"/>
    <w:multiLevelType w:val="hybridMultilevel"/>
    <w:tmpl w:val="2C06371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E3179DF"/>
    <w:multiLevelType w:val="hybridMultilevel"/>
    <w:tmpl w:val="9E9E947C"/>
    <w:lvl w:ilvl="0" w:tplc="669E5C34">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6"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3E7390"/>
    <w:multiLevelType w:val="multilevel"/>
    <w:tmpl w:val="7EAE5CC0"/>
    <w:lvl w:ilvl="0">
      <w:start w:val="1"/>
      <w:numFmt w:val="decimal"/>
      <w:lvlText w:val="Artículo %1."/>
      <w:lvlJc w:val="left"/>
      <w:pPr>
        <w:ind w:left="568" w:firstLine="0"/>
      </w:pPr>
      <w:rPr>
        <w:b/>
        <w:i w:val="0"/>
        <w:strike w:val="0"/>
        <w:sz w:val="24"/>
        <w:lang w:val="es-ES"/>
      </w:rPr>
    </w:lvl>
    <w:lvl w:ilvl="1">
      <w:start w:val="1"/>
      <w:numFmt w:val="lowerLetter"/>
      <w:lvlText w:val="%2)"/>
      <w:lvlJc w:val="left"/>
      <w:pPr>
        <w:ind w:left="-1483" w:hanging="360"/>
      </w:pPr>
    </w:lvl>
    <w:lvl w:ilvl="2">
      <w:start w:val="1"/>
      <w:numFmt w:val="decimal"/>
      <w:suff w:val="nothing"/>
      <w:lvlText w:val="%1.%2.%3. "/>
      <w:lvlJc w:val="left"/>
      <w:pPr>
        <w:ind w:left="-1843" w:firstLine="0"/>
      </w:pPr>
      <w:rPr>
        <w:rFonts w:ascii="Bookman Old Style" w:hAnsi="Bookman Old Style" w:hint="default"/>
        <w:b/>
        <w:i w:val="0"/>
        <w:sz w:val="24"/>
      </w:rPr>
    </w:lvl>
    <w:lvl w:ilvl="3">
      <w:start w:val="1"/>
      <w:numFmt w:val="lowerRoman"/>
      <w:lvlText w:val="(%4)"/>
      <w:lvlJc w:val="right"/>
      <w:pPr>
        <w:ind w:left="-2978" w:firstLine="0"/>
      </w:pPr>
    </w:lvl>
    <w:lvl w:ilvl="4">
      <w:start w:val="1"/>
      <w:numFmt w:val="decimal"/>
      <w:lvlText w:val="%5)"/>
      <w:lvlJc w:val="left"/>
      <w:pPr>
        <w:ind w:left="-2978" w:firstLine="0"/>
      </w:pPr>
    </w:lvl>
    <w:lvl w:ilvl="5">
      <w:start w:val="1"/>
      <w:numFmt w:val="lowerLetter"/>
      <w:lvlText w:val="%6)"/>
      <w:lvlJc w:val="left"/>
      <w:pPr>
        <w:ind w:left="-2978" w:firstLine="0"/>
      </w:pPr>
    </w:lvl>
    <w:lvl w:ilvl="6">
      <w:start w:val="1"/>
      <w:numFmt w:val="lowerRoman"/>
      <w:lvlText w:val="%7)"/>
      <w:lvlJc w:val="right"/>
      <w:pPr>
        <w:ind w:left="-2978" w:firstLine="0"/>
      </w:pPr>
    </w:lvl>
    <w:lvl w:ilvl="7">
      <w:start w:val="1"/>
      <w:numFmt w:val="lowerLetter"/>
      <w:lvlText w:val="%8."/>
      <w:lvlJc w:val="left"/>
      <w:pPr>
        <w:ind w:left="-2978" w:firstLine="0"/>
      </w:pPr>
    </w:lvl>
    <w:lvl w:ilvl="8">
      <w:start w:val="1"/>
      <w:numFmt w:val="lowerRoman"/>
      <w:lvlText w:val="%9."/>
      <w:lvlJc w:val="right"/>
      <w:pPr>
        <w:ind w:left="-2978" w:firstLine="0"/>
      </w:pPr>
      <w:rPr>
        <w:rFonts w:ascii="Bookman Old Style" w:hAnsi="Bookman Old Style" w:hint="default"/>
        <w:b w:val="0"/>
        <w:sz w:val="24"/>
        <w:szCs w:val="24"/>
      </w:rPr>
    </w:lvl>
  </w:abstractNum>
  <w:abstractNum w:abstractNumId="8" w15:restartNumberingAfterBreak="0">
    <w:nsid w:val="348F13D4"/>
    <w:multiLevelType w:val="multilevel"/>
    <w:tmpl w:val="BD285B9C"/>
    <w:lvl w:ilvl="0">
      <w:start w:val="1"/>
      <w:numFmt w:val="decimal"/>
      <w:lvlText w:val="Artículo %1."/>
      <w:lvlJc w:val="left"/>
      <w:pPr>
        <w:ind w:left="568" w:firstLine="0"/>
      </w:pPr>
      <w:rPr>
        <w:b/>
        <w:i w:val="0"/>
        <w:strike w:val="0"/>
        <w:sz w:val="24"/>
        <w:lang w:val="es-ES"/>
      </w:rPr>
    </w:lvl>
    <w:lvl w:ilvl="1">
      <w:start w:val="1"/>
      <w:numFmt w:val="decimal"/>
      <w:lvlText w:val="%1.%2."/>
      <w:lvlJc w:val="left"/>
      <w:pPr>
        <w:ind w:left="-1843" w:firstLine="0"/>
      </w:pPr>
      <w:rPr>
        <w:rFonts w:ascii="Bookman Old Style" w:hAnsi="Bookman Old Style" w:hint="default"/>
        <w:b/>
        <w:i w:val="0"/>
        <w:sz w:val="24"/>
        <w:szCs w:val="24"/>
      </w:rPr>
    </w:lvl>
    <w:lvl w:ilvl="2">
      <w:start w:val="1"/>
      <w:numFmt w:val="decimal"/>
      <w:suff w:val="nothing"/>
      <w:lvlText w:val="%1.%2.%3. "/>
      <w:lvlJc w:val="left"/>
      <w:pPr>
        <w:ind w:left="-1843" w:firstLine="0"/>
      </w:pPr>
      <w:rPr>
        <w:rFonts w:ascii="Bookman Old Style" w:hAnsi="Bookman Old Style" w:hint="default"/>
        <w:b/>
        <w:i w:val="0"/>
        <w:sz w:val="24"/>
      </w:rPr>
    </w:lvl>
    <w:lvl w:ilvl="3">
      <w:start w:val="1"/>
      <w:numFmt w:val="lowerRoman"/>
      <w:lvlText w:val="(%4)"/>
      <w:lvlJc w:val="right"/>
      <w:pPr>
        <w:ind w:left="-2978" w:firstLine="0"/>
      </w:pPr>
    </w:lvl>
    <w:lvl w:ilvl="4">
      <w:start w:val="1"/>
      <w:numFmt w:val="decimal"/>
      <w:lvlText w:val="%5)"/>
      <w:lvlJc w:val="left"/>
      <w:pPr>
        <w:ind w:left="-2978" w:firstLine="0"/>
      </w:pPr>
    </w:lvl>
    <w:lvl w:ilvl="5">
      <w:start w:val="1"/>
      <w:numFmt w:val="lowerLetter"/>
      <w:lvlText w:val="%6)"/>
      <w:lvlJc w:val="left"/>
      <w:pPr>
        <w:ind w:left="-2978" w:firstLine="0"/>
      </w:pPr>
    </w:lvl>
    <w:lvl w:ilvl="6">
      <w:start w:val="1"/>
      <w:numFmt w:val="lowerRoman"/>
      <w:lvlText w:val="%7)"/>
      <w:lvlJc w:val="right"/>
      <w:pPr>
        <w:ind w:left="-2978" w:firstLine="0"/>
      </w:pPr>
    </w:lvl>
    <w:lvl w:ilvl="7">
      <w:start w:val="1"/>
      <w:numFmt w:val="lowerLetter"/>
      <w:lvlText w:val="%8."/>
      <w:lvlJc w:val="left"/>
      <w:pPr>
        <w:ind w:left="-2978" w:firstLine="0"/>
      </w:pPr>
    </w:lvl>
    <w:lvl w:ilvl="8">
      <w:start w:val="1"/>
      <w:numFmt w:val="lowerRoman"/>
      <w:lvlText w:val="%9."/>
      <w:lvlJc w:val="right"/>
      <w:pPr>
        <w:ind w:left="-2978" w:firstLine="0"/>
      </w:pPr>
      <w:rPr>
        <w:rFonts w:ascii="Bookman Old Style" w:hAnsi="Bookman Old Style" w:hint="default"/>
        <w:b w:val="0"/>
        <w:sz w:val="24"/>
        <w:szCs w:val="24"/>
      </w:rPr>
    </w:lvl>
  </w:abstractNum>
  <w:abstractNum w:abstractNumId="9"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A5360"/>
    <w:multiLevelType w:val="hybridMultilevel"/>
    <w:tmpl w:val="86EC74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2"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0DE0CA0"/>
    <w:multiLevelType w:val="hybridMultilevel"/>
    <w:tmpl w:val="51FEED5A"/>
    <w:lvl w:ilvl="0" w:tplc="40F0A62A">
      <w:start w:val="1"/>
      <w:numFmt w:val="lowerRoman"/>
      <w:lvlText w:val="%1)"/>
      <w:lvlJc w:val="left"/>
      <w:pPr>
        <w:ind w:left="720" w:hanging="360"/>
      </w:pPr>
      <w:rPr>
        <w:rFonts w:ascii="Bookman Old Style" w:hAnsi="Bookman Old Style" w:hint="default"/>
        <w:b w:val="0"/>
        <w:i w:val="0"/>
        <w:color w:val="auto"/>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600C6508"/>
    <w:multiLevelType w:val="hybridMultilevel"/>
    <w:tmpl w:val="2D440EBA"/>
    <w:lvl w:ilvl="0" w:tplc="8CE478F0">
      <w:numFmt w:val="bullet"/>
      <w:lvlText w:val="-"/>
      <w:lvlJc w:val="left"/>
      <w:pPr>
        <w:ind w:left="720" w:hanging="360"/>
      </w:pPr>
      <w:rPr>
        <w:rFonts w:ascii="Bookman Old Style" w:eastAsia="Times New Roman"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0334165"/>
    <w:multiLevelType w:val="singleLevel"/>
    <w:tmpl w:val="0ACC75C2"/>
    <w:lvl w:ilvl="0">
      <w:start w:val="2"/>
      <w:numFmt w:val="upperRoman"/>
      <w:lvlText w:val="%1."/>
      <w:lvlJc w:val="left"/>
      <w:pPr>
        <w:ind w:left="283" w:hanging="283"/>
      </w:pPr>
      <w:rPr>
        <w:rFonts w:hint="default"/>
      </w:rPr>
    </w:lvl>
  </w:abstractNum>
  <w:abstractNum w:abstractNumId="18"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6AF91BA4"/>
    <w:multiLevelType w:val="multilevel"/>
    <w:tmpl w:val="7EAE5CC0"/>
    <w:lvl w:ilvl="0">
      <w:start w:val="1"/>
      <w:numFmt w:val="decimal"/>
      <w:lvlText w:val="Artículo %1."/>
      <w:lvlJc w:val="left"/>
      <w:pPr>
        <w:ind w:left="568" w:firstLine="0"/>
      </w:pPr>
      <w:rPr>
        <w:b/>
        <w:i w:val="0"/>
        <w:strike w:val="0"/>
        <w:sz w:val="24"/>
        <w:lang w:val="es-ES"/>
      </w:rPr>
    </w:lvl>
    <w:lvl w:ilvl="1">
      <w:start w:val="1"/>
      <w:numFmt w:val="lowerLetter"/>
      <w:lvlText w:val="%2)"/>
      <w:lvlJc w:val="left"/>
      <w:pPr>
        <w:ind w:left="-1483" w:hanging="360"/>
      </w:pPr>
    </w:lvl>
    <w:lvl w:ilvl="2">
      <w:start w:val="1"/>
      <w:numFmt w:val="decimal"/>
      <w:suff w:val="nothing"/>
      <w:lvlText w:val="%1.%2.%3. "/>
      <w:lvlJc w:val="left"/>
      <w:pPr>
        <w:ind w:left="-1843" w:firstLine="0"/>
      </w:pPr>
      <w:rPr>
        <w:rFonts w:ascii="Bookman Old Style" w:hAnsi="Bookman Old Style" w:hint="default"/>
        <w:b/>
        <w:i w:val="0"/>
        <w:sz w:val="24"/>
      </w:rPr>
    </w:lvl>
    <w:lvl w:ilvl="3">
      <w:start w:val="1"/>
      <w:numFmt w:val="lowerRoman"/>
      <w:lvlText w:val="(%4)"/>
      <w:lvlJc w:val="right"/>
      <w:pPr>
        <w:ind w:left="-2978" w:firstLine="0"/>
      </w:pPr>
    </w:lvl>
    <w:lvl w:ilvl="4">
      <w:start w:val="1"/>
      <w:numFmt w:val="decimal"/>
      <w:lvlText w:val="%5)"/>
      <w:lvlJc w:val="left"/>
      <w:pPr>
        <w:ind w:left="-2978" w:firstLine="0"/>
      </w:pPr>
    </w:lvl>
    <w:lvl w:ilvl="5">
      <w:start w:val="1"/>
      <w:numFmt w:val="lowerLetter"/>
      <w:lvlText w:val="%6)"/>
      <w:lvlJc w:val="left"/>
      <w:pPr>
        <w:ind w:left="-2978" w:firstLine="0"/>
      </w:pPr>
    </w:lvl>
    <w:lvl w:ilvl="6">
      <w:start w:val="1"/>
      <w:numFmt w:val="lowerRoman"/>
      <w:lvlText w:val="%7)"/>
      <w:lvlJc w:val="right"/>
      <w:pPr>
        <w:ind w:left="-2978" w:firstLine="0"/>
      </w:pPr>
    </w:lvl>
    <w:lvl w:ilvl="7">
      <w:start w:val="1"/>
      <w:numFmt w:val="lowerLetter"/>
      <w:lvlText w:val="%8."/>
      <w:lvlJc w:val="left"/>
      <w:pPr>
        <w:ind w:left="-2978" w:firstLine="0"/>
      </w:pPr>
    </w:lvl>
    <w:lvl w:ilvl="8">
      <w:start w:val="1"/>
      <w:numFmt w:val="lowerRoman"/>
      <w:lvlText w:val="%9."/>
      <w:lvlJc w:val="right"/>
      <w:pPr>
        <w:ind w:left="-2978" w:firstLine="0"/>
      </w:pPr>
      <w:rPr>
        <w:rFonts w:ascii="Bookman Old Style" w:hAnsi="Bookman Old Style" w:hint="default"/>
        <w:b w:val="0"/>
        <w:sz w:val="24"/>
        <w:szCs w:val="24"/>
      </w:rPr>
    </w:lvl>
  </w:abstractNum>
  <w:abstractNum w:abstractNumId="20"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1162A5C"/>
    <w:multiLevelType w:val="hybridMultilevel"/>
    <w:tmpl w:val="BD24AF18"/>
    <w:lvl w:ilvl="0" w:tplc="0409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73432BD8"/>
    <w:multiLevelType w:val="hybridMultilevel"/>
    <w:tmpl w:val="D6CCF0FC"/>
    <w:lvl w:ilvl="0" w:tplc="3FA4CEDE">
      <w:start w:val="1"/>
      <w:numFmt w:val="decimal"/>
      <w:lvlText w:val="ARTÍCULO %1."/>
      <w:lvlJc w:val="left"/>
      <w:pPr>
        <w:ind w:left="360" w:hanging="360"/>
      </w:pPr>
      <w:rPr>
        <w:rFonts w:ascii="Bookman Old Style" w:hAnsi="Bookman Old Style" w:hint="default"/>
        <w:b/>
        <w:i w:val="0"/>
        <w:sz w:val="24"/>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67703A0"/>
    <w:multiLevelType w:val="hybridMultilevel"/>
    <w:tmpl w:val="8A124F10"/>
    <w:lvl w:ilvl="0" w:tplc="A0C64FE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5"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13508783">
    <w:abstractNumId w:val="11"/>
  </w:num>
  <w:num w:numId="2" w16cid:durableId="363408981">
    <w:abstractNumId w:val="3"/>
  </w:num>
  <w:num w:numId="3" w16cid:durableId="1918857726">
    <w:abstractNumId w:val="24"/>
  </w:num>
  <w:num w:numId="4" w16cid:durableId="1193806450">
    <w:abstractNumId w:val="6"/>
  </w:num>
  <w:num w:numId="5" w16cid:durableId="1370107283">
    <w:abstractNumId w:val="14"/>
  </w:num>
  <w:num w:numId="6" w16cid:durableId="1662002906">
    <w:abstractNumId w:val="1"/>
  </w:num>
  <w:num w:numId="7" w16cid:durableId="1693677790">
    <w:abstractNumId w:val="0"/>
  </w:num>
  <w:num w:numId="8" w16cid:durableId="132410150">
    <w:abstractNumId w:val="18"/>
  </w:num>
  <w:num w:numId="9" w16cid:durableId="2074967525">
    <w:abstractNumId w:val="15"/>
  </w:num>
  <w:num w:numId="10" w16cid:durableId="1959332387">
    <w:abstractNumId w:val="12"/>
  </w:num>
  <w:num w:numId="11" w16cid:durableId="784933573">
    <w:abstractNumId w:val="25"/>
  </w:num>
  <w:num w:numId="12" w16cid:durableId="1289313202">
    <w:abstractNumId w:val="20"/>
  </w:num>
  <w:num w:numId="13" w16cid:durableId="1162896072">
    <w:abstractNumId w:val="9"/>
  </w:num>
  <w:num w:numId="14" w16cid:durableId="904949694">
    <w:abstractNumId w:val="22"/>
  </w:num>
  <w:num w:numId="15" w16cid:durableId="2123837930">
    <w:abstractNumId w:val="13"/>
  </w:num>
  <w:num w:numId="16" w16cid:durableId="425423474">
    <w:abstractNumId w:val="23"/>
  </w:num>
  <w:num w:numId="17" w16cid:durableId="678776625">
    <w:abstractNumId w:val="16"/>
  </w:num>
  <w:num w:numId="18" w16cid:durableId="1252088269">
    <w:abstractNumId w:val="17"/>
  </w:num>
  <w:num w:numId="19" w16cid:durableId="2050765121">
    <w:abstractNumId w:val="8"/>
  </w:num>
  <w:num w:numId="20" w16cid:durableId="242303811">
    <w:abstractNumId w:val="4"/>
  </w:num>
  <w:num w:numId="21" w16cid:durableId="340470090">
    <w:abstractNumId w:val="19"/>
  </w:num>
  <w:num w:numId="22" w16cid:durableId="842663737">
    <w:abstractNumId w:val="7"/>
  </w:num>
  <w:num w:numId="23" w16cid:durableId="831607165">
    <w:abstractNumId w:val="2"/>
  </w:num>
  <w:num w:numId="24" w16cid:durableId="1717925106">
    <w:abstractNumId w:val="10"/>
  </w:num>
  <w:num w:numId="25" w16cid:durableId="2054034283">
    <w:abstractNumId w:val="5"/>
  </w:num>
  <w:num w:numId="26" w16cid:durableId="34583685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C5C"/>
    <w:rsid w:val="00001837"/>
    <w:rsid w:val="000019D2"/>
    <w:rsid w:val="00002E7C"/>
    <w:rsid w:val="0000361B"/>
    <w:rsid w:val="000041C6"/>
    <w:rsid w:val="0000584E"/>
    <w:rsid w:val="00006AE2"/>
    <w:rsid w:val="00006CBC"/>
    <w:rsid w:val="00006E20"/>
    <w:rsid w:val="000076A1"/>
    <w:rsid w:val="00007F8F"/>
    <w:rsid w:val="00012259"/>
    <w:rsid w:val="00013BEB"/>
    <w:rsid w:val="0001403F"/>
    <w:rsid w:val="00014DBF"/>
    <w:rsid w:val="000162AC"/>
    <w:rsid w:val="000179CE"/>
    <w:rsid w:val="00017B03"/>
    <w:rsid w:val="00022446"/>
    <w:rsid w:val="000230A7"/>
    <w:rsid w:val="00025383"/>
    <w:rsid w:val="0002569E"/>
    <w:rsid w:val="00025853"/>
    <w:rsid w:val="000258FC"/>
    <w:rsid w:val="000329C1"/>
    <w:rsid w:val="00032C95"/>
    <w:rsid w:val="000345D0"/>
    <w:rsid w:val="000378F0"/>
    <w:rsid w:val="000404CA"/>
    <w:rsid w:val="00041095"/>
    <w:rsid w:val="000412E5"/>
    <w:rsid w:val="000427FB"/>
    <w:rsid w:val="00044209"/>
    <w:rsid w:val="000453BA"/>
    <w:rsid w:val="000465EA"/>
    <w:rsid w:val="00057C8B"/>
    <w:rsid w:val="00061893"/>
    <w:rsid w:val="00063657"/>
    <w:rsid w:val="00070E53"/>
    <w:rsid w:val="000736C7"/>
    <w:rsid w:val="000739E5"/>
    <w:rsid w:val="00073B6C"/>
    <w:rsid w:val="00073E50"/>
    <w:rsid w:val="00074708"/>
    <w:rsid w:val="00076680"/>
    <w:rsid w:val="00076A9E"/>
    <w:rsid w:val="00076CC9"/>
    <w:rsid w:val="0008073E"/>
    <w:rsid w:val="000820AB"/>
    <w:rsid w:val="00082147"/>
    <w:rsid w:val="00082DB3"/>
    <w:rsid w:val="0008434C"/>
    <w:rsid w:val="00086086"/>
    <w:rsid w:val="000907B1"/>
    <w:rsid w:val="00090BDF"/>
    <w:rsid w:val="00090E57"/>
    <w:rsid w:val="00091CDB"/>
    <w:rsid w:val="0009326E"/>
    <w:rsid w:val="000943F9"/>
    <w:rsid w:val="000954CA"/>
    <w:rsid w:val="000A19AC"/>
    <w:rsid w:val="000A2BBF"/>
    <w:rsid w:val="000A4176"/>
    <w:rsid w:val="000A4857"/>
    <w:rsid w:val="000A59CF"/>
    <w:rsid w:val="000A6D82"/>
    <w:rsid w:val="000B16E5"/>
    <w:rsid w:val="000B1A70"/>
    <w:rsid w:val="000B1FCD"/>
    <w:rsid w:val="000B5F10"/>
    <w:rsid w:val="000C09F6"/>
    <w:rsid w:val="000C28EB"/>
    <w:rsid w:val="000C4ABB"/>
    <w:rsid w:val="000C7B2C"/>
    <w:rsid w:val="000D0A60"/>
    <w:rsid w:val="000D19DF"/>
    <w:rsid w:val="000D26F8"/>
    <w:rsid w:val="000D3F11"/>
    <w:rsid w:val="000D55F3"/>
    <w:rsid w:val="000D5704"/>
    <w:rsid w:val="000D5740"/>
    <w:rsid w:val="000D7A27"/>
    <w:rsid w:val="000E0FC4"/>
    <w:rsid w:val="000E1816"/>
    <w:rsid w:val="000E4B55"/>
    <w:rsid w:val="000E7B07"/>
    <w:rsid w:val="000F078A"/>
    <w:rsid w:val="000F07F3"/>
    <w:rsid w:val="000F2918"/>
    <w:rsid w:val="000F3B2F"/>
    <w:rsid w:val="000F45A0"/>
    <w:rsid w:val="00101553"/>
    <w:rsid w:val="00102F32"/>
    <w:rsid w:val="00103215"/>
    <w:rsid w:val="00106ADE"/>
    <w:rsid w:val="00107B88"/>
    <w:rsid w:val="00107D31"/>
    <w:rsid w:val="00110D62"/>
    <w:rsid w:val="001129E9"/>
    <w:rsid w:val="00112EEE"/>
    <w:rsid w:val="00121092"/>
    <w:rsid w:val="001215D3"/>
    <w:rsid w:val="00124CA9"/>
    <w:rsid w:val="0012651D"/>
    <w:rsid w:val="00127610"/>
    <w:rsid w:val="00127A25"/>
    <w:rsid w:val="0013134B"/>
    <w:rsid w:val="001324A5"/>
    <w:rsid w:val="00134111"/>
    <w:rsid w:val="0013424E"/>
    <w:rsid w:val="001345D8"/>
    <w:rsid w:val="001367C1"/>
    <w:rsid w:val="001405C6"/>
    <w:rsid w:val="00141013"/>
    <w:rsid w:val="00141659"/>
    <w:rsid w:val="00141AB1"/>
    <w:rsid w:val="001429CF"/>
    <w:rsid w:val="00150984"/>
    <w:rsid w:val="00150F82"/>
    <w:rsid w:val="00151A1F"/>
    <w:rsid w:val="00152F53"/>
    <w:rsid w:val="001536A0"/>
    <w:rsid w:val="0015447F"/>
    <w:rsid w:val="00154EAE"/>
    <w:rsid w:val="00157559"/>
    <w:rsid w:val="0016011B"/>
    <w:rsid w:val="00160EA3"/>
    <w:rsid w:val="001626F5"/>
    <w:rsid w:val="00167E3C"/>
    <w:rsid w:val="00170A23"/>
    <w:rsid w:val="00170CDF"/>
    <w:rsid w:val="00171482"/>
    <w:rsid w:val="001752F7"/>
    <w:rsid w:val="00177F92"/>
    <w:rsid w:val="00180052"/>
    <w:rsid w:val="001815E4"/>
    <w:rsid w:val="00181A0E"/>
    <w:rsid w:val="001838CD"/>
    <w:rsid w:val="0019068C"/>
    <w:rsid w:val="00190BA7"/>
    <w:rsid w:val="00192CBF"/>
    <w:rsid w:val="00192FF1"/>
    <w:rsid w:val="0019387C"/>
    <w:rsid w:val="00196161"/>
    <w:rsid w:val="00196592"/>
    <w:rsid w:val="00196B3A"/>
    <w:rsid w:val="001A0944"/>
    <w:rsid w:val="001A0EDA"/>
    <w:rsid w:val="001A316A"/>
    <w:rsid w:val="001A47FC"/>
    <w:rsid w:val="001A5B53"/>
    <w:rsid w:val="001A5F1B"/>
    <w:rsid w:val="001A69F4"/>
    <w:rsid w:val="001B128C"/>
    <w:rsid w:val="001B1C22"/>
    <w:rsid w:val="001B316B"/>
    <w:rsid w:val="001B34C6"/>
    <w:rsid w:val="001B3EF2"/>
    <w:rsid w:val="001B4C8E"/>
    <w:rsid w:val="001C04E3"/>
    <w:rsid w:val="001C1855"/>
    <w:rsid w:val="001C2F5D"/>
    <w:rsid w:val="001C3ED5"/>
    <w:rsid w:val="001C49F0"/>
    <w:rsid w:val="001C6481"/>
    <w:rsid w:val="001C65CE"/>
    <w:rsid w:val="001C6BF3"/>
    <w:rsid w:val="001C6D9A"/>
    <w:rsid w:val="001D0EFC"/>
    <w:rsid w:val="001D2973"/>
    <w:rsid w:val="001D340A"/>
    <w:rsid w:val="001D4B43"/>
    <w:rsid w:val="001D4D5B"/>
    <w:rsid w:val="001D766B"/>
    <w:rsid w:val="001D7832"/>
    <w:rsid w:val="001D7ED1"/>
    <w:rsid w:val="001E00E4"/>
    <w:rsid w:val="001E017A"/>
    <w:rsid w:val="001E1F48"/>
    <w:rsid w:val="001E219B"/>
    <w:rsid w:val="001E2CEB"/>
    <w:rsid w:val="001E4541"/>
    <w:rsid w:val="001F312E"/>
    <w:rsid w:val="001F3BD3"/>
    <w:rsid w:val="001F6911"/>
    <w:rsid w:val="001F7AD2"/>
    <w:rsid w:val="00204F13"/>
    <w:rsid w:val="00205A3E"/>
    <w:rsid w:val="0020635F"/>
    <w:rsid w:val="00206802"/>
    <w:rsid w:val="00211D34"/>
    <w:rsid w:val="00214850"/>
    <w:rsid w:val="00214F04"/>
    <w:rsid w:val="00215518"/>
    <w:rsid w:val="00216A94"/>
    <w:rsid w:val="00217D69"/>
    <w:rsid w:val="00221D8B"/>
    <w:rsid w:val="002220A3"/>
    <w:rsid w:val="00224BCD"/>
    <w:rsid w:val="0022534A"/>
    <w:rsid w:val="00232BAA"/>
    <w:rsid w:val="00233C13"/>
    <w:rsid w:val="002367B8"/>
    <w:rsid w:val="002405B3"/>
    <w:rsid w:val="002447BD"/>
    <w:rsid w:val="00244A96"/>
    <w:rsid w:val="00246C74"/>
    <w:rsid w:val="002478FA"/>
    <w:rsid w:val="00247DFC"/>
    <w:rsid w:val="0025067B"/>
    <w:rsid w:val="002506C3"/>
    <w:rsid w:val="00250724"/>
    <w:rsid w:val="00250AF1"/>
    <w:rsid w:val="00252863"/>
    <w:rsid w:val="002542E9"/>
    <w:rsid w:val="00254683"/>
    <w:rsid w:val="002560AB"/>
    <w:rsid w:val="00257CDD"/>
    <w:rsid w:val="00261E79"/>
    <w:rsid w:val="00264EAA"/>
    <w:rsid w:val="002665D6"/>
    <w:rsid w:val="00266CD6"/>
    <w:rsid w:val="002718B0"/>
    <w:rsid w:val="00271C70"/>
    <w:rsid w:val="00274B43"/>
    <w:rsid w:val="002754BE"/>
    <w:rsid w:val="0027555B"/>
    <w:rsid w:val="00277CC7"/>
    <w:rsid w:val="00277FEE"/>
    <w:rsid w:val="002801DB"/>
    <w:rsid w:val="00284E4C"/>
    <w:rsid w:val="00286490"/>
    <w:rsid w:val="002868B0"/>
    <w:rsid w:val="00286FCA"/>
    <w:rsid w:val="00287FC6"/>
    <w:rsid w:val="00292356"/>
    <w:rsid w:val="00293C55"/>
    <w:rsid w:val="00295512"/>
    <w:rsid w:val="00295C1D"/>
    <w:rsid w:val="002967A3"/>
    <w:rsid w:val="002A176C"/>
    <w:rsid w:val="002A1A03"/>
    <w:rsid w:val="002A2CEC"/>
    <w:rsid w:val="002A2E95"/>
    <w:rsid w:val="002A411D"/>
    <w:rsid w:val="002A4A75"/>
    <w:rsid w:val="002B0E2C"/>
    <w:rsid w:val="002B11E2"/>
    <w:rsid w:val="002B24B8"/>
    <w:rsid w:val="002B54B4"/>
    <w:rsid w:val="002C46E7"/>
    <w:rsid w:val="002C589A"/>
    <w:rsid w:val="002C667A"/>
    <w:rsid w:val="002C70F3"/>
    <w:rsid w:val="002D2EB9"/>
    <w:rsid w:val="002D2F77"/>
    <w:rsid w:val="002D3AE9"/>
    <w:rsid w:val="002D5B0E"/>
    <w:rsid w:val="002E00D4"/>
    <w:rsid w:val="002E1485"/>
    <w:rsid w:val="002E716F"/>
    <w:rsid w:val="002E767B"/>
    <w:rsid w:val="002F0734"/>
    <w:rsid w:val="002F0F42"/>
    <w:rsid w:val="002F283E"/>
    <w:rsid w:val="002F29CD"/>
    <w:rsid w:val="002F4082"/>
    <w:rsid w:val="002F46E7"/>
    <w:rsid w:val="002F490C"/>
    <w:rsid w:val="003006CA"/>
    <w:rsid w:val="00300B19"/>
    <w:rsid w:val="0030344E"/>
    <w:rsid w:val="0030386D"/>
    <w:rsid w:val="00305BCF"/>
    <w:rsid w:val="00306970"/>
    <w:rsid w:val="003101DA"/>
    <w:rsid w:val="0031055F"/>
    <w:rsid w:val="0031292E"/>
    <w:rsid w:val="00314757"/>
    <w:rsid w:val="003211CE"/>
    <w:rsid w:val="003218B8"/>
    <w:rsid w:val="00323EAD"/>
    <w:rsid w:val="00325AE7"/>
    <w:rsid w:val="00326BB5"/>
    <w:rsid w:val="00327D1C"/>
    <w:rsid w:val="00330A4B"/>
    <w:rsid w:val="003357C7"/>
    <w:rsid w:val="00336AE7"/>
    <w:rsid w:val="0034168A"/>
    <w:rsid w:val="003427F5"/>
    <w:rsid w:val="0034320D"/>
    <w:rsid w:val="00343F6A"/>
    <w:rsid w:val="003521ED"/>
    <w:rsid w:val="003567F1"/>
    <w:rsid w:val="00356FF7"/>
    <w:rsid w:val="00360E80"/>
    <w:rsid w:val="00361D7D"/>
    <w:rsid w:val="0036362A"/>
    <w:rsid w:val="0036394B"/>
    <w:rsid w:val="00363D4F"/>
    <w:rsid w:val="00364570"/>
    <w:rsid w:val="0037041B"/>
    <w:rsid w:val="003709B5"/>
    <w:rsid w:val="003722BC"/>
    <w:rsid w:val="003729DE"/>
    <w:rsid w:val="0037429A"/>
    <w:rsid w:val="00374618"/>
    <w:rsid w:val="00374BE9"/>
    <w:rsid w:val="003759C2"/>
    <w:rsid w:val="00380B9A"/>
    <w:rsid w:val="00383618"/>
    <w:rsid w:val="003844E2"/>
    <w:rsid w:val="00385020"/>
    <w:rsid w:val="00386CB8"/>
    <w:rsid w:val="0039260E"/>
    <w:rsid w:val="003945E8"/>
    <w:rsid w:val="00396054"/>
    <w:rsid w:val="00397365"/>
    <w:rsid w:val="00397E3C"/>
    <w:rsid w:val="003A31F6"/>
    <w:rsid w:val="003A3459"/>
    <w:rsid w:val="003A4B2B"/>
    <w:rsid w:val="003A75C1"/>
    <w:rsid w:val="003B160D"/>
    <w:rsid w:val="003C2995"/>
    <w:rsid w:val="003C3447"/>
    <w:rsid w:val="003C3641"/>
    <w:rsid w:val="003C5CB0"/>
    <w:rsid w:val="003D0293"/>
    <w:rsid w:val="003D076C"/>
    <w:rsid w:val="003D2B4D"/>
    <w:rsid w:val="003D42DE"/>
    <w:rsid w:val="003D479C"/>
    <w:rsid w:val="003E57ED"/>
    <w:rsid w:val="003E5F0C"/>
    <w:rsid w:val="003E6100"/>
    <w:rsid w:val="003F2B8E"/>
    <w:rsid w:val="003F3B05"/>
    <w:rsid w:val="003F793E"/>
    <w:rsid w:val="0040096F"/>
    <w:rsid w:val="00401B9F"/>
    <w:rsid w:val="004025A0"/>
    <w:rsid w:val="00403D9A"/>
    <w:rsid w:val="004047A0"/>
    <w:rsid w:val="004058B1"/>
    <w:rsid w:val="00405BC0"/>
    <w:rsid w:val="0040698B"/>
    <w:rsid w:val="00413642"/>
    <w:rsid w:val="0041407C"/>
    <w:rsid w:val="00415BAB"/>
    <w:rsid w:val="00415ED2"/>
    <w:rsid w:val="004164BE"/>
    <w:rsid w:val="0042068C"/>
    <w:rsid w:val="00422496"/>
    <w:rsid w:val="0042298B"/>
    <w:rsid w:val="00424B4F"/>
    <w:rsid w:val="00426259"/>
    <w:rsid w:val="00430446"/>
    <w:rsid w:val="00430A5A"/>
    <w:rsid w:val="00433D6F"/>
    <w:rsid w:val="0044028C"/>
    <w:rsid w:val="0044706A"/>
    <w:rsid w:val="0045054F"/>
    <w:rsid w:val="00450E1D"/>
    <w:rsid w:val="00451951"/>
    <w:rsid w:val="00457B8C"/>
    <w:rsid w:val="00457E7D"/>
    <w:rsid w:val="004601C5"/>
    <w:rsid w:val="004607E9"/>
    <w:rsid w:val="00461C11"/>
    <w:rsid w:val="00462A86"/>
    <w:rsid w:val="00463F3C"/>
    <w:rsid w:val="0046455A"/>
    <w:rsid w:val="0046498A"/>
    <w:rsid w:val="00465F60"/>
    <w:rsid w:val="00466E76"/>
    <w:rsid w:val="0046766A"/>
    <w:rsid w:val="004708AC"/>
    <w:rsid w:val="0047122B"/>
    <w:rsid w:val="00473B7A"/>
    <w:rsid w:val="0047623D"/>
    <w:rsid w:val="004766AB"/>
    <w:rsid w:val="00482549"/>
    <w:rsid w:val="004848E9"/>
    <w:rsid w:val="00484CA1"/>
    <w:rsid w:val="00484D8B"/>
    <w:rsid w:val="00490EB8"/>
    <w:rsid w:val="00493956"/>
    <w:rsid w:val="004960E9"/>
    <w:rsid w:val="004A2E88"/>
    <w:rsid w:val="004A360F"/>
    <w:rsid w:val="004A5305"/>
    <w:rsid w:val="004A6FE5"/>
    <w:rsid w:val="004A7B26"/>
    <w:rsid w:val="004B2170"/>
    <w:rsid w:val="004B2297"/>
    <w:rsid w:val="004B365E"/>
    <w:rsid w:val="004B4320"/>
    <w:rsid w:val="004B4F87"/>
    <w:rsid w:val="004B5383"/>
    <w:rsid w:val="004B58CE"/>
    <w:rsid w:val="004B6AEE"/>
    <w:rsid w:val="004C1EBD"/>
    <w:rsid w:val="004C2607"/>
    <w:rsid w:val="004C4622"/>
    <w:rsid w:val="004C5E53"/>
    <w:rsid w:val="004D320E"/>
    <w:rsid w:val="004D39D4"/>
    <w:rsid w:val="004D3E2B"/>
    <w:rsid w:val="004D5079"/>
    <w:rsid w:val="004D5F03"/>
    <w:rsid w:val="004D6DB2"/>
    <w:rsid w:val="004D7634"/>
    <w:rsid w:val="004E0AE2"/>
    <w:rsid w:val="004E23B9"/>
    <w:rsid w:val="004E619E"/>
    <w:rsid w:val="004F5DD6"/>
    <w:rsid w:val="004F7D20"/>
    <w:rsid w:val="005008FD"/>
    <w:rsid w:val="005017A4"/>
    <w:rsid w:val="005017C9"/>
    <w:rsid w:val="00503018"/>
    <w:rsid w:val="0050350C"/>
    <w:rsid w:val="005070F9"/>
    <w:rsid w:val="00507F97"/>
    <w:rsid w:val="00510124"/>
    <w:rsid w:val="00511145"/>
    <w:rsid w:val="00511257"/>
    <w:rsid w:val="00511717"/>
    <w:rsid w:val="0051219E"/>
    <w:rsid w:val="00513069"/>
    <w:rsid w:val="0051403F"/>
    <w:rsid w:val="00514F93"/>
    <w:rsid w:val="005157DA"/>
    <w:rsid w:val="00515ECE"/>
    <w:rsid w:val="005165EF"/>
    <w:rsid w:val="00520A5E"/>
    <w:rsid w:val="00524C2A"/>
    <w:rsid w:val="005274ED"/>
    <w:rsid w:val="005300D3"/>
    <w:rsid w:val="00530BAC"/>
    <w:rsid w:val="00531349"/>
    <w:rsid w:val="00532D8A"/>
    <w:rsid w:val="005369AF"/>
    <w:rsid w:val="00544862"/>
    <w:rsid w:val="00544AEA"/>
    <w:rsid w:val="00544F82"/>
    <w:rsid w:val="00546212"/>
    <w:rsid w:val="0055167A"/>
    <w:rsid w:val="005562A0"/>
    <w:rsid w:val="005607AA"/>
    <w:rsid w:val="0056676E"/>
    <w:rsid w:val="00566EE3"/>
    <w:rsid w:val="00570E4F"/>
    <w:rsid w:val="0057274D"/>
    <w:rsid w:val="00572F5B"/>
    <w:rsid w:val="00573C64"/>
    <w:rsid w:val="005749C1"/>
    <w:rsid w:val="0057511D"/>
    <w:rsid w:val="005761B8"/>
    <w:rsid w:val="00576C95"/>
    <w:rsid w:val="00577827"/>
    <w:rsid w:val="0058447C"/>
    <w:rsid w:val="00585F96"/>
    <w:rsid w:val="005868D8"/>
    <w:rsid w:val="00593184"/>
    <w:rsid w:val="00593C4F"/>
    <w:rsid w:val="005946A8"/>
    <w:rsid w:val="00597116"/>
    <w:rsid w:val="005A0A41"/>
    <w:rsid w:val="005A15D2"/>
    <w:rsid w:val="005A248A"/>
    <w:rsid w:val="005A4407"/>
    <w:rsid w:val="005A59EF"/>
    <w:rsid w:val="005B3572"/>
    <w:rsid w:val="005B36DD"/>
    <w:rsid w:val="005B3D72"/>
    <w:rsid w:val="005B433A"/>
    <w:rsid w:val="005B522D"/>
    <w:rsid w:val="005B5939"/>
    <w:rsid w:val="005B5A64"/>
    <w:rsid w:val="005B6E44"/>
    <w:rsid w:val="005C03B4"/>
    <w:rsid w:val="005C1FF3"/>
    <w:rsid w:val="005C2017"/>
    <w:rsid w:val="005C4CD9"/>
    <w:rsid w:val="005C71DF"/>
    <w:rsid w:val="005D0EDD"/>
    <w:rsid w:val="005D266D"/>
    <w:rsid w:val="005D5D5C"/>
    <w:rsid w:val="005D6247"/>
    <w:rsid w:val="005E1981"/>
    <w:rsid w:val="005E3F4E"/>
    <w:rsid w:val="005E3F54"/>
    <w:rsid w:val="005E446F"/>
    <w:rsid w:val="005E6A6B"/>
    <w:rsid w:val="005F01D1"/>
    <w:rsid w:val="005F5A20"/>
    <w:rsid w:val="005F6928"/>
    <w:rsid w:val="006001B6"/>
    <w:rsid w:val="00601DBD"/>
    <w:rsid w:val="00604A52"/>
    <w:rsid w:val="00604ED3"/>
    <w:rsid w:val="00605926"/>
    <w:rsid w:val="00607E01"/>
    <w:rsid w:val="00615D63"/>
    <w:rsid w:val="00616974"/>
    <w:rsid w:val="00616ED2"/>
    <w:rsid w:val="006171C9"/>
    <w:rsid w:val="00622144"/>
    <w:rsid w:val="0062371A"/>
    <w:rsid w:val="00624E9B"/>
    <w:rsid w:val="00625DC6"/>
    <w:rsid w:val="00626F9E"/>
    <w:rsid w:val="006305BB"/>
    <w:rsid w:val="00630C8C"/>
    <w:rsid w:val="00632CAD"/>
    <w:rsid w:val="00633CBB"/>
    <w:rsid w:val="006341A9"/>
    <w:rsid w:val="00635368"/>
    <w:rsid w:val="00637454"/>
    <w:rsid w:val="00641762"/>
    <w:rsid w:val="006438E6"/>
    <w:rsid w:val="00644260"/>
    <w:rsid w:val="00645F65"/>
    <w:rsid w:val="0064734F"/>
    <w:rsid w:val="0064774B"/>
    <w:rsid w:val="00647A0D"/>
    <w:rsid w:val="00651821"/>
    <w:rsid w:val="00653BC7"/>
    <w:rsid w:val="00654384"/>
    <w:rsid w:val="006556DD"/>
    <w:rsid w:val="00656528"/>
    <w:rsid w:val="00656538"/>
    <w:rsid w:val="006606C4"/>
    <w:rsid w:val="00666A9B"/>
    <w:rsid w:val="006671B0"/>
    <w:rsid w:val="006675CD"/>
    <w:rsid w:val="006705D8"/>
    <w:rsid w:val="00670B83"/>
    <w:rsid w:val="00671194"/>
    <w:rsid w:val="0067283A"/>
    <w:rsid w:val="00675FB3"/>
    <w:rsid w:val="0068245E"/>
    <w:rsid w:val="00684D6A"/>
    <w:rsid w:val="00684D9B"/>
    <w:rsid w:val="006853A7"/>
    <w:rsid w:val="00685B83"/>
    <w:rsid w:val="00686F45"/>
    <w:rsid w:val="00687332"/>
    <w:rsid w:val="00694CBE"/>
    <w:rsid w:val="00697556"/>
    <w:rsid w:val="006A1075"/>
    <w:rsid w:val="006A4A76"/>
    <w:rsid w:val="006A5016"/>
    <w:rsid w:val="006A6094"/>
    <w:rsid w:val="006A7463"/>
    <w:rsid w:val="006B050B"/>
    <w:rsid w:val="006B1EC7"/>
    <w:rsid w:val="006B25AF"/>
    <w:rsid w:val="006B2CDA"/>
    <w:rsid w:val="006B49FD"/>
    <w:rsid w:val="006B4C2B"/>
    <w:rsid w:val="006B51A5"/>
    <w:rsid w:val="006B5FCF"/>
    <w:rsid w:val="006B6948"/>
    <w:rsid w:val="006B6ADD"/>
    <w:rsid w:val="006B6D47"/>
    <w:rsid w:val="006B7E4C"/>
    <w:rsid w:val="006C2BDE"/>
    <w:rsid w:val="006C3E46"/>
    <w:rsid w:val="006C4D3C"/>
    <w:rsid w:val="006C543B"/>
    <w:rsid w:val="006C6CEC"/>
    <w:rsid w:val="006C6FAC"/>
    <w:rsid w:val="006D019F"/>
    <w:rsid w:val="006D0585"/>
    <w:rsid w:val="006D0876"/>
    <w:rsid w:val="006D236C"/>
    <w:rsid w:val="006D279A"/>
    <w:rsid w:val="006D5BB0"/>
    <w:rsid w:val="006D70C0"/>
    <w:rsid w:val="006D7283"/>
    <w:rsid w:val="006E32A8"/>
    <w:rsid w:val="006E4B89"/>
    <w:rsid w:val="006E64A1"/>
    <w:rsid w:val="006E666F"/>
    <w:rsid w:val="006E710B"/>
    <w:rsid w:val="006F0EA4"/>
    <w:rsid w:val="006F102F"/>
    <w:rsid w:val="006F20A3"/>
    <w:rsid w:val="006F268D"/>
    <w:rsid w:val="006F2B8E"/>
    <w:rsid w:val="006F6D95"/>
    <w:rsid w:val="006F7F9A"/>
    <w:rsid w:val="00702075"/>
    <w:rsid w:val="007032B9"/>
    <w:rsid w:val="0070378E"/>
    <w:rsid w:val="00705CDD"/>
    <w:rsid w:val="00706F13"/>
    <w:rsid w:val="007072E8"/>
    <w:rsid w:val="00707D04"/>
    <w:rsid w:val="00711537"/>
    <w:rsid w:val="007125EC"/>
    <w:rsid w:val="00714A0E"/>
    <w:rsid w:val="00714BFB"/>
    <w:rsid w:val="0071618D"/>
    <w:rsid w:val="00716CD2"/>
    <w:rsid w:val="007208A2"/>
    <w:rsid w:val="00720942"/>
    <w:rsid w:val="00721B4E"/>
    <w:rsid w:val="00722435"/>
    <w:rsid w:val="00722766"/>
    <w:rsid w:val="00722DED"/>
    <w:rsid w:val="007258CD"/>
    <w:rsid w:val="00725FA4"/>
    <w:rsid w:val="0072761F"/>
    <w:rsid w:val="007304F6"/>
    <w:rsid w:val="00730918"/>
    <w:rsid w:val="00731FF6"/>
    <w:rsid w:val="007333C7"/>
    <w:rsid w:val="00734F37"/>
    <w:rsid w:val="00735F20"/>
    <w:rsid w:val="00737795"/>
    <w:rsid w:val="00737A06"/>
    <w:rsid w:val="00740446"/>
    <w:rsid w:val="007438A9"/>
    <w:rsid w:val="0074491E"/>
    <w:rsid w:val="00746F73"/>
    <w:rsid w:val="00747E07"/>
    <w:rsid w:val="007501F8"/>
    <w:rsid w:val="007508D7"/>
    <w:rsid w:val="007527C5"/>
    <w:rsid w:val="00753A77"/>
    <w:rsid w:val="00753F2B"/>
    <w:rsid w:val="00754C05"/>
    <w:rsid w:val="00756180"/>
    <w:rsid w:val="00756730"/>
    <w:rsid w:val="007567FA"/>
    <w:rsid w:val="00756B96"/>
    <w:rsid w:val="00765AAE"/>
    <w:rsid w:val="00765E5A"/>
    <w:rsid w:val="00771905"/>
    <w:rsid w:val="00772131"/>
    <w:rsid w:val="007722CF"/>
    <w:rsid w:val="00772476"/>
    <w:rsid w:val="0077584C"/>
    <w:rsid w:val="00775964"/>
    <w:rsid w:val="00776AF2"/>
    <w:rsid w:val="00777F47"/>
    <w:rsid w:val="0078494A"/>
    <w:rsid w:val="00784CFF"/>
    <w:rsid w:val="00785767"/>
    <w:rsid w:val="0078631B"/>
    <w:rsid w:val="00791D56"/>
    <w:rsid w:val="00792155"/>
    <w:rsid w:val="00792D27"/>
    <w:rsid w:val="00793B96"/>
    <w:rsid w:val="00793C6F"/>
    <w:rsid w:val="00795085"/>
    <w:rsid w:val="007956A7"/>
    <w:rsid w:val="00795BFB"/>
    <w:rsid w:val="007A033B"/>
    <w:rsid w:val="007B1EF3"/>
    <w:rsid w:val="007B2760"/>
    <w:rsid w:val="007B3029"/>
    <w:rsid w:val="007B375E"/>
    <w:rsid w:val="007B452A"/>
    <w:rsid w:val="007B4B1C"/>
    <w:rsid w:val="007B5EAD"/>
    <w:rsid w:val="007B64AD"/>
    <w:rsid w:val="007C1C5C"/>
    <w:rsid w:val="007C1D74"/>
    <w:rsid w:val="007C2B94"/>
    <w:rsid w:val="007D0556"/>
    <w:rsid w:val="007D28A8"/>
    <w:rsid w:val="007E0B8C"/>
    <w:rsid w:val="007E542F"/>
    <w:rsid w:val="007E5461"/>
    <w:rsid w:val="007E6113"/>
    <w:rsid w:val="007E653B"/>
    <w:rsid w:val="007E6B02"/>
    <w:rsid w:val="007E6DDC"/>
    <w:rsid w:val="007F03FC"/>
    <w:rsid w:val="007F16B0"/>
    <w:rsid w:val="007F173A"/>
    <w:rsid w:val="007F2560"/>
    <w:rsid w:val="007F2DC6"/>
    <w:rsid w:val="007F340E"/>
    <w:rsid w:val="007F39FC"/>
    <w:rsid w:val="007F4D0E"/>
    <w:rsid w:val="007F794E"/>
    <w:rsid w:val="00800ABD"/>
    <w:rsid w:val="0080273D"/>
    <w:rsid w:val="00804FC1"/>
    <w:rsid w:val="00806C01"/>
    <w:rsid w:val="00807BB9"/>
    <w:rsid w:val="00812FC8"/>
    <w:rsid w:val="008144F8"/>
    <w:rsid w:val="008148CC"/>
    <w:rsid w:val="0081537A"/>
    <w:rsid w:val="0081540B"/>
    <w:rsid w:val="008165CD"/>
    <w:rsid w:val="00820241"/>
    <w:rsid w:val="008211A4"/>
    <w:rsid w:val="00822A96"/>
    <w:rsid w:val="00824141"/>
    <w:rsid w:val="00830675"/>
    <w:rsid w:val="00831A04"/>
    <w:rsid w:val="00834246"/>
    <w:rsid w:val="00840B86"/>
    <w:rsid w:val="00841CBA"/>
    <w:rsid w:val="0084205C"/>
    <w:rsid w:val="00844D4D"/>
    <w:rsid w:val="008475D6"/>
    <w:rsid w:val="00847BD0"/>
    <w:rsid w:val="00851CBD"/>
    <w:rsid w:val="00853455"/>
    <w:rsid w:val="00853A27"/>
    <w:rsid w:val="00853C27"/>
    <w:rsid w:val="00854FAE"/>
    <w:rsid w:val="0085500E"/>
    <w:rsid w:val="008576E2"/>
    <w:rsid w:val="00860056"/>
    <w:rsid w:val="008611BD"/>
    <w:rsid w:val="00863554"/>
    <w:rsid w:val="00863FD5"/>
    <w:rsid w:val="0086401C"/>
    <w:rsid w:val="00867AE9"/>
    <w:rsid w:val="00873150"/>
    <w:rsid w:val="0087627B"/>
    <w:rsid w:val="0087657D"/>
    <w:rsid w:val="008772D3"/>
    <w:rsid w:val="00877B5D"/>
    <w:rsid w:val="00877E91"/>
    <w:rsid w:val="0088064C"/>
    <w:rsid w:val="008807D5"/>
    <w:rsid w:val="00880832"/>
    <w:rsid w:val="0088324A"/>
    <w:rsid w:val="00883EFA"/>
    <w:rsid w:val="0088496D"/>
    <w:rsid w:val="0088499F"/>
    <w:rsid w:val="00886EE1"/>
    <w:rsid w:val="0088727D"/>
    <w:rsid w:val="0088746B"/>
    <w:rsid w:val="008937A7"/>
    <w:rsid w:val="0089405F"/>
    <w:rsid w:val="00894AD9"/>
    <w:rsid w:val="0089513A"/>
    <w:rsid w:val="00897C75"/>
    <w:rsid w:val="008A09B5"/>
    <w:rsid w:val="008A182F"/>
    <w:rsid w:val="008A46C8"/>
    <w:rsid w:val="008A4F7A"/>
    <w:rsid w:val="008A77EF"/>
    <w:rsid w:val="008B1055"/>
    <w:rsid w:val="008B1659"/>
    <w:rsid w:val="008B3E0C"/>
    <w:rsid w:val="008B3F5B"/>
    <w:rsid w:val="008B5402"/>
    <w:rsid w:val="008B5723"/>
    <w:rsid w:val="008B7BD8"/>
    <w:rsid w:val="008C0D1A"/>
    <w:rsid w:val="008C1085"/>
    <w:rsid w:val="008C1130"/>
    <w:rsid w:val="008C24D7"/>
    <w:rsid w:val="008C2E57"/>
    <w:rsid w:val="008C3E37"/>
    <w:rsid w:val="008C47FB"/>
    <w:rsid w:val="008C7FA7"/>
    <w:rsid w:val="008D18E6"/>
    <w:rsid w:val="008D22A9"/>
    <w:rsid w:val="008D372C"/>
    <w:rsid w:val="008D44B9"/>
    <w:rsid w:val="008D499A"/>
    <w:rsid w:val="008D6174"/>
    <w:rsid w:val="008D64E1"/>
    <w:rsid w:val="008D671C"/>
    <w:rsid w:val="008D786B"/>
    <w:rsid w:val="008D7A9B"/>
    <w:rsid w:val="008E08E6"/>
    <w:rsid w:val="008E12E0"/>
    <w:rsid w:val="008E380E"/>
    <w:rsid w:val="008E56A6"/>
    <w:rsid w:val="008E68E8"/>
    <w:rsid w:val="008F20C1"/>
    <w:rsid w:val="008F21F6"/>
    <w:rsid w:val="008F2AD6"/>
    <w:rsid w:val="008F2B12"/>
    <w:rsid w:val="008F3C5E"/>
    <w:rsid w:val="008F4B5B"/>
    <w:rsid w:val="009001EB"/>
    <w:rsid w:val="0090401E"/>
    <w:rsid w:val="00905414"/>
    <w:rsid w:val="00910236"/>
    <w:rsid w:val="0091040D"/>
    <w:rsid w:val="00910711"/>
    <w:rsid w:val="00911433"/>
    <w:rsid w:val="009120B5"/>
    <w:rsid w:val="00912226"/>
    <w:rsid w:val="00913068"/>
    <w:rsid w:val="009130B3"/>
    <w:rsid w:val="00915A0A"/>
    <w:rsid w:val="00920E3C"/>
    <w:rsid w:val="00921543"/>
    <w:rsid w:val="00924BC4"/>
    <w:rsid w:val="00926ADC"/>
    <w:rsid w:val="009302DF"/>
    <w:rsid w:val="00932B76"/>
    <w:rsid w:val="00935F98"/>
    <w:rsid w:val="00936969"/>
    <w:rsid w:val="00941101"/>
    <w:rsid w:val="009421C9"/>
    <w:rsid w:val="0094492A"/>
    <w:rsid w:val="00946D7E"/>
    <w:rsid w:val="00951F79"/>
    <w:rsid w:val="009526A2"/>
    <w:rsid w:val="00953690"/>
    <w:rsid w:val="009543F4"/>
    <w:rsid w:val="00954607"/>
    <w:rsid w:val="0095467A"/>
    <w:rsid w:val="009604FE"/>
    <w:rsid w:val="0096105A"/>
    <w:rsid w:val="00961BC7"/>
    <w:rsid w:val="009627D4"/>
    <w:rsid w:val="0096759F"/>
    <w:rsid w:val="0097108D"/>
    <w:rsid w:val="00971166"/>
    <w:rsid w:val="00974AB5"/>
    <w:rsid w:val="00975940"/>
    <w:rsid w:val="00976844"/>
    <w:rsid w:val="00981158"/>
    <w:rsid w:val="009835B6"/>
    <w:rsid w:val="00983AF8"/>
    <w:rsid w:val="00986712"/>
    <w:rsid w:val="0098706D"/>
    <w:rsid w:val="0099040A"/>
    <w:rsid w:val="00993534"/>
    <w:rsid w:val="009935FB"/>
    <w:rsid w:val="0099393C"/>
    <w:rsid w:val="009949E0"/>
    <w:rsid w:val="00996735"/>
    <w:rsid w:val="00996DBF"/>
    <w:rsid w:val="00996FC9"/>
    <w:rsid w:val="009A2E01"/>
    <w:rsid w:val="009A32C7"/>
    <w:rsid w:val="009A341E"/>
    <w:rsid w:val="009A4854"/>
    <w:rsid w:val="009A580F"/>
    <w:rsid w:val="009A67FC"/>
    <w:rsid w:val="009A69E5"/>
    <w:rsid w:val="009A72D3"/>
    <w:rsid w:val="009B058D"/>
    <w:rsid w:val="009B0C8D"/>
    <w:rsid w:val="009B13D2"/>
    <w:rsid w:val="009B21E0"/>
    <w:rsid w:val="009B30D8"/>
    <w:rsid w:val="009B38DB"/>
    <w:rsid w:val="009B39C3"/>
    <w:rsid w:val="009B4DAD"/>
    <w:rsid w:val="009B52C3"/>
    <w:rsid w:val="009B53A7"/>
    <w:rsid w:val="009B6164"/>
    <w:rsid w:val="009C0044"/>
    <w:rsid w:val="009C062C"/>
    <w:rsid w:val="009C068B"/>
    <w:rsid w:val="009C2FA2"/>
    <w:rsid w:val="009C3B2C"/>
    <w:rsid w:val="009C611B"/>
    <w:rsid w:val="009C62B2"/>
    <w:rsid w:val="009D050A"/>
    <w:rsid w:val="009D549C"/>
    <w:rsid w:val="009D6F14"/>
    <w:rsid w:val="009D7FAB"/>
    <w:rsid w:val="009E096A"/>
    <w:rsid w:val="009E39CD"/>
    <w:rsid w:val="009E491E"/>
    <w:rsid w:val="009E5960"/>
    <w:rsid w:val="009E5A3E"/>
    <w:rsid w:val="009E75AF"/>
    <w:rsid w:val="009F2A7C"/>
    <w:rsid w:val="009F47FB"/>
    <w:rsid w:val="009F4A54"/>
    <w:rsid w:val="009F4BEC"/>
    <w:rsid w:val="009F6B61"/>
    <w:rsid w:val="00A028FE"/>
    <w:rsid w:val="00A02ECA"/>
    <w:rsid w:val="00A03BF8"/>
    <w:rsid w:val="00A04D4C"/>
    <w:rsid w:val="00A0697B"/>
    <w:rsid w:val="00A10D61"/>
    <w:rsid w:val="00A112B1"/>
    <w:rsid w:val="00A13487"/>
    <w:rsid w:val="00A178A7"/>
    <w:rsid w:val="00A21B6A"/>
    <w:rsid w:val="00A25FD7"/>
    <w:rsid w:val="00A26D2D"/>
    <w:rsid w:val="00A27230"/>
    <w:rsid w:val="00A32091"/>
    <w:rsid w:val="00A3319C"/>
    <w:rsid w:val="00A33D9F"/>
    <w:rsid w:val="00A34981"/>
    <w:rsid w:val="00A353E0"/>
    <w:rsid w:val="00A35D3E"/>
    <w:rsid w:val="00A35F44"/>
    <w:rsid w:val="00A4066F"/>
    <w:rsid w:val="00A412BA"/>
    <w:rsid w:val="00A43AFF"/>
    <w:rsid w:val="00A44062"/>
    <w:rsid w:val="00A440C9"/>
    <w:rsid w:val="00A441D3"/>
    <w:rsid w:val="00A447FF"/>
    <w:rsid w:val="00A44CF5"/>
    <w:rsid w:val="00A534E6"/>
    <w:rsid w:val="00A537F8"/>
    <w:rsid w:val="00A54E7D"/>
    <w:rsid w:val="00A555A8"/>
    <w:rsid w:val="00A6028F"/>
    <w:rsid w:val="00A6140E"/>
    <w:rsid w:val="00A63A09"/>
    <w:rsid w:val="00A6407F"/>
    <w:rsid w:val="00A648CF"/>
    <w:rsid w:val="00A6510A"/>
    <w:rsid w:val="00A65EF4"/>
    <w:rsid w:val="00A70DD1"/>
    <w:rsid w:val="00A726B7"/>
    <w:rsid w:val="00A74BD0"/>
    <w:rsid w:val="00A76978"/>
    <w:rsid w:val="00A7793A"/>
    <w:rsid w:val="00A812C7"/>
    <w:rsid w:val="00A81BA2"/>
    <w:rsid w:val="00A81CB2"/>
    <w:rsid w:val="00A8630D"/>
    <w:rsid w:val="00A8700A"/>
    <w:rsid w:val="00A87A53"/>
    <w:rsid w:val="00A94261"/>
    <w:rsid w:val="00A95304"/>
    <w:rsid w:val="00A95E8C"/>
    <w:rsid w:val="00A964FA"/>
    <w:rsid w:val="00A9796E"/>
    <w:rsid w:val="00AA4680"/>
    <w:rsid w:val="00AA4868"/>
    <w:rsid w:val="00AA5F12"/>
    <w:rsid w:val="00AB10DA"/>
    <w:rsid w:val="00AB2C61"/>
    <w:rsid w:val="00AB4856"/>
    <w:rsid w:val="00AB4B56"/>
    <w:rsid w:val="00AB4B94"/>
    <w:rsid w:val="00AB5CFD"/>
    <w:rsid w:val="00AB6CA7"/>
    <w:rsid w:val="00AB7C78"/>
    <w:rsid w:val="00AC0308"/>
    <w:rsid w:val="00AC1FCF"/>
    <w:rsid w:val="00AD01E4"/>
    <w:rsid w:val="00AD0858"/>
    <w:rsid w:val="00AD1660"/>
    <w:rsid w:val="00AD76FF"/>
    <w:rsid w:val="00AD7723"/>
    <w:rsid w:val="00AD7A70"/>
    <w:rsid w:val="00AE0932"/>
    <w:rsid w:val="00AE6DC6"/>
    <w:rsid w:val="00AE7340"/>
    <w:rsid w:val="00AE74BE"/>
    <w:rsid w:val="00AF1BBD"/>
    <w:rsid w:val="00AF219D"/>
    <w:rsid w:val="00AF29E2"/>
    <w:rsid w:val="00AF3499"/>
    <w:rsid w:val="00AF3511"/>
    <w:rsid w:val="00AF6CA8"/>
    <w:rsid w:val="00B0237E"/>
    <w:rsid w:val="00B043AE"/>
    <w:rsid w:val="00B04443"/>
    <w:rsid w:val="00B0538B"/>
    <w:rsid w:val="00B07170"/>
    <w:rsid w:val="00B10207"/>
    <w:rsid w:val="00B141E7"/>
    <w:rsid w:val="00B24F17"/>
    <w:rsid w:val="00B32BE9"/>
    <w:rsid w:val="00B349EF"/>
    <w:rsid w:val="00B34BFD"/>
    <w:rsid w:val="00B3720D"/>
    <w:rsid w:val="00B401D5"/>
    <w:rsid w:val="00B40601"/>
    <w:rsid w:val="00B419D8"/>
    <w:rsid w:val="00B4659F"/>
    <w:rsid w:val="00B46BCA"/>
    <w:rsid w:val="00B47BE4"/>
    <w:rsid w:val="00B53099"/>
    <w:rsid w:val="00B5677D"/>
    <w:rsid w:val="00B56F53"/>
    <w:rsid w:val="00B629C8"/>
    <w:rsid w:val="00B64A28"/>
    <w:rsid w:val="00B64BEA"/>
    <w:rsid w:val="00B65166"/>
    <w:rsid w:val="00B6775E"/>
    <w:rsid w:val="00B70685"/>
    <w:rsid w:val="00B70859"/>
    <w:rsid w:val="00B71D1D"/>
    <w:rsid w:val="00B721D4"/>
    <w:rsid w:val="00B723F4"/>
    <w:rsid w:val="00B7242D"/>
    <w:rsid w:val="00B73340"/>
    <w:rsid w:val="00B7607C"/>
    <w:rsid w:val="00B7669E"/>
    <w:rsid w:val="00B851B0"/>
    <w:rsid w:val="00B8736E"/>
    <w:rsid w:val="00B87806"/>
    <w:rsid w:val="00B87EC9"/>
    <w:rsid w:val="00B92DE3"/>
    <w:rsid w:val="00B9676B"/>
    <w:rsid w:val="00B96CC7"/>
    <w:rsid w:val="00BA1AC4"/>
    <w:rsid w:val="00BA215B"/>
    <w:rsid w:val="00BA36BE"/>
    <w:rsid w:val="00BA3A3B"/>
    <w:rsid w:val="00BA5571"/>
    <w:rsid w:val="00BA5A77"/>
    <w:rsid w:val="00BB170B"/>
    <w:rsid w:val="00BB2CEF"/>
    <w:rsid w:val="00BB4D68"/>
    <w:rsid w:val="00BB5D59"/>
    <w:rsid w:val="00BC158B"/>
    <w:rsid w:val="00BC3362"/>
    <w:rsid w:val="00BC38FD"/>
    <w:rsid w:val="00BC3AC0"/>
    <w:rsid w:val="00BC4297"/>
    <w:rsid w:val="00BC59CD"/>
    <w:rsid w:val="00BC5DB4"/>
    <w:rsid w:val="00BC7CF6"/>
    <w:rsid w:val="00BD40C0"/>
    <w:rsid w:val="00BD5F96"/>
    <w:rsid w:val="00BD6002"/>
    <w:rsid w:val="00BD7344"/>
    <w:rsid w:val="00BD7A2D"/>
    <w:rsid w:val="00BE2204"/>
    <w:rsid w:val="00BF07A7"/>
    <w:rsid w:val="00BF1A69"/>
    <w:rsid w:val="00BF2B92"/>
    <w:rsid w:val="00BF3AE6"/>
    <w:rsid w:val="00BF3E5A"/>
    <w:rsid w:val="00BF5A60"/>
    <w:rsid w:val="00BF7D7B"/>
    <w:rsid w:val="00C034CB"/>
    <w:rsid w:val="00C046CB"/>
    <w:rsid w:val="00C047D3"/>
    <w:rsid w:val="00C04C43"/>
    <w:rsid w:val="00C051A8"/>
    <w:rsid w:val="00C054BC"/>
    <w:rsid w:val="00C05BEB"/>
    <w:rsid w:val="00C06FB3"/>
    <w:rsid w:val="00C11725"/>
    <w:rsid w:val="00C11976"/>
    <w:rsid w:val="00C142A2"/>
    <w:rsid w:val="00C151E6"/>
    <w:rsid w:val="00C15B75"/>
    <w:rsid w:val="00C17172"/>
    <w:rsid w:val="00C17897"/>
    <w:rsid w:val="00C2175A"/>
    <w:rsid w:val="00C250B2"/>
    <w:rsid w:val="00C27EFD"/>
    <w:rsid w:val="00C30615"/>
    <w:rsid w:val="00C321AA"/>
    <w:rsid w:val="00C327E1"/>
    <w:rsid w:val="00C3337D"/>
    <w:rsid w:val="00C35E8B"/>
    <w:rsid w:val="00C36C6A"/>
    <w:rsid w:val="00C409D5"/>
    <w:rsid w:val="00C412C3"/>
    <w:rsid w:val="00C45D4F"/>
    <w:rsid w:val="00C51BBA"/>
    <w:rsid w:val="00C523D4"/>
    <w:rsid w:val="00C523EB"/>
    <w:rsid w:val="00C52A81"/>
    <w:rsid w:val="00C551E8"/>
    <w:rsid w:val="00C560CF"/>
    <w:rsid w:val="00C57DA3"/>
    <w:rsid w:val="00C603D6"/>
    <w:rsid w:val="00C615E0"/>
    <w:rsid w:val="00C6234B"/>
    <w:rsid w:val="00C62437"/>
    <w:rsid w:val="00C63A67"/>
    <w:rsid w:val="00C63EAE"/>
    <w:rsid w:val="00C658D9"/>
    <w:rsid w:val="00C7244A"/>
    <w:rsid w:val="00C73D33"/>
    <w:rsid w:val="00C7629F"/>
    <w:rsid w:val="00C814D6"/>
    <w:rsid w:val="00C8377B"/>
    <w:rsid w:val="00C837DF"/>
    <w:rsid w:val="00C8661B"/>
    <w:rsid w:val="00C8772D"/>
    <w:rsid w:val="00C9287A"/>
    <w:rsid w:val="00C92AAE"/>
    <w:rsid w:val="00C95055"/>
    <w:rsid w:val="00C95B02"/>
    <w:rsid w:val="00C969C4"/>
    <w:rsid w:val="00CA139A"/>
    <w:rsid w:val="00CA2899"/>
    <w:rsid w:val="00CA3238"/>
    <w:rsid w:val="00CA453A"/>
    <w:rsid w:val="00CA4732"/>
    <w:rsid w:val="00CA4B27"/>
    <w:rsid w:val="00CA5277"/>
    <w:rsid w:val="00CA77FB"/>
    <w:rsid w:val="00CB0871"/>
    <w:rsid w:val="00CB1916"/>
    <w:rsid w:val="00CB27E3"/>
    <w:rsid w:val="00CB28B8"/>
    <w:rsid w:val="00CB2975"/>
    <w:rsid w:val="00CB379B"/>
    <w:rsid w:val="00CB3F33"/>
    <w:rsid w:val="00CB3F69"/>
    <w:rsid w:val="00CB59EB"/>
    <w:rsid w:val="00CB5D50"/>
    <w:rsid w:val="00CB5DD0"/>
    <w:rsid w:val="00CB610D"/>
    <w:rsid w:val="00CB6FB5"/>
    <w:rsid w:val="00CB7494"/>
    <w:rsid w:val="00CC078B"/>
    <w:rsid w:val="00CC0B1D"/>
    <w:rsid w:val="00CC1716"/>
    <w:rsid w:val="00CC1BEB"/>
    <w:rsid w:val="00CC51D4"/>
    <w:rsid w:val="00CC65DA"/>
    <w:rsid w:val="00CC726C"/>
    <w:rsid w:val="00CD088A"/>
    <w:rsid w:val="00CD1F0B"/>
    <w:rsid w:val="00CD31C0"/>
    <w:rsid w:val="00CD382D"/>
    <w:rsid w:val="00CD6997"/>
    <w:rsid w:val="00CD7389"/>
    <w:rsid w:val="00CE3C07"/>
    <w:rsid w:val="00CE5603"/>
    <w:rsid w:val="00CE5BB5"/>
    <w:rsid w:val="00CE5F68"/>
    <w:rsid w:val="00CE6CD2"/>
    <w:rsid w:val="00CE7BF2"/>
    <w:rsid w:val="00CE7F95"/>
    <w:rsid w:val="00CF21B9"/>
    <w:rsid w:val="00CF4612"/>
    <w:rsid w:val="00CF6BF9"/>
    <w:rsid w:val="00D01900"/>
    <w:rsid w:val="00D028D0"/>
    <w:rsid w:val="00D02994"/>
    <w:rsid w:val="00D0317B"/>
    <w:rsid w:val="00D03800"/>
    <w:rsid w:val="00D03D77"/>
    <w:rsid w:val="00D06028"/>
    <w:rsid w:val="00D065D3"/>
    <w:rsid w:val="00D106CB"/>
    <w:rsid w:val="00D13872"/>
    <w:rsid w:val="00D148EB"/>
    <w:rsid w:val="00D14C3B"/>
    <w:rsid w:val="00D14C94"/>
    <w:rsid w:val="00D221D6"/>
    <w:rsid w:val="00D225A9"/>
    <w:rsid w:val="00D22D7D"/>
    <w:rsid w:val="00D30785"/>
    <w:rsid w:val="00D30B6B"/>
    <w:rsid w:val="00D342A6"/>
    <w:rsid w:val="00D36C51"/>
    <w:rsid w:val="00D41B6D"/>
    <w:rsid w:val="00D42FD9"/>
    <w:rsid w:val="00D4335E"/>
    <w:rsid w:val="00D464BF"/>
    <w:rsid w:val="00D47316"/>
    <w:rsid w:val="00D50ED9"/>
    <w:rsid w:val="00D510DE"/>
    <w:rsid w:val="00D51FB6"/>
    <w:rsid w:val="00D52E8A"/>
    <w:rsid w:val="00D53E26"/>
    <w:rsid w:val="00D56ECF"/>
    <w:rsid w:val="00D60F0E"/>
    <w:rsid w:val="00D612C5"/>
    <w:rsid w:val="00D644E2"/>
    <w:rsid w:val="00D65EE9"/>
    <w:rsid w:val="00D66276"/>
    <w:rsid w:val="00D71713"/>
    <w:rsid w:val="00D717E9"/>
    <w:rsid w:val="00D723C8"/>
    <w:rsid w:val="00D742D1"/>
    <w:rsid w:val="00D8167B"/>
    <w:rsid w:val="00D81CD5"/>
    <w:rsid w:val="00D85139"/>
    <w:rsid w:val="00D85B91"/>
    <w:rsid w:val="00D86514"/>
    <w:rsid w:val="00D90681"/>
    <w:rsid w:val="00D93A42"/>
    <w:rsid w:val="00D94EDA"/>
    <w:rsid w:val="00D979C4"/>
    <w:rsid w:val="00DA06D0"/>
    <w:rsid w:val="00DA2904"/>
    <w:rsid w:val="00DA3D72"/>
    <w:rsid w:val="00DA422F"/>
    <w:rsid w:val="00DA46DB"/>
    <w:rsid w:val="00DA4974"/>
    <w:rsid w:val="00DA67B0"/>
    <w:rsid w:val="00DA7D32"/>
    <w:rsid w:val="00DB0E5E"/>
    <w:rsid w:val="00DB1350"/>
    <w:rsid w:val="00DB1913"/>
    <w:rsid w:val="00DB370A"/>
    <w:rsid w:val="00DB38B1"/>
    <w:rsid w:val="00DB41A7"/>
    <w:rsid w:val="00DB5EA8"/>
    <w:rsid w:val="00DB6DFD"/>
    <w:rsid w:val="00DC12BD"/>
    <w:rsid w:val="00DC3469"/>
    <w:rsid w:val="00DC42FE"/>
    <w:rsid w:val="00DC44C6"/>
    <w:rsid w:val="00DC7D9A"/>
    <w:rsid w:val="00DD07FB"/>
    <w:rsid w:val="00DD3DD6"/>
    <w:rsid w:val="00DD4F0E"/>
    <w:rsid w:val="00DD6802"/>
    <w:rsid w:val="00DD6C74"/>
    <w:rsid w:val="00DE037A"/>
    <w:rsid w:val="00DE3732"/>
    <w:rsid w:val="00DE3C99"/>
    <w:rsid w:val="00DE7069"/>
    <w:rsid w:val="00DE726D"/>
    <w:rsid w:val="00E0344E"/>
    <w:rsid w:val="00E05E0A"/>
    <w:rsid w:val="00E06257"/>
    <w:rsid w:val="00E07271"/>
    <w:rsid w:val="00E10A9F"/>
    <w:rsid w:val="00E12245"/>
    <w:rsid w:val="00E1285A"/>
    <w:rsid w:val="00E12E01"/>
    <w:rsid w:val="00E16856"/>
    <w:rsid w:val="00E172A5"/>
    <w:rsid w:val="00E177EA"/>
    <w:rsid w:val="00E21E04"/>
    <w:rsid w:val="00E274F9"/>
    <w:rsid w:val="00E277FC"/>
    <w:rsid w:val="00E30742"/>
    <w:rsid w:val="00E314E6"/>
    <w:rsid w:val="00E31D0C"/>
    <w:rsid w:val="00E32DAC"/>
    <w:rsid w:val="00E40A2D"/>
    <w:rsid w:val="00E41F24"/>
    <w:rsid w:val="00E43E0B"/>
    <w:rsid w:val="00E44CB8"/>
    <w:rsid w:val="00E456C4"/>
    <w:rsid w:val="00E51AC3"/>
    <w:rsid w:val="00E534CF"/>
    <w:rsid w:val="00E54E89"/>
    <w:rsid w:val="00E55B3E"/>
    <w:rsid w:val="00E56907"/>
    <w:rsid w:val="00E56F40"/>
    <w:rsid w:val="00E607EA"/>
    <w:rsid w:val="00E61A65"/>
    <w:rsid w:val="00E62289"/>
    <w:rsid w:val="00E66CC7"/>
    <w:rsid w:val="00E7185A"/>
    <w:rsid w:val="00E72376"/>
    <w:rsid w:val="00E73C38"/>
    <w:rsid w:val="00E77497"/>
    <w:rsid w:val="00E81CB4"/>
    <w:rsid w:val="00E82508"/>
    <w:rsid w:val="00E82543"/>
    <w:rsid w:val="00E82F54"/>
    <w:rsid w:val="00E85592"/>
    <w:rsid w:val="00E8585B"/>
    <w:rsid w:val="00E85876"/>
    <w:rsid w:val="00E85DB1"/>
    <w:rsid w:val="00E87F6C"/>
    <w:rsid w:val="00E901DA"/>
    <w:rsid w:val="00E90F7E"/>
    <w:rsid w:val="00E91467"/>
    <w:rsid w:val="00E92035"/>
    <w:rsid w:val="00E92962"/>
    <w:rsid w:val="00E94EF3"/>
    <w:rsid w:val="00E95DEB"/>
    <w:rsid w:val="00E96447"/>
    <w:rsid w:val="00E97460"/>
    <w:rsid w:val="00E97CDF"/>
    <w:rsid w:val="00EA04A9"/>
    <w:rsid w:val="00EA21F8"/>
    <w:rsid w:val="00EA3F15"/>
    <w:rsid w:val="00EA42DE"/>
    <w:rsid w:val="00EA4B87"/>
    <w:rsid w:val="00EA591A"/>
    <w:rsid w:val="00EA6857"/>
    <w:rsid w:val="00EA7847"/>
    <w:rsid w:val="00EB2B28"/>
    <w:rsid w:val="00EB375E"/>
    <w:rsid w:val="00EB4A9C"/>
    <w:rsid w:val="00EB4CE1"/>
    <w:rsid w:val="00EB63CE"/>
    <w:rsid w:val="00EB6BE6"/>
    <w:rsid w:val="00EC075F"/>
    <w:rsid w:val="00EC2F05"/>
    <w:rsid w:val="00EC4D7D"/>
    <w:rsid w:val="00EC713A"/>
    <w:rsid w:val="00ED087C"/>
    <w:rsid w:val="00ED19E2"/>
    <w:rsid w:val="00ED28D2"/>
    <w:rsid w:val="00EE0753"/>
    <w:rsid w:val="00EE0A0D"/>
    <w:rsid w:val="00EE241E"/>
    <w:rsid w:val="00EE2E26"/>
    <w:rsid w:val="00EE2E6E"/>
    <w:rsid w:val="00EE5AC7"/>
    <w:rsid w:val="00EF01C2"/>
    <w:rsid w:val="00EF090A"/>
    <w:rsid w:val="00EF1FC6"/>
    <w:rsid w:val="00EF31C6"/>
    <w:rsid w:val="00EF3401"/>
    <w:rsid w:val="00EF3703"/>
    <w:rsid w:val="00EF3AE2"/>
    <w:rsid w:val="00EF6F42"/>
    <w:rsid w:val="00F00D67"/>
    <w:rsid w:val="00F01F8B"/>
    <w:rsid w:val="00F02BFF"/>
    <w:rsid w:val="00F03A2D"/>
    <w:rsid w:val="00F04B87"/>
    <w:rsid w:val="00F05369"/>
    <w:rsid w:val="00F05D58"/>
    <w:rsid w:val="00F06EEE"/>
    <w:rsid w:val="00F0759E"/>
    <w:rsid w:val="00F107F4"/>
    <w:rsid w:val="00F215D0"/>
    <w:rsid w:val="00F26AE1"/>
    <w:rsid w:val="00F277EA"/>
    <w:rsid w:val="00F309B2"/>
    <w:rsid w:val="00F31816"/>
    <w:rsid w:val="00F33347"/>
    <w:rsid w:val="00F34ED9"/>
    <w:rsid w:val="00F35BE5"/>
    <w:rsid w:val="00F360B8"/>
    <w:rsid w:val="00F37E92"/>
    <w:rsid w:val="00F41B1A"/>
    <w:rsid w:val="00F42CF8"/>
    <w:rsid w:val="00F43467"/>
    <w:rsid w:val="00F4544E"/>
    <w:rsid w:val="00F47457"/>
    <w:rsid w:val="00F47DAC"/>
    <w:rsid w:val="00F52517"/>
    <w:rsid w:val="00F54EA3"/>
    <w:rsid w:val="00F63487"/>
    <w:rsid w:val="00F64AC2"/>
    <w:rsid w:val="00F652B8"/>
    <w:rsid w:val="00F67881"/>
    <w:rsid w:val="00F679CA"/>
    <w:rsid w:val="00F772F3"/>
    <w:rsid w:val="00F778FD"/>
    <w:rsid w:val="00F80BDE"/>
    <w:rsid w:val="00F811BA"/>
    <w:rsid w:val="00F821A3"/>
    <w:rsid w:val="00F843D5"/>
    <w:rsid w:val="00F87D7F"/>
    <w:rsid w:val="00F9314A"/>
    <w:rsid w:val="00F936BD"/>
    <w:rsid w:val="00F96065"/>
    <w:rsid w:val="00F962C8"/>
    <w:rsid w:val="00FA033F"/>
    <w:rsid w:val="00FA17E0"/>
    <w:rsid w:val="00FA35AB"/>
    <w:rsid w:val="00FA40E6"/>
    <w:rsid w:val="00FA545F"/>
    <w:rsid w:val="00FA72AF"/>
    <w:rsid w:val="00FA74DC"/>
    <w:rsid w:val="00FB04C8"/>
    <w:rsid w:val="00FB1AD9"/>
    <w:rsid w:val="00FB2721"/>
    <w:rsid w:val="00FB3403"/>
    <w:rsid w:val="00FB4738"/>
    <w:rsid w:val="00FB4A5A"/>
    <w:rsid w:val="00FB65C8"/>
    <w:rsid w:val="00FB6E6E"/>
    <w:rsid w:val="00FB70D9"/>
    <w:rsid w:val="00FC267E"/>
    <w:rsid w:val="00FC3420"/>
    <w:rsid w:val="00FC34CA"/>
    <w:rsid w:val="00FC4745"/>
    <w:rsid w:val="00FC58EF"/>
    <w:rsid w:val="00FC5D20"/>
    <w:rsid w:val="00FC6616"/>
    <w:rsid w:val="00FD33DF"/>
    <w:rsid w:val="00FD693F"/>
    <w:rsid w:val="00FD7345"/>
    <w:rsid w:val="00FD748B"/>
    <w:rsid w:val="00FD7BAA"/>
    <w:rsid w:val="00FE2745"/>
    <w:rsid w:val="00FE39D7"/>
    <w:rsid w:val="00FF054F"/>
    <w:rsid w:val="00FF14F2"/>
    <w:rsid w:val="00FF1607"/>
    <w:rsid w:val="00FF5A95"/>
    <w:rsid w:val="00FF744F"/>
    <w:rsid w:val="00FF7C93"/>
    <w:rsid w:val="34A491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6C6BF8C"/>
  <w15:docId w15:val="{7EBAE455-8075-4EA6-A53F-A4AFE3F1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00A"/>
    <w:pPr>
      <w:ind w:left="567"/>
    </w:pPr>
    <w:rPr>
      <w:sz w:val="24"/>
      <w:szCs w:val="24"/>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2">
    <w:name w:val="heading 2"/>
    <w:basedOn w:val="Normal"/>
    <w:next w:val="Normal"/>
    <w:link w:val="Ttulo2Car"/>
    <w:uiPriority w:val="9"/>
    <w:semiHidden/>
    <w:unhideWhenUsed/>
    <w:qFormat/>
    <w:rsid w:val="00A35D3E"/>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iPriority w:val="9"/>
    <w:semiHidden/>
    <w:unhideWhenUsed/>
    <w:qFormat/>
    <w:rsid w:val="00795BFB"/>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basedOn w:val="Fuentedeprrafopredeter"/>
    <w:link w:val="Textodeglobo"/>
    <w:uiPriority w:val="99"/>
    <w:semiHidden/>
    <w:rsid w:val="00725FA4"/>
    <w:rPr>
      <w:rFonts w:ascii="Tahoma" w:hAnsi="Tahoma" w:cs="Tahoma"/>
      <w:sz w:val="16"/>
      <w:szCs w:val="16"/>
    </w:rPr>
  </w:style>
  <w:style w:type="character" w:customStyle="1" w:styleId="EncabezadoCar">
    <w:name w:val="Encabezado Car"/>
    <w:basedOn w:val="Fuentedeprrafopredeter"/>
    <w:link w:val="Encabezado"/>
    <w:uiPriority w:val="99"/>
    <w:rsid w:val="00593C4F"/>
    <w:rPr>
      <w:rFonts w:ascii="CG Times" w:hAnsi="CG Times"/>
      <w:sz w:val="24"/>
      <w:lang w:val="es-CO"/>
    </w:rPr>
  </w:style>
  <w:style w:type="character" w:customStyle="1" w:styleId="Ttulo3Car">
    <w:name w:val="Título 3 Car"/>
    <w:basedOn w:val="Fuentedeprrafopredeter"/>
    <w:link w:val="Ttulo3"/>
    <w:rsid w:val="00141013"/>
    <w:rPr>
      <w:rFonts w:ascii="CG Times" w:hAnsi="CG Times"/>
      <w:b/>
      <w:snapToGrid w:val="0"/>
      <w:color w:val="000000"/>
      <w:sz w:val="24"/>
      <w:lang w:val="es-ES_tradnl"/>
    </w:rPr>
  </w:style>
  <w:style w:type="character" w:customStyle="1" w:styleId="Ttulo4Car">
    <w:name w:val="Título 4 Car"/>
    <w:basedOn w:val="Fuentedeprrafopredeter"/>
    <w:link w:val="Ttulo4"/>
    <w:rsid w:val="00141013"/>
    <w:rPr>
      <w:rFonts w:ascii="Arial" w:hAnsi="Arial" w:cs="Arial"/>
      <w:b/>
      <w:snapToGrid w:val="0"/>
      <w:color w:val="000000"/>
      <w:spacing w:val="20"/>
      <w:lang w:val="es-ES_tradnl"/>
    </w:rPr>
  </w:style>
  <w:style w:type="character" w:customStyle="1" w:styleId="Ttulo5Car">
    <w:name w:val="Título 5 Car"/>
    <w:basedOn w:val="Fuentedeprrafopredete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basedOn w:val="Fuentedeprrafopredeter"/>
    <w:link w:val="Textoindependiente"/>
    <w:semiHidden/>
    <w:rsid w:val="00141013"/>
    <w:rPr>
      <w:rFonts w:ascii="Arial" w:hAnsi="Arial" w:cs="Arial"/>
      <w:b/>
      <w:bCs/>
      <w:sz w:val="24"/>
      <w:szCs w:val="24"/>
    </w:rPr>
  </w:style>
  <w:style w:type="character" w:customStyle="1" w:styleId="Textoindependiente3Car">
    <w:name w:val="Texto independiente 3 Car"/>
    <w:basedOn w:val="Fuentedeprrafopredeter"/>
    <w:link w:val="Textoindependiente3"/>
    <w:semiHidden/>
    <w:rsid w:val="00141013"/>
    <w:rPr>
      <w:rFonts w:ascii="Arial" w:hAnsi="Arial" w:cs="Arial"/>
      <w:b/>
      <w:bCs/>
      <w:spacing w:val="-3"/>
      <w:sz w:val="24"/>
      <w:szCs w:val="24"/>
    </w:rPr>
  </w:style>
  <w:style w:type="table" w:styleId="Tablaconcuadrcula">
    <w:name w:val="Table Grid"/>
    <w:basedOn w:val="Tablanormal"/>
    <w:uiPriority w:val="3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basedOn w:val="Fuentedeprrafopredeter"/>
    <w:link w:val="Ttulo6"/>
    <w:uiPriority w:val="9"/>
    <w:semiHidden/>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basedOn w:val="Fuentedeprrafopredete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basedOn w:val="Fuentedeprrafopredete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nhideWhenUsed/>
    <w:rsid w:val="00006AE2"/>
    <w:pPr>
      <w:spacing w:after="120" w:line="480" w:lineRule="auto"/>
    </w:pPr>
  </w:style>
  <w:style w:type="character" w:customStyle="1" w:styleId="Textoindependiente2Car">
    <w:name w:val="Texto independiente 2 Car"/>
    <w:basedOn w:val="Fuentedeprrafopredeter"/>
    <w:link w:val="Textoindependiente2"/>
    <w:rsid w:val="00006AE2"/>
    <w:rPr>
      <w:sz w:val="24"/>
      <w:szCs w:val="24"/>
    </w:rPr>
  </w:style>
  <w:style w:type="paragraph" w:styleId="Descripcin">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eastAsia="en-US"/>
    </w:rPr>
  </w:style>
  <w:style w:type="character" w:customStyle="1" w:styleId="apple-style-span">
    <w:name w:val="apple-style-span"/>
    <w:basedOn w:val="Fuentedeprrafopredeter"/>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basedOn w:val="Fuentedeprrafopredete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2Car">
    <w:name w:val="Título 2 Car"/>
    <w:basedOn w:val="Fuentedeprrafopredeter"/>
    <w:link w:val="Ttulo2"/>
    <w:uiPriority w:val="9"/>
    <w:semiHidden/>
    <w:rsid w:val="00A35D3E"/>
    <w:rPr>
      <w:rFonts w:ascii="Cambria" w:eastAsia="Times New Roman" w:hAnsi="Cambria" w:cs="Times New Roman"/>
      <w:b/>
      <w:bCs/>
      <w:i/>
      <w:iCs/>
      <w:sz w:val="28"/>
      <w:szCs w:val="28"/>
      <w:lang w:val="es-ES" w:eastAsia="es-ES"/>
    </w:rPr>
  </w:style>
  <w:style w:type="paragraph" w:styleId="Textonotapie">
    <w:name w:val="footnote text"/>
    <w:basedOn w:val="Normal"/>
    <w:link w:val="TextonotapieCar"/>
    <w:semiHidden/>
    <w:rsid w:val="00A35D3E"/>
    <w:pPr>
      <w:widowControl w:val="0"/>
      <w:adjustRightInd w:val="0"/>
      <w:spacing w:line="360" w:lineRule="atLeast"/>
      <w:ind w:left="0"/>
      <w:jc w:val="both"/>
      <w:textAlignment w:val="baseline"/>
    </w:pPr>
    <w:rPr>
      <w:sz w:val="20"/>
      <w:szCs w:val="20"/>
    </w:rPr>
  </w:style>
  <w:style w:type="character" w:customStyle="1" w:styleId="TextonotapieCar">
    <w:name w:val="Texto nota pie Car"/>
    <w:basedOn w:val="Fuentedeprrafopredeter"/>
    <w:link w:val="Textonotapie"/>
    <w:semiHidden/>
    <w:rsid w:val="00A35D3E"/>
    <w:rPr>
      <w:lang w:val="es-ES" w:eastAsia="es-ES"/>
    </w:rPr>
  </w:style>
  <w:style w:type="paragraph" w:customStyle="1" w:styleId="ARTICULOS">
    <w:name w:val="ARTICULOS"/>
    <w:basedOn w:val="Normal"/>
    <w:link w:val="ARTICULOSCar"/>
    <w:qFormat/>
    <w:rsid w:val="00B24F17"/>
    <w:pPr>
      <w:numPr>
        <w:numId w:val="7"/>
      </w:numPr>
      <w:spacing w:before="240"/>
      <w:jc w:val="both"/>
    </w:pPr>
    <w:rPr>
      <w:rFonts w:ascii="Bookman Old Style" w:hAnsi="Bookman Old Style" w:cs="Arial"/>
      <w:b/>
      <w:bCs/>
    </w:rPr>
  </w:style>
  <w:style w:type="character" w:customStyle="1" w:styleId="ARTICULOSCar">
    <w:name w:val="ARTICULOS Car"/>
    <w:basedOn w:val="Fuentedeprrafopredeter"/>
    <w:link w:val="ARTICULOS"/>
    <w:rsid w:val="00B24F17"/>
    <w:rPr>
      <w:rFonts w:ascii="Bookman Old Style" w:hAnsi="Bookman Old Style" w:cs="Arial"/>
      <w:b/>
      <w:bCs/>
      <w:sz w:val="24"/>
      <w:szCs w:val="24"/>
    </w:rPr>
  </w:style>
  <w:style w:type="character" w:styleId="Refdecomentario">
    <w:name w:val="annotation reference"/>
    <w:basedOn w:val="Fuentedeprrafopredeter"/>
    <w:uiPriority w:val="99"/>
    <w:semiHidden/>
    <w:unhideWhenUsed/>
    <w:rsid w:val="007B3029"/>
    <w:rPr>
      <w:sz w:val="16"/>
      <w:szCs w:val="16"/>
    </w:rPr>
  </w:style>
  <w:style w:type="paragraph" w:styleId="Textocomentario">
    <w:name w:val="annotation text"/>
    <w:basedOn w:val="Normal"/>
    <w:link w:val="TextocomentarioCar"/>
    <w:uiPriority w:val="99"/>
    <w:unhideWhenUsed/>
    <w:rsid w:val="007B3029"/>
    <w:rPr>
      <w:sz w:val="20"/>
      <w:szCs w:val="20"/>
    </w:rPr>
  </w:style>
  <w:style w:type="character" w:customStyle="1" w:styleId="TextocomentarioCar">
    <w:name w:val="Texto comentario Car"/>
    <w:basedOn w:val="Fuentedeprrafopredeter"/>
    <w:link w:val="Textocomentario"/>
    <w:uiPriority w:val="99"/>
    <w:rsid w:val="007B3029"/>
  </w:style>
  <w:style w:type="paragraph" w:styleId="Asuntodelcomentario">
    <w:name w:val="annotation subject"/>
    <w:basedOn w:val="Textocomentario"/>
    <w:next w:val="Textocomentario"/>
    <w:link w:val="AsuntodelcomentarioCar"/>
    <w:uiPriority w:val="99"/>
    <w:semiHidden/>
    <w:unhideWhenUsed/>
    <w:rsid w:val="007B3029"/>
    <w:rPr>
      <w:b/>
      <w:bCs/>
    </w:rPr>
  </w:style>
  <w:style w:type="character" w:customStyle="1" w:styleId="AsuntodelcomentarioCar">
    <w:name w:val="Asunto del comentario Car"/>
    <w:basedOn w:val="TextocomentarioCar"/>
    <w:link w:val="Asuntodelcomentario"/>
    <w:uiPriority w:val="99"/>
    <w:semiHidden/>
    <w:rsid w:val="007B3029"/>
    <w:rPr>
      <w:b/>
      <w:bCs/>
    </w:rPr>
  </w:style>
  <w:style w:type="paragraph" w:styleId="Revisin">
    <w:name w:val="Revision"/>
    <w:hidden/>
    <w:uiPriority w:val="99"/>
    <w:semiHidden/>
    <w:rsid w:val="00747E07"/>
    <w:rPr>
      <w:sz w:val="24"/>
      <w:szCs w:val="24"/>
    </w:rPr>
  </w:style>
  <w:style w:type="character" w:customStyle="1" w:styleId="normaltextrun">
    <w:name w:val="normaltextrun"/>
    <w:basedOn w:val="Fuentedeprrafopredeter"/>
    <w:rsid w:val="00616ED2"/>
  </w:style>
  <w:style w:type="paragraph" w:customStyle="1" w:styleId="Estilo5">
    <w:name w:val="Estilo5"/>
    <w:basedOn w:val="Normal"/>
    <w:qFormat/>
    <w:rsid w:val="00616ED2"/>
    <w:pPr>
      <w:keepNext/>
      <w:spacing w:before="240" w:after="60"/>
      <w:ind w:left="0"/>
      <w:jc w:val="both"/>
      <w:outlineLvl w:val="0"/>
    </w:pPr>
    <w:rPr>
      <w:rFonts w:ascii="Bookman Old Style" w:hAnsi="Bookman Old Style"/>
      <w:b/>
      <w:kern w:val="28"/>
      <w:szCs w:val="22"/>
      <w:lang w:val="es-ES_tradnl" w:eastAsia="es-CO"/>
    </w:rPr>
  </w:style>
  <w:style w:type="paragraph" w:styleId="NormalWeb">
    <w:name w:val="Normal (Web)"/>
    <w:basedOn w:val="Normal"/>
    <w:uiPriority w:val="99"/>
    <w:unhideWhenUsed/>
    <w:rsid w:val="00616ED2"/>
    <w:pPr>
      <w:spacing w:before="100" w:beforeAutospacing="1" w:after="100" w:afterAutospacing="1"/>
      <w:ind w:left="0"/>
    </w:pPr>
    <w:rPr>
      <w:lang w:val="es-CO" w:eastAsia="es-CO"/>
    </w:rPr>
  </w:style>
  <w:style w:type="character" w:customStyle="1" w:styleId="markedcontent">
    <w:name w:val="markedcontent"/>
    <w:basedOn w:val="Fuentedeprrafopredeter"/>
    <w:rsid w:val="00E85592"/>
  </w:style>
  <w:style w:type="paragraph" w:styleId="Cita">
    <w:name w:val="Quote"/>
    <w:basedOn w:val="Normal"/>
    <w:next w:val="Normal"/>
    <w:link w:val="CitaCar"/>
    <w:uiPriority w:val="29"/>
    <w:qFormat/>
    <w:rsid w:val="000E7B07"/>
    <w:pPr>
      <w:spacing w:before="120"/>
      <w:ind w:left="284" w:right="284"/>
      <w:jc w:val="both"/>
    </w:pPr>
    <w:rPr>
      <w:rFonts w:ascii="Bookman Old Style" w:hAnsi="Bookman Old Style"/>
      <w:i/>
      <w:iCs/>
      <w:color w:val="404040" w:themeColor="text1" w:themeTint="BF"/>
      <w:lang w:val="es-CO"/>
    </w:rPr>
  </w:style>
  <w:style w:type="character" w:customStyle="1" w:styleId="CitaCar">
    <w:name w:val="Cita Car"/>
    <w:basedOn w:val="Fuentedeprrafopredeter"/>
    <w:link w:val="Cita"/>
    <w:uiPriority w:val="29"/>
    <w:rsid w:val="000E7B07"/>
    <w:rPr>
      <w:rFonts w:ascii="Bookman Old Style" w:hAnsi="Bookman Old Style"/>
      <w:i/>
      <w:iCs/>
      <w:color w:val="404040" w:themeColor="text1" w:themeTint="BF"/>
      <w:sz w:val="24"/>
      <w:szCs w:val="24"/>
      <w:lang w:val="es-CO"/>
    </w:rPr>
  </w:style>
  <w:style w:type="paragraph" w:styleId="Sangradetextonormal">
    <w:name w:val="Body Text Indent"/>
    <w:basedOn w:val="Normal"/>
    <w:link w:val="SangradetextonormalCar"/>
    <w:uiPriority w:val="99"/>
    <w:semiHidden/>
    <w:unhideWhenUsed/>
    <w:rsid w:val="00061893"/>
    <w:pPr>
      <w:spacing w:after="120"/>
      <w:ind w:left="283"/>
    </w:pPr>
  </w:style>
  <w:style w:type="character" w:customStyle="1" w:styleId="SangradetextonormalCar">
    <w:name w:val="Sangría de texto normal Car"/>
    <w:basedOn w:val="Fuentedeprrafopredeter"/>
    <w:link w:val="Sangradetextonormal"/>
    <w:uiPriority w:val="99"/>
    <w:semiHidden/>
    <w:rsid w:val="000618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892143">
      <w:bodyDiv w:val="1"/>
      <w:marLeft w:val="0"/>
      <w:marRight w:val="0"/>
      <w:marTop w:val="0"/>
      <w:marBottom w:val="0"/>
      <w:divBdr>
        <w:top w:val="none" w:sz="0" w:space="0" w:color="auto"/>
        <w:left w:val="none" w:sz="0" w:space="0" w:color="auto"/>
        <w:bottom w:val="none" w:sz="0" w:space="0" w:color="auto"/>
        <w:right w:val="none" w:sz="0" w:space="0" w:color="auto"/>
      </w:divBdr>
    </w:div>
    <w:div w:id="1224104016">
      <w:bodyDiv w:val="1"/>
      <w:marLeft w:val="0"/>
      <w:marRight w:val="0"/>
      <w:marTop w:val="0"/>
      <w:marBottom w:val="0"/>
      <w:divBdr>
        <w:top w:val="none" w:sz="0" w:space="0" w:color="auto"/>
        <w:left w:val="none" w:sz="0" w:space="0" w:color="auto"/>
        <w:bottom w:val="none" w:sz="0" w:space="0" w:color="auto"/>
        <w:right w:val="none" w:sz="0" w:space="0" w:color="auto"/>
      </w:divBdr>
    </w:div>
    <w:div w:id="1248230814">
      <w:bodyDiv w:val="1"/>
      <w:marLeft w:val="0"/>
      <w:marRight w:val="0"/>
      <w:marTop w:val="0"/>
      <w:marBottom w:val="0"/>
      <w:divBdr>
        <w:top w:val="none" w:sz="0" w:space="0" w:color="auto"/>
        <w:left w:val="none" w:sz="0" w:space="0" w:color="auto"/>
        <w:bottom w:val="none" w:sz="0" w:space="0" w:color="auto"/>
        <w:right w:val="none" w:sz="0" w:space="0" w:color="auto"/>
      </w:divBdr>
    </w:div>
    <w:div w:id="1568615346">
      <w:bodyDiv w:val="1"/>
      <w:marLeft w:val="0"/>
      <w:marRight w:val="0"/>
      <w:marTop w:val="0"/>
      <w:marBottom w:val="0"/>
      <w:divBdr>
        <w:top w:val="none" w:sz="0" w:space="0" w:color="auto"/>
        <w:left w:val="none" w:sz="0" w:space="0" w:color="auto"/>
        <w:bottom w:val="none" w:sz="0" w:space="0" w:color="auto"/>
        <w:right w:val="none" w:sz="0" w:space="0" w:color="auto"/>
      </w:divBdr>
    </w:div>
    <w:div w:id="1629972437">
      <w:bodyDiv w:val="1"/>
      <w:marLeft w:val="0"/>
      <w:marRight w:val="0"/>
      <w:marTop w:val="0"/>
      <w:marBottom w:val="0"/>
      <w:divBdr>
        <w:top w:val="none" w:sz="0" w:space="0" w:color="auto"/>
        <w:left w:val="none" w:sz="0" w:space="0" w:color="auto"/>
        <w:bottom w:val="none" w:sz="0" w:space="0" w:color="auto"/>
        <w:right w:val="none" w:sz="0" w:space="0" w:color="auto"/>
      </w:divBdr>
    </w:div>
    <w:div w:id="206644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90cc45-9d06-4234-8034-eeec6c0c7cc1">
      <Terms xmlns="http://schemas.microsoft.com/office/infopath/2007/PartnerControls"/>
    </lcf76f155ced4ddcb4097134ff3c332f>
    <TaxCatchAll xmlns="309f6219-a73f-4366-a00d-6bacb1e9f8e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5" ma:contentTypeDescription="Crear nuevo documento." ma:contentTypeScope="" ma:versionID="dff8ae948c4bd22059ddfa6d0b8561e9">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1e03938b67e8d7b01cb6c96024269efc"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CEACC-657D-4019-AC3D-76319453A47F}">
  <ds:schemaRefs>
    <ds:schemaRef ds:uri="http://schemas.microsoft.com/office/2006/metadata/properties"/>
    <ds:schemaRef ds:uri="http://schemas.microsoft.com/office/infopath/2007/PartnerControls"/>
    <ds:schemaRef ds:uri="0f90cc45-9d06-4234-8034-eeec6c0c7cc1"/>
    <ds:schemaRef ds:uri="309f6219-a73f-4366-a00d-6bacb1e9f8e0"/>
  </ds:schemaRefs>
</ds:datastoreItem>
</file>

<file path=customXml/itemProps2.xml><?xml version="1.0" encoding="utf-8"?>
<ds:datastoreItem xmlns:ds="http://schemas.openxmlformats.org/officeDocument/2006/customXml" ds:itemID="{960E4860-E7FE-4FAD-9009-8E2D1E7F3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6E8F8A-067A-499A-BCA3-113A3F0D37F5}">
  <ds:schemaRefs>
    <ds:schemaRef ds:uri="http://schemas.microsoft.com/sharepoint/v3/contenttype/forms"/>
  </ds:schemaRefs>
</ds:datastoreItem>
</file>

<file path=customXml/itemProps4.xml><?xml version="1.0" encoding="utf-8"?>
<ds:datastoreItem xmlns:ds="http://schemas.openxmlformats.org/officeDocument/2006/customXml" ds:itemID="{C042137C-5593-4232-B577-AE4898A2A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6</TotalTime>
  <Pages>1</Pages>
  <Words>1502</Words>
  <Characters>8262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LSROJAS</dc:creator>
  <cp:lastModifiedBy>Jonathan Ramirez Ochoa</cp:lastModifiedBy>
  <cp:revision>5</cp:revision>
  <cp:lastPrinted>2025-03-19T15:49:00Z</cp:lastPrinted>
  <dcterms:created xsi:type="dcterms:W3CDTF">2025-03-19T02:55:00Z</dcterms:created>
  <dcterms:modified xsi:type="dcterms:W3CDTF">2025-03-19T15:49:00Z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