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73C1" w14:textId="77777777" w:rsidR="003462BA" w:rsidRPr="00BA2F12" w:rsidRDefault="003462BA" w:rsidP="00115C5C">
      <w:pPr>
        <w:pStyle w:val="Ttulo5"/>
        <w:spacing w:before="240" w:after="240"/>
        <w:rPr>
          <w:rFonts w:ascii="Verdana" w:hAnsi="Verdana"/>
          <w:sz w:val="24"/>
          <w:szCs w:val="24"/>
        </w:rPr>
      </w:pPr>
      <w:r w:rsidRPr="00BA2F12">
        <w:rPr>
          <w:rFonts w:ascii="Verdana" w:hAnsi="Verdana"/>
          <w:sz w:val="24"/>
          <w:szCs w:val="24"/>
        </w:rPr>
        <w:t>Ministerio de Minas y Energía</w:t>
      </w:r>
    </w:p>
    <w:p w14:paraId="71862667" w14:textId="77777777" w:rsidR="003462BA" w:rsidRPr="00BA2F12" w:rsidRDefault="003462BA" w:rsidP="00115C5C">
      <w:pPr>
        <w:pStyle w:val="Ttulo5"/>
        <w:spacing w:before="240" w:after="240"/>
        <w:rPr>
          <w:rFonts w:ascii="Verdana" w:hAnsi="Verdana"/>
          <w:sz w:val="24"/>
          <w:szCs w:val="24"/>
        </w:rPr>
      </w:pPr>
      <w:r w:rsidRPr="00BA2F12">
        <w:rPr>
          <w:rFonts w:ascii="Verdana" w:hAnsi="Verdana"/>
          <w:sz w:val="24"/>
          <w:szCs w:val="24"/>
        </w:rPr>
        <w:t>COMISIÓN DE REGULACIÓN DE ENERGÍA Y GAS</w:t>
      </w:r>
    </w:p>
    <w:p w14:paraId="0B64A163" w14:textId="0C76794C" w:rsidR="003462BA" w:rsidRPr="00BA2F12" w:rsidRDefault="003462BA" w:rsidP="00FB0EC0">
      <w:pPr>
        <w:pStyle w:val="Ttulo5"/>
        <w:spacing w:before="360" w:after="360"/>
        <w:rPr>
          <w:rFonts w:ascii="Verdana" w:hAnsi="Verdana"/>
          <w:szCs w:val="28"/>
        </w:rPr>
      </w:pPr>
      <w:r w:rsidRPr="00BA2F12">
        <w:rPr>
          <w:rFonts w:ascii="Verdana" w:hAnsi="Verdana"/>
          <w:szCs w:val="28"/>
        </w:rPr>
        <w:t>PROYECTO DE RESOLUCIÓN No. 701 0</w:t>
      </w:r>
      <w:r w:rsidR="00CE6FA2" w:rsidRPr="00BA2F12">
        <w:rPr>
          <w:rFonts w:ascii="Verdana" w:hAnsi="Verdana"/>
          <w:szCs w:val="28"/>
        </w:rPr>
        <w:t>80</w:t>
      </w:r>
      <w:r w:rsidRPr="00BA2F12">
        <w:rPr>
          <w:rFonts w:ascii="Verdana" w:hAnsi="Verdana"/>
          <w:szCs w:val="28"/>
        </w:rPr>
        <w:t xml:space="preserve"> DE 2025</w:t>
      </w:r>
    </w:p>
    <w:p w14:paraId="6687AC65" w14:textId="3B37C09E" w:rsidR="003462BA" w:rsidRPr="00BA2F12" w:rsidRDefault="003462BA" w:rsidP="00115C5C">
      <w:pPr>
        <w:pStyle w:val="Ttulo5"/>
        <w:spacing w:before="240" w:after="240"/>
        <w:rPr>
          <w:rFonts w:ascii="Verdana" w:hAnsi="Verdana"/>
          <w:sz w:val="24"/>
          <w:szCs w:val="24"/>
        </w:rPr>
      </w:pPr>
      <w:r w:rsidRPr="00BA2F12">
        <w:rPr>
          <w:rFonts w:ascii="Verdana" w:hAnsi="Verdana"/>
          <w:sz w:val="24"/>
          <w:szCs w:val="24"/>
        </w:rPr>
        <w:t>(</w:t>
      </w:r>
      <w:r w:rsidR="000A2141" w:rsidRPr="00BA2F12">
        <w:rPr>
          <w:rFonts w:ascii="Verdana" w:hAnsi="Verdana"/>
          <w:sz w:val="24"/>
          <w:szCs w:val="24"/>
        </w:rPr>
        <w:t>20</w:t>
      </w:r>
      <w:r w:rsidRPr="00BA2F12">
        <w:rPr>
          <w:rFonts w:ascii="Verdana" w:hAnsi="Verdana"/>
          <w:sz w:val="24"/>
          <w:szCs w:val="24"/>
        </w:rPr>
        <w:t xml:space="preserve"> FEB. 2025)</w:t>
      </w:r>
    </w:p>
    <w:p w14:paraId="17D70394" w14:textId="0000299D" w:rsidR="00CC75CE" w:rsidRPr="00BA2F12" w:rsidRDefault="000A2141" w:rsidP="3EF08241">
      <w:pPr>
        <w:spacing w:before="240" w:after="240"/>
        <w:rPr>
          <w:rFonts w:ascii="Verdana" w:eastAsia="Verdana" w:hAnsi="Verdana" w:cs="Verdana"/>
        </w:rPr>
      </w:pPr>
      <w:r w:rsidRPr="00BA2F12">
        <w:rPr>
          <w:rFonts w:ascii="Verdana" w:hAnsi="Verdana"/>
        </w:rPr>
        <w:t>L</w:t>
      </w:r>
      <w:r w:rsidR="00CC75CE" w:rsidRPr="00BA2F12">
        <w:rPr>
          <w:rFonts w:ascii="Verdana" w:hAnsi="Verdana"/>
        </w:rPr>
        <w:t>a Comisión de Regulación de Energía y Gas, en su sesión 1373 del 20 de febrero de 2025, aprobó someter a consulta pública el presente proyecto de resolución por el término de cinco (5) días hábiles contados a partir del día siguiente a su publicación en el portal web de la CREG</w:t>
      </w:r>
      <w:r w:rsidR="3CED66FB" w:rsidRPr="00BA2F12">
        <w:rPr>
          <w:rFonts w:ascii="Verdana" w:hAnsi="Verdana"/>
        </w:rPr>
        <w:t>,</w:t>
      </w:r>
      <w:r w:rsidR="39CA36AD" w:rsidRPr="00BA2F12">
        <w:rPr>
          <w:rFonts w:ascii="Verdana" w:hAnsi="Verdana"/>
        </w:rPr>
        <w:t xml:space="preserve"> </w:t>
      </w:r>
      <w:r w:rsidR="39CA36AD" w:rsidRPr="00BA2F12">
        <w:rPr>
          <w:rFonts w:ascii="Verdana" w:eastAsia="Verdana" w:hAnsi="Verdana" w:cs="Verdana"/>
        </w:rPr>
        <w:t xml:space="preserve">en aplicación a lo dispuesto en el </w:t>
      </w:r>
      <w:r w:rsidR="1EFC9573" w:rsidRPr="00BA2F12">
        <w:rPr>
          <w:rFonts w:ascii="Verdana" w:eastAsia="Verdana" w:hAnsi="Verdana" w:cs="Verdana"/>
        </w:rPr>
        <w:t xml:space="preserve">numeral 14 del artículo 73 de la Ley 142 de 1994, el </w:t>
      </w:r>
      <w:r w:rsidR="39CA36AD" w:rsidRPr="00BA2F12">
        <w:rPr>
          <w:rFonts w:ascii="Verdana" w:eastAsia="Verdana" w:hAnsi="Verdana" w:cs="Verdana"/>
        </w:rPr>
        <w:t xml:space="preserve">Decreto 05 de 2025 y el numeral 6 del artículo 34 de la Resolución 105 003 del 14 de </w:t>
      </w:r>
      <w:r w:rsidR="39CA36AD" w:rsidRPr="00BA2F12">
        <w:rPr>
          <w:rFonts w:ascii="Verdana" w:eastAsia="Verdana" w:hAnsi="Verdana" w:cs="Verdana"/>
          <w:color w:val="000000" w:themeColor="text1"/>
        </w:rPr>
        <w:t>septiembre de 2023, que permite publicar, excepcionalmente, en un término menor al tradicional, cuando los proyectos de resolución tengan menos de cinco (5) artículos.</w:t>
      </w:r>
    </w:p>
    <w:p w14:paraId="2EB10EA5" w14:textId="41AA7291" w:rsidR="00CC75CE" w:rsidRPr="00BA2F12" w:rsidRDefault="00CC75CE" w:rsidP="3EF08241">
      <w:pPr>
        <w:spacing w:before="240" w:after="240"/>
        <w:rPr>
          <w:rFonts w:ascii="Verdana" w:hAnsi="Verdana"/>
        </w:rPr>
      </w:pPr>
      <w:r w:rsidRPr="00BA2F12">
        <w:rPr>
          <w:rFonts w:ascii="Verdana" w:hAnsi="Verdana"/>
        </w:rPr>
        <w:t xml:space="preserve">Se invita a las empresas, los usuarios, las autoridades y demás partes interesadas a presentar sus observaciones y sugerencias dentro del plazo establecido, mediante comunicaciones electrónicas dirigidas al </w:t>
      </w:r>
      <w:proofErr w:type="gramStart"/>
      <w:r w:rsidRPr="00BA2F12">
        <w:rPr>
          <w:rFonts w:ascii="Verdana" w:hAnsi="Verdana"/>
        </w:rPr>
        <w:t>Director Ejecutivo</w:t>
      </w:r>
      <w:proofErr w:type="gramEnd"/>
      <w:r w:rsidRPr="00BA2F12">
        <w:rPr>
          <w:rFonts w:ascii="Verdana" w:hAnsi="Verdana"/>
        </w:rPr>
        <w:t xml:space="preserve"> de la CREG, a la cuenta creg@creg.gov.co, con asunto: “Comentarios sobre la Resolución CREG 701 0</w:t>
      </w:r>
      <w:r w:rsidR="00BA2F12" w:rsidRPr="00BA2F12">
        <w:rPr>
          <w:rFonts w:ascii="Verdana" w:hAnsi="Verdana"/>
        </w:rPr>
        <w:t>80</w:t>
      </w:r>
      <w:r w:rsidRPr="00BA2F12">
        <w:rPr>
          <w:rFonts w:ascii="Verdana" w:hAnsi="Verdana"/>
        </w:rPr>
        <w:t xml:space="preserve"> de 2025”, utilizando el formato anexo.</w:t>
      </w:r>
    </w:p>
    <w:p w14:paraId="598BAD87" w14:textId="77777777" w:rsidR="00CC75CE" w:rsidRPr="00BA2F12" w:rsidRDefault="00CC75CE" w:rsidP="00CC75CE">
      <w:pPr>
        <w:spacing w:before="240" w:after="240"/>
        <w:rPr>
          <w:rFonts w:ascii="Verdana" w:hAnsi="Verdana"/>
        </w:rPr>
      </w:pPr>
      <w:r w:rsidRPr="00BA2F12">
        <w:rPr>
          <w:rFonts w:ascii="Verdana" w:hAnsi="Verdana"/>
        </w:rPr>
        <w:t>En el documento soporte de la presente resolución se exponen los análisis y la justificación de la propuesta regulatoria que se somete al proceso de consulta pública.</w:t>
      </w:r>
    </w:p>
    <w:p w14:paraId="658BFCE8" w14:textId="77777777" w:rsidR="00CC75CE" w:rsidRPr="00BA2F12" w:rsidRDefault="00CC75CE" w:rsidP="00CC75CE">
      <w:pPr>
        <w:pStyle w:val="Ttulo3"/>
        <w:tabs>
          <w:tab w:val="left" w:pos="0"/>
          <w:tab w:val="right" w:pos="9356"/>
        </w:tabs>
        <w:spacing w:before="480" w:after="480"/>
        <w:rPr>
          <w:rFonts w:ascii="Verdana" w:hAnsi="Verdana" w:cs="Arial"/>
          <w:spacing w:val="20"/>
          <w:szCs w:val="24"/>
        </w:rPr>
      </w:pPr>
      <w:r w:rsidRPr="00BA2F12">
        <w:rPr>
          <w:rFonts w:ascii="Verdana" w:hAnsi="Verdana" w:cs="Arial"/>
          <w:spacing w:val="20"/>
          <w:szCs w:val="24"/>
        </w:rPr>
        <w:t>PROYECTO DE RESOLUCIÓN</w:t>
      </w:r>
    </w:p>
    <w:p w14:paraId="46722D58" w14:textId="4E0F733F" w:rsidR="00CC75CE" w:rsidRPr="00BA2F12" w:rsidRDefault="00CC75CE" w:rsidP="00CC75CE">
      <w:pPr>
        <w:jc w:val="center"/>
        <w:rPr>
          <w:rFonts w:ascii="Verdana" w:hAnsi="Verdana"/>
        </w:rPr>
      </w:pPr>
      <w:bookmarkStart w:id="0" w:name="_Hlk183184967"/>
      <w:r w:rsidRPr="00BA2F12">
        <w:rPr>
          <w:rFonts w:ascii="Verdana" w:hAnsi="Verdana"/>
        </w:rPr>
        <w:t>Por la cual se modifica el valor de referencia del precio de escasez inferior del Cargo por Confiabilidad</w:t>
      </w:r>
      <w:bookmarkEnd w:id="0"/>
      <w:r w:rsidRPr="00BA2F12">
        <w:rPr>
          <w:rFonts w:ascii="Verdana" w:hAnsi="Verdana"/>
        </w:rPr>
        <w:t>.</w:t>
      </w:r>
    </w:p>
    <w:p w14:paraId="42CA4A2A" w14:textId="77777777" w:rsidR="00CC75CE" w:rsidRPr="00BA2F12" w:rsidRDefault="00CC75CE" w:rsidP="00CC75CE">
      <w:pPr>
        <w:spacing w:before="240" w:after="240"/>
        <w:rPr>
          <w:rFonts w:ascii="Verdana" w:hAnsi="Verdana"/>
        </w:rPr>
      </w:pPr>
    </w:p>
    <w:p w14:paraId="1C01FCB2" w14:textId="77777777" w:rsidR="00045D3D" w:rsidRPr="00BA2F12" w:rsidRDefault="00045D3D" w:rsidP="00870417">
      <w:pPr>
        <w:spacing w:before="360" w:after="360"/>
        <w:ind w:right="51"/>
        <w:jc w:val="center"/>
        <w:rPr>
          <w:rFonts w:ascii="Verdana" w:hAnsi="Verdana"/>
          <w:b/>
        </w:rPr>
      </w:pPr>
      <w:r w:rsidRPr="00BA2F12">
        <w:rPr>
          <w:rFonts w:ascii="Verdana" w:hAnsi="Verdana"/>
          <w:b/>
        </w:rPr>
        <w:t xml:space="preserve">LA COMISIÓN DE REGULACIÓN </w:t>
      </w:r>
      <w:r w:rsidR="00A06C25" w:rsidRPr="00BA2F12">
        <w:rPr>
          <w:rFonts w:ascii="Verdana" w:hAnsi="Verdana"/>
          <w:b/>
        </w:rPr>
        <w:t>DE ENERGÍA</w:t>
      </w:r>
      <w:r w:rsidRPr="00BA2F12">
        <w:rPr>
          <w:rFonts w:ascii="Verdana" w:hAnsi="Verdana"/>
          <w:b/>
        </w:rPr>
        <w:t xml:space="preserve"> Y GAS</w:t>
      </w:r>
    </w:p>
    <w:p w14:paraId="233A688C" w14:textId="77777777" w:rsidR="00CC75CE" w:rsidRPr="00BA2F12" w:rsidRDefault="00CC75CE" w:rsidP="00CC75CE">
      <w:pPr>
        <w:pStyle w:val="Textoindependiente3"/>
        <w:spacing w:before="360" w:after="360"/>
        <w:rPr>
          <w:rFonts w:ascii="Verdana" w:hAnsi="Verdana"/>
          <w:b w:val="0"/>
        </w:rPr>
      </w:pPr>
      <w:r w:rsidRPr="00BA2F12">
        <w:rPr>
          <w:rFonts w:ascii="Verdana" w:hAnsi="Verdana"/>
          <w:b w:val="0"/>
        </w:rPr>
        <w:t>En ejercicio de sus atribuciones legales, en especial las conferidas por las leyes 142 y 143 de 1994, y en desarrollo de los decretos 1524, 2253 de 1994 y 1260 de 2013</w:t>
      </w:r>
    </w:p>
    <w:p w14:paraId="49DECB61" w14:textId="77777777" w:rsidR="00045D3D" w:rsidRPr="00BA2F12" w:rsidRDefault="00955F64" w:rsidP="003B3EF0">
      <w:pPr>
        <w:suppressAutoHyphens/>
        <w:spacing w:before="480" w:after="480"/>
        <w:jc w:val="center"/>
        <w:rPr>
          <w:rFonts w:ascii="Verdana" w:hAnsi="Verdana"/>
          <w:b/>
        </w:rPr>
      </w:pPr>
      <w:r w:rsidRPr="00BA2F12">
        <w:rPr>
          <w:rFonts w:ascii="Verdana" w:hAnsi="Verdana"/>
          <w:b/>
        </w:rPr>
        <w:t>C</w:t>
      </w:r>
      <w:r w:rsidR="00045D3D" w:rsidRPr="00BA2F12">
        <w:rPr>
          <w:rFonts w:ascii="Verdana" w:hAnsi="Verdana"/>
          <w:b/>
        </w:rPr>
        <w:t>ONSIDERAND</w:t>
      </w:r>
      <w:r w:rsidR="00A06C25" w:rsidRPr="00BA2F12">
        <w:rPr>
          <w:rFonts w:ascii="Verdana" w:hAnsi="Verdana"/>
          <w:b/>
        </w:rPr>
        <w:t>O</w:t>
      </w:r>
      <w:r w:rsidRPr="00BA2F12">
        <w:rPr>
          <w:rFonts w:ascii="Verdana" w:hAnsi="Verdana"/>
          <w:b/>
        </w:rPr>
        <w:t xml:space="preserve"> </w:t>
      </w:r>
      <w:r w:rsidR="00A06C25" w:rsidRPr="00BA2F12">
        <w:rPr>
          <w:rFonts w:ascii="Verdana" w:hAnsi="Verdana"/>
          <w:b/>
        </w:rPr>
        <w:t>Q</w:t>
      </w:r>
      <w:r w:rsidR="00045D3D" w:rsidRPr="00BA2F12">
        <w:rPr>
          <w:rFonts w:ascii="Verdana" w:hAnsi="Verdana"/>
          <w:b/>
        </w:rPr>
        <w:t>UE:</w:t>
      </w:r>
    </w:p>
    <w:p w14:paraId="022C2E3B" w14:textId="27FF6526" w:rsidR="00CC75CE" w:rsidRPr="00BA2F12" w:rsidRDefault="00CC75CE" w:rsidP="00CC75CE">
      <w:pPr>
        <w:spacing w:before="240" w:after="240"/>
        <w:rPr>
          <w:rFonts w:ascii="Verdana" w:hAnsi="Verdana"/>
        </w:rPr>
      </w:pPr>
      <w:r w:rsidRPr="00BA2F12">
        <w:rPr>
          <w:rFonts w:ascii="Verdana" w:hAnsi="Verdana"/>
        </w:rPr>
        <w:t xml:space="preserve">Por mandato del artículo 334 de la Constitución Política corresponde al Estado la dirección general de la economía, para lo cual intervendrá, por disposición </w:t>
      </w:r>
      <w:r w:rsidRPr="00BA2F12">
        <w:rPr>
          <w:rFonts w:ascii="Verdana" w:hAnsi="Verdana"/>
        </w:rPr>
        <w:lastRenderedPageBreak/>
        <w:t>de la ley, entre otros asuntos, en los servicios públicos y privados, para racionalizar la economía en un marco de sostenibilidad fiscal, buscando el mejoramiento de la calidad de vida de los habitantes, la distribución equitativa de las oportunidades y los beneficios del desarrollo y la preservación de un ambiente sano.</w:t>
      </w:r>
    </w:p>
    <w:p w14:paraId="73F643FB" w14:textId="77777777" w:rsidR="00CC75CE" w:rsidRPr="00BA2F12" w:rsidRDefault="00CC75CE" w:rsidP="00CC75CE">
      <w:pPr>
        <w:spacing w:before="240" w:after="240"/>
        <w:rPr>
          <w:rFonts w:ascii="Verdana" w:hAnsi="Verdana"/>
        </w:rPr>
      </w:pPr>
      <w:r w:rsidRPr="00BA2F12">
        <w:rPr>
          <w:rFonts w:ascii="Verdana" w:hAnsi="Verdana"/>
        </w:rPr>
        <w:t>El artículo 365 de la Constitución Política establece que los servicios públicos son inherentes a la finalidad social del Estado y es deber de este asegurar su prestación eficiente a todos los habitantes del territorio nacional.</w:t>
      </w:r>
    </w:p>
    <w:p w14:paraId="499AD704" w14:textId="77777777" w:rsidR="00CC75CE" w:rsidRPr="00BA2F12" w:rsidRDefault="00CC75CE" w:rsidP="00CC75CE">
      <w:pPr>
        <w:spacing w:before="240" w:after="240"/>
        <w:rPr>
          <w:rFonts w:ascii="Verdana" w:hAnsi="Verdana"/>
        </w:rPr>
      </w:pPr>
      <w:r w:rsidRPr="00BA2F12">
        <w:rPr>
          <w:rFonts w:ascii="Verdana" w:hAnsi="Verdana"/>
        </w:rPr>
        <w:t xml:space="preserve">El artículo 370 de la Constitución Política asigna al </w:t>
      </w:r>
      <w:proofErr w:type="gramStart"/>
      <w:r w:rsidRPr="00BA2F12">
        <w:rPr>
          <w:rFonts w:ascii="Verdana" w:hAnsi="Verdana"/>
        </w:rPr>
        <w:t>Presidente</w:t>
      </w:r>
      <w:proofErr w:type="gramEnd"/>
      <w:r w:rsidRPr="00BA2F12">
        <w:rPr>
          <w:rFonts w:ascii="Verdana" w:hAnsi="Verdana"/>
        </w:rPr>
        <w:t xml:space="preserve"> de la República la función de señalar, con sujeción a la ley, las políticas generales de administración y control de eficiencia de los servicios públicos domiciliarios.</w:t>
      </w:r>
    </w:p>
    <w:p w14:paraId="54379556" w14:textId="77777777" w:rsidR="00CC75CE" w:rsidRPr="00BA2F12" w:rsidRDefault="00CC75CE" w:rsidP="00CC75CE">
      <w:pPr>
        <w:spacing w:before="240" w:after="240"/>
        <w:rPr>
          <w:rFonts w:ascii="Verdana" w:hAnsi="Verdana"/>
        </w:rPr>
      </w:pPr>
      <w:r w:rsidRPr="00BA2F12">
        <w:rPr>
          <w:rFonts w:ascii="Verdana" w:hAnsi="Verdana"/>
        </w:rPr>
        <w:t>De conformidad con la Ley 142 de 1994, artículo 3 numeral 3, la regulación de los servicios públicos es una forma de intervención del Estado en la economía.</w:t>
      </w:r>
    </w:p>
    <w:p w14:paraId="7368D8C2" w14:textId="77777777" w:rsidR="00CC75CE" w:rsidRPr="00BA2F12" w:rsidRDefault="00CC75CE" w:rsidP="00CC75CE">
      <w:pPr>
        <w:spacing w:before="240" w:after="240"/>
        <w:rPr>
          <w:rFonts w:ascii="Verdana" w:hAnsi="Verdana"/>
        </w:rPr>
      </w:pPr>
      <w:r w:rsidRPr="00BA2F12">
        <w:rPr>
          <w:rFonts w:ascii="Verdana" w:hAnsi="Verdana"/>
        </w:rPr>
        <w:t>La función de la regulación está orientada no solo a corregir fallas del mercado sino a desarrollar los fines esenciales de los servicios públicos, y, los servicios públicos hacen parte de la cláusula del Estado Social de Derecho.</w:t>
      </w:r>
    </w:p>
    <w:p w14:paraId="1850867C" w14:textId="77777777" w:rsidR="00CC75CE" w:rsidRPr="00BA2F12" w:rsidRDefault="00CC75CE" w:rsidP="00CC75CE">
      <w:pPr>
        <w:spacing w:before="240" w:after="240"/>
        <w:rPr>
          <w:rFonts w:ascii="Verdana" w:hAnsi="Verdana"/>
        </w:rPr>
      </w:pPr>
      <w:r w:rsidRPr="00BA2F12">
        <w:rPr>
          <w:rFonts w:ascii="Verdana" w:hAnsi="Verdana"/>
        </w:rPr>
        <w:t>Es un fin de la regulación, garantizar la debida prestación de los servicios públicos, en el caso en concreto del servicio de energía eléctrica de manera confiable y continua.</w:t>
      </w:r>
    </w:p>
    <w:p w14:paraId="64440E33" w14:textId="77777777" w:rsidR="00CC75CE" w:rsidRPr="00BA2F12" w:rsidRDefault="00CC75CE" w:rsidP="00CC75CE">
      <w:pPr>
        <w:spacing w:before="240" w:after="240"/>
        <w:rPr>
          <w:rFonts w:ascii="Verdana" w:hAnsi="Verdana"/>
        </w:rPr>
      </w:pPr>
      <w:r w:rsidRPr="00BA2F12">
        <w:rPr>
          <w:rFonts w:ascii="Verdana" w:hAnsi="Verdana"/>
        </w:rPr>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p>
    <w:p w14:paraId="21E19B7D" w14:textId="77777777" w:rsidR="00CC75CE" w:rsidRPr="00BA2F12" w:rsidRDefault="00CC75CE" w:rsidP="00CC75CE">
      <w:pPr>
        <w:spacing w:before="240" w:after="240"/>
        <w:rPr>
          <w:rFonts w:ascii="Verdana" w:hAnsi="Verdana"/>
        </w:rPr>
      </w:pPr>
      <w:r w:rsidRPr="00BA2F12">
        <w:rPr>
          <w:rFonts w:ascii="Verdana" w:hAnsi="Verdana"/>
        </w:rPr>
        <w:t>Con fundamento en la citada ley y artículo, el legislador también le asignó a la Comisión de Regulación de Energía y Gas, la facultad de expedir el Reglamento de Operación para regular el funcionamiento del Mercado Mayorista de Energía.</w:t>
      </w:r>
    </w:p>
    <w:p w14:paraId="6716BF88" w14:textId="77777777" w:rsidR="00CC75CE" w:rsidRPr="00BA2F12" w:rsidRDefault="00CC75CE" w:rsidP="00CC75CE">
      <w:pPr>
        <w:spacing w:before="240" w:after="240"/>
        <w:rPr>
          <w:rFonts w:ascii="Verdana" w:hAnsi="Verdana"/>
        </w:rPr>
      </w:pPr>
      <w:r w:rsidRPr="00BA2F12">
        <w:rPr>
          <w:rFonts w:ascii="Verdana" w:hAnsi="Verdana"/>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14:paraId="6EBEBC4A" w14:textId="77777777" w:rsidR="00CC75CE" w:rsidRPr="00BA2F12" w:rsidRDefault="00CC75CE" w:rsidP="00CC75CE">
      <w:pPr>
        <w:spacing w:before="240" w:after="240"/>
        <w:rPr>
          <w:rFonts w:ascii="Verdana" w:hAnsi="Verdana"/>
        </w:rPr>
      </w:pPr>
      <w:r w:rsidRPr="00BA2F12">
        <w:rPr>
          <w:rFonts w:ascii="Verdana" w:hAnsi="Verdana"/>
        </w:rPr>
        <w:t xml:space="preserve">La Ley 143 de 1994, artículo 20, definió como objetivo fundamental de la regulación en el sector eléctrico, asegurar una adecuada prestación del </w:t>
      </w:r>
      <w:r w:rsidRPr="00BA2F12">
        <w:rPr>
          <w:rFonts w:ascii="Verdana" w:hAnsi="Verdana"/>
        </w:rPr>
        <w:lastRenderedPageBreak/>
        <w:t>servicio mediante el aprovechamiento eficiente de los diferentes recursos energéticos, en beneficio del usuario en términos de calidad, oportunidad y costo del servicio.</w:t>
      </w:r>
    </w:p>
    <w:p w14:paraId="264A54B3" w14:textId="77777777" w:rsidR="00CC75CE" w:rsidRPr="00BA2F12" w:rsidRDefault="00CC75CE" w:rsidP="00CC75CE">
      <w:pPr>
        <w:spacing w:before="240" w:after="240"/>
        <w:rPr>
          <w:rFonts w:ascii="Verdana" w:hAnsi="Verdana"/>
        </w:rPr>
      </w:pPr>
      <w:r w:rsidRPr="00BA2F12">
        <w:rPr>
          <w:rFonts w:ascii="Verdana" w:hAnsi="Verdana"/>
        </w:rPr>
        <w:t>Para el cumplimiento del objetivo señalado, la Ley 143 de 1994, artículo 23, le atribuyó a la Comisión de Regulación de Energía y Gas, entre otras, las siguientes funciones:</w:t>
      </w:r>
    </w:p>
    <w:p w14:paraId="0CA02D93" w14:textId="77777777" w:rsidR="00CC75CE" w:rsidRPr="00BA2F12" w:rsidRDefault="00CC75CE" w:rsidP="00CC75CE">
      <w:pPr>
        <w:numPr>
          <w:ilvl w:val="0"/>
          <w:numId w:val="10"/>
        </w:numPr>
        <w:tabs>
          <w:tab w:val="clear" w:pos="720"/>
          <w:tab w:val="num" w:pos="360"/>
        </w:tabs>
        <w:spacing w:before="240" w:after="240"/>
        <w:ind w:left="360" w:hanging="360"/>
        <w:rPr>
          <w:rFonts w:ascii="Verdana" w:hAnsi="Verdana"/>
        </w:rPr>
      </w:pPr>
      <w:r w:rsidRPr="00BA2F12">
        <w:rPr>
          <w:rFonts w:ascii="Verdana" w:hAnsi="Verdana"/>
        </w:rPr>
        <w:t>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14:paraId="78010C02" w14:textId="77777777" w:rsidR="00CC75CE" w:rsidRPr="00BA2F12" w:rsidRDefault="00CC75CE" w:rsidP="00CC75CE">
      <w:pPr>
        <w:numPr>
          <w:ilvl w:val="0"/>
          <w:numId w:val="10"/>
        </w:numPr>
        <w:tabs>
          <w:tab w:val="clear" w:pos="720"/>
          <w:tab w:val="num" w:pos="360"/>
        </w:tabs>
        <w:spacing w:before="240" w:after="240"/>
        <w:ind w:left="360" w:hanging="360"/>
        <w:rPr>
          <w:rFonts w:ascii="Verdana" w:hAnsi="Verdana"/>
        </w:rPr>
      </w:pPr>
      <w:r w:rsidRPr="00BA2F12">
        <w:rPr>
          <w:rFonts w:ascii="Verdana" w:hAnsi="Verdana"/>
        </w:rPr>
        <w:t>Valorar la capacidad de generación de respaldo de la oferta eficiente.</w:t>
      </w:r>
    </w:p>
    <w:p w14:paraId="5B369DFD" w14:textId="77777777" w:rsidR="00CC75CE" w:rsidRPr="00BA2F12" w:rsidRDefault="00CC75CE" w:rsidP="00CC75CE">
      <w:pPr>
        <w:numPr>
          <w:ilvl w:val="0"/>
          <w:numId w:val="10"/>
        </w:numPr>
        <w:tabs>
          <w:tab w:val="clear" w:pos="720"/>
          <w:tab w:val="num" w:pos="360"/>
        </w:tabs>
        <w:spacing w:before="240" w:after="240"/>
        <w:ind w:left="360" w:hanging="360"/>
        <w:rPr>
          <w:rFonts w:ascii="Verdana" w:hAnsi="Verdana"/>
        </w:rPr>
      </w:pPr>
      <w:r w:rsidRPr="00BA2F12">
        <w:rPr>
          <w:rFonts w:ascii="Verdana" w:hAnsi="Verdana"/>
        </w:rPr>
        <w:t xml:space="preserve">Definir y hacer operativos los criterios técnicos de calidad, confiabilidad y seguridad del servicio de energía. </w:t>
      </w:r>
    </w:p>
    <w:p w14:paraId="5957D717" w14:textId="77777777" w:rsidR="00CC75CE" w:rsidRPr="00BA2F12" w:rsidRDefault="00CC75CE" w:rsidP="00CC75CE">
      <w:pPr>
        <w:numPr>
          <w:ilvl w:val="0"/>
          <w:numId w:val="10"/>
        </w:numPr>
        <w:tabs>
          <w:tab w:val="clear" w:pos="720"/>
          <w:tab w:val="num" w:pos="360"/>
        </w:tabs>
        <w:spacing w:before="240" w:after="240"/>
        <w:ind w:left="360" w:hanging="360"/>
        <w:rPr>
          <w:rFonts w:ascii="Verdana" w:hAnsi="Verdana"/>
        </w:rPr>
      </w:pPr>
      <w:r w:rsidRPr="00BA2F12">
        <w:rPr>
          <w:rFonts w:ascii="Verdana" w:hAnsi="Verdana"/>
        </w:rPr>
        <w:t>Establecer el Reglamento de Operación para realizar el planeamiento y la coordinación de la operación del Sistema Interconectado Nacional.</w:t>
      </w:r>
    </w:p>
    <w:p w14:paraId="19E36194" w14:textId="77777777" w:rsidR="00CC75CE" w:rsidRPr="00BA2F12" w:rsidRDefault="00CC75CE" w:rsidP="00CC75CE">
      <w:pPr>
        <w:spacing w:before="240" w:after="240"/>
        <w:rPr>
          <w:rFonts w:ascii="Verdana" w:hAnsi="Verdana"/>
        </w:rPr>
      </w:pPr>
      <w:r w:rsidRPr="00BA2F12">
        <w:rPr>
          <w:rFonts w:ascii="Verdana" w:hAnsi="Verdana"/>
        </w:rPr>
        <w:t>La Comisión de Regulación de Energía y Gas, en desarrollo de los objetivos y funciones antes señalados, mediante la Resolución CREG 071 de 2006, adoptó la metodología para la remuneración del Cargo por Confiabilidad en el Mercado Mayorista.</w:t>
      </w:r>
    </w:p>
    <w:p w14:paraId="43232489" w14:textId="77777777" w:rsidR="00CC75CE" w:rsidRPr="00BA2F12" w:rsidRDefault="00CC75CE" w:rsidP="00CC75CE">
      <w:pPr>
        <w:spacing w:before="240" w:after="240"/>
        <w:rPr>
          <w:rFonts w:ascii="Verdana" w:hAnsi="Verdana"/>
          <w:bCs/>
          <w:lang w:val="es-CO"/>
        </w:rPr>
      </w:pPr>
      <w:r w:rsidRPr="00BA2F12">
        <w:rPr>
          <w:rFonts w:ascii="Verdana" w:hAnsi="Verdana"/>
          <w:bCs/>
          <w:lang w:val="es-CO"/>
        </w:rPr>
        <w:t>En la Resolución CREG 071 de 2006 se establece que el precio de escasez es el valor definido por la CREG y actualizado mensualmente, que determina el nivel del precio de bolsa a partir del cual se hacen exigibles las Obligaciones de Energía Firme y constituye el precio máximo al que se remunera esta energía.</w:t>
      </w:r>
    </w:p>
    <w:p w14:paraId="363D7755" w14:textId="77777777" w:rsidR="00CC75CE" w:rsidRPr="00BA2F12" w:rsidRDefault="00CC75CE" w:rsidP="00CC75CE">
      <w:pPr>
        <w:autoSpaceDE w:val="0"/>
        <w:autoSpaceDN w:val="0"/>
        <w:adjustRightInd w:val="0"/>
        <w:spacing w:before="240" w:after="240"/>
        <w:rPr>
          <w:rFonts w:ascii="Verdana" w:hAnsi="Verdana" w:cs="Bookman Old Style"/>
          <w:color w:val="000000"/>
          <w:lang w:eastAsia="es-CO"/>
        </w:rPr>
      </w:pPr>
      <w:r w:rsidRPr="00BA2F12">
        <w:rPr>
          <w:rFonts w:ascii="Verdana" w:hAnsi="Verdana" w:cs="Bookman Old Style"/>
          <w:color w:val="000000"/>
          <w:lang w:val="es-CO" w:eastAsia="es-CO"/>
        </w:rPr>
        <w:t>Posteriormente, mediante la Resolución CREG 140 de 2017 se modificó la metodología de cálculo del precio de escasez, estableciendo el precio marginal de escasez.</w:t>
      </w:r>
    </w:p>
    <w:p w14:paraId="6F17D05E" w14:textId="77777777" w:rsidR="00CC75CE" w:rsidRPr="00BA2F12" w:rsidRDefault="00CC75CE" w:rsidP="00CC75CE">
      <w:pPr>
        <w:autoSpaceDE w:val="0"/>
        <w:autoSpaceDN w:val="0"/>
        <w:adjustRightInd w:val="0"/>
        <w:spacing w:before="240" w:after="240"/>
        <w:rPr>
          <w:rFonts w:ascii="Verdana" w:hAnsi="Verdana" w:cs="Bookman Old Style"/>
          <w:color w:val="000000"/>
          <w:lang w:eastAsia="es-CO"/>
        </w:rPr>
      </w:pPr>
      <w:r w:rsidRPr="00BA2F12">
        <w:rPr>
          <w:rFonts w:ascii="Verdana" w:hAnsi="Verdana" w:cs="Bookman Old Style"/>
          <w:color w:val="000000"/>
          <w:lang w:eastAsia="es-CO"/>
        </w:rPr>
        <w:t>Mediante publicación de la Circular CREG 33 de 2024 del 17 de junio de 2024. l</w:t>
      </w:r>
      <w:r w:rsidRPr="00BA2F12">
        <w:rPr>
          <w:rFonts w:ascii="Verdana" w:hAnsi="Verdana"/>
          <w:bCs/>
          <w:lang w:val="es-CO"/>
        </w:rPr>
        <w:t>a Comisión expidió el Documento CREG 901 098 de 2024 mediante el cual se hizo una propuesta para incluir un precio de escasez para las plantas de costos variables bajos, dado que la función de precio techo a las compras en bolsa se había afectado, dado que el precio de escasez fue superior al costo de racionamiento en algunos períodos de 2023, de conformidad con el análisis de mencionado documento.</w:t>
      </w:r>
    </w:p>
    <w:p w14:paraId="7FA193D7" w14:textId="3213C1AD" w:rsidR="00CC75CE" w:rsidRPr="00BA2F12" w:rsidRDefault="00CC75CE" w:rsidP="00CC75CE">
      <w:pPr>
        <w:spacing w:before="240" w:after="240"/>
        <w:rPr>
          <w:rFonts w:ascii="Verdana" w:hAnsi="Verdana"/>
          <w:bCs/>
        </w:rPr>
      </w:pPr>
      <w:r w:rsidRPr="00BA2F12">
        <w:rPr>
          <w:rFonts w:ascii="Verdana" w:hAnsi="Verdana"/>
          <w:bCs/>
        </w:rPr>
        <w:t>Los comentarios y observaciones al Documento CREG 901 098 de 2024 antes mencionado, así como el análisis de estos, se incorporaron en el Documento CREG 901 130 de 2024 que acompañó la Resolución CREG 701 065 de 2024.</w:t>
      </w:r>
    </w:p>
    <w:p w14:paraId="74B19C4F" w14:textId="77777777" w:rsidR="00CC75CE" w:rsidRPr="00BA2F12" w:rsidRDefault="00CC75CE" w:rsidP="00CC75CE">
      <w:pPr>
        <w:spacing w:before="240" w:after="240"/>
        <w:rPr>
          <w:rFonts w:ascii="Verdana" w:hAnsi="Verdana"/>
          <w:color w:val="000000"/>
        </w:rPr>
      </w:pPr>
      <w:r w:rsidRPr="00BA2F12">
        <w:rPr>
          <w:rFonts w:ascii="Verdana" w:hAnsi="Verdana"/>
          <w:color w:val="000000"/>
        </w:rPr>
        <w:t xml:space="preserve">Con base en lo establecido en los artículos 2.2.2.30.3 y 2.2.2.30.5 del Decreto 1074 de 2015, por medio del cual se expide el Decreto Único Reglamentario </w:t>
      </w:r>
      <w:r w:rsidRPr="00BA2F12">
        <w:rPr>
          <w:rFonts w:ascii="Verdana" w:hAnsi="Verdana"/>
          <w:color w:val="000000"/>
        </w:rPr>
        <w:lastRenderedPageBreak/>
        <w:t>del Sector Comercio, Industria y Turismo y se compila el Decreto 2897 de 2010, se respondió el cuestionario establecido por la Superintendencia de Industria y Comercio (SIC), a efectos de evaluar la incidencia en la libre competencia de los mercados de esta medida. Como resultado se concluyó que esta normativa podría ser restrictiva de la competencia y, en consecuencia, la Comisión en su Sesión 1342 del 28 de septiembre de 2024, analizados las observaciones y comentarios recibidos al proyecto decidió remitir a la SIC el contenido y soporte del proyecto de resolución.</w:t>
      </w:r>
    </w:p>
    <w:p w14:paraId="5CC6709E" w14:textId="77777777" w:rsidR="00CC75CE" w:rsidRPr="00BA2F12" w:rsidRDefault="00CC75CE" w:rsidP="00CC75CE">
      <w:pPr>
        <w:spacing w:before="240" w:after="240"/>
        <w:rPr>
          <w:rFonts w:ascii="Verdana" w:hAnsi="Verdana"/>
          <w:color w:val="000000"/>
        </w:rPr>
      </w:pPr>
      <w:r w:rsidRPr="00BA2F12">
        <w:rPr>
          <w:rFonts w:ascii="Verdana" w:hAnsi="Verdana"/>
        </w:rPr>
        <w:t xml:space="preserve">Con radicado No. 24-422517-40 de fecha 31 de octubre de 2024, la SIC emitió respuesta a la solicitud </w:t>
      </w:r>
      <w:r w:rsidRPr="00BA2F12">
        <w:rPr>
          <w:rFonts w:ascii="Verdana" w:hAnsi="Verdana"/>
          <w:color w:val="000000"/>
        </w:rPr>
        <w:t xml:space="preserve">de concepto de abogacía de la competencia sobre el proyecto de resolución “Por la cual se definen nuevos precios de escasez del Cargo por Confiabilidad, se hacen modificaciones a la Resolución CREG 071 de 2006 y a otras resoluciones.” presentada mediante el radicado CREG No. </w:t>
      </w:r>
      <w:r w:rsidRPr="00BA2F12">
        <w:rPr>
          <w:rFonts w:ascii="Verdana" w:hAnsi="Verdana"/>
          <w:color w:val="000000"/>
          <w:lang w:val="es-CO"/>
        </w:rPr>
        <w:t>S2024006503 de fecha 1 de octubre de 2024.</w:t>
      </w:r>
    </w:p>
    <w:p w14:paraId="43DB4938" w14:textId="77777777" w:rsidR="00CC75CE" w:rsidRPr="00BA2F12" w:rsidRDefault="00CC75CE" w:rsidP="00CC75CE">
      <w:pPr>
        <w:spacing w:before="240" w:after="240"/>
        <w:rPr>
          <w:rFonts w:ascii="Verdana" w:hAnsi="Verdana"/>
          <w:color w:val="000000"/>
        </w:rPr>
      </w:pPr>
      <w:r w:rsidRPr="00BA2F12">
        <w:rPr>
          <w:rFonts w:ascii="Verdana" w:hAnsi="Verdana"/>
          <w:color w:val="000000"/>
        </w:rPr>
        <w:t>En la citada comunicación la SIC recomendó a la CREG:</w:t>
      </w:r>
    </w:p>
    <w:p w14:paraId="4E94D1CB" w14:textId="77777777" w:rsidR="00CC75CE" w:rsidRPr="00BA2F12" w:rsidRDefault="00CC75CE" w:rsidP="00CC75CE">
      <w:pPr>
        <w:pStyle w:val="Prrafodelista"/>
        <w:numPr>
          <w:ilvl w:val="0"/>
          <w:numId w:val="11"/>
        </w:numPr>
        <w:rPr>
          <w:rFonts w:ascii="Verdana" w:hAnsi="Verdana"/>
          <w:i/>
          <w:iCs/>
          <w:color w:val="000000"/>
          <w:szCs w:val="24"/>
        </w:rPr>
      </w:pPr>
      <w:r w:rsidRPr="00BA2F12">
        <w:rPr>
          <w:rFonts w:ascii="Verdana" w:hAnsi="Verdana"/>
          <w:i/>
          <w:iCs/>
          <w:color w:val="000000"/>
          <w:szCs w:val="24"/>
        </w:rPr>
        <w:t>Justificar con fundamento en criterios técnicos, económicos y jurídicos por qué las reglas propuestas en torno a la definición del percentil aplicable como valor de referencia para determinar el Precio de Escasez Inferior (PEI) y la no incorporación de un mecanismo de transición para los generadores con Obligaciones de Energía Firme (OEF) previamente asignadas implican mayores beneficios en relación con los riesgos expuestos en este concepto.</w:t>
      </w:r>
    </w:p>
    <w:p w14:paraId="3E413A87" w14:textId="77777777" w:rsidR="00CC75CE" w:rsidRPr="00BA2F12" w:rsidRDefault="00CC75CE" w:rsidP="00CC75CE">
      <w:pPr>
        <w:pStyle w:val="Prrafodelista"/>
        <w:numPr>
          <w:ilvl w:val="0"/>
          <w:numId w:val="11"/>
        </w:numPr>
        <w:rPr>
          <w:rFonts w:ascii="Verdana" w:hAnsi="Verdana"/>
          <w:i/>
          <w:iCs/>
          <w:color w:val="000000"/>
          <w:szCs w:val="24"/>
        </w:rPr>
      </w:pPr>
      <w:r w:rsidRPr="00BA2F12">
        <w:rPr>
          <w:rFonts w:ascii="Verdana" w:hAnsi="Verdana"/>
          <w:i/>
          <w:iCs/>
          <w:color w:val="000000"/>
          <w:szCs w:val="24"/>
        </w:rPr>
        <w:t>Exponer las razones técnicas, económicas y jurídicas que justifican la conveniencia de adoptar este proyecto frente a las demás alternativas regulatorias enunciadas por la CREG en el documento soporte que acompaña el proyecto.</w:t>
      </w:r>
    </w:p>
    <w:p w14:paraId="676F2874" w14:textId="77777777" w:rsidR="00CC75CE" w:rsidRPr="00BA2F12" w:rsidRDefault="00CC75CE" w:rsidP="00CC75CE">
      <w:pPr>
        <w:spacing w:before="240" w:after="240"/>
        <w:rPr>
          <w:rFonts w:ascii="Verdana" w:hAnsi="Verdana"/>
          <w:bCs/>
        </w:rPr>
      </w:pPr>
      <w:r w:rsidRPr="00BA2F12">
        <w:rPr>
          <w:rFonts w:ascii="Verdana" w:hAnsi="Verdana"/>
          <w:bCs/>
        </w:rPr>
        <w:t xml:space="preserve">La Comisión incluyó </w:t>
      </w:r>
      <w:r w:rsidRPr="00BA2F12">
        <w:rPr>
          <w:rFonts w:ascii="Verdana" w:hAnsi="Verdana"/>
          <w:color w:val="000000"/>
          <w:lang w:val="es-CO"/>
        </w:rPr>
        <w:t xml:space="preserve">en el </w:t>
      </w:r>
      <w:r w:rsidRPr="00BA2F12">
        <w:rPr>
          <w:rFonts w:ascii="Verdana" w:hAnsi="Verdana"/>
          <w:bCs/>
        </w:rPr>
        <w:t>Documento CREG 901 153 del 18 de noviembre de 2024, el cual hace parte integral de la Resolución CREG 101 066 de 2024, todos los análisis y justificaciones respecto de las demás alternativas analizadas por la Comisión atendiendo las recomendaciones realizadas por la SIC, así como de las observaciones recibidas durante el periodo de consulta del proyecto normativo.</w:t>
      </w:r>
    </w:p>
    <w:p w14:paraId="2E6FDB0F" w14:textId="3E25D5C3" w:rsidR="00CC75CE" w:rsidRPr="00BA2F12" w:rsidRDefault="00CC75CE" w:rsidP="00CC75CE">
      <w:pPr>
        <w:spacing w:before="240" w:after="240"/>
        <w:rPr>
          <w:rFonts w:ascii="Verdana" w:hAnsi="Verdana"/>
          <w:bCs/>
        </w:rPr>
      </w:pPr>
      <w:r w:rsidRPr="00BA2F12">
        <w:rPr>
          <w:rFonts w:ascii="Verdana" w:hAnsi="Verdana"/>
          <w:bCs/>
        </w:rPr>
        <w:t xml:space="preserve">Conforme a lo anterior, por un lado, se decidió mantener el valor de 359 $/kWh como valor de referencia para la determinación del precio de escasez inferior y a su vez ajustar la prima de remuneración del Cargo por Confiabilidad dado el cambio en las rentas inframarginales, y por el otro, que la aplicación de dicho mecanismo fuera </w:t>
      </w:r>
      <w:r w:rsidR="003C0037" w:rsidRPr="00BA2F12">
        <w:rPr>
          <w:rFonts w:ascii="Verdana" w:hAnsi="Verdana"/>
          <w:bCs/>
        </w:rPr>
        <w:t>voluntaria</w:t>
      </w:r>
      <w:r w:rsidRPr="00BA2F12">
        <w:rPr>
          <w:rFonts w:ascii="Verdana" w:hAnsi="Verdana"/>
          <w:bCs/>
        </w:rPr>
        <w:t xml:space="preserve"> para los agentes generadores con asignaciones de Obligaciones de Energía Firme, OEF, previas a la expedición de la Resolución CREG 101 066 de 2024.</w:t>
      </w:r>
    </w:p>
    <w:p w14:paraId="14339E07" w14:textId="77777777" w:rsidR="00CC75CE" w:rsidRPr="00BA2F12" w:rsidRDefault="00CC75CE" w:rsidP="00CC75CE">
      <w:pPr>
        <w:spacing w:before="240" w:after="240"/>
        <w:rPr>
          <w:rFonts w:ascii="Verdana" w:hAnsi="Verdana"/>
          <w:bCs/>
        </w:rPr>
      </w:pPr>
      <w:r w:rsidRPr="00BA2F12">
        <w:rPr>
          <w:rFonts w:ascii="Verdana" w:hAnsi="Verdana"/>
          <w:bCs/>
        </w:rPr>
        <w:t>Para el caso de nuevas asignaciones de OEF, posteriores a la expedición de la Resolución CREG 101 066 de 2024, el valor a emplear para el precio de escasez inferior es de 359 $/kWh y la prima de remuneración del cargo por confiabilidad será la que surja de la respectiva subasta.</w:t>
      </w:r>
    </w:p>
    <w:p w14:paraId="1B422246" w14:textId="23D93EF6" w:rsidR="00CC75CE" w:rsidRPr="00BA2F12" w:rsidRDefault="00CC75CE" w:rsidP="00CC75CE">
      <w:pPr>
        <w:spacing w:before="240" w:after="240"/>
        <w:rPr>
          <w:rFonts w:ascii="Verdana" w:hAnsi="Verdana"/>
          <w:bCs/>
        </w:rPr>
      </w:pPr>
      <w:r w:rsidRPr="00BA2F12">
        <w:rPr>
          <w:rFonts w:ascii="Verdana" w:hAnsi="Verdana"/>
          <w:bCs/>
        </w:rPr>
        <w:lastRenderedPageBreak/>
        <w:t>La Resolución CREG 101 066 de 2024, tiene como uno sus objetivos, el recuperar la función del precio de escasez como un techo de segundo nivel en la bolsa de energía, dado que el primer nivel de cobertura del precio de bolsa son los contratos de suministro de energía; sin embargo, como hecho sobreviniente a su expedición, se presentó que el costo promedio de referencia del carbón descendió de manera abrupta respecto de los precios analizados para la adopción de la medida definitiva</w:t>
      </w:r>
      <w:r w:rsidR="00DC52CF" w:rsidRPr="00BA2F12">
        <w:rPr>
          <w:rFonts w:ascii="Verdana" w:hAnsi="Verdana"/>
          <w:bCs/>
        </w:rPr>
        <w:t xml:space="preserve">, </w:t>
      </w:r>
      <w:r w:rsidR="00BE501D" w:rsidRPr="00BA2F12">
        <w:rPr>
          <w:rFonts w:ascii="Verdana" w:hAnsi="Verdana"/>
          <w:bCs/>
        </w:rPr>
        <w:t>ubicándose el PEI para el mes de febrero de 2025 por debajo del valor medio de contratos (MC) para la atención de la demanda del mercado regulado</w:t>
      </w:r>
      <w:r w:rsidRPr="00BA2F12">
        <w:rPr>
          <w:rFonts w:ascii="Verdana" w:hAnsi="Verdana"/>
          <w:bCs/>
        </w:rPr>
        <w:t>.</w:t>
      </w:r>
    </w:p>
    <w:p w14:paraId="7FD06943" w14:textId="70FB3579" w:rsidR="00CC75CE" w:rsidRPr="00BA2F12" w:rsidRDefault="00CC75CE" w:rsidP="00CC75CE">
      <w:pPr>
        <w:spacing w:before="240" w:after="240"/>
        <w:rPr>
          <w:rFonts w:ascii="Verdana" w:hAnsi="Verdana"/>
          <w:bCs/>
        </w:rPr>
      </w:pPr>
      <w:r w:rsidRPr="00BA2F12">
        <w:rPr>
          <w:rFonts w:ascii="Verdana" w:hAnsi="Verdana"/>
          <w:bCs/>
        </w:rPr>
        <w:t>Ante la presentación del hecho sobreviniente, se retomaron las alternativas que habían sido analizadas por esta Comisión en el Documento CREG 901 153 del 18 de noviembre de 2024, concluyendo que sin importar la variabilidad del indexador del PEI resulta conveniente establecer un nuevo valor de referencia que garantice unas señales adecuadas de contratación y expansión.</w:t>
      </w:r>
    </w:p>
    <w:p w14:paraId="7963378E" w14:textId="313C6104" w:rsidR="00CC75CE" w:rsidRPr="00BA2F12" w:rsidRDefault="00CC75CE" w:rsidP="00CC75CE">
      <w:pPr>
        <w:spacing w:before="240" w:after="240"/>
        <w:rPr>
          <w:rFonts w:ascii="Verdana" w:hAnsi="Verdana"/>
        </w:rPr>
      </w:pPr>
      <w:r w:rsidRPr="00BA2F12">
        <w:rPr>
          <w:rFonts w:ascii="Verdana" w:hAnsi="Verdana"/>
        </w:rPr>
        <w:t xml:space="preserve">Con base en lo anterior, la Comisión de Regulación de Energía y Gas, en su sesión No. </w:t>
      </w:r>
      <w:r w:rsidR="00CE6FA2" w:rsidRPr="00BA2F12">
        <w:rPr>
          <w:rFonts w:ascii="Verdana" w:hAnsi="Verdana"/>
        </w:rPr>
        <w:t>1373</w:t>
      </w:r>
      <w:r w:rsidRPr="00BA2F12">
        <w:rPr>
          <w:rFonts w:ascii="Verdana" w:hAnsi="Verdana"/>
        </w:rPr>
        <w:t xml:space="preserve"> del </w:t>
      </w:r>
      <w:r w:rsidR="00CE6FA2" w:rsidRPr="00BA2F12">
        <w:rPr>
          <w:rFonts w:ascii="Verdana" w:hAnsi="Verdana"/>
        </w:rPr>
        <w:t>20</w:t>
      </w:r>
      <w:r w:rsidR="003C0037" w:rsidRPr="00BA2F12">
        <w:rPr>
          <w:rFonts w:ascii="Verdana" w:hAnsi="Verdana"/>
        </w:rPr>
        <w:t xml:space="preserve"> </w:t>
      </w:r>
      <w:r w:rsidRPr="00BA2F12">
        <w:rPr>
          <w:rFonts w:ascii="Verdana" w:hAnsi="Verdana"/>
        </w:rPr>
        <w:t xml:space="preserve">de </w:t>
      </w:r>
      <w:r w:rsidR="00CE6FA2" w:rsidRPr="00BA2F12">
        <w:rPr>
          <w:rFonts w:ascii="Verdana" w:hAnsi="Verdana"/>
        </w:rPr>
        <w:t>febrero</w:t>
      </w:r>
      <w:r w:rsidR="003C0037" w:rsidRPr="00BA2F12">
        <w:rPr>
          <w:rFonts w:ascii="Verdana" w:hAnsi="Verdana"/>
        </w:rPr>
        <w:t xml:space="preserve"> </w:t>
      </w:r>
      <w:r w:rsidRPr="00BA2F12">
        <w:rPr>
          <w:rFonts w:ascii="Verdana" w:hAnsi="Verdana"/>
        </w:rPr>
        <w:t>de 202</w:t>
      </w:r>
      <w:r w:rsidR="003C0037" w:rsidRPr="00BA2F12">
        <w:rPr>
          <w:rFonts w:ascii="Verdana" w:hAnsi="Verdana"/>
        </w:rPr>
        <w:t>5</w:t>
      </w:r>
      <w:r w:rsidRPr="00BA2F12">
        <w:rPr>
          <w:rFonts w:ascii="Verdana" w:hAnsi="Verdana"/>
        </w:rPr>
        <w:t>, acordó expedir esta resolución.</w:t>
      </w:r>
    </w:p>
    <w:p w14:paraId="0EDEA0E7" w14:textId="77777777" w:rsidR="00CB079C" w:rsidRPr="00BA2F12" w:rsidRDefault="00CB079C" w:rsidP="00CB079C">
      <w:pPr>
        <w:spacing w:line="276" w:lineRule="auto"/>
        <w:rPr>
          <w:rFonts w:ascii="Verdana" w:hAnsi="Verdana"/>
          <w:lang w:val="es-CO"/>
        </w:rPr>
      </w:pPr>
    </w:p>
    <w:p w14:paraId="0DCF66AF" w14:textId="77777777" w:rsidR="00CB079C" w:rsidRPr="00BA2F12" w:rsidRDefault="00CB079C" w:rsidP="00CB079C">
      <w:pPr>
        <w:spacing w:line="276" w:lineRule="auto"/>
        <w:jc w:val="center"/>
        <w:rPr>
          <w:rFonts w:ascii="Verdana" w:hAnsi="Verdana"/>
          <w:b/>
        </w:rPr>
      </w:pPr>
      <w:r w:rsidRPr="00BA2F12">
        <w:rPr>
          <w:rFonts w:ascii="Verdana" w:hAnsi="Verdana"/>
          <w:b/>
        </w:rPr>
        <w:t>RESUELVE:</w:t>
      </w:r>
    </w:p>
    <w:p w14:paraId="68A2F3DB" w14:textId="77777777" w:rsidR="00CB079C" w:rsidRPr="00BA2F12" w:rsidRDefault="00CB079C" w:rsidP="00CB079C">
      <w:pPr>
        <w:spacing w:line="276" w:lineRule="auto"/>
        <w:jc w:val="center"/>
        <w:rPr>
          <w:rFonts w:ascii="Verdana" w:hAnsi="Verdana"/>
          <w:b/>
        </w:rPr>
      </w:pPr>
    </w:p>
    <w:p w14:paraId="5CB7F7CF" w14:textId="035AE954" w:rsidR="00CC75CE" w:rsidRPr="00BA2F12" w:rsidRDefault="00CC75CE" w:rsidP="00CC75CE">
      <w:pPr>
        <w:pStyle w:val="Prrafodelista"/>
        <w:numPr>
          <w:ilvl w:val="0"/>
          <w:numId w:val="13"/>
        </w:numPr>
        <w:ind w:left="0" w:firstLine="0"/>
        <w:rPr>
          <w:rFonts w:ascii="Verdana" w:hAnsi="Verdana"/>
          <w:szCs w:val="24"/>
        </w:rPr>
      </w:pPr>
      <w:r w:rsidRPr="00BA2F12">
        <w:rPr>
          <w:rFonts w:ascii="Verdana" w:hAnsi="Verdana"/>
          <w:b/>
          <w:szCs w:val="24"/>
        </w:rPr>
        <w:t>Modificar el artículo 4 de la Resolución CREG</w:t>
      </w:r>
      <w:r w:rsidR="00EF18A9" w:rsidRPr="00BA2F12">
        <w:rPr>
          <w:rFonts w:ascii="Verdana" w:hAnsi="Verdana"/>
          <w:b/>
          <w:szCs w:val="24"/>
        </w:rPr>
        <w:t xml:space="preserve"> 101</w:t>
      </w:r>
      <w:r w:rsidRPr="00BA2F12">
        <w:rPr>
          <w:rFonts w:ascii="Verdana" w:hAnsi="Verdana"/>
          <w:b/>
          <w:szCs w:val="24"/>
        </w:rPr>
        <w:t xml:space="preserve"> 066 de 2024.</w:t>
      </w:r>
      <w:r w:rsidRPr="00BA2F12">
        <w:rPr>
          <w:rFonts w:ascii="Verdana" w:hAnsi="Verdana"/>
          <w:szCs w:val="24"/>
        </w:rPr>
        <w:t xml:space="preserve"> </w:t>
      </w:r>
      <w:bookmarkStart w:id="1" w:name="_Hlk190845139"/>
      <w:r w:rsidRPr="00BA2F12">
        <w:rPr>
          <w:rFonts w:ascii="Verdana" w:hAnsi="Verdana"/>
          <w:szCs w:val="24"/>
        </w:rPr>
        <w:t>El artículo 4 de la Resolución CREG 101 066 de 2024 quedarán así</w:t>
      </w:r>
      <w:bookmarkEnd w:id="1"/>
      <w:r w:rsidRPr="00BA2F12">
        <w:rPr>
          <w:rFonts w:ascii="Verdana" w:hAnsi="Verdana"/>
          <w:szCs w:val="24"/>
        </w:rPr>
        <w:t>:</w:t>
      </w:r>
    </w:p>
    <w:p w14:paraId="18AAA9C7" w14:textId="77777777" w:rsidR="00CC75CE" w:rsidRPr="00BA2F12" w:rsidRDefault="00CC75CE" w:rsidP="009A65B4">
      <w:pPr>
        <w:pStyle w:val="Prrafodelista"/>
        <w:numPr>
          <w:ilvl w:val="0"/>
          <w:numId w:val="0"/>
        </w:numPr>
        <w:rPr>
          <w:rFonts w:ascii="Verdana" w:hAnsi="Verdana"/>
          <w:szCs w:val="24"/>
        </w:rPr>
      </w:pPr>
      <w:r w:rsidRPr="00BA2F12">
        <w:rPr>
          <w:rFonts w:ascii="Verdana" w:hAnsi="Verdana"/>
          <w:bCs/>
          <w:szCs w:val="24"/>
        </w:rPr>
        <w:t>“</w:t>
      </w:r>
      <w:r w:rsidRPr="00BA2F12">
        <w:rPr>
          <w:rFonts w:ascii="Verdana" w:hAnsi="Verdana"/>
          <w:szCs w:val="24"/>
        </w:rPr>
        <w:t>El PEI se determinará aplicando la siguiente ecuación:</w:t>
      </w:r>
    </w:p>
    <w:p w14:paraId="0529ABED" w14:textId="77777777" w:rsidR="00CE6FA2" w:rsidRPr="00BA2F12" w:rsidRDefault="00CE6FA2" w:rsidP="009A65B4">
      <w:pPr>
        <w:pStyle w:val="Prrafodelista"/>
        <w:numPr>
          <w:ilvl w:val="0"/>
          <w:numId w:val="0"/>
        </w:numPr>
        <w:rPr>
          <w:rFonts w:ascii="Verdana" w:hAnsi="Verdana"/>
          <w:szCs w:val="24"/>
        </w:rPr>
      </w:pPr>
    </w:p>
    <w:p w14:paraId="663FE825" w14:textId="77777777" w:rsidR="00CC75CE" w:rsidRPr="00BA2F12" w:rsidRDefault="00000000" w:rsidP="00CC75CE">
      <w:pPr>
        <w:rPr>
          <w:rFonts w:ascii="Verdana" w:hAnsi="Verdana"/>
          <w:iCs/>
        </w:rPr>
      </w:pPr>
      <m:oMathPara>
        <m:oMath>
          <m:sSub>
            <m:sSubPr>
              <m:ctrlPr>
                <w:rPr>
                  <w:rFonts w:ascii="Cambria Math" w:hAnsi="Cambria Math"/>
                  <w:i/>
                  <w:iCs/>
                </w:rPr>
              </m:ctrlPr>
            </m:sSubPr>
            <m:e>
              <m:r>
                <w:rPr>
                  <w:rFonts w:ascii="Cambria Math" w:hAnsi="Cambria Math"/>
                </w:rPr>
                <m:t>PEI</m:t>
              </m:r>
            </m:e>
            <m:sub>
              <m:r>
                <w:rPr>
                  <w:rFonts w:ascii="Cambria Math" w:hAnsi="Cambria Math"/>
                </w:rPr>
                <m:t>m</m:t>
              </m:r>
            </m:sub>
          </m:sSub>
          <m:r>
            <w:rPr>
              <w:rFonts w:ascii="Cambria Math" w:hAnsi="Cambria Math"/>
            </w:rPr>
            <m:t>=Vr×</m:t>
          </m:r>
          <m:f>
            <m:fPr>
              <m:ctrlPr>
                <w:rPr>
                  <w:rFonts w:ascii="Cambria Math" w:hAnsi="Cambria Math"/>
                  <w:i/>
                  <w:iCs/>
                </w:rPr>
              </m:ctrlPr>
            </m:fPr>
            <m:num>
              <m:sSub>
                <m:sSubPr>
                  <m:ctrlPr>
                    <w:rPr>
                      <w:rFonts w:ascii="Cambria Math" w:hAnsi="Cambria Math"/>
                      <w:i/>
                      <w:iCs/>
                    </w:rPr>
                  </m:ctrlPr>
                </m:sSubPr>
                <m:e>
                  <m:r>
                    <w:rPr>
                      <w:rFonts w:ascii="Cambria Math" w:hAnsi="Cambria Math"/>
                    </w:rPr>
                    <m:t>C.Referencia</m:t>
                  </m:r>
                </m:e>
                <m:sub>
                  <m:r>
                    <w:rPr>
                      <w:rFonts w:ascii="Cambria Math" w:hAnsi="Cambria Math"/>
                    </w:rPr>
                    <m:t>C,m-2</m:t>
                  </m:r>
                </m:sub>
              </m:sSub>
            </m:num>
            <m:den>
              <m:sSub>
                <m:sSubPr>
                  <m:ctrlPr>
                    <w:rPr>
                      <w:rFonts w:ascii="Cambria Math" w:hAnsi="Cambria Math"/>
                      <w:i/>
                      <w:iCs/>
                    </w:rPr>
                  </m:ctrlPr>
                </m:sSubPr>
                <m:e>
                  <m:r>
                    <w:rPr>
                      <w:rFonts w:ascii="Cambria Math" w:hAnsi="Cambria Math"/>
                    </w:rPr>
                    <m:t>C.Referencia</m:t>
                  </m:r>
                </m:e>
                <m:sub>
                  <m:r>
                    <w:rPr>
                      <w:rFonts w:ascii="Cambria Math" w:hAnsi="Cambria Math"/>
                    </w:rPr>
                    <m:t>C,m0</m:t>
                  </m:r>
                </m:sub>
              </m:sSub>
            </m:den>
          </m:f>
        </m:oMath>
      </m:oMathPara>
    </w:p>
    <w:p w14:paraId="3CB9BDC4" w14:textId="77777777" w:rsidR="00CC75CE" w:rsidRPr="00BA2F12" w:rsidRDefault="00CC75CE" w:rsidP="00CC75CE">
      <w:pPr>
        <w:rPr>
          <w:rFonts w:ascii="Verdana" w:hAnsi="Verdana"/>
          <w:iCs/>
        </w:rPr>
      </w:pPr>
    </w:p>
    <w:p w14:paraId="3CB1D860" w14:textId="77777777" w:rsidR="00CC75CE" w:rsidRPr="00BA2F12" w:rsidRDefault="00CC75CE" w:rsidP="00CC75CE">
      <w:pPr>
        <w:rPr>
          <w:rFonts w:ascii="Verdana" w:hAnsi="Verdana"/>
          <w:iCs/>
        </w:rPr>
      </w:pPr>
      <w:r w:rsidRPr="00BA2F12">
        <w:rPr>
          <w:rFonts w:ascii="Verdana" w:hAnsi="Verdana"/>
          <w:iCs/>
        </w:rPr>
        <w:t>Donde:</w:t>
      </w:r>
    </w:p>
    <w:p w14:paraId="0DC6C25B" w14:textId="77777777" w:rsidR="00CC75CE" w:rsidRPr="00BA2F12" w:rsidRDefault="00CC75CE" w:rsidP="00CC75CE">
      <w:pPr>
        <w:rPr>
          <w:rFonts w:ascii="Verdana" w:hAnsi="Verdana"/>
          <w:i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1"/>
      </w:tblGrid>
      <w:tr w:rsidR="00CC75CE" w:rsidRPr="00BA2F12" w14:paraId="3753C014" w14:textId="77777777" w:rsidTr="00081318">
        <w:tc>
          <w:tcPr>
            <w:tcW w:w="2405" w:type="dxa"/>
          </w:tcPr>
          <w:p w14:paraId="1D1ACA9E" w14:textId="77777777" w:rsidR="00CC75CE" w:rsidRPr="00BA2F12" w:rsidRDefault="00CC75CE" w:rsidP="00081318">
            <w:pPr>
              <w:rPr>
                <w:rFonts w:ascii="Verdana" w:hAnsi="Verdana"/>
                <w:i/>
              </w:rPr>
            </w:pPr>
            <w:proofErr w:type="spellStart"/>
            <w:r w:rsidRPr="00BA2F12">
              <w:rPr>
                <w:rFonts w:ascii="Verdana" w:hAnsi="Verdana"/>
                <w:i/>
              </w:rPr>
              <w:t>PEI</w:t>
            </w:r>
            <w:r w:rsidRPr="00BA2F12">
              <w:rPr>
                <w:rFonts w:ascii="Verdana" w:hAnsi="Verdana"/>
                <w:i/>
                <w:vertAlign w:val="subscript"/>
              </w:rPr>
              <w:t>m</w:t>
            </w:r>
            <w:proofErr w:type="spellEnd"/>
          </w:p>
        </w:tc>
        <w:tc>
          <w:tcPr>
            <w:tcW w:w="6941" w:type="dxa"/>
          </w:tcPr>
          <w:p w14:paraId="27DBD3A9" w14:textId="77777777" w:rsidR="00CC75CE" w:rsidRPr="00BA2F12" w:rsidRDefault="00CC75CE" w:rsidP="00081318">
            <w:pPr>
              <w:spacing w:before="60" w:after="60"/>
              <w:rPr>
                <w:rFonts w:ascii="Verdana" w:hAnsi="Verdana"/>
                <w:iCs/>
              </w:rPr>
            </w:pPr>
            <w:r w:rsidRPr="00BA2F12">
              <w:rPr>
                <w:rFonts w:ascii="Verdana" w:hAnsi="Verdana"/>
                <w:iCs/>
              </w:rPr>
              <w:t xml:space="preserve">Precio de Escasez Inferior para el mes </w:t>
            </w:r>
            <w:r w:rsidRPr="00BA2F12">
              <w:rPr>
                <w:rFonts w:ascii="Verdana" w:hAnsi="Verdana"/>
                <w:i/>
              </w:rPr>
              <w:t>m</w:t>
            </w:r>
            <w:r w:rsidRPr="00BA2F12">
              <w:rPr>
                <w:rFonts w:ascii="Verdana" w:hAnsi="Verdana"/>
                <w:iCs/>
              </w:rPr>
              <w:t>.</w:t>
            </w:r>
          </w:p>
        </w:tc>
      </w:tr>
      <w:tr w:rsidR="00CC75CE" w:rsidRPr="00BA2F12" w14:paraId="2EE2FA3B" w14:textId="77777777" w:rsidTr="00081318">
        <w:tc>
          <w:tcPr>
            <w:tcW w:w="2405" w:type="dxa"/>
          </w:tcPr>
          <w:p w14:paraId="22FC9642" w14:textId="77777777" w:rsidR="00CC75CE" w:rsidRPr="00BA2F12" w:rsidRDefault="00CC75CE" w:rsidP="00081318">
            <w:pPr>
              <w:rPr>
                <w:rFonts w:ascii="Verdana" w:hAnsi="Verdana"/>
                <w:i/>
              </w:rPr>
            </w:pPr>
            <w:r w:rsidRPr="00BA2F12">
              <w:rPr>
                <w:rFonts w:ascii="Verdana" w:hAnsi="Verdana"/>
                <w:i/>
              </w:rPr>
              <w:t>Vr</w:t>
            </w:r>
          </w:p>
        </w:tc>
        <w:tc>
          <w:tcPr>
            <w:tcW w:w="6941" w:type="dxa"/>
          </w:tcPr>
          <w:p w14:paraId="4F1D3765" w14:textId="77777777" w:rsidR="00CC75CE" w:rsidRPr="00BA2F12" w:rsidRDefault="00CC75CE" w:rsidP="00081318">
            <w:pPr>
              <w:spacing w:before="60" w:after="60"/>
              <w:rPr>
                <w:rFonts w:ascii="Verdana" w:hAnsi="Verdana"/>
                <w:iCs/>
              </w:rPr>
            </w:pPr>
            <w:r w:rsidRPr="00BA2F12">
              <w:rPr>
                <w:rFonts w:ascii="Verdana" w:hAnsi="Verdana"/>
                <w:iCs/>
              </w:rPr>
              <w:t xml:space="preserve">Valor de referencia definido en 540 $/kWh. Dicho valor aplicará para el mes de publicación en el </w:t>
            </w:r>
            <w:r w:rsidRPr="00BA2F12">
              <w:rPr>
                <w:rFonts w:ascii="Verdana" w:hAnsi="Verdana"/>
                <w:i/>
              </w:rPr>
              <w:t>Diario Oficial</w:t>
            </w:r>
            <w:r w:rsidRPr="00BA2F12">
              <w:rPr>
                <w:rFonts w:ascii="Verdana" w:hAnsi="Verdana"/>
                <w:iCs/>
              </w:rPr>
              <w:t xml:space="preserve"> de la presente resolución. </w:t>
            </w:r>
          </w:p>
        </w:tc>
      </w:tr>
      <w:tr w:rsidR="00CC75CE" w:rsidRPr="00BA2F12" w14:paraId="6DD1988E" w14:textId="77777777" w:rsidTr="00081318">
        <w:tc>
          <w:tcPr>
            <w:tcW w:w="2405" w:type="dxa"/>
          </w:tcPr>
          <w:p w14:paraId="54A6696C" w14:textId="77777777" w:rsidR="00CC75CE" w:rsidRPr="00BA2F12" w:rsidRDefault="00CC75CE" w:rsidP="00081318">
            <w:pPr>
              <w:rPr>
                <w:rFonts w:ascii="Verdana" w:hAnsi="Verdana"/>
                <w:i/>
              </w:rPr>
            </w:pPr>
            <w:r w:rsidRPr="00BA2F12">
              <w:rPr>
                <w:rFonts w:ascii="Verdana" w:hAnsi="Verdana"/>
                <w:i/>
              </w:rPr>
              <w:t xml:space="preserve">C. Referencia </w:t>
            </w:r>
            <w:proofErr w:type="gramStart"/>
            <w:r w:rsidRPr="00BA2F12">
              <w:rPr>
                <w:rFonts w:ascii="Verdana" w:hAnsi="Verdana"/>
                <w:i/>
                <w:vertAlign w:val="subscript"/>
              </w:rPr>
              <w:t>C,m</w:t>
            </w:r>
            <w:proofErr w:type="gramEnd"/>
            <w:r w:rsidRPr="00BA2F12">
              <w:rPr>
                <w:rFonts w:ascii="Verdana" w:hAnsi="Verdana"/>
                <w:i/>
                <w:vertAlign w:val="subscript"/>
              </w:rPr>
              <w:t>0</w:t>
            </w:r>
          </w:p>
        </w:tc>
        <w:tc>
          <w:tcPr>
            <w:tcW w:w="6941" w:type="dxa"/>
          </w:tcPr>
          <w:p w14:paraId="0F2732B9" w14:textId="77777777" w:rsidR="00CC75CE" w:rsidRPr="00BA2F12" w:rsidRDefault="00CC75CE" w:rsidP="00081318">
            <w:pPr>
              <w:spacing w:before="60" w:after="60"/>
              <w:rPr>
                <w:rFonts w:ascii="Verdana" w:hAnsi="Verdana"/>
                <w:iCs/>
              </w:rPr>
            </w:pPr>
            <w:r w:rsidRPr="00BA2F12">
              <w:rPr>
                <w:rFonts w:ascii="Verdana" w:hAnsi="Verdana"/>
                <w:iCs/>
              </w:rPr>
              <w:t>Costo promedio de referencia para el carbón del mes de junio de 2024, calculado conforme a lo establecido en el artículo 23 de la Resolución CREG 101 024 de 2022</w:t>
            </w:r>
          </w:p>
        </w:tc>
      </w:tr>
      <w:tr w:rsidR="00CC75CE" w:rsidRPr="00BA2F12" w14:paraId="71B199F5" w14:textId="77777777" w:rsidTr="00081318">
        <w:tc>
          <w:tcPr>
            <w:tcW w:w="2405" w:type="dxa"/>
          </w:tcPr>
          <w:p w14:paraId="1CD66604" w14:textId="77777777" w:rsidR="00CC75CE" w:rsidRPr="00BA2F12" w:rsidRDefault="00CC75CE" w:rsidP="00081318">
            <w:pPr>
              <w:rPr>
                <w:rFonts w:ascii="Verdana" w:hAnsi="Verdana"/>
                <w:i/>
              </w:rPr>
            </w:pPr>
            <w:r w:rsidRPr="00BA2F12">
              <w:rPr>
                <w:rFonts w:ascii="Verdana" w:hAnsi="Verdana"/>
                <w:i/>
              </w:rPr>
              <w:t xml:space="preserve">C. Referencia </w:t>
            </w:r>
            <w:proofErr w:type="gramStart"/>
            <w:r w:rsidRPr="00BA2F12">
              <w:rPr>
                <w:rFonts w:ascii="Verdana" w:hAnsi="Verdana"/>
                <w:i/>
                <w:vertAlign w:val="subscript"/>
              </w:rPr>
              <w:t>C,m</w:t>
            </w:r>
            <w:proofErr w:type="gramEnd"/>
            <w:r w:rsidRPr="00BA2F12">
              <w:rPr>
                <w:rFonts w:ascii="Verdana" w:hAnsi="Verdana"/>
                <w:i/>
                <w:vertAlign w:val="subscript"/>
              </w:rPr>
              <w:t>-2</w:t>
            </w:r>
          </w:p>
        </w:tc>
        <w:tc>
          <w:tcPr>
            <w:tcW w:w="6941" w:type="dxa"/>
          </w:tcPr>
          <w:p w14:paraId="6814669E" w14:textId="77777777" w:rsidR="00CC75CE" w:rsidRPr="00BA2F12" w:rsidRDefault="00CC75CE" w:rsidP="00081318">
            <w:pPr>
              <w:spacing w:before="60" w:after="60"/>
              <w:rPr>
                <w:rFonts w:ascii="Verdana" w:hAnsi="Verdana"/>
                <w:iCs/>
              </w:rPr>
            </w:pPr>
            <w:r w:rsidRPr="00BA2F12">
              <w:rPr>
                <w:rFonts w:ascii="Verdana" w:hAnsi="Verdana"/>
                <w:iCs/>
              </w:rPr>
              <w:t>Costo promedio de referencia para el carbón del mes m-2, calculado conforme a lo establecido en el artículo 23 de la Resolución CREG 101 024 de 2022.</w:t>
            </w:r>
          </w:p>
        </w:tc>
      </w:tr>
      <w:tr w:rsidR="00CC75CE" w:rsidRPr="00BA2F12" w14:paraId="784E6A6F" w14:textId="77777777" w:rsidTr="00081318">
        <w:tc>
          <w:tcPr>
            <w:tcW w:w="2405" w:type="dxa"/>
          </w:tcPr>
          <w:p w14:paraId="456C2EAF" w14:textId="77777777" w:rsidR="00CC75CE" w:rsidRPr="00BA2F12" w:rsidRDefault="00CC75CE" w:rsidP="00081318">
            <w:pPr>
              <w:rPr>
                <w:rFonts w:ascii="Verdana" w:hAnsi="Verdana"/>
                <w:i/>
              </w:rPr>
            </w:pPr>
            <w:r w:rsidRPr="00BA2F12">
              <w:rPr>
                <w:rFonts w:ascii="Verdana" w:hAnsi="Verdana"/>
                <w:i/>
              </w:rPr>
              <w:lastRenderedPageBreak/>
              <w:t>m</w:t>
            </w:r>
          </w:p>
        </w:tc>
        <w:tc>
          <w:tcPr>
            <w:tcW w:w="6941" w:type="dxa"/>
          </w:tcPr>
          <w:p w14:paraId="6247D1F4" w14:textId="77777777" w:rsidR="00CC75CE" w:rsidRPr="00BA2F12" w:rsidRDefault="00CC75CE" w:rsidP="00081318">
            <w:pPr>
              <w:spacing w:before="60" w:after="60"/>
              <w:rPr>
                <w:rFonts w:ascii="Verdana" w:hAnsi="Verdana"/>
                <w:iCs/>
              </w:rPr>
            </w:pPr>
            <w:r w:rsidRPr="00BA2F12">
              <w:rPr>
                <w:rFonts w:ascii="Verdana" w:hAnsi="Verdana"/>
                <w:iCs/>
              </w:rPr>
              <w:t>Mes para el cual se calcula el PEI.</w:t>
            </w:r>
          </w:p>
        </w:tc>
      </w:tr>
    </w:tbl>
    <w:p w14:paraId="0BEEFE3F" w14:textId="77777777" w:rsidR="00CE6FA2" w:rsidRPr="00BA2F12" w:rsidRDefault="00CE6FA2" w:rsidP="00CC75CE">
      <w:pPr>
        <w:spacing w:before="240" w:after="240"/>
        <w:rPr>
          <w:rFonts w:ascii="Verdana" w:hAnsi="Verdana"/>
          <w:iCs/>
        </w:rPr>
      </w:pPr>
    </w:p>
    <w:p w14:paraId="73561AA2" w14:textId="2AB564F6" w:rsidR="00CC75CE" w:rsidRPr="00BA2F12" w:rsidRDefault="00CC75CE" w:rsidP="00CC75CE">
      <w:pPr>
        <w:spacing w:before="240" w:after="240"/>
        <w:rPr>
          <w:rFonts w:ascii="Verdana" w:hAnsi="Verdana"/>
          <w:iCs/>
        </w:rPr>
      </w:pPr>
      <w:r w:rsidRPr="00BA2F12">
        <w:rPr>
          <w:rFonts w:ascii="Verdana" w:hAnsi="Verdana"/>
          <w:iCs/>
        </w:rPr>
        <w:t xml:space="preserve">La periodicidad del cálculo del </w:t>
      </w:r>
      <w:proofErr w:type="spellStart"/>
      <w:r w:rsidRPr="00BA2F12">
        <w:rPr>
          <w:rFonts w:ascii="Verdana" w:hAnsi="Verdana"/>
          <w:i/>
        </w:rPr>
        <w:t>PEI</w:t>
      </w:r>
      <w:r w:rsidRPr="00BA2F12">
        <w:rPr>
          <w:rFonts w:ascii="Verdana" w:hAnsi="Verdana"/>
          <w:i/>
          <w:vertAlign w:val="subscript"/>
        </w:rPr>
        <w:t>m</w:t>
      </w:r>
      <w:proofErr w:type="spellEnd"/>
      <w:r w:rsidRPr="00BA2F12">
        <w:rPr>
          <w:rFonts w:ascii="Verdana" w:hAnsi="Verdana"/>
          <w:iCs/>
        </w:rPr>
        <w:t xml:space="preserve"> y su publicación serán las mismas que aplican para el </w:t>
      </w:r>
      <w:r w:rsidRPr="00BA2F12">
        <w:rPr>
          <w:rFonts w:ascii="Verdana" w:hAnsi="Verdana"/>
          <w:i/>
        </w:rPr>
        <w:t>PES</w:t>
      </w:r>
      <w:r w:rsidRPr="00BA2F12">
        <w:rPr>
          <w:rFonts w:ascii="Verdana" w:hAnsi="Verdana"/>
          <w:iCs/>
        </w:rPr>
        <w:t>.</w:t>
      </w:r>
    </w:p>
    <w:p w14:paraId="4948B1DC" w14:textId="1A6DCA0F" w:rsidR="00CC75CE" w:rsidRPr="00BA2F12" w:rsidRDefault="00CC75CE" w:rsidP="00CC75CE">
      <w:pPr>
        <w:spacing w:before="240" w:after="240"/>
        <w:rPr>
          <w:rFonts w:ascii="Verdana" w:hAnsi="Verdana"/>
          <w:iCs/>
        </w:rPr>
      </w:pPr>
      <w:r w:rsidRPr="00BA2F12">
        <w:rPr>
          <w:rFonts w:ascii="Verdana" w:hAnsi="Verdana"/>
          <w:iCs/>
        </w:rPr>
        <w:t xml:space="preserve">El PEI se aplicará a las asignaciones de OEF para nuevos períodos a partir de la publicación de la presente resolución en el </w:t>
      </w:r>
      <w:r w:rsidRPr="00BA2F12">
        <w:rPr>
          <w:rFonts w:ascii="Verdana" w:hAnsi="Verdana"/>
          <w:i/>
        </w:rPr>
        <w:t>Diario Oficial</w:t>
      </w:r>
      <w:r w:rsidRPr="00BA2F12">
        <w:rPr>
          <w:rFonts w:ascii="Verdana" w:hAnsi="Verdana"/>
          <w:iCs/>
        </w:rPr>
        <w:t xml:space="preserve"> a plantas que hacen parte del grupo de plantas con precios variables inferiores.</w:t>
      </w:r>
    </w:p>
    <w:p w14:paraId="04DC2C40" w14:textId="7FF50174" w:rsidR="00CC75CE" w:rsidRPr="00BA2F12" w:rsidRDefault="00CC75CE" w:rsidP="00CC75CE">
      <w:pPr>
        <w:pStyle w:val="Prrafodelista"/>
        <w:numPr>
          <w:ilvl w:val="0"/>
          <w:numId w:val="13"/>
        </w:numPr>
        <w:ind w:left="0" w:firstLine="0"/>
        <w:rPr>
          <w:rFonts w:ascii="Verdana" w:hAnsi="Verdana"/>
          <w:szCs w:val="24"/>
        </w:rPr>
      </w:pPr>
      <w:r w:rsidRPr="00BA2F12">
        <w:rPr>
          <w:rFonts w:ascii="Verdana" w:hAnsi="Verdana"/>
          <w:b/>
          <w:bCs/>
          <w:szCs w:val="24"/>
        </w:rPr>
        <w:t>Actualización de</w:t>
      </w:r>
      <w:r w:rsidR="00C6663D" w:rsidRPr="00BA2F12">
        <w:rPr>
          <w:rFonts w:ascii="Verdana" w:hAnsi="Verdana"/>
          <w:b/>
          <w:bCs/>
          <w:szCs w:val="24"/>
        </w:rPr>
        <w:t>l cálculo de</w:t>
      </w:r>
      <w:r w:rsidR="005A48C2" w:rsidRPr="00BA2F12">
        <w:rPr>
          <w:rFonts w:ascii="Verdana" w:hAnsi="Verdana"/>
          <w:b/>
          <w:bCs/>
          <w:szCs w:val="24"/>
        </w:rPr>
        <w:t xml:space="preserve"> los </w:t>
      </w:r>
      <w:r w:rsidR="00EE6B4B" w:rsidRPr="00BA2F12">
        <w:rPr>
          <w:rFonts w:ascii="Verdana" w:hAnsi="Verdana"/>
          <w:b/>
          <w:bCs/>
          <w:szCs w:val="24"/>
        </w:rPr>
        <w:t>cargos por confiabilidad</w:t>
      </w:r>
      <w:r w:rsidR="00FA7E01" w:rsidRPr="00BA2F12">
        <w:rPr>
          <w:rFonts w:ascii="Verdana" w:hAnsi="Verdana"/>
          <w:b/>
          <w:bCs/>
          <w:szCs w:val="24"/>
        </w:rPr>
        <w:t>.</w:t>
      </w:r>
      <w:r w:rsidRPr="00BA2F12">
        <w:rPr>
          <w:rFonts w:ascii="Verdana" w:hAnsi="Verdana"/>
          <w:szCs w:val="24"/>
        </w:rPr>
        <w:t xml:space="preserve"> Dentro de los dos (2) días hábiles siguientes a la publicación de la presente resolución en el </w:t>
      </w:r>
      <w:r w:rsidRPr="00BA2F12">
        <w:rPr>
          <w:rFonts w:ascii="Verdana" w:hAnsi="Verdana"/>
          <w:i/>
          <w:szCs w:val="24"/>
        </w:rPr>
        <w:t>Diario Oficial</w:t>
      </w:r>
      <w:r w:rsidRPr="00BA2F12">
        <w:rPr>
          <w:rFonts w:ascii="Verdana" w:hAnsi="Verdana"/>
          <w:szCs w:val="24"/>
        </w:rPr>
        <w:t xml:space="preserve">, el ASIC determinará y publicará los Cargos por Confiabilidad de los menús de transición de corto plazo y de transición de largo plazo, </w:t>
      </w:r>
      <w:r w:rsidR="00FA6ABD" w:rsidRPr="00BA2F12">
        <w:rPr>
          <w:rFonts w:ascii="Verdana" w:hAnsi="Verdana"/>
          <w:szCs w:val="24"/>
        </w:rPr>
        <w:t xml:space="preserve">de </w:t>
      </w:r>
      <w:r w:rsidRPr="00BA2F12">
        <w:rPr>
          <w:rFonts w:ascii="Verdana" w:hAnsi="Verdana"/>
          <w:szCs w:val="24"/>
        </w:rPr>
        <w:t>que tratan los artículos 5 y 6, respectivamente, de la Resolución CREG 101 066 de 2024, correspondientes a las diferentes asignaciones.</w:t>
      </w:r>
    </w:p>
    <w:p w14:paraId="0D9A593D" w14:textId="77777777" w:rsidR="00CC75CE" w:rsidRPr="00BA2F12" w:rsidRDefault="00CC75CE" w:rsidP="009A65B4">
      <w:pPr>
        <w:pStyle w:val="Prrafodelista"/>
        <w:numPr>
          <w:ilvl w:val="0"/>
          <w:numId w:val="0"/>
        </w:numPr>
        <w:rPr>
          <w:rFonts w:ascii="Verdana" w:hAnsi="Verdana"/>
          <w:szCs w:val="24"/>
        </w:rPr>
      </w:pPr>
      <w:r w:rsidRPr="00BA2F12">
        <w:rPr>
          <w:rFonts w:ascii="Verdana" w:hAnsi="Verdana"/>
          <w:szCs w:val="24"/>
        </w:rPr>
        <w:t>Para tal fin, el ASIC aplicará el procedimiento definido en el Anexo 1 de la Resolución CREG 101 066 de 2024.</w:t>
      </w:r>
    </w:p>
    <w:p w14:paraId="36E391E8" w14:textId="3E5BE652" w:rsidR="00CC75CE" w:rsidRPr="00BA2F12" w:rsidRDefault="00CC75CE" w:rsidP="00F8655A">
      <w:pPr>
        <w:pStyle w:val="Prrafodelista"/>
        <w:numPr>
          <w:ilvl w:val="0"/>
          <w:numId w:val="13"/>
        </w:numPr>
        <w:ind w:left="0" w:firstLine="0"/>
        <w:rPr>
          <w:rFonts w:ascii="Verdana" w:hAnsi="Verdana"/>
          <w:szCs w:val="24"/>
        </w:rPr>
      </w:pPr>
      <w:r w:rsidRPr="00BA2F12">
        <w:rPr>
          <w:rFonts w:ascii="Verdana" w:hAnsi="Verdana"/>
          <w:b/>
          <w:bCs/>
          <w:szCs w:val="24"/>
        </w:rPr>
        <w:t>Modificación de plazos para acogerse a los menús de transición</w:t>
      </w:r>
      <w:r w:rsidRPr="00BA2F12">
        <w:rPr>
          <w:rFonts w:ascii="Verdana" w:hAnsi="Verdana"/>
          <w:szCs w:val="24"/>
        </w:rPr>
        <w:t>. A partir de la publicación dispuesta en el artículo 2 de la presente resolución, el agente podrá informa</w:t>
      </w:r>
      <w:r w:rsidR="00A144B7" w:rsidRPr="00BA2F12">
        <w:rPr>
          <w:rFonts w:ascii="Verdana" w:hAnsi="Verdana"/>
          <w:szCs w:val="24"/>
        </w:rPr>
        <w:t>r</w:t>
      </w:r>
      <w:r w:rsidRPr="00BA2F12">
        <w:rPr>
          <w:rFonts w:ascii="Verdana" w:hAnsi="Verdana"/>
          <w:szCs w:val="24"/>
        </w:rPr>
        <w:t xml:space="preserve"> al ASIC, mediante comunicación suscrita por el representante legal, si acepta el cambio a la pareja Cargo por Confiabilidad del menú de transición y PEI en los siguientes plazos:</w:t>
      </w:r>
    </w:p>
    <w:p w14:paraId="53614F51" w14:textId="77777777" w:rsidR="00CC75CE" w:rsidRPr="00BA2F12" w:rsidRDefault="00CC75CE" w:rsidP="00CC75CE">
      <w:pPr>
        <w:pStyle w:val="Prrafodelista"/>
        <w:numPr>
          <w:ilvl w:val="0"/>
          <w:numId w:val="14"/>
        </w:numPr>
        <w:rPr>
          <w:rFonts w:ascii="Verdana" w:hAnsi="Verdana"/>
          <w:szCs w:val="24"/>
        </w:rPr>
      </w:pPr>
      <w:r w:rsidRPr="00BA2F12">
        <w:rPr>
          <w:rFonts w:ascii="Verdana" w:hAnsi="Verdana"/>
          <w:szCs w:val="24"/>
        </w:rPr>
        <w:t>Para el Menú de transición de corto plazo para OEF asignadas para los períodos 2024-2025, 2025-2026 y 2026-2027, en un plazo máximo de cinco (5) días hábiles contados a partir de la citada publicación, señalando el nombre de la(s) planta(s) a las cuales aplica.</w:t>
      </w:r>
    </w:p>
    <w:p w14:paraId="572CAEB1" w14:textId="77777777" w:rsidR="00CC75CE" w:rsidRPr="00BA2F12" w:rsidRDefault="00CC75CE" w:rsidP="00F8655A">
      <w:pPr>
        <w:pStyle w:val="Prrafodelista"/>
        <w:numPr>
          <w:ilvl w:val="0"/>
          <w:numId w:val="0"/>
        </w:numPr>
        <w:ind w:left="720"/>
        <w:rPr>
          <w:rFonts w:ascii="Verdana" w:hAnsi="Verdana"/>
          <w:szCs w:val="24"/>
        </w:rPr>
      </w:pPr>
      <w:r w:rsidRPr="00BA2F12">
        <w:rPr>
          <w:rFonts w:ascii="Verdana" w:hAnsi="Verdana"/>
          <w:szCs w:val="24"/>
        </w:rPr>
        <w:t>Para quienes acepten el menú de transición, su aplicación iniciará en el mes siguiente a la finalización del plazo de implementación definido en el Artículo 40 de la Resolución CREG 101 066 de 2024, para el periodo 2024-2025 y para los periodos 2025-2026 y 2026-2027 una vez inicie el periodo correspondiente.</w:t>
      </w:r>
    </w:p>
    <w:p w14:paraId="68369517" w14:textId="77777777" w:rsidR="00CC75CE" w:rsidRPr="00BA2F12" w:rsidRDefault="00CC75CE" w:rsidP="00CC75CE">
      <w:pPr>
        <w:pStyle w:val="Prrafodelista"/>
        <w:numPr>
          <w:ilvl w:val="0"/>
          <w:numId w:val="14"/>
        </w:numPr>
        <w:rPr>
          <w:rFonts w:ascii="Verdana" w:hAnsi="Verdana"/>
          <w:szCs w:val="24"/>
        </w:rPr>
      </w:pPr>
      <w:r w:rsidRPr="00BA2F12">
        <w:rPr>
          <w:rFonts w:ascii="Verdana" w:hAnsi="Verdana"/>
          <w:szCs w:val="24"/>
        </w:rPr>
        <w:t>Para el Menú de transición de largo plazo para OEF asignadas a partir del período 2027-2028, en un plazo máximo de diez (10) días hábiles contados a partir de la citada publicación, señalando el nombre de la(s) planta(s) a las cuales aplica.</w:t>
      </w:r>
    </w:p>
    <w:p w14:paraId="11027690" w14:textId="77777777" w:rsidR="00CC75CE" w:rsidRPr="00BA2F12" w:rsidRDefault="00CC75CE" w:rsidP="00F8655A">
      <w:pPr>
        <w:pStyle w:val="Prrafodelista"/>
        <w:numPr>
          <w:ilvl w:val="0"/>
          <w:numId w:val="0"/>
        </w:numPr>
        <w:ind w:left="720"/>
        <w:rPr>
          <w:rFonts w:ascii="Verdana" w:hAnsi="Verdana"/>
          <w:szCs w:val="24"/>
          <w:lang w:val="es-ES"/>
        </w:rPr>
      </w:pPr>
      <w:r w:rsidRPr="00BA2F12">
        <w:rPr>
          <w:rFonts w:ascii="Verdana" w:hAnsi="Verdana"/>
          <w:szCs w:val="24"/>
          <w:lang w:val="es-ES"/>
        </w:rPr>
        <w:t>Para quienes acepten el menú de transición, su aplicación iniciará en el período correspondiente.</w:t>
      </w:r>
    </w:p>
    <w:p w14:paraId="0FBFEB68" w14:textId="77777777" w:rsidR="00CE6FA2" w:rsidRPr="00BA2F12" w:rsidRDefault="00CE6FA2" w:rsidP="00F8655A">
      <w:pPr>
        <w:pStyle w:val="Prrafodelista"/>
        <w:numPr>
          <w:ilvl w:val="0"/>
          <w:numId w:val="0"/>
        </w:numPr>
        <w:ind w:left="720"/>
        <w:rPr>
          <w:rFonts w:ascii="Verdana" w:hAnsi="Verdana"/>
          <w:szCs w:val="24"/>
        </w:rPr>
      </w:pPr>
    </w:p>
    <w:p w14:paraId="268B38AC" w14:textId="77777777" w:rsidR="00CC75CE" w:rsidRPr="00BA2F12" w:rsidRDefault="00CC75CE" w:rsidP="00F8655A">
      <w:pPr>
        <w:pStyle w:val="Prrafodelista"/>
        <w:numPr>
          <w:ilvl w:val="0"/>
          <w:numId w:val="0"/>
        </w:numPr>
        <w:rPr>
          <w:rFonts w:ascii="Verdana" w:hAnsi="Verdana"/>
          <w:szCs w:val="24"/>
        </w:rPr>
      </w:pPr>
      <w:r w:rsidRPr="00BA2F12">
        <w:rPr>
          <w:rFonts w:ascii="Verdana" w:hAnsi="Verdana"/>
          <w:szCs w:val="24"/>
        </w:rPr>
        <w:t>Vencidos los anteriores plazos, quienes no hayan manifestado expresa e inequívocamente su voluntad de acogerse al menú de transición, se entenderá que no optaron por este.</w:t>
      </w:r>
    </w:p>
    <w:p w14:paraId="4609E777" w14:textId="77777777" w:rsidR="00CC75CE" w:rsidRPr="00BA2F12" w:rsidRDefault="00CC75CE" w:rsidP="00F8655A">
      <w:pPr>
        <w:pStyle w:val="Prrafodelista"/>
        <w:numPr>
          <w:ilvl w:val="0"/>
          <w:numId w:val="0"/>
        </w:numPr>
        <w:rPr>
          <w:rFonts w:ascii="Verdana" w:hAnsi="Verdana"/>
          <w:szCs w:val="24"/>
        </w:rPr>
      </w:pPr>
      <w:r w:rsidRPr="00BA2F12">
        <w:rPr>
          <w:rFonts w:ascii="Verdana" w:hAnsi="Verdana"/>
          <w:szCs w:val="24"/>
        </w:rPr>
        <w:lastRenderedPageBreak/>
        <w:t>El ASIC informará en su página web el listado de las plantas que se acogieron al menú de transición con su representante.</w:t>
      </w:r>
    </w:p>
    <w:p w14:paraId="050196ED" w14:textId="014033CF" w:rsidR="00CC75CE" w:rsidRPr="00BA2F12" w:rsidRDefault="00CC75CE" w:rsidP="00F8655A">
      <w:pPr>
        <w:pStyle w:val="Prrafodelista"/>
        <w:numPr>
          <w:ilvl w:val="0"/>
          <w:numId w:val="0"/>
        </w:numPr>
        <w:rPr>
          <w:rFonts w:ascii="Verdana" w:hAnsi="Verdana"/>
          <w:szCs w:val="24"/>
        </w:rPr>
      </w:pPr>
      <w:r w:rsidRPr="00BA2F12">
        <w:rPr>
          <w:rFonts w:ascii="Verdana" w:hAnsi="Verdana"/>
          <w:b/>
          <w:bCs/>
          <w:szCs w:val="24"/>
        </w:rPr>
        <w:t>Parágrafo.</w:t>
      </w:r>
      <w:r w:rsidRPr="00BA2F12">
        <w:rPr>
          <w:rFonts w:ascii="Verdana" w:hAnsi="Verdana"/>
          <w:szCs w:val="24"/>
        </w:rPr>
        <w:t xml:space="preserve"> Terminado el proceso anterior, el ASIC considerará las parejas de Cargo por Confiabilidad de los menús de transición de corto plazo y PEI y </w:t>
      </w:r>
      <w:r w:rsidR="00F8655A" w:rsidRPr="00BA2F12">
        <w:rPr>
          <w:rFonts w:ascii="Verdana" w:hAnsi="Verdana"/>
          <w:szCs w:val="24"/>
        </w:rPr>
        <w:t>de los</w:t>
      </w:r>
      <w:r w:rsidRPr="00BA2F12">
        <w:rPr>
          <w:rFonts w:ascii="Verdana" w:hAnsi="Verdana"/>
          <w:szCs w:val="24"/>
        </w:rPr>
        <w:t xml:space="preserve"> menús de transición de largo plazo y PEI, para los efectos referentes al Cargo por Confiabilidad de las plantas declaradas por el agente, para todo el período restante de las OEF totales de dicha(s) planta(s) o unidad(es).</w:t>
      </w:r>
    </w:p>
    <w:p w14:paraId="2907BBA5" w14:textId="77777777" w:rsidR="00CC75CE" w:rsidRPr="00BA2F12" w:rsidRDefault="00CC75CE" w:rsidP="00CC75CE">
      <w:pPr>
        <w:pStyle w:val="Prrafodelista"/>
        <w:numPr>
          <w:ilvl w:val="0"/>
          <w:numId w:val="13"/>
        </w:numPr>
        <w:ind w:left="0" w:firstLine="0"/>
        <w:rPr>
          <w:rFonts w:ascii="Verdana" w:hAnsi="Verdana"/>
          <w:szCs w:val="24"/>
        </w:rPr>
      </w:pPr>
      <w:r w:rsidRPr="00BA2F12">
        <w:rPr>
          <w:rFonts w:ascii="Verdana" w:hAnsi="Verdana"/>
          <w:b/>
          <w:szCs w:val="24"/>
        </w:rPr>
        <w:t xml:space="preserve">Vigencia. </w:t>
      </w:r>
      <w:r w:rsidRPr="00BA2F12">
        <w:rPr>
          <w:rFonts w:ascii="Verdana" w:hAnsi="Verdana"/>
          <w:szCs w:val="24"/>
        </w:rPr>
        <w:t xml:space="preserve">Esta resolución rige a partir de su publicación en el </w:t>
      </w:r>
      <w:r w:rsidRPr="00BA2F12">
        <w:rPr>
          <w:rFonts w:ascii="Verdana" w:hAnsi="Verdana"/>
          <w:i/>
          <w:szCs w:val="24"/>
        </w:rPr>
        <w:t xml:space="preserve">Diario Oficial. </w:t>
      </w:r>
    </w:p>
    <w:p w14:paraId="64FEF741" w14:textId="77777777" w:rsidR="00CE6FA2" w:rsidRPr="00BA2F12" w:rsidRDefault="00CE6FA2" w:rsidP="00CE6FA2">
      <w:pPr>
        <w:pStyle w:val="Prrafodelista"/>
        <w:numPr>
          <w:ilvl w:val="0"/>
          <w:numId w:val="0"/>
        </w:numPr>
        <w:rPr>
          <w:rFonts w:ascii="Verdana" w:hAnsi="Verdana"/>
          <w:szCs w:val="24"/>
        </w:rPr>
      </w:pPr>
    </w:p>
    <w:p w14:paraId="014B96ED" w14:textId="77777777" w:rsidR="00CE6FA2" w:rsidRPr="00BA2F12" w:rsidRDefault="00CE6FA2" w:rsidP="00CE6FA2">
      <w:pPr>
        <w:pStyle w:val="Prrafodelista"/>
        <w:numPr>
          <w:ilvl w:val="0"/>
          <w:numId w:val="0"/>
        </w:numPr>
        <w:rPr>
          <w:rFonts w:ascii="Verdana" w:hAnsi="Verdana"/>
          <w:szCs w:val="24"/>
        </w:rPr>
      </w:pPr>
    </w:p>
    <w:p w14:paraId="5EF34511" w14:textId="05D9B759" w:rsidR="00CE6FA2" w:rsidRPr="00CE6FA2" w:rsidRDefault="00CE6FA2" w:rsidP="00CE6FA2">
      <w:pPr>
        <w:pStyle w:val="Prrafodelista"/>
        <w:numPr>
          <w:ilvl w:val="0"/>
          <w:numId w:val="0"/>
        </w:numPr>
        <w:jc w:val="center"/>
        <w:rPr>
          <w:rFonts w:ascii="Verdana" w:hAnsi="Verdana"/>
          <w:b/>
          <w:bCs/>
          <w:szCs w:val="24"/>
        </w:rPr>
      </w:pPr>
      <w:r w:rsidRPr="00BA2F12">
        <w:rPr>
          <w:rFonts w:ascii="Verdana" w:hAnsi="Verdana"/>
          <w:b/>
          <w:bCs/>
          <w:szCs w:val="24"/>
        </w:rPr>
        <w:t>PUBLÍQUESE Y CÚMPLASE</w:t>
      </w:r>
    </w:p>
    <w:sectPr w:rsidR="00CE6FA2" w:rsidRPr="00CE6FA2" w:rsidSect="00CB079C">
      <w:headerReference w:type="default" r:id="rId11"/>
      <w:headerReference w:type="first" r:id="rId12"/>
      <w:footerReference w:type="first" r:id="rId13"/>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2665" w14:textId="77777777" w:rsidR="0048032E" w:rsidRDefault="0048032E">
      <w:r>
        <w:separator/>
      </w:r>
    </w:p>
    <w:p w14:paraId="1282B661" w14:textId="77777777" w:rsidR="0048032E" w:rsidRDefault="0048032E"/>
    <w:p w14:paraId="3B9B57DE" w14:textId="77777777" w:rsidR="0048032E" w:rsidRDefault="0048032E" w:rsidP="00C851C0"/>
  </w:endnote>
  <w:endnote w:type="continuationSeparator" w:id="0">
    <w:p w14:paraId="37DD29B7" w14:textId="77777777" w:rsidR="0048032E" w:rsidRDefault="0048032E">
      <w:r>
        <w:continuationSeparator/>
      </w:r>
    </w:p>
    <w:p w14:paraId="3A961178" w14:textId="77777777" w:rsidR="0048032E" w:rsidRDefault="0048032E"/>
    <w:p w14:paraId="2A290714" w14:textId="77777777" w:rsidR="0048032E" w:rsidRDefault="0048032E" w:rsidP="00C851C0"/>
  </w:endnote>
  <w:endnote w:type="continuationNotice" w:id="1">
    <w:p w14:paraId="67B20E3F" w14:textId="77777777" w:rsidR="0048032E" w:rsidRDefault="004803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26D32" w14:textId="77777777" w:rsidR="0048032E" w:rsidRDefault="0048032E">
      <w:r>
        <w:separator/>
      </w:r>
    </w:p>
    <w:p w14:paraId="5BB3E6F7" w14:textId="77777777" w:rsidR="0048032E" w:rsidRDefault="0048032E"/>
    <w:p w14:paraId="1FB06D5F" w14:textId="77777777" w:rsidR="0048032E" w:rsidRDefault="0048032E" w:rsidP="00C851C0"/>
  </w:footnote>
  <w:footnote w:type="continuationSeparator" w:id="0">
    <w:p w14:paraId="694BB9E1" w14:textId="77777777" w:rsidR="0048032E" w:rsidRDefault="0048032E">
      <w:r>
        <w:continuationSeparator/>
      </w:r>
    </w:p>
    <w:p w14:paraId="1926EA52" w14:textId="77777777" w:rsidR="0048032E" w:rsidRDefault="0048032E"/>
    <w:p w14:paraId="04F80FC1" w14:textId="77777777" w:rsidR="0048032E" w:rsidRDefault="0048032E" w:rsidP="00C851C0"/>
  </w:footnote>
  <w:footnote w:type="continuationNotice" w:id="1">
    <w:p w14:paraId="60402D35" w14:textId="77777777" w:rsidR="0048032E" w:rsidRDefault="0048032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3EBC4AA1" w:rsidR="00C47CF3" w:rsidRPr="006A294C" w:rsidRDefault="006A294C" w:rsidP="004A5BF5">
    <w:pPr>
      <w:pStyle w:val="Ttulo1"/>
      <w:numPr>
        <w:ilvl w:val="0"/>
        <w:numId w:val="0"/>
      </w:numPr>
      <w:ind w:right="6"/>
      <w:rPr>
        <w:rFonts w:ascii="Verdana" w:hAnsi="Verdana" w:cs="Arial"/>
        <w:b w:val="0"/>
        <w:sz w:val="22"/>
        <w:szCs w:val="22"/>
      </w:rPr>
    </w:pPr>
    <w:r w:rsidRPr="006A294C">
      <w:rPr>
        <w:rFonts w:ascii="Verdana" w:hAnsi="Verdana" w:cs="Arial"/>
        <w:b w:val="0"/>
        <w:sz w:val="22"/>
        <w:szCs w:val="22"/>
      </w:rPr>
      <w:t xml:space="preserve">PROYECTO DE </w:t>
    </w:r>
    <w:r w:rsidR="00C47CF3" w:rsidRPr="006A294C">
      <w:rPr>
        <w:rFonts w:ascii="Verdana" w:hAnsi="Verdana" w:cs="Arial"/>
        <w:b w:val="0"/>
        <w:sz w:val="22"/>
        <w:szCs w:val="22"/>
      </w:rPr>
      <w:t xml:space="preserve">RESOLUCIÓN </w:t>
    </w:r>
    <w:r>
      <w:rPr>
        <w:rFonts w:ascii="Verdana" w:hAnsi="Verdana" w:cs="Arial"/>
        <w:b w:val="0"/>
        <w:sz w:val="22"/>
        <w:szCs w:val="22"/>
      </w:rPr>
      <w:t xml:space="preserve">  </w:t>
    </w:r>
    <w:r w:rsidR="00C47CF3" w:rsidRPr="006A294C">
      <w:rPr>
        <w:rFonts w:ascii="Verdana" w:hAnsi="Verdana" w:cs="Arial"/>
        <w:b w:val="0"/>
        <w:sz w:val="22"/>
        <w:szCs w:val="22"/>
      </w:rPr>
      <w:t>No</w:t>
    </w:r>
    <w:r>
      <w:rPr>
        <w:rFonts w:ascii="Verdana" w:hAnsi="Verdana" w:cs="Arial"/>
        <w:b w:val="0"/>
        <w:sz w:val="22"/>
        <w:szCs w:val="22"/>
      </w:rPr>
      <w:t>.</w:t>
    </w:r>
    <w:r w:rsidR="004A5BF5" w:rsidRPr="006A294C">
      <w:rPr>
        <w:rFonts w:ascii="Verdana" w:hAnsi="Verdana" w:cs="Arial"/>
        <w:b w:val="0"/>
        <w:sz w:val="22"/>
        <w:szCs w:val="22"/>
      </w:rPr>
      <w:t xml:space="preserve"> </w:t>
    </w:r>
    <w:r w:rsidR="009A4F5E" w:rsidRPr="006A294C">
      <w:rPr>
        <w:rFonts w:ascii="Verdana" w:hAnsi="Verdana" w:cs="Arial"/>
        <w:bCs/>
        <w:sz w:val="22"/>
        <w:szCs w:val="22"/>
        <w:u w:val="single"/>
      </w:rPr>
      <w:t>701</w:t>
    </w:r>
    <w:r w:rsidR="004A5BF5" w:rsidRPr="006A294C">
      <w:rPr>
        <w:rFonts w:ascii="Verdana" w:hAnsi="Verdana" w:cs="Arial"/>
        <w:bCs/>
        <w:sz w:val="22"/>
        <w:szCs w:val="22"/>
        <w:u w:val="single"/>
      </w:rPr>
      <w:t xml:space="preserve"> </w:t>
    </w:r>
    <w:proofErr w:type="gramStart"/>
    <w:r w:rsidR="009A4F5E" w:rsidRPr="006A294C">
      <w:rPr>
        <w:rFonts w:ascii="Verdana" w:hAnsi="Verdana" w:cs="Arial"/>
        <w:bCs/>
        <w:sz w:val="22"/>
        <w:szCs w:val="22"/>
        <w:u w:val="single"/>
      </w:rPr>
      <w:t>0</w:t>
    </w:r>
    <w:r w:rsidR="00CE6FA2">
      <w:rPr>
        <w:rFonts w:ascii="Verdana" w:hAnsi="Verdana" w:cs="Arial"/>
        <w:bCs/>
        <w:sz w:val="22"/>
        <w:szCs w:val="22"/>
        <w:u w:val="single"/>
      </w:rPr>
      <w:t>80</w:t>
    </w:r>
    <w:r w:rsidR="00C47CF3" w:rsidRPr="006A294C">
      <w:rPr>
        <w:rFonts w:ascii="Verdana" w:hAnsi="Verdana" w:cs="Arial"/>
        <w:b w:val="0"/>
        <w:sz w:val="22"/>
        <w:szCs w:val="22"/>
      </w:rPr>
      <w:t xml:space="preserve">  DE</w:t>
    </w:r>
    <w:proofErr w:type="gramEnd"/>
    <w:r w:rsidR="00C47CF3" w:rsidRPr="006A294C">
      <w:rPr>
        <w:rFonts w:ascii="Verdana" w:hAnsi="Verdana" w:cs="Arial"/>
        <w:b w:val="0"/>
        <w:sz w:val="22"/>
        <w:szCs w:val="22"/>
      </w:rPr>
      <w:t xml:space="preserve">  </w:t>
    </w:r>
    <w:r w:rsidR="004A5BF5" w:rsidRPr="006A294C">
      <w:rPr>
        <w:rFonts w:ascii="Verdana" w:hAnsi="Verdana" w:cs="Arial"/>
        <w:b w:val="0"/>
        <w:sz w:val="22"/>
        <w:szCs w:val="22"/>
      </w:rPr>
      <w:t xml:space="preserve"> </w:t>
    </w:r>
    <w:r w:rsidR="009A4F5E" w:rsidRPr="006A294C">
      <w:rPr>
        <w:rFonts w:ascii="Verdana" w:hAnsi="Verdana" w:cs="Arial"/>
        <w:bCs/>
        <w:sz w:val="22"/>
        <w:szCs w:val="22"/>
        <w:u w:val="single"/>
      </w:rPr>
      <w:t>20</w:t>
    </w:r>
    <w:r w:rsidR="00C47CF3" w:rsidRPr="006A294C">
      <w:rPr>
        <w:rFonts w:ascii="Verdana" w:hAnsi="Verdana" w:cs="Arial"/>
        <w:bCs/>
        <w:sz w:val="22"/>
        <w:szCs w:val="22"/>
        <w:u w:val="single"/>
      </w:rPr>
      <w:t xml:space="preserve"> </w:t>
    </w:r>
    <w:r w:rsidR="009A4F5E" w:rsidRPr="006A294C">
      <w:rPr>
        <w:rFonts w:ascii="Verdana" w:hAnsi="Verdana" w:cs="Arial"/>
        <w:bCs/>
        <w:sz w:val="22"/>
        <w:szCs w:val="22"/>
        <w:u w:val="single"/>
      </w:rPr>
      <w:t>FEB</w:t>
    </w:r>
    <w:r w:rsidR="00C47CF3" w:rsidRPr="006A294C">
      <w:rPr>
        <w:rFonts w:ascii="Verdana" w:hAnsi="Verdana" w:cs="Arial"/>
        <w:bCs/>
        <w:sz w:val="22"/>
        <w:szCs w:val="22"/>
        <w:u w:val="single"/>
      </w:rPr>
      <w:t>.202</w:t>
    </w:r>
    <w:r w:rsidR="009A4F5E" w:rsidRPr="006A294C">
      <w:rPr>
        <w:rFonts w:ascii="Verdana" w:hAnsi="Verdana" w:cs="Arial"/>
        <w:bCs/>
        <w:sz w:val="22"/>
        <w:szCs w:val="22"/>
        <w:u w:val="single"/>
      </w:rPr>
      <w:t>5</w:t>
    </w:r>
    <w:r w:rsidR="004A5BF5" w:rsidRPr="006A294C">
      <w:rPr>
        <w:rFonts w:ascii="Verdana" w:hAnsi="Verdana" w:cs="Arial"/>
        <w:bCs/>
        <w:sz w:val="22"/>
        <w:szCs w:val="22"/>
      </w:rPr>
      <w:t xml:space="preserve">       </w:t>
    </w:r>
    <w:r w:rsidR="00C47CF3" w:rsidRPr="006A294C">
      <w:rPr>
        <w:rFonts w:ascii="Verdana" w:hAnsi="Verdana" w:cs="Arial"/>
        <w:b w:val="0"/>
        <w:sz w:val="22"/>
        <w:szCs w:val="22"/>
      </w:rPr>
      <w:t xml:space="preserve">HOJA No. </w:t>
    </w:r>
    <w:r w:rsidR="00C47CF3" w:rsidRPr="006A294C">
      <w:rPr>
        <w:rFonts w:ascii="Verdana" w:hAnsi="Verdana" w:cs="Arial"/>
        <w:b w:val="0"/>
        <w:sz w:val="22"/>
        <w:szCs w:val="22"/>
      </w:rPr>
      <w:fldChar w:fldCharType="begin"/>
    </w:r>
    <w:r w:rsidR="00C47CF3" w:rsidRPr="006A294C">
      <w:rPr>
        <w:rFonts w:ascii="Verdana" w:hAnsi="Verdana" w:cs="Arial"/>
        <w:b w:val="0"/>
        <w:sz w:val="22"/>
        <w:szCs w:val="22"/>
      </w:rPr>
      <w:instrText xml:space="preserve"> PAGE   \* MERGEFORMAT </w:instrText>
    </w:r>
    <w:r w:rsidR="00C47CF3" w:rsidRPr="006A294C">
      <w:rPr>
        <w:rFonts w:ascii="Verdana" w:hAnsi="Verdana" w:cs="Arial"/>
        <w:b w:val="0"/>
        <w:sz w:val="22"/>
        <w:szCs w:val="22"/>
      </w:rPr>
      <w:fldChar w:fldCharType="separate"/>
    </w:r>
    <w:r w:rsidR="002641A4" w:rsidRPr="006A294C">
      <w:rPr>
        <w:rFonts w:ascii="Verdana" w:hAnsi="Verdana" w:cs="Arial"/>
        <w:b w:val="0"/>
        <w:noProof/>
        <w:sz w:val="22"/>
        <w:szCs w:val="22"/>
      </w:rPr>
      <w:t>2</w:t>
    </w:r>
    <w:r w:rsidR="00C47CF3" w:rsidRPr="006A294C">
      <w:rPr>
        <w:rFonts w:ascii="Verdana" w:hAnsi="Verdana" w:cs="Arial"/>
        <w:b w:val="0"/>
        <w:sz w:val="22"/>
        <w:szCs w:val="22"/>
      </w:rPr>
      <w:fldChar w:fldCharType="end"/>
    </w:r>
    <w:r w:rsidR="00C47CF3" w:rsidRPr="006A294C">
      <w:rPr>
        <w:rFonts w:ascii="Verdana" w:hAnsi="Verdana" w:cs="Arial"/>
        <w:b w:val="0"/>
        <w:sz w:val="22"/>
        <w:szCs w:val="22"/>
      </w:rPr>
      <w:t>/</w:t>
    </w:r>
    <w:r w:rsidR="00C47CF3" w:rsidRPr="006A294C">
      <w:rPr>
        <w:rFonts w:ascii="Verdana" w:hAnsi="Verdana"/>
      </w:rPr>
      <w:fldChar w:fldCharType="begin"/>
    </w:r>
    <w:r w:rsidR="00C47CF3" w:rsidRPr="006A294C">
      <w:rPr>
        <w:rFonts w:ascii="Verdana" w:hAnsi="Verdana"/>
      </w:rPr>
      <w:instrText>NUMPAGES  \* MERGEFORMAT</w:instrText>
    </w:r>
    <w:r w:rsidR="00C47CF3" w:rsidRPr="006A294C">
      <w:rPr>
        <w:rFonts w:ascii="Verdana" w:hAnsi="Verdana"/>
      </w:rPr>
      <w:fldChar w:fldCharType="separate"/>
    </w:r>
    <w:r w:rsidR="002641A4" w:rsidRPr="006A294C">
      <w:rPr>
        <w:rFonts w:ascii="Verdana" w:hAnsi="Verdana" w:cs="Arial"/>
        <w:b w:val="0"/>
        <w:noProof/>
        <w:sz w:val="22"/>
        <w:szCs w:val="22"/>
      </w:rPr>
      <w:t>4</w:t>
    </w:r>
    <w:r w:rsidR="00C47CF3" w:rsidRPr="006A294C">
      <w:rPr>
        <w:rFonts w:ascii="Verdana" w:hAnsi="Verdana"/>
      </w:rPr>
      <w:fldChar w:fldCharType="end"/>
    </w:r>
  </w:p>
  <w:p w14:paraId="4B3CDC14" w14:textId="2830EF54" w:rsidR="00CE6FA2" w:rsidRDefault="00CE6FA2" w:rsidP="00C202E9">
    <w:pPr>
      <w:pBdr>
        <w:bottom w:val="single" w:sz="4" w:space="1" w:color="auto"/>
      </w:pBdr>
      <w:rPr>
        <w:sz w:val="22"/>
        <w:szCs w:val="22"/>
      </w:rPr>
    </w:pPr>
    <w:r w:rsidRPr="0042068C">
      <w:rPr>
        <w:noProof/>
        <w:lang w:val="es-CO" w:eastAsia="es-CO"/>
      </w:rPr>
      <mc:AlternateContent>
        <mc:Choice Requires="wps">
          <w:drawing>
            <wp:anchor distT="0" distB="0" distL="114300" distR="114300" simplePos="0" relativeHeight="251672576" behindDoc="1" locked="0" layoutInCell="1" allowOverlap="1" wp14:anchorId="00F492FC" wp14:editId="63239C20">
              <wp:simplePos x="0" y="0"/>
              <wp:positionH relativeFrom="column">
                <wp:posOffset>-277878</wp:posOffset>
              </wp:positionH>
              <wp:positionV relativeFrom="paragraph">
                <wp:posOffset>107734</wp:posOffset>
              </wp:positionV>
              <wp:extent cx="6428788" cy="10483227"/>
              <wp:effectExtent l="0" t="0" r="10160" b="1333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788" cy="1048322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F63B" id="Rectangle 1" o:spid="_x0000_s1026" style="position:absolute;margin-left:-21.9pt;margin-top:8.5pt;width:506.2pt;height:8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" filled="f" strokeweight="1.5pt"/>
          </w:pict>
        </mc:Fallback>
      </mc:AlternateContent>
    </w:r>
  </w:p>
  <w:p w14:paraId="6E8576C1" w14:textId="1585B866" w:rsidR="00CE6FA2" w:rsidRPr="00F30572" w:rsidRDefault="00CE6FA2" w:rsidP="00C202E9">
    <w:pPr>
      <w:pBdr>
        <w:bottom w:val="single" w:sz="4" w:space="1" w:color="auto"/>
      </w:pBdr>
      <w:rPr>
        <w:sz w:val="22"/>
        <w:szCs w:val="22"/>
      </w:rPr>
    </w:pPr>
  </w:p>
  <w:p w14:paraId="5EEBDD92" w14:textId="553688F5" w:rsidR="00C47CF3" w:rsidRDefault="00C47CF3" w:rsidP="00AD01E4">
    <w:pPr>
      <w:ind w:left="142" w:right="148"/>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58242"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D945C" id="Rectangle 2" o:spid="_x0000_s1026" style="position:absolute;margin-left:-21.3pt;margin-top:65.8pt;width:510.7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9005C9"/>
    <w:multiLevelType w:val="hybridMultilevel"/>
    <w:tmpl w:val="F3CC600C"/>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5" w15:restartNumberingAfterBreak="0">
    <w:nsid w:val="1CE00453"/>
    <w:multiLevelType w:val="hybridMultilevel"/>
    <w:tmpl w:val="C402FA96"/>
    <w:lvl w:ilvl="0" w:tplc="08F877F2">
      <w:start w:val="1"/>
      <w:numFmt w:val="decimal"/>
      <w:lvlText w:val="Artículo %1."/>
      <w:lvlJc w:val="left"/>
      <w:pPr>
        <w:ind w:left="1637" w:hanging="360"/>
      </w:pPr>
      <w:rPr>
        <w:rFonts w:ascii="Verdana" w:hAnsi="Verdana" w:hint="default"/>
        <w:b/>
        <w:i w:val="0"/>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9"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10"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6" w15:restartNumberingAfterBreak="0">
    <w:nsid w:val="74512675"/>
    <w:multiLevelType w:val="hybridMultilevel"/>
    <w:tmpl w:val="36326AC8"/>
    <w:lvl w:ilvl="0" w:tplc="0EFAF83C">
      <w:start w:val="1"/>
      <w:numFmt w:val="lowerLetter"/>
      <w:lvlText w:val="%1."/>
      <w:lvlJc w:val="left"/>
      <w:pPr>
        <w:ind w:left="360" w:hanging="360"/>
      </w:pPr>
      <w:rPr>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5DB3233"/>
    <w:multiLevelType w:val="hybridMultilevel"/>
    <w:tmpl w:val="1CF2F89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71995600">
    <w:abstractNumId w:val="1"/>
  </w:num>
  <w:num w:numId="2" w16cid:durableId="717970195">
    <w:abstractNumId w:val="6"/>
  </w:num>
  <w:num w:numId="3" w16cid:durableId="56586464">
    <w:abstractNumId w:val="11"/>
  </w:num>
  <w:num w:numId="4" w16cid:durableId="1845702787">
    <w:abstractNumId w:val="9"/>
  </w:num>
  <w:num w:numId="5" w16cid:durableId="451557794">
    <w:abstractNumId w:val="13"/>
  </w:num>
  <w:num w:numId="6" w16cid:durableId="1281650517">
    <w:abstractNumId w:val="7"/>
  </w:num>
  <w:num w:numId="7" w16cid:durableId="167451520">
    <w:abstractNumId w:val="14"/>
  </w:num>
  <w:num w:numId="8" w16cid:durableId="462508100">
    <w:abstractNumId w:val="15"/>
  </w:num>
  <w:num w:numId="9" w16cid:durableId="625937620">
    <w:abstractNumId w:val="10"/>
  </w:num>
  <w:num w:numId="10" w16cid:durableId="994799436">
    <w:abstractNumId w:val="0"/>
  </w:num>
  <w:num w:numId="11" w16cid:durableId="505292931">
    <w:abstractNumId w:val="17"/>
  </w:num>
  <w:num w:numId="12" w16cid:durableId="141895213">
    <w:abstractNumId w:val="16"/>
  </w:num>
  <w:num w:numId="13" w16cid:durableId="914247098">
    <w:abstractNumId w:val="5"/>
  </w:num>
  <w:num w:numId="14" w16cid:durableId="196739344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4A8"/>
    <w:rsid w:val="0000191D"/>
    <w:rsid w:val="00001FC7"/>
    <w:rsid w:val="0000215F"/>
    <w:rsid w:val="000023DF"/>
    <w:rsid w:val="00003049"/>
    <w:rsid w:val="0000342B"/>
    <w:rsid w:val="00003F55"/>
    <w:rsid w:val="00004E9E"/>
    <w:rsid w:val="00005326"/>
    <w:rsid w:val="00005351"/>
    <w:rsid w:val="000055A9"/>
    <w:rsid w:val="000056FB"/>
    <w:rsid w:val="00006393"/>
    <w:rsid w:val="00006585"/>
    <w:rsid w:val="00006AE2"/>
    <w:rsid w:val="00006EF5"/>
    <w:rsid w:val="000076A1"/>
    <w:rsid w:val="00007736"/>
    <w:rsid w:val="00011638"/>
    <w:rsid w:val="000118B6"/>
    <w:rsid w:val="0001209B"/>
    <w:rsid w:val="00012259"/>
    <w:rsid w:val="0001368F"/>
    <w:rsid w:val="00015F4C"/>
    <w:rsid w:val="000162EE"/>
    <w:rsid w:val="00016B85"/>
    <w:rsid w:val="00016F42"/>
    <w:rsid w:val="00017396"/>
    <w:rsid w:val="000203BE"/>
    <w:rsid w:val="00020417"/>
    <w:rsid w:val="00020991"/>
    <w:rsid w:val="0002117B"/>
    <w:rsid w:val="00021AB8"/>
    <w:rsid w:val="00021B66"/>
    <w:rsid w:val="00022123"/>
    <w:rsid w:val="0002272D"/>
    <w:rsid w:val="00022832"/>
    <w:rsid w:val="000230DC"/>
    <w:rsid w:val="00023841"/>
    <w:rsid w:val="00024B72"/>
    <w:rsid w:val="00024EEB"/>
    <w:rsid w:val="00025383"/>
    <w:rsid w:val="0002591D"/>
    <w:rsid w:val="00025D05"/>
    <w:rsid w:val="000268D6"/>
    <w:rsid w:val="00027527"/>
    <w:rsid w:val="000275F7"/>
    <w:rsid w:val="00027868"/>
    <w:rsid w:val="00027C0A"/>
    <w:rsid w:val="00027C0E"/>
    <w:rsid w:val="00031CB6"/>
    <w:rsid w:val="00032C8E"/>
    <w:rsid w:val="00032FD1"/>
    <w:rsid w:val="000338C8"/>
    <w:rsid w:val="00034669"/>
    <w:rsid w:val="000346EE"/>
    <w:rsid w:val="00034F65"/>
    <w:rsid w:val="0003547A"/>
    <w:rsid w:val="0003562B"/>
    <w:rsid w:val="0003568E"/>
    <w:rsid w:val="000356FD"/>
    <w:rsid w:val="00035903"/>
    <w:rsid w:val="00035DAC"/>
    <w:rsid w:val="000362B5"/>
    <w:rsid w:val="0003695A"/>
    <w:rsid w:val="00036E95"/>
    <w:rsid w:val="00037233"/>
    <w:rsid w:val="00037C2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D3D"/>
    <w:rsid w:val="00046473"/>
    <w:rsid w:val="00046B5A"/>
    <w:rsid w:val="00047950"/>
    <w:rsid w:val="000514CE"/>
    <w:rsid w:val="0005163B"/>
    <w:rsid w:val="0005171B"/>
    <w:rsid w:val="00051D1F"/>
    <w:rsid w:val="000536E8"/>
    <w:rsid w:val="00053BE6"/>
    <w:rsid w:val="00053F3D"/>
    <w:rsid w:val="0005433C"/>
    <w:rsid w:val="00054397"/>
    <w:rsid w:val="0005465F"/>
    <w:rsid w:val="000547AE"/>
    <w:rsid w:val="000551BF"/>
    <w:rsid w:val="00055984"/>
    <w:rsid w:val="00056071"/>
    <w:rsid w:val="00056170"/>
    <w:rsid w:val="00056ECE"/>
    <w:rsid w:val="00056FA1"/>
    <w:rsid w:val="00056FF5"/>
    <w:rsid w:val="0005705F"/>
    <w:rsid w:val="0005740C"/>
    <w:rsid w:val="0006037E"/>
    <w:rsid w:val="00060DCE"/>
    <w:rsid w:val="00060DFB"/>
    <w:rsid w:val="00062A66"/>
    <w:rsid w:val="00063454"/>
    <w:rsid w:val="0006357B"/>
    <w:rsid w:val="00063657"/>
    <w:rsid w:val="00063EE7"/>
    <w:rsid w:val="0006404B"/>
    <w:rsid w:val="00064964"/>
    <w:rsid w:val="00064A80"/>
    <w:rsid w:val="00064F07"/>
    <w:rsid w:val="0006600D"/>
    <w:rsid w:val="000660EF"/>
    <w:rsid w:val="00067260"/>
    <w:rsid w:val="000672DA"/>
    <w:rsid w:val="000674F5"/>
    <w:rsid w:val="000701D3"/>
    <w:rsid w:val="000703B1"/>
    <w:rsid w:val="00071090"/>
    <w:rsid w:val="00073606"/>
    <w:rsid w:val="0007409E"/>
    <w:rsid w:val="00075442"/>
    <w:rsid w:val="00076213"/>
    <w:rsid w:val="00076325"/>
    <w:rsid w:val="00076680"/>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CDB"/>
    <w:rsid w:val="00091DC4"/>
    <w:rsid w:val="000931FF"/>
    <w:rsid w:val="00094406"/>
    <w:rsid w:val="000944AD"/>
    <w:rsid w:val="000944F8"/>
    <w:rsid w:val="000957BC"/>
    <w:rsid w:val="00095EA2"/>
    <w:rsid w:val="00096719"/>
    <w:rsid w:val="00096B33"/>
    <w:rsid w:val="0009773A"/>
    <w:rsid w:val="00097EC4"/>
    <w:rsid w:val="000A0B0B"/>
    <w:rsid w:val="000A1108"/>
    <w:rsid w:val="000A1319"/>
    <w:rsid w:val="000A19AC"/>
    <w:rsid w:val="000A2141"/>
    <w:rsid w:val="000A26FD"/>
    <w:rsid w:val="000A2DF9"/>
    <w:rsid w:val="000A31B6"/>
    <w:rsid w:val="000A38CC"/>
    <w:rsid w:val="000A403D"/>
    <w:rsid w:val="000A55BC"/>
    <w:rsid w:val="000A5644"/>
    <w:rsid w:val="000B0D90"/>
    <w:rsid w:val="000B1C02"/>
    <w:rsid w:val="000B2EC9"/>
    <w:rsid w:val="000B3688"/>
    <w:rsid w:val="000B5566"/>
    <w:rsid w:val="000B65BD"/>
    <w:rsid w:val="000B6846"/>
    <w:rsid w:val="000B7990"/>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EA3"/>
    <w:rsid w:val="000D06CB"/>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5201"/>
    <w:rsid w:val="000D5429"/>
    <w:rsid w:val="000D5523"/>
    <w:rsid w:val="000D5C79"/>
    <w:rsid w:val="000D7A17"/>
    <w:rsid w:val="000D7A79"/>
    <w:rsid w:val="000E07E4"/>
    <w:rsid w:val="000E1309"/>
    <w:rsid w:val="000E1C36"/>
    <w:rsid w:val="000E22D1"/>
    <w:rsid w:val="000E272B"/>
    <w:rsid w:val="000E2A42"/>
    <w:rsid w:val="000E36C6"/>
    <w:rsid w:val="000E3D26"/>
    <w:rsid w:val="000E41DA"/>
    <w:rsid w:val="000E439A"/>
    <w:rsid w:val="000E4525"/>
    <w:rsid w:val="000E461D"/>
    <w:rsid w:val="000E467C"/>
    <w:rsid w:val="000E4CB3"/>
    <w:rsid w:val="000E5CC4"/>
    <w:rsid w:val="000E6526"/>
    <w:rsid w:val="000E7AFF"/>
    <w:rsid w:val="000F1937"/>
    <w:rsid w:val="000F20F1"/>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8AA"/>
    <w:rsid w:val="000F69EC"/>
    <w:rsid w:val="000F7641"/>
    <w:rsid w:val="000F7AE9"/>
    <w:rsid w:val="000F7C81"/>
    <w:rsid w:val="001003E5"/>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6A7"/>
    <w:rsid w:val="00107BE0"/>
    <w:rsid w:val="0011001F"/>
    <w:rsid w:val="001106AF"/>
    <w:rsid w:val="0011257F"/>
    <w:rsid w:val="0011261E"/>
    <w:rsid w:val="001129C7"/>
    <w:rsid w:val="00112F16"/>
    <w:rsid w:val="0011363A"/>
    <w:rsid w:val="00113E40"/>
    <w:rsid w:val="0011457A"/>
    <w:rsid w:val="001147FF"/>
    <w:rsid w:val="00114A62"/>
    <w:rsid w:val="001150FE"/>
    <w:rsid w:val="00115C5C"/>
    <w:rsid w:val="00116227"/>
    <w:rsid w:val="001167F7"/>
    <w:rsid w:val="001177E6"/>
    <w:rsid w:val="00117BD9"/>
    <w:rsid w:val="00117CC3"/>
    <w:rsid w:val="00120203"/>
    <w:rsid w:val="00120917"/>
    <w:rsid w:val="001232F1"/>
    <w:rsid w:val="00124CC3"/>
    <w:rsid w:val="00126140"/>
    <w:rsid w:val="001264C4"/>
    <w:rsid w:val="00126763"/>
    <w:rsid w:val="00126B3C"/>
    <w:rsid w:val="00126B7F"/>
    <w:rsid w:val="00126EB6"/>
    <w:rsid w:val="0012783F"/>
    <w:rsid w:val="00130D85"/>
    <w:rsid w:val="00131AC4"/>
    <w:rsid w:val="00132D4E"/>
    <w:rsid w:val="00132FDE"/>
    <w:rsid w:val="00132FE3"/>
    <w:rsid w:val="001333FC"/>
    <w:rsid w:val="001336B4"/>
    <w:rsid w:val="0013384D"/>
    <w:rsid w:val="001338E9"/>
    <w:rsid w:val="00133EC9"/>
    <w:rsid w:val="00134A62"/>
    <w:rsid w:val="0013526C"/>
    <w:rsid w:val="00135C1F"/>
    <w:rsid w:val="00136D37"/>
    <w:rsid w:val="00136F57"/>
    <w:rsid w:val="00137C80"/>
    <w:rsid w:val="001405C6"/>
    <w:rsid w:val="0014064C"/>
    <w:rsid w:val="0014070B"/>
    <w:rsid w:val="00141013"/>
    <w:rsid w:val="001417A9"/>
    <w:rsid w:val="00141AF6"/>
    <w:rsid w:val="00142021"/>
    <w:rsid w:val="0014208F"/>
    <w:rsid w:val="0014220A"/>
    <w:rsid w:val="0014256F"/>
    <w:rsid w:val="00142ACB"/>
    <w:rsid w:val="00142E3A"/>
    <w:rsid w:val="0014307D"/>
    <w:rsid w:val="001430F4"/>
    <w:rsid w:val="0014363D"/>
    <w:rsid w:val="0014365D"/>
    <w:rsid w:val="00144681"/>
    <w:rsid w:val="0014514F"/>
    <w:rsid w:val="00145736"/>
    <w:rsid w:val="00145958"/>
    <w:rsid w:val="001459D6"/>
    <w:rsid w:val="001459FB"/>
    <w:rsid w:val="001478B5"/>
    <w:rsid w:val="00150FAD"/>
    <w:rsid w:val="00151A0F"/>
    <w:rsid w:val="0015228B"/>
    <w:rsid w:val="00152D9A"/>
    <w:rsid w:val="00152E0C"/>
    <w:rsid w:val="001531CA"/>
    <w:rsid w:val="0015338C"/>
    <w:rsid w:val="00153456"/>
    <w:rsid w:val="0015387C"/>
    <w:rsid w:val="001540AA"/>
    <w:rsid w:val="001541F3"/>
    <w:rsid w:val="001544F4"/>
    <w:rsid w:val="00154997"/>
    <w:rsid w:val="00154D0C"/>
    <w:rsid w:val="00155678"/>
    <w:rsid w:val="00155C19"/>
    <w:rsid w:val="00155FC5"/>
    <w:rsid w:val="001560A7"/>
    <w:rsid w:val="00156F82"/>
    <w:rsid w:val="00157B49"/>
    <w:rsid w:val="00160BCF"/>
    <w:rsid w:val="00160D2E"/>
    <w:rsid w:val="00161084"/>
    <w:rsid w:val="001616BE"/>
    <w:rsid w:val="00161E5B"/>
    <w:rsid w:val="00164E00"/>
    <w:rsid w:val="00164F9B"/>
    <w:rsid w:val="0016514F"/>
    <w:rsid w:val="001660F0"/>
    <w:rsid w:val="00166572"/>
    <w:rsid w:val="00166AA9"/>
    <w:rsid w:val="00166B53"/>
    <w:rsid w:val="00166CC2"/>
    <w:rsid w:val="00167A13"/>
    <w:rsid w:val="001710F9"/>
    <w:rsid w:val="00171B59"/>
    <w:rsid w:val="0017297E"/>
    <w:rsid w:val="00173889"/>
    <w:rsid w:val="00173C1A"/>
    <w:rsid w:val="00174C4D"/>
    <w:rsid w:val="00174E35"/>
    <w:rsid w:val="00175ED3"/>
    <w:rsid w:val="001762DD"/>
    <w:rsid w:val="0017684A"/>
    <w:rsid w:val="00176B56"/>
    <w:rsid w:val="00177652"/>
    <w:rsid w:val="001777A6"/>
    <w:rsid w:val="001778BC"/>
    <w:rsid w:val="00177C51"/>
    <w:rsid w:val="00177CFC"/>
    <w:rsid w:val="00177D48"/>
    <w:rsid w:val="00177E96"/>
    <w:rsid w:val="0018241F"/>
    <w:rsid w:val="001827DF"/>
    <w:rsid w:val="00182E70"/>
    <w:rsid w:val="0018305D"/>
    <w:rsid w:val="00183134"/>
    <w:rsid w:val="0018360C"/>
    <w:rsid w:val="001838E2"/>
    <w:rsid w:val="00184170"/>
    <w:rsid w:val="00184D3B"/>
    <w:rsid w:val="001858D9"/>
    <w:rsid w:val="00185F79"/>
    <w:rsid w:val="00186A70"/>
    <w:rsid w:val="001875B4"/>
    <w:rsid w:val="00187621"/>
    <w:rsid w:val="001876F9"/>
    <w:rsid w:val="001879A3"/>
    <w:rsid w:val="001879A7"/>
    <w:rsid w:val="001879E3"/>
    <w:rsid w:val="00190C2D"/>
    <w:rsid w:val="00190D18"/>
    <w:rsid w:val="00191F29"/>
    <w:rsid w:val="00192CBF"/>
    <w:rsid w:val="00192FF1"/>
    <w:rsid w:val="0019345E"/>
    <w:rsid w:val="001943A1"/>
    <w:rsid w:val="001946A0"/>
    <w:rsid w:val="0019482F"/>
    <w:rsid w:val="00194947"/>
    <w:rsid w:val="001949D2"/>
    <w:rsid w:val="00194C52"/>
    <w:rsid w:val="00194E90"/>
    <w:rsid w:val="00195B63"/>
    <w:rsid w:val="0019667F"/>
    <w:rsid w:val="00196921"/>
    <w:rsid w:val="00196D8C"/>
    <w:rsid w:val="00196EAA"/>
    <w:rsid w:val="001978E3"/>
    <w:rsid w:val="00197F32"/>
    <w:rsid w:val="001A03DA"/>
    <w:rsid w:val="001A0A0B"/>
    <w:rsid w:val="001A0F6F"/>
    <w:rsid w:val="001A1422"/>
    <w:rsid w:val="001A28E0"/>
    <w:rsid w:val="001A2B6E"/>
    <w:rsid w:val="001A2BB7"/>
    <w:rsid w:val="001A31CF"/>
    <w:rsid w:val="001A3643"/>
    <w:rsid w:val="001A39D5"/>
    <w:rsid w:val="001A3DD8"/>
    <w:rsid w:val="001A42B8"/>
    <w:rsid w:val="001A44FC"/>
    <w:rsid w:val="001A47F9"/>
    <w:rsid w:val="001A547A"/>
    <w:rsid w:val="001A5F1B"/>
    <w:rsid w:val="001A6488"/>
    <w:rsid w:val="001A6742"/>
    <w:rsid w:val="001A68A3"/>
    <w:rsid w:val="001A7613"/>
    <w:rsid w:val="001B03F7"/>
    <w:rsid w:val="001B05A4"/>
    <w:rsid w:val="001B08BC"/>
    <w:rsid w:val="001B0C3A"/>
    <w:rsid w:val="001B0CA6"/>
    <w:rsid w:val="001B17F4"/>
    <w:rsid w:val="001B1BAA"/>
    <w:rsid w:val="001B1C22"/>
    <w:rsid w:val="001B30EE"/>
    <w:rsid w:val="001B34C6"/>
    <w:rsid w:val="001B3D78"/>
    <w:rsid w:val="001B6579"/>
    <w:rsid w:val="001B67E0"/>
    <w:rsid w:val="001C0098"/>
    <w:rsid w:val="001C083E"/>
    <w:rsid w:val="001C0C42"/>
    <w:rsid w:val="001C13C7"/>
    <w:rsid w:val="001C2018"/>
    <w:rsid w:val="001C2365"/>
    <w:rsid w:val="001C2D65"/>
    <w:rsid w:val="001C3206"/>
    <w:rsid w:val="001C36F4"/>
    <w:rsid w:val="001C3877"/>
    <w:rsid w:val="001C4A3C"/>
    <w:rsid w:val="001C4ACA"/>
    <w:rsid w:val="001C4F24"/>
    <w:rsid w:val="001C5DDF"/>
    <w:rsid w:val="001C66DB"/>
    <w:rsid w:val="001C6C7D"/>
    <w:rsid w:val="001C72E1"/>
    <w:rsid w:val="001D0772"/>
    <w:rsid w:val="001D1473"/>
    <w:rsid w:val="001D1582"/>
    <w:rsid w:val="001D2EA9"/>
    <w:rsid w:val="001D307F"/>
    <w:rsid w:val="001D31E0"/>
    <w:rsid w:val="001D3333"/>
    <w:rsid w:val="001D35D1"/>
    <w:rsid w:val="001D4A1A"/>
    <w:rsid w:val="001D516B"/>
    <w:rsid w:val="001D5262"/>
    <w:rsid w:val="001D5BB5"/>
    <w:rsid w:val="001D6F03"/>
    <w:rsid w:val="001D777D"/>
    <w:rsid w:val="001D7832"/>
    <w:rsid w:val="001D7EA3"/>
    <w:rsid w:val="001D7F97"/>
    <w:rsid w:val="001E0A4F"/>
    <w:rsid w:val="001E1023"/>
    <w:rsid w:val="001E12B6"/>
    <w:rsid w:val="001E12CC"/>
    <w:rsid w:val="001E2609"/>
    <w:rsid w:val="001E306E"/>
    <w:rsid w:val="001E3911"/>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513"/>
    <w:rsid w:val="001F032E"/>
    <w:rsid w:val="001F0461"/>
    <w:rsid w:val="001F08A8"/>
    <w:rsid w:val="001F1310"/>
    <w:rsid w:val="001F1C53"/>
    <w:rsid w:val="001F22E7"/>
    <w:rsid w:val="001F277A"/>
    <w:rsid w:val="001F27C5"/>
    <w:rsid w:val="001F2830"/>
    <w:rsid w:val="001F2C5B"/>
    <w:rsid w:val="001F2FD8"/>
    <w:rsid w:val="001F4256"/>
    <w:rsid w:val="001F4369"/>
    <w:rsid w:val="001F496C"/>
    <w:rsid w:val="001F5AFE"/>
    <w:rsid w:val="001F5E64"/>
    <w:rsid w:val="001F780F"/>
    <w:rsid w:val="00200815"/>
    <w:rsid w:val="00200842"/>
    <w:rsid w:val="002012D8"/>
    <w:rsid w:val="0020134B"/>
    <w:rsid w:val="002015A0"/>
    <w:rsid w:val="00201816"/>
    <w:rsid w:val="00201998"/>
    <w:rsid w:val="00202992"/>
    <w:rsid w:val="00203484"/>
    <w:rsid w:val="002038CE"/>
    <w:rsid w:val="002039D6"/>
    <w:rsid w:val="002040C1"/>
    <w:rsid w:val="00204D82"/>
    <w:rsid w:val="00204DDC"/>
    <w:rsid w:val="00204F97"/>
    <w:rsid w:val="0020503E"/>
    <w:rsid w:val="0020533E"/>
    <w:rsid w:val="00205533"/>
    <w:rsid w:val="002064F0"/>
    <w:rsid w:val="00206B97"/>
    <w:rsid w:val="00206E10"/>
    <w:rsid w:val="00207D99"/>
    <w:rsid w:val="00207DF5"/>
    <w:rsid w:val="00207E9D"/>
    <w:rsid w:val="00207F42"/>
    <w:rsid w:val="002103F3"/>
    <w:rsid w:val="00210C0F"/>
    <w:rsid w:val="00210D0C"/>
    <w:rsid w:val="00210DC1"/>
    <w:rsid w:val="00210F57"/>
    <w:rsid w:val="002113E9"/>
    <w:rsid w:val="0021157A"/>
    <w:rsid w:val="00211663"/>
    <w:rsid w:val="0021176A"/>
    <w:rsid w:val="00211D34"/>
    <w:rsid w:val="00211EDA"/>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47"/>
    <w:rsid w:val="00220C35"/>
    <w:rsid w:val="002213C3"/>
    <w:rsid w:val="002213FE"/>
    <w:rsid w:val="00223E50"/>
    <w:rsid w:val="0022483E"/>
    <w:rsid w:val="00224FC9"/>
    <w:rsid w:val="002259F2"/>
    <w:rsid w:val="00227061"/>
    <w:rsid w:val="00227215"/>
    <w:rsid w:val="00227D53"/>
    <w:rsid w:val="00227E1E"/>
    <w:rsid w:val="00227ED9"/>
    <w:rsid w:val="002301AD"/>
    <w:rsid w:val="00232752"/>
    <w:rsid w:val="0023338E"/>
    <w:rsid w:val="00233774"/>
    <w:rsid w:val="00235196"/>
    <w:rsid w:val="002352B9"/>
    <w:rsid w:val="0023598E"/>
    <w:rsid w:val="00235E8D"/>
    <w:rsid w:val="0023621E"/>
    <w:rsid w:val="002367F5"/>
    <w:rsid w:val="00236F00"/>
    <w:rsid w:val="00237EDC"/>
    <w:rsid w:val="00240300"/>
    <w:rsid w:val="00240640"/>
    <w:rsid w:val="00240700"/>
    <w:rsid w:val="002423EF"/>
    <w:rsid w:val="00242A95"/>
    <w:rsid w:val="00242F2B"/>
    <w:rsid w:val="002432D6"/>
    <w:rsid w:val="002433FA"/>
    <w:rsid w:val="002436B9"/>
    <w:rsid w:val="00243761"/>
    <w:rsid w:val="00243A0A"/>
    <w:rsid w:val="002444FF"/>
    <w:rsid w:val="00244B4F"/>
    <w:rsid w:val="002451B0"/>
    <w:rsid w:val="002452F2"/>
    <w:rsid w:val="00245E5D"/>
    <w:rsid w:val="00246D05"/>
    <w:rsid w:val="0025047F"/>
    <w:rsid w:val="0025074E"/>
    <w:rsid w:val="00250806"/>
    <w:rsid w:val="00251CA5"/>
    <w:rsid w:val="00251FD4"/>
    <w:rsid w:val="002524C5"/>
    <w:rsid w:val="0025287D"/>
    <w:rsid w:val="002528C8"/>
    <w:rsid w:val="0025311B"/>
    <w:rsid w:val="00253AF7"/>
    <w:rsid w:val="0025525F"/>
    <w:rsid w:val="00255649"/>
    <w:rsid w:val="00255960"/>
    <w:rsid w:val="00255DFE"/>
    <w:rsid w:val="002560C5"/>
    <w:rsid w:val="00256DBC"/>
    <w:rsid w:val="00256EA4"/>
    <w:rsid w:val="00256F70"/>
    <w:rsid w:val="002571AD"/>
    <w:rsid w:val="002571C8"/>
    <w:rsid w:val="002578B3"/>
    <w:rsid w:val="002579DC"/>
    <w:rsid w:val="00257A41"/>
    <w:rsid w:val="00257EBA"/>
    <w:rsid w:val="002603B0"/>
    <w:rsid w:val="00260906"/>
    <w:rsid w:val="00261684"/>
    <w:rsid w:val="00261CF7"/>
    <w:rsid w:val="00262248"/>
    <w:rsid w:val="0026282C"/>
    <w:rsid w:val="00262AEC"/>
    <w:rsid w:val="002631B1"/>
    <w:rsid w:val="002641A4"/>
    <w:rsid w:val="002641E0"/>
    <w:rsid w:val="00264D28"/>
    <w:rsid w:val="00264F14"/>
    <w:rsid w:val="0026521A"/>
    <w:rsid w:val="002654BA"/>
    <w:rsid w:val="002657E2"/>
    <w:rsid w:val="00266008"/>
    <w:rsid w:val="00266672"/>
    <w:rsid w:val="00266C51"/>
    <w:rsid w:val="00266CD6"/>
    <w:rsid w:val="002673AC"/>
    <w:rsid w:val="00267B60"/>
    <w:rsid w:val="00270C4A"/>
    <w:rsid w:val="00271781"/>
    <w:rsid w:val="00271C36"/>
    <w:rsid w:val="00271EF7"/>
    <w:rsid w:val="0027278C"/>
    <w:rsid w:val="00273484"/>
    <w:rsid w:val="002739BD"/>
    <w:rsid w:val="00274AAE"/>
    <w:rsid w:val="00274C95"/>
    <w:rsid w:val="00275144"/>
    <w:rsid w:val="00275DAB"/>
    <w:rsid w:val="00275F19"/>
    <w:rsid w:val="00276059"/>
    <w:rsid w:val="00276B49"/>
    <w:rsid w:val="00276BEC"/>
    <w:rsid w:val="0027775B"/>
    <w:rsid w:val="00280F65"/>
    <w:rsid w:val="00281001"/>
    <w:rsid w:val="0028143F"/>
    <w:rsid w:val="002821BE"/>
    <w:rsid w:val="00283340"/>
    <w:rsid w:val="002836E2"/>
    <w:rsid w:val="00285919"/>
    <w:rsid w:val="0028662C"/>
    <w:rsid w:val="00286871"/>
    <w:rsid w:val="00290365"/>
    <w:rsid w:val="002903C0"/>
    <w:rsid w:val="002903D1"/>
    <w:rsid w:val="0029145B"/>
    <w:rsid w:val="00291726"/>
    <w:rsid w:val="00291ED7"/>
    <w:rsid w:val="002922A4"/>
    <w:rsid w:val="002922A7"/>
    <w:rsid w:val="00292FE9"/>
    <w:rsid w:val="002936B2"/>
    <w:rsid w:val="0029534B"/>
    <w:rsid w:val="00295582"/>
    <w:rsid w:val="00295857"/>
    <w:rsid w:val="00295ACD"/>
    <w:rsid w:val="0029698E"/>
    <w:rsid w:val="00296BB6"/>
    <w:rsid w:val="002977B5"/>
    <w:rsid w:val="002A02F2"/>
    <w:rsid w:val="002A1463"/>
    <w:rsid w:val="002A1E50"/>
    <w:rsid w:val="002A2F27"/>
    <w:rsid w:val="002A4225"/>
    <w:rsid w:val="002A44EC"/>
    <w:rsid w:val="002A51EF"/>
    <w:rsid w:val="002A5520"/>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5D3"/>
    <w:rsid w:val="002B30C8"/>
    <w:rsid w:val="002B41F1"/>
    <w:rsid w:val="002B5384"/>
    <w:rsid w:val="002B5E3C"/>
    <w:rsid w:val="002B6221"/>
    <w:rsid w:val="002B686A"/>
    <w:rsid w:val="002B71B1"/>
    <w:rsid w:val="002B7231"/>
    <w:rsid w:val="002B73B1"/>
    <w:rsid w:val="002B7EDF"/>
    <w:rsid w:val="002C01FA"/>
    <w:rsid w:val="002C04F0"/>
    <w:rsid w:val="002C0655"/>
    <w:rsid w:val="002C0713"/>
    <w:rsid w:val="002C0DCD"/>
    <w:rsid w:val="002C1997"/>
    <w:rsid w:val="002C1D36"/>
    <w:rsid w:val="002C2484"/>
    <w:rsid w:val="002C3488"/>
    <w:rsid w:val="002C4170"/>
    <w:rsid w:val="002C48F7"/>
    <w:rsid w:val="002C4945"/>
    <w:rsid w:val="002C5023"/>
    <w:rsid w:val="002C5344"/>
    <w:rsid w:val="002C5612"/>
    <w:rsid w:val="002C61CF"/>
    <w:rsid w:val="002C6DFB"/>
    <w:rsid w:val="002C7252"/>
    <w:rsid w:val="002D015F"/>
    <w:rsid w:val="002D1E55"/>
    <w:rsid w:val="002D3602"/>
    <w:rsid w:val="002D3AD3"/>
    <w:rsid w:val="002D3AE9"/>
    <w:rsid w:val="002D3CE7"/>
    <w:rsid w:val="002D4510"/>
    <w:rsid w:val="002D472D"/>
    <w:rsid w:val="002D5D64"/>
    <w:rsid w:val="002D7D6C"/>
    <w:rsid w:val="002D7FF5"/>
    <w:rsid w:val="002E09F5"/>
    <w:rsid w:val="002E0ACA"/>
    <w:rsid w:val="002E1665"/>
    <w:rsid w:val="002E1770"/>
    <w:rsid w:val="002E1AF2"/>
    <w:rsid w:val="002E1F65"/>
    <w:rsid w:val="002E2697"/>
    <w:rsid w:val="002E3319"/>
    <w:rsid w:val="002E3B7D"/>
    <w:rsid w:val="002E3E00"/>
    <w:rsid w:val="002E5313"/>
    <w:rsid w:val="002E5B4D"/>
    <w:rsid w:val="002E635C"/>
    <w:rsid w:val="002E6544"/>
    <w:rsid w:val="002E6699"/>
    <w:rsid w:val="002E6C92"/>
    <w:rsid w:val="002E7997"/>
    <w:rsid w:val="002F026E"/>
    <w:rsid w:val="002F036D"/>
    <w:rsid w:val="002F04DC"/>
    <w:rsid w:val="002F0734"/>
    <w:rsid w:val="002F1CFE"/>
    <w:rsid w:val="002F1E4A"/>
    <w:rsid w:val="002F22EB"/>
    <w:rsid w:val="002F3712"/>
    <w:rsid w:val="002F46E7"/>
    <w:rsid w:val="002F5988"/>
    <w:rsid w:val="002F72DB"/>
    <w:rsid w:val="002F75C0"/>
    <w:rsid w:val="002F7B19"/>
    <w:rsid w:val="003008A1"/>
    <w:rsid w:val="00301B40"/>
    <w:rsid w:val="00302345"/>
    <w:rsid w:val="00302511"/>
    <w:rsid w:val="003027A7"/>
    <w:rsid w:val="00302EFB"/>
    <w:rsid w:val="0030336F"/>
    <w:rsid w:val="0030373F"/>
    <w:rsid w:val="00303BEA"/>
    <w:rsid w:val="003040BE"/>
    <w:rsid w:val="00304BEA"/>
    <w:rsid w:val="003056DF"/>
    <w:rsid w:val="003060AD"/>
    <w:rsid w:val="0030641B"/>
    <w:rsid w:val="003072A7"/>
    <w:rsid w:val="0030767B"/>
    <w:rsid w:val="003076FD"/>
    <w:rsid w:val="00307E9C"/>
    <w:rsid w:val="00307F8B"/>
    <w:rsid w:val="00307F96"/>
    <w:rsid w:val="003101DA"/>
    <w:rsid w:val="003107DC"/>
    <w:rsid w:val="003111C3"/>
    <w:rsid w:val="00311CED"/>
    <w:rsid w:val="00312443"/>
    <w:rsid w:val="00312DDD"/>
    <w:rsid w:val="0031391C"/>
    <w:rsid w:val="00313B84"/>
    <w:rsid w:val="003140B3"/>
    <w:rsid w:val="00314757"/>
    <w:rsid w:val="0031547B"/>
    <w:rsid w:val="00315689"/>
    <w:rsid w:val="00315CD0"/>
    <w:rsid w:val="00315F2A"/>
    <w:rsid w:val="003163BC"/>
    <w:rsid w:val="00317410"/>
    <w:rsid w:val="003211CE"/>
    <w:rsid w:val="00321648"/>
    <w:rsid w:val="0032190A"/>
    <w:rsid w:val="00321B6E"/>
    <w:rsid w:val="00322010"/>
    <w:rsid w:val="003225F9"/>
    <w:rsid w:val="00322663"/>
    <w:rsid w:val="00323FB8"/>
    <w:rsid w:val="00324244"/>
    <w:rsid w:val="00324364"/>
    <w:rsid w:val="003246CB"/>
    <w:rsid w:val="003253B3"/>
    <w:rsid w:val="00326185"/>
    <w:rsid w:val="0032714E"/>
    <w:rsid w:val="00327412"/>
    <w:rsid w:val="00327443"/>
    <w:rsid w:val="00327708"/>
    <w:rsid w:val="00330AB2"/>
    <w:rsid w:val="00330E17"/>
    <w:rsid w:val="00331421"/>
    <w:rsid w:val="00331C8C"/>
    <w:rsid w:val="00331E12"/>
    <w:rsid w:val="0033272C"/>
    <w:rsid w:val="00332CA8"/>
    <w:rsid w:val="003340E9"/>
    <w:rsid w:val="003343C8"/>
    <w:rsid w:val="003343FE"/>
    <w:rsid w:val="003344C3"/>
    <w:rsid w:val="00334599"/>
    <w:rsid w:val="00334944"/>
    <w:rsid w:val="00334CC9"/>
    <w:rsid w:val="00334E8A"/>
    <w:rsid w:val="00335315"/>
    <w:rsid w:val="00335608"/>
    <w:rsid w:val="0033564E"/>
    <w:rsid w:val="00335EAC"/>
    <w:rsid w:val="00336823"/>
    <w:rsid w:val="0033715F"/>
    <w:rsid w:val="003373A2"/>
    <w:rsid w:val="003377C5"/>
    <w:rsid w:val="00337971"/>
    <w:rsid w:val="00337C84"/>
    <w:rsid w:val="00340A43"/>
    <w:rsid w:val="00340ADB"/>
    <w:rsid w:val="00340DAF"/>
    <w:rsid w:val="003410C6"/>
    <w:rsid w:val="00346141"/>
    <w:rsid w:val="003462BA"/>
    <w:rsid w:val="00347345"/>
    <w:rsid w:val="003473A2"/>
    <w:rsid w:val="0034781C"/>
    <w:rsid w:val="00350274"/>
    <w:rsid w:val="00350304"/>
    <w:rsid w:val="003509B5"/>
    <w:rsid w:val="00350A8C"/>
    <w:rsid w:val="00350DE4"/>
    <w:rsid w:val="003511D5"/>
    <w:rsid w:val="00351E6B"/>
    <w:rsid w:val="0035213D"/>
    <w:rsid w:val="00352C2F"/>
    <w:rsid w:val="0035322A"/>
    <w:rsid w:val="003537FD"/>
    <w:rsid w:val="00353B37"/>
    <w:rsid w:val="0035403A"/>
    <w:rsid w:val="003548BF"/>
    <w:rsid w:val="00355E88"/>
    <w:rsid w:val="00355FF3"/>
    <w:rsid w:val="003563B9"/>
    <w:rsid w:val="00356983"/>
    <w:rsid w:val="00356A53"/>
    <w:rsid w:val="00356CF8"/>
    <w:rsid w:val="003606A3"/>
    <w:rsid w:val="003614BE"/>
    <w:rsid w:val="003615DC"/>
    <w:rsid w:val="00361EF5"/>
    <w:rsid w:val="0036241E"/>
    <w:rsid w:val="0036394B"/>
    <w:rsid w:val="003646C3"/>
    <w:rsid w:val="00366AC7"/>
    <w:rsid w:val="00366DB6"/>
    <w:rsid w:val="003671B0"/>
    <w:rsid w:val="0036724C"/>
    <w:rsid w:val="0036745F"/>
    <w:rsid w:val="0036763F"/>
    <w:rsid w:val="003676B0"/>
    <w:rsid w:val="00367E2C"/>
    <w:rsid w:val="00370325"/>
    <w:rsid w:val="003704FD"/>
    <w:rsid w:val="003706AD"/>
    <w:rsid w:val="003709B5"/>
    <w:rsid w:val="00371431"/>
    <w:rsid w:val="003714C5"/>
    <w:rsid w:val="0037156B"/>
    <w:rsid w:val="003716DA"/>
    <w:rsid w:val="003717C4"/>
    <w:rsid w:val="00371BB1"/>
    <w:rsid w:val="00372BFF"/>
    <w:rsid w:val="003735E3"/>
    <w:rsid w:val="00373EAA"/>
    <w:rsid w:val="003742B8"/>
    <w:rsid w:val="00374855"/>
    <w:rsid w:val="00374B06"/>
    <w:rsid w:val="0037566A"/>
    <w:rsid w:val="003759C2"/>
    <w:rsid w:val="00375A7F"/>
    <w:rsid w:val="00375C42"/>
    <w:rsid w:val="003762AD"/>
    <w:rsid w:val="003768E9"/>
    <w:rsid w:val="00376E69"/>
    <w:rsid w:val="0037710B"/>
    <w:rsid w:val="00377FCD"/>
    <w:rsid w:val="00380F32"/>
    <w:rsid w:val="00381634"/>
    <w:rsid w:val="00381AA5"/>
    <w:rsid w:val="00381AAD"/>
    <w:rsid w:val="00383533"/>
    <w:rsid w:val="00383AB4"/>
    <w:rsid w:val="003847D8"/>
    <w:rsid w:val="00384BFB"/>
    <w:rsid w:val="003851AB"/>
    <w:rsid w:val="0038560E"/>
    <w:rsid w:val="00385A73"/>
    <w:rsid w:val="0038622E"/>
    <w:rsid w:val="00386A9A"/>
    <w:rsid w:val="00387028"/>
    <w:rsid w:val="003879B8"/>
    <w:rsid w:val="00387A1C"/>
    <w:rsid w:val="00387C27"/>
    <w:rsid w:val="0039014A"/>
    <w:rsid w:val="00390392"/>
    <w:rsid w:val="003908A1"/>
    <w:rsid w:val="003909F1"/>
    <w:rsid w:val="00390FE4"/>
    <w:rsid w:val="0039127D"/>
    <w:rsid w:val="0039149C"/>
    <w:rsid w:val="0039155D"/>
    <w:rsid w:val="00391679"/>
    <w:rsid w:val="0039172F"/>
    <w:rsid w:val="003919F1"/>
    <w:rsid w:val="003923CF"/>
    <w:rsid w:val="0039240B"/>
    <w:rsid w:val="003927EE"/>
    <w:rsid w:val="003929E2"/>
    <w:rsid w:val="003936AA"/>
    <w:rsid w:val="00393854"/>
    <w:rsid w:val="00393F9F"/>
    <w:rsid w:val="00394340"/>
    <w:rsid w:val="00396389"/>
    <w:rsid w:val="0039666B"/>
    <w:rsid w:val="00397365"/>
    <w:rsid w:val="00397DA6"/>
    <w:rsid w:val="003A0107"/>
    <w:rsid w:val="003A0389"/>
    <w:rsid w:val="003A05F4"/>
    <w:rsid w:val="003A09A2"/>
    <w:rsid w:val="003A09C2"/>
    <w:rsid w:val="003A0E93"/>
    <w:rsid w:val="003A1451"/>
    <w:rsid w:val="003A1A65"/>
    <w:rsid w:val="003A2487"/>
    <w:rsid w:val="003A31F6"/>
    <w:rsid w:val="003A3A6C"/>
    <w:rsid w:val="003A3E98"/>
    <w:rsid w:val="003A4D03"/>
    <w:rsid w:val="003A4D67"/>
    <w:rsid w:val="003A560E"/>
    <w:rsid w:val="003A64BB"/>
    <w:rsid w:val="003A6E21"/>
    <w:rsid w:val="003A6FE1"/>
    <w:rsid w:val="003A7169"/>
    <w:rsid w:val="003B07F4"/>
    <w:rsid w:val="003B09F5"/>
    <w:rsid w:val="003B1249"/>
    <w:rsid w:val="003B1627"/>
    <w:rsid w:val="003B2B57"/>
    <w:rsid w:val="003B2C98"/>
    <w:rsid w:val="003B2CC8"/>
    <w:rsid w:val="003B3985"/>
    <w:rsid w:val="003B3CE0"/>
    <w:rsid w:val="003B3EF0"/>
    <w:rsid w:val="003B4485"/>
    <w:rsid w:val="003B534A"/>
    <w:rsid w:val="003B550F"/>
    <w:rsid w:val="003B5531"/>
    <w:rsid w:val="003B5A66"/>
    <w:rsid w:val="003B5BBB"/>
    <w:rsid w:val="003B634A"/>
    <w:rsid w:val="003B718A"/>
    <w:rsid w:val="003B77FB"/>
    <w:rsid w:val="003B79D4"/>
    <w:rsid w:val="003B7A86"/>
    <w:rsid w:val="003B7AE8"/>
    <w:rsid w:val="003B7B0D"/>
    <w:rsid w:val="003C0037"/>
    <w:rsid w:val="003C0474"/>
    <w:rsid w:val="003C1186"/>
    <w:rsid w:val="003C156A"/>
    <w:rsid w:val="003C242C"/>
    <w:rsid w:val="003C2DA5"/>
    <w:rsid w:val="003C3447"/>
    <w:rsid w:val="003C4072"/>
    <w:rsid w:val="003C48B7"/>
    <w:rsid w:val="003C52D4"/>
    <w:rsid w:val="003C5E2C"/>
    <w:rsid w:val="003C6579"/>
    <w:rsid w:val="003C6738"/>
    <w:rsid w:val="003C6F33"/>
    <w:rsid w:val="003C7D50"/>
    <w:rsid w:val="003C7FA6"/>
    <w:rsid w:val="003D0607"/>
    <w:rsid w:val="003D076C"/>
    <w:rsid w:val="003D099C"/>
    <w:rsid w:val="003D1367"/>
    <w:rsid w:val="003D160E"/>
    <w:rsid w:val="003D1BDB"/>
    <w:rsid w:val="003D1FD8"/>
    <w:rsid w:val="003D2D50"/>
    <w:rsid w:val="003D2FA7"/>
    <w:rsid w:val="003D34F9"/>
    <w:rsid w:val="003D38E3"/>
    <w:rsid w:val="003D3BE5"/>
    <w:rsid w:val="003D6335"/>
    <w:rsid w:val="003D63E6"/>
    <w:rsid w:val="003D68CE"/>
    <w:rsid w:val="003D6AD0"/>
    <w:rsid w:val="003D6C2E"/>
    <w:rsid w:val="003D7344"/>
    <w:rsid w:val="003E01CE"/>
    <w:rsid w:val="003E0745"/>
    <w:rsid w:val="003E0B14"/>
    <w:rsid w:val="003E1C9E"/>
    <w:rsid w:val="003E3442"/>
    <w:rsid w:val="003E47EE"/>
    <w:rsid w:val="003E489D"/>
    <w:rsid w:val="003E51AE"/>
    <w:rsid w:val="003E5626"/>
    <w:rsid w:val="003E5A4D"/>
    <w:rsid w:val="003E5FCF"/>
    <w:rsid w:val="003E65F8"/>
    <w:rsid w:val="003E6648"/>
    <w:rsid w:val="003E6AD1"/>
    <w:rsid w:val="003E7112"/>
    <w:rsid w:val="003E7120"/>
    <w:rsid w:val="003E7817"/>
    <w:rsid w:val="003E7875"/>
    <w:rsid w:val="003E78B5"/>
    <w:rsid w:val="003F06BB"/>
    <w:rsid w:val="003F0B23"/>
    <w:rsid w:val="003F13F5"/>
    <w:rsid w:val="003F1778"/>
    <w:rsid w:val="003F251B"/>
    <w:rsid w:val="003F3F29"/>
    <w:rsid w:val="003F46A3"/>
    <w:rsid w:val="003F4F6D"/>
    <w:rsid w:val="003F54A4"/>
    <w:rsid w:val="003F55EE"/>
    <w:rsid w:val="003F6F37"/>
    <w:rsid w:val="003F70F2"/>
    <w:rsid w:val="003F71DF"/>
    <w:rsid w:val="003F77E3"/>
    <w:rsid w:val="003F78B5"/>
    <w:rsid w:val="003F7F77"/>
    <w:rsid w:val="00400852"/>
    <w:rsid w:val="00400A1E"/>
    <w:rsid w:val="00400A3D"/>
    <w:rsid w:val="00400AD5"/>
    <w:rsid w:val="00400DBC"/>
    <w:rsid w:val="004010BC"/>
    <w:rsid w:val="00401633"/>
    <w:rsid w:val="00401992"/>
    <w:rsid w:val="0040199C"/>
    <w:rsid w:val="00401C8D"/>
    <w:rsid w:val="00402C03"/>
    <w:rsid w:val="004035BB"/>
    <w:rsid w:val="004042F0"/>
    <w:rsid w:val="00404630"/>
    <w:rsid w:val="00405029"/>
    <w:rsid w:val="00405433"/>
    <w:rsid w:val="0040566D"/>
    <w:rsid w:val="00406D0D"/>
    <w:rsid w:val="00407515"/>
    <w:rsid w:val="0040781C"/>
    <w:rsid w:val="0040783A"/>
    <w:rsid w:val="0040786E"/>
    <w:rsid w:val="00407A25"/>
    <w:rsid w:val="00407FD9"/>
    <w:rsid w:val="00410337"/>
    <w:rsid w:val="00410552"/>
    <w:rsid w:val="004112E8"/>
    <w:rsid w:val="00412D3E"/>
    <w:rsid w:val="004134A5"/>
    <w:rsid w:val="004135D1"/>
    <w:rsid w:val="004139AF"/>
    <w:rsid w:val="004151D9"/>
    <w:rsid w:val="0041597A"/>
    <w:rsid w:val="00415BAB"/>
    <w:rsid w:val="00415C22"/>
    <w:rsid w:val="00415ED2"/>
    <w:rsid w:val="00417358"/>
    <w:rsid w:val="00417EC4"/>
    <w:rsid w:val="004202BD"/>
    <w:rsid w:val="0042068C"/>
    <w:rsid w:val="0042132A"/>
    <w:rsid w:val="00421975"/>
    <w:rsid w:val="00422808"/>
    <w:rsid w:val="00422EEA"/>
    <w:rsid w:val="00423679"/>
    <w:rsid w:val="004236EF"/>
    <w:rsid w:val="0042378F"/>
    <w:rsid w:val="004237FF"/>
    <w:rsid w:val="00423817"/>
    <w:rsid w:val="00424FB0"/>
    <w:rsid w:val="00425526"/>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5CE4"/>
    <w:rsid w:val="00436359"/>
    <w:rsid w:val="0043763F"/>
    <w:rsid w:val="00440326"/>
    <w:rsid w:val="00440840"/>
    <w:rsid w:val="004408F6"/>
    <w:rsid w:val="00440DC7"/>
    <w:rsid w:val="00441407"/>
    <w:rsid w:val="00441C8E"/>
    <w:rsid w:val="00441FD9"/>
    <w:rsid w:val="00442708"/>
    <w:rsid w:val="004429D9"/>
    <w:rsid w:val="0044318E"/>
    <w:rsid w:val="00443B35"/>
    <w:rsid w:val="004441E2"/>
    <w:rsid w:val="00444247"/>
    <w:rsid w:val="004457D6"/>
    <w:rsid w:val="00445836"/>
    <w:rsid w:val="00445EB0"/>
    <w:rsid w:val="00446813"/>
    <w:rsid w:val="00446BEE"/>
    <w:rsid w:val="00446C55"/>
    <w:rsid w:val="0044719F"/>
    <w:rsid w:val="00447E47"/>
    <w:rsid w:val="0045002C"/>
    <w:rsid w:val="0045009B"/>
    <w:rsid w:val="004508F2"/>
    <w:rsid w:val="00450A9D"/>
    <w:rsid w:val="00450DE5"/>
    <w:rsid w:val="00451303"/>
    <w:rsid w:val="0045178C"/>
    <w:rsid w:val="00451EE2"/>
    <w:rsid w:val="00451F60"/>
    <w:rsid w:val="00452577"/>
    <w:rsid w:val="004526AC"/>
    <w:rsid w:val="0045293D"/>
    <w:rsid w:val="00452C1F"/>
    <w:rsid w:val="00453055"/>
    <w:rsid w:val="004534D2"/>
    <w:rsid w:val="00453C15"/>
    <w:rsid w:val="00453C71"/>
    <w:rsid w:val="00453E61"/>
    <w:rsid w:val="0045411B"/>
    <w:rsid w:val="0045463B"/>
    <w:rsid w:val="004557E4"/>
    <w:rsid w:val="00455DAE"/>
    <w:rsid w:val="00455E26"/>
    <w:rsid w:val="00456140"/>
    <w:rsid w:val="00456622"/>
    <w:rsid w:val="00456912"/>
    <w:rsid w:val="00457049"/>
    <w:rsid w:val="00457630"/>
    <w:rsid w:val="004579A7"/>
    <w:rsid w:val="00457CEB"/>
    <w:rsid w:val="0046025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9C0"/>
    <w:rsid w:val="00464E72"/>
    <w:rsid w:val="00465400"/>
    <w:rsid w:val="00465E41"/>
    <w:rsid w:val="004668F2"/>
    <w:rsid w:val="00466988"/>
    <w:rsid w:val="004677CB"/>
    <w:rsid w:val="00467D31"/>
    <w:rsid w:val="00470514"/>
    <w:rsid w:val="00470634"/>
    <w:rsid w:val="0047092D"/>
    <w:rsid w:val="00470F7B"/>
    <w:rsid w:val="0047122B"/>
    <w:rsid w:val="00472125"/>
    <w:rsid w:val="00473B7A"/>
    <w:rsid w:val="00474922"/>
    <w:rsid w:val="00475129"/>
    <w:rsid w:val="00475A5D"/>
    <w:rsid w:val="004770CE"/>
    <w:rsid w:val="004771D9"/>
    <w:rsid w:val="0048032E"/>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BF9"/>
    <w:rsid w:val="004856EF"/>
    <w:rsid w:val="00485B4A"/>
    <w:rsid w:val="00485CA3"/>
    <w:rsid w:val="00485DBF"/>
    <w:rsid w:val="00487081"/>
    <w:rsid w:val="004870B0"/>
    <w:rsid w:val="00487926"/>
    <w:rsid w:val="00490CC9"/>
    <w:rsid w:val="00490E5A"/>
    <w:rsid w:val="00491A88"/>
    <w:rsid w:val="0049218A"/>
    <w:rsid w:val="0049240C"/>
    <w:rsid w:val="00492C4A"/>
    <w:rsid w:val="00492ECE"/>
    <w:rsid w:val="00493822"/>
    <w:rsid w:val="00493A74"/>
    <w:rsid w:val="00493D94"/>
    <w:rsid w:val="00494EA1"/>
    <w:rsid w:val="00495EFD"/>
    <w:rsid w:val="004960E9"/>
    <w:rsid w:val="00497384"/>
    <w:rsid w:val="004975CC"/>
    <w:rsid w:val="004979E7"/>
    <w:rsid w:val="00497DC9"/>
    <w:rsid w:val="004A0B44"/>
    <w:rsid w:val="004A0B80"/>
    <w:rsid w:val="004A221B"/>
    <w:rsid w:val="004A2E88"/>
    <w:rsid w:val="004A39F3"/>
    <w:rsid w:val="004A3BDC"/>
    <w:rsid w:val="004A421E"/>
    <w:rsid w:val="004A4313"/>
    <w:rsid w:val="004A5305"/>
    <w:rsid w:val="004A5BF5"/>
    <w:rsid w:val="004A6144"/>
    <w:rsid w:val="004A6D92"/>
    <w:rsid w:val="004A70C5"/>
    <w:rsid w:val="004A716C"/>
    <w:rsid w:val="004A73D6"/>
    <w:rsid w:val="004A78FB"/>
    <w:rsid w:val="004B132B"/>
    <w:rsid w:val="004B13C6"/>
    <w:rsid w:val="004B21A5"/>
    <w:rsid w:val="004B30A9"/>
    <w:rsid w:val="004B31D3"/>
    <w:rsid w:val="004B41C9"/>
    <w:rsid w:val="004B55AA"/>
    <w:rsid w:val="004B5722"/>
    <w:rsid w:val="004B68F4"/>
    <w:rsid w:val="004B6FE8"/>
    <w:rsid w:val="004B71E9"/>
    <w:rsid w:val="004B7FAF"/>
    <w:rsid w:val="004C0257"/>
    <w:rsid w:val="004C0311"/>
    <w:rsid w:val="004C0564"/>
    <w:rsid w:val="004C05BC"/>
    <w:rsid w:val="004C06A6"/>
    <w:rsid w:val="004C2B46"/>
    <w:rsid w:val="004C3072"/>
    <w:rsid w:val="004C415D"/>
    <w:rsid w:val="004C485A"/>
    <w:rsid w:val="004C5676"/>
    <w:rsid w:val="004C5DCB"/>
    <w:rsid w:val="004C687E"/>
    <w:rsid w:val="004C69F5"/>
    <w:rsid w:val="004C6C88"/>
    <w:rsid w:val="004C7A31"/>
    <w:rsid w:val="004D040D"/>
    <w:rsid w:val="004D182B"/>
    <w:rsid w:val="004D328C"/>
    <w:rsid w:val="004D355C"/>
    <w:rsid w:val="004D4B8C"/>
    <w:rsid w:val="004D5A3A"/>
    <w:rsid w:val="004D6BB3"/>
    <w:rsid w:val="004D6BC4"/>
    <w:rsid w:val="004D72B2"/>
    <w:rsid w:val="004D74C5"/>
    <w:rsid w:val="004D7634"/>
    <w:rsid w:val="004E0285"/>
    <w:rsid w:val="004E0AC3"/>
    <w:rsid w:val="004E1214"/>
    <w:rsid w:val="004E196A"/>
    <w:rsid w:val="004E1A91"/>
    <w:rsid w:val="004E1BDA"/>
    <w:rsid w:val="004E1EFC"/>
    <w:rsid w:val="004E339B"/>
    <w:rsid w:val="004E37B7"/>
    <w:rsid w:val="004E410F"/>
    <w:rsid w:val="004E46D1"/>
    <w:rsid w:val="004E48A8"/>
    <w:rsid w:val="004E5514"/>
    <w:rsid w:val="004E55D4"/>
    <w:rsid w:val="004E571D"/>
    <w:rsid w:val="004E5EAA"/>
    <w:rsid w:val="004E611A"/>
    <w:rsid w:val="004E6452"/>
    <w:rsid w:val="004E650C"/>
    <w:rsid w:val="004E79D3"/>
    <w:rsid w:val="004E7C6D"/>
    <w:rsid w:val="004E7D8C"/>
    <w:rsid w:val="004E7F8F"/>
    <w:rsid w:val="004F0852"/>
    <w:rsid w:val="004F086B"/>
    <w:rsid w:val="004F165C"/>
    <w:rsid w:val="004F177E"/>
    <w:rsid w:val="004F17CA"/>
    <w:rsid w:val="004F1E0C"/>
    <w:rsid w:val="004F373D"/>
    <w:rsid w:val="004F3DF8"/>
    <w:rsid w:val="004F4FCA"/>
    <w:rsid w:val="004F5343"/>
    <w:rsid w:val="004F5B86"/>
    <w:rsid w:val="004F5F72"/>
    <w:rsid w:val="004F6360"/>
    <w:rsid w:val="004F6460"/>
    <w:rsid w:val="004F70B9"/>
    <w:rsid w:val="005010CF"/>
    <w:rsid w:val="00501AAD"/>
    <w:rsid w:val="00501B46"/>
    <w:rsid w:val="00501BA1"/>
    <w:rsid w:val="0050206F"/>
    <w:rsid w:val="0050222B"/>
    <w:rsid w:val="00503B34"/>
    <w:rsid w:val="0050415A"/>
    <w:rsid w:val="0050436B"/>
    <w:rsid w:val="005044C6"/>
    <w:rsid w:val="005049C5"/>
    <w:rsid w:val="00504D18"/>
    <w:rsid w:val="00505AD5"/>
    <w:rsid w:val="00505FC9"/>
    <w:rsid w:val="00506AFF"/>
    <w:rsid w:val="00506E54"/>
    <w:rsid w:val="005071C2"/>
    <w:rsid w:val="00507DC6"/>
    <w:rsid w:val="005107A2"/>
    <w:rsid w:val="0051095E"/>
    <w:rsid w:val="00510FBA"/>
    <w:rsid w:val="00511458"/>
    <w:rsid w:val="005119A2"/>
    <w:rsid w:val="00511B4F"/>
    <w:rsid w:val="0051287A"/>
    <w:rsid w:val="0051288E"/>
    <w:rsid w:val="00512B25"/>
    <w:rsid w:val="00512C1F"/>
    <w:rsid w:val="00513117"/>
    <w:rsid w:val="00513336"/>
    <w:rsid w:val="00515D56"/>
    <w:rsid w:val="0051635B"/>
    <w:rsid w:val="00516E25"/>
    <w:rsid w:val="00517400"/>
    <w:rsid w:val="00517AC0"/>
    <w:rsid w:val="00517BCE"/>
    <w:rsid w:val="00517ECD"/>
    <w:rsid w:val="00520A3C"/>
    <w:rsid w:val="00521271"/>
    <w:rsid w:val="00521367"/>
    <w:rsid w:val="0052144F"/>
    <w:rsid w:val="00521497"/>
    <w:rsid w:val="00521637"/>
    <w:rsid w:val="00521746"/>
    <w:rsid w:val="00521F35"/>
    <w:rsid w:val="005232CE"/>
    <w:rsid w:val="00523494"/>
    <w:rsid w:val="005238F2"/>
    <w:rsid w:val="00523A96"/>
    <w:rsid w:val="00524167"/>
    <w:rsid w:val="00525389"/>
    <w:rsid w:val="00525697"/>
    <w:rsid w:val="00525AEE"/>
    <w:rsid w:val="005260C6"/>
    <w:rsid w:val="005263F5"/>
    <w:rsid w:val="00526A6A"/>
    <w:rsid w:val="00526C8C"/>
    <w:rsid w:val="0052720E"/>
    <w:rsid w:val="0052725A"/>
    <w:rsid w:val="0052733A"/>
    <w:rsid w:val="005275B2"/>
    <w:rsid w:val="005300D3"/>
    <w:rsid w:val="0053058C"/>
    <w:rsid w:val="00531357"/>
    <w:rsid w:val="00532074"/>
    <w:rsid w:val="005327EB"/>
    <w:rsid w:val="0053306E"/>
    <w:rsid w:val="005333C9"/>
    <w:rsid w:val="00533511"/>
    <w:rsid w:val="00533BF6"/>
    <w:rsid w:val="0053520D"/>
    <w:rsid w:val="00536925"/>
    <w:rsid w:val="00537499"/>
    <w:rsid w:val="005402A5"/>
    <w:rsid w:val="00540633"/>
    <w:rsid w:val="005407C8"/>
    <w:rsid w:val="0054109E"/>
    <w:rsid w:val="00541301"/>
    <w:rsid w:val="0054150C"/>
    <w:rsid w:val="00542A10"/>
    <w:rsid w:val="00543038"/>
    <w:rsid w:val="00543157"/>
    <w:rsid w:val="00543226"/>
    <w:rsid w:val="0054386A"/>
    <w:rsid w:val="005439F7"/>
    <w:rsid w:val="00543B0C"/>
    <w:rsid w:val="00544414"/>
    <w:rsid w:val="00544B98"/>
    <w:rsid w:val="00544F82"/>
    <w:rsid w:val="00545317"/>
    <w:rsid w:val="0054594F"/>
    <w:rsid w:val="00545DA9"/>
    <w:rsid w:val="005460E7"/>
    <w:rsid w:val="00546568"/>
    <w:rsid w:val="0054673A"/>
    <w:rsid w:val="00546CD5"/>
    <w:rsid w:val="0054797E"/>
    <w:rsid w:val="00547E18"/>
    <w:rsid w:val="005503D0"/>
    <w:rsid w:val="005509D2"/>
    <w:rsid w:val="00550FF3"/>
    <w:rsid w:val="00551C12"/>
    <w:rsid w:val="00552AD1"/>
    <w:rsid w:val="005532D5"/>
    <w:rsid w:val="00553F3C"/>
    <w:rsid w:val="00554B07"/>
    <w:rsid w:val="00554C96"/>
    <w:rsid w:val="00554CEA"/>
    <w:rsid w:val="005556FC"/>
    <w:rsid w:val="00555BA6"/>
    <w:rsid w:val="00555E24"/>
    <w:rsid w:val="00555F0E"/>
    <w:rsid w:val="00557262"/>
    <w:rsid w:val="00560967"/>
    <w:rsid w:val="00560A68"/>
    <w:rsid w:val="0056187D"/>
    <w:rsid w:val="005618EF"/>
    <w:rsid w:val="005627A5"/>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9A4"/>
    <w:rsid w:val="00566CAC"/>
    <w:rsid w:val="005673AC"/>
    <w:rsid w:val="00567975"/>
    <w:rsid w:val="00567BC9"/>
    <w:rsid w:val="0057025F"/>
    <w:rsid w:val="00570CC7"/>
    <w:rsid w:val="005711EC"/>
    <w:rsid w:val="005714A3"/>
    <w:rsid w:val="00571C46"/>
    <w:rsid w:val="00571D26"/>
    <w:rsid w:val="005736BB"/>
    <w:rsid w:val="00574008"/>
    <w:rsid w:val="005744D6"/>
    <w:rsid w:val="00574AD7"/>
    <w:rsid w:val="005750F5"/>
    <w:rsid w:val="00575558"/>
    <w:rsid w:val="005764BA"/>
    <w:rsid w:val="00576640"/>
    <w:rsid w:val="00576662"/>
    <w:rsid w:val="005767CB"/>
    <w:rsid w:val="0057707D"/>
    <w:rsid w:val="00577185"/>
    <w:rsid w:val="0058059D"/>
    <w:rsid w:val="00580DA2"/>
    <w:rsid w:val="0058123C"/>
    <w:rsid w:val="00581AFE"/>
    <w:rsid w:val="00583A32"/>
    <w:rsid w:val="00583A33"/>
    <w:rsid w:val="005843A4"/>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29C7"/>
    <w:rsid w:val="00593425"/>
    <w:rsid w:val="00593476"/>
    <w:rsid w:val="00593977"/>
    <w:rsid w:val="00593C43"/>
    <w:rsid w:val="00593C4F"/>
    <w:rsid w:val="005943AA"/>
    <w:rsid w:val="00594609"/>
    <w:rsid w:val="005946A8"/>
    <w:rsid w:val="00594750"/>
    <w:rsid w:val="00595129"/>
    <w:rsid w:val="0059537B"/>
    <w:rsid w:val="00596B96"/>
    <w:rsid w:val="005A01FB"/>
    <w:rsid w:val="005A0E0C"/>
    <w:rsid w:val="005A10C4"/>
    <w:rsid w:val="005A18E5"/>
    <w:rsid w:val="005A1E31"/>
    <w:rsid w:val="005A32ED"/>
    <w:rsid w:val="005A35ED"/>
    <w:rsid w:val="005A3E1C"/>
    <w:rsid w:val="005A4407"/>
    <w:rsid w:val="005A48C2"/>
    <w:rsid w:val="005A55B0"/>
    <w:rsid w:val="005A59EF"/>
    <w:rsid w:val="005A5B8B"/>
    <w:rsid w:val="005A5D4E"/>
    <w:rsid w:val="005A5DF6"/>
    <w:rsid w:val="005A648D"/>
    <w:rsid w:val="005A6E65"/>
    <w:rsid w:val="005B0ABE"/>
    <w:rsid w:val="005B1224"/>
    <w:rsid w:val="005B1C7E"/>
    <w:rsid w:val="005B2095"/>
    <w:rsid w:val="005B2098"/>
    <w:rsid w:val="005B2CF0"/>
    <w:rsid w:val="005B3588"/>
    <w:rsid w:val="005B42BF"/>
    <w:rsid w:val="005B6CB3"/>
    <w:rsid w:val="005B6E70"/>
    <w:rsid w:val="005C00E9"/>
    <w:rsid w:val="005C0ACC"/>
    <w:rsid w:val="005C0F45"/>
    <w:rsid w:val="005C1C67"/>
    <w:rsid w:val="005C2146"/>
    <w:rsid w:val="005C2300"/>
    <w:rsid w:val="005C27C6"/>
    <w:rsid w:val="005C368B"/>
    <w:rsid w:val="005C36C6"/>
    <w:rsid w:val="005C3BAA"/>
    <w:rsid w:val="005C5053"/>
    <w:rsid w:val="005C51B8"/>
    <w:rsid w:val="005C61F8"/>
    <w:rsid w:val="005C63D3"/>
    <w:rsid w:val="005C6976"/>
    <w:rsid w:val="005C772C"/>
    <w:rsid w:val="005C7781"/>
    <w:rsid w:val="005D0151"/>
    <w:rsid w:val="005D0888"/>
    <w:rsid w:val="005D0A73"/>
    <w:rsid w:val="005D0C07"/>
    <w:rsid w:val="005D0C96"/>
    <w:rsid w:val="005D1C05"/>
    <w:rsid w:val="005D1DE8"/>
    <w:rsid w:val="005D3126"/>
    <w:rsid w:val="005D31B9"/>
    <w:rsid w:val="005D352F"/>
    <w:rsid w:val="005D405A"/>
    <w:rsid w:val="005D40F0"/>
    <w:rsid w:val="005D4A35"/>
    <w:rsid w:val="005D502E"/>
    <w:rsid w:val="005D533D"/>
    <w:rsid w:val="005D5BC6"/>
    <w:rsid w:val="005D5F64"/>
    <w:rsid w:val="005D6C4D"/>
    <w:rsid w:val="005D700C"/>
    <w:rsid w:val="005D7162"/>
    <w:rsid w:val="005D7530"/>
    <w:rsid w:val="005E07AF"/>
    <w:rsid w:val="005E2B7C"/>
    <w:rsid w:val="005E3DB5"/>
    <w:rsid w:val="005E4383"/>
    <w:rsid w:val="005E4914"/>
    <w:rsid w:val="005E59B2"/>
    <w:rsid w:val="005E5BE2"/>
    <w:rsid w:val="005E6234"/>
    <w:rsid w:val="005F023D"/>
    <w:rsid w:val="005F1E60"/>
    <w:rsid w:val="005F3244"/>
    <w:rsid w:val="005F3416"/>
    <w:rsid w:val="005F39BD"/>
    <w:rsid w:val="005F39CA"/>
    <w:rsid w:val="005F408B"/>
    <w:rsid w:val="005F4C1B"/>
    <w:rsid w:val="005F4F95"/>
    <w:rsid w:val="005F502F"/>
    <w:rsid w:val="005F526D"/>
    <w:rsid w:val="005F558B"/>
    <w:rsid w:val="005F693E"/>
    <w:rsid w:val="005F6F41"/>
    <w:rsid w:val="005F7013"/>
    <w:rsid w:val="00601487"/>
    <w:rsid w:val="00601DDF"/>
    <w:rsid w:val="00601F10"/>
    <w:rsid w:val="00602A09"/>
    <w:rsid w:val="00602D1B"/>
    <w:rsid w:val="006036D2"/>
    <w:rsid w:val="006051EC"/>
    <w:rsid w:val="006052C5"/>
    <w:rsid w:val="0060532A"/>
    <w:rsid w:val="00605DA0"/>
    <w:rsid w:val="00605DA7"/>
    <w:rsid w:val="0060679E"/>
    <w:rsid w:val="0060783E"/>
    <w:rsid w:val="006102A4"/>
    <w:rsid w:val="00610A14"/>
    <w:rsid w:val="0061112B"/>
    <w:rsid w:val="0061181E"/>
    <w:rsid w:val="00611B5C"/>
    <w:rsid w:val="006123DD"/>
    <w:rsid w:val="00612D3E"/>
    <w:rsid w:val="00612F66"/>
    <w:rsid w:val="00613932"/>
    <w:rsid w:val="006140AF"/>
    <w:rsid w:val="00614138"/>
    <w:rsid w:val="00614509"/>
    <w:rsid w:val="0061581B"/>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3032"/>
    <w:rsid w:val="006236DF"/>
    <w:rsid w:val="00623ACD"/>
    <w:rsid w:val="00624AF6"/>
    <w:rsid w:val="006259EB"/>
    <w:rsid w:val="00625BCF"/>
    <w:rsid w:val="00625D9F"/>
    <w:rsid w:val="00625DC6"/>
    <w:rsid w:val="006263B4"/>
    <w:rsid w:val="0062729D"/>
    <w:rsid w:val="00627335"/>
    <w:rsid w:val="00627E29"/>
    <w:rsid w:val="00630A9A"/>
    <w:rsid w:val="006310C9"/>
    <w:rsid w:val="006314A1"/>
    <w:rsid w:val="00631806"/>
    <w:rsid w:val="00631CCB"/>
    <w:rsid w:val="00632761"/>
    <w:rsid w:val="006327E7"/>
    <w:rsid w:val="00632871"/>
    <w:rsid w:val="00632DA8"/>
    <w:rsid w:val="00634FDA"/>
    <w:rsid w:val="0063513B"/>
    <w:rsid w:val="00635B22"/>
    <w:rsid w:val="00635B25"/>
    <w:rsid w:val="0063602D"/>
    <w:rsid w:val="00636835"/>
    <w:rsid w:val="00636B38"/>
    <w:rsid w:val="00637465"/>
    <w:rsid w:val="00637B06"/>
    <w:rsid w:val="00637F1B"/>
    <w:rsid w:val="006400D5"/>
    <w:rsid w:val="006402E5"/>
    <w:rsid w:val="00641554"/>
    <w:rsid w:val="00641D65"/>
    <w:rsid w:val="00642705"/>
    <w:rsid w:val="006428D4"/>
    <w:rsid w:val="00642CA2"/>
    <w:rsid w:val="0064343E"/>
    <w:rsid w:val="0064391D"/>
    <w:rsid w:val="006439B0"/>
    <w:rsid w:val="00644E86"/>
    <w:rsid w:val="006456FE"/>
    <w:rsid w:val="00645742"/>
    <w:rsid w:val="00645BF9"/>
    <w:rsid w:val="006460DA"/>
    <w:rsid w:val="0064674B"/>
    <w:rsid w:val="00646756"/>
    <w:rsid w:val="00647739"/>
    <w:rsid w:val="0065019F"/>
    <w:rsid w:val="00650858"/>
    <w:rsid w:val="006508AB"/>
    <w:rsid w:val="00650D7D"/>
    <w:rsid w:val="00651154"/>
    <w:rsid w:val="006516F4"/>
    <w:rsid w:val="00651821"/>
    <w:rsid w:val="00651BBF"/>
    <w:rsid w:val="00651C8E"/>
    <w:rsid w:val="006528E5"/>
    <w:rsid w:val="00652B8C"/>
    <w:rsid w:val="00653410"/>
    <w:rsid w:val="00653D45"/>
    <w:rsid w:val="00653FE0"/>
    <w:rsid w:val="00653FE9"/>
    <w:rsid w:val="00654351"/>
    <w:rsid w:val="00654384"/>
    <w:rsid w:val="006561FF"/>
    <w:rsid w:val="00656A24"/>
    <w:rsid w:val="00657B06"/>
    <w:rsid w:val="00660613"/>
    <w:rsid w:val="0066063C"/>
    <w:rsid w:val="006622B2"/>
    <w:rsid w:val="00662A64"/>
    <w:rsid w:val="00662D71"/>
    <w:rsid w:val="00663351"/>
    <w:rsid w:val="00663B7D"/>
    <w:rsid w:val="00664318"/>
    <w:rsid w:val="0066496C"/>
    <w:rsid w:val="00664F8D"/>
    <w:rsid w:val="00665DA8"/>
    <w:rsid w:val="00665F3D"/>
    <w:rsid w:val="0066666A"/>
    <w:rsid w:val="00666999"/>
    <w:rsid w:val="00666A1D"/>
    <w:rsid w:val="00666B31"/>
    <w:rsid w:val="006675CD"/>
    <w:rsid w:val="00667AD5"/>
    <w:rsid w:val="00667BDF"/>
    <w:rsid w:val="00672092"/>
    <w:rsid w:val="006722B3"/>
    <w:rsid w:val="0067238D"/>
    <w:rsid w:val="006724E4"/>
    <w:rsid w:val="00672517"/>
    <w:rsid w:val="006740B2"/>
    <w:rsid w:val="00674275"/>
    <w:rsid w:val="00674313"/>
    <w:rsid w:val="006747D5"/>
    <w:rsid w:val="00675985"/>
    <w:rsid w:val="00676724"/>
    <w:rsid w:val="00677E6A"/>
    <w:rsid w:val="00677FBF"/>
    <w:rsid w:val="00680BFA"/>
    <w:rsid w:val="00680C6F"/>
    <w:rsid w:val="00680DD2"/>
    <w:rsid w:val="00682A2F"/>
    <w:rsid w:val="0068360C"/>
    <w:rsid w:val="00683EB3"/>
    <w:rsid w:val="00684578"/>
    <w:rsid w:val="00684D9B"/>
    <w:rsid w:val="0068510A"/>
    <w:rsid w:val="00685BCB"/>
    <w:rsid w:val="00690CEF"/>
    <w:rsid w:val="006918A8"/>
    <w:rsid w:val="00691FFB"/>
    <w:rsid w:val="0069245B"/>
    <w:rsid w:val="00694071"/>
    <w:rsid w:val="006948FC"/>
    <w:rsid w:val="00694E6C"/>
    <w:rsid w:val="00695534"/>
    <w:rsid w:val="00695679"/>
    <w:rsid w:val="00695698"/>
    <w:rsid w:val="0069602D"/>
    <w:rsid w:val="00696F9D"/>
    <w:rsid w:val="00697556"/>
    <w:rsid w:val="006978F7"/>
    <w:rsid w:val="006A0476"/>
    <w:rsid w:val="006A1A2E"/>
    <w:rsid w:val="006A1CA8"/>
    <w:rsid w:val="006A1EB6"/>
    <w:rsid w:val="006A2808"/>
    <w:rsid w:val="006A294C"/>
    <w:rsid w:val="006A2EDF"/>
    <w:rsid w:val="006A3BF0"/>
    <w:rsid w:val="006A3C82"/>
    <w:rsid w:val="006A4146"/>
    <w:rsid w:val="006A4993"/>
    <w:rsid w:val="006A4BBD"/>
    <w:rsid w:val="006A524E"/>
    <w:rsid w:val="006A5EB3"/>
    <w:rsid w:val="006A5EBC"/>
    <w:rsid w:val="006A5F82"/>
    <w:rsid w:val="006A6122"/>
    <w:rsid w:val="006A616B"/>
    <w:rsid w:val="006A72C7"/>
    <w:rsid w:val="006A7B6F"/>
    <w:rsid w:val="006B0670"/>
    <w:rsid w:val="006B1433"/>
    <w:rsid w:val="006B191E"/>
    <w:rsid w:val="006B1FD1"/>
    <w:rsid w:val="006B1FDF"/>
    <w:rsid w:val="006B2B2D"/>
    <w:rsid w:val="006B2EF5"/>
    <w:rsid w:val="006B3438"/>
    <w:rsid w:val="006B3EF8"/>
    <w:rsid w:val="006B4081"/>
    <w:rsid w:val="006B4168"/>
    <w:rsid w:val="006B4647"/>
    <w:rsid w:val="006B4C2B"/>
    <w:rsid w:val="006B4DB8"/>
    <w:rsid w:val="006B5445"/>
    <w:rsid w:val="006B5DFE"/>
    <w:rsid w:val="006B6139"/>
    <w:rsid w:val="006B6194"/>
    <w:rsid w:val="006B661E"/>
    <w:rsid w:val="006B6D47"/>
    <w:rsid w:val="006B7078"/>
    <w:rsid w:val="006B719A"/>
    <w:rsid w:val="006B724C"/>
    <w:rsid w:val="006B7E09"/>
    <w:rsid w:val="006C00E8"/>
    <w:rsid w:val="006C0679"/>
    <w:rsid w:val="006C1AF2"/>
    <w:rsid w:val="006C1DDA"/>
    <w:rsid w:val="006C1FD7"/>
    <w:rsid w:val="006C28E5"/>
    <w:rsid w:val="006C2D31"/>
    <w:rsid w:val="006C2D8E"/>
    <w:rsid w:val="006C32C9"/>
    <w:rsid w:val="006C39C5"/>
    <w:rsid w:val="006C3E16"/>
    <w:rsid w:val="006C40BF"/>
    <w:rsid w:val="006C4912"/>
    <w:rsid w:val="006C5475"/>
    <w:rsid w:val="006C551B"/>
    <w:rsid w:val="006C5A3C"/>
    <w:rsid w:val="006C5AFE"/>
    <w:rsid w:val="006C5F0F"/>
    <w:rsid w:val="006C7715"/>
    <w:rsid w:val="006C7AF6"/>
    <w:rsid w:val="006C7F6B"/>
    <w:rsid w:val="006D0483"/>
    <w:rsid w:val="006D093B"/>
    <w:rsid w:val="006D1ED8"/>
    <w:rsid w:val="006D2747"/>
    <w:rsid w:val="006D2C27"/>
    <w:rsid w:val="006D2F90"/>
    <w:rsid w:val="006D30B1"/>
    <w:rsid w:val="006D3371"/>
    <w:rsid w:val="006D499A"/>
    <w:rsid w:val="006D4C57"/>
    <w:rsid w:val="006D5027"/>
    <w:rsid w:val="006D5773"/>
    <w:rsid w:val="006D5E04"/>
    <w:rsid w:val="006D7B38"/>
    <w:rsid w:val="006E0A54"/>
    <w:rsid w:val="006E135B"/>
    <w:rsid w:val="006E155D"/>
    <w:rsid w:val="006E1EEA"/>
    <w:rsid w:val="006E243D"/>
    <w:rsid w:val="006E24A7"/>
    <w:rsid w:val="006E38F5"/>
    <w:rsid w:val="006E3FEC"/>
    <w:rsid w:val="006E4298"/>
    <w:rsid w:val="006E495A"/>
    <w:rsid w:val="006E4C15"/>
    <w:rsid w:val="006E5FC3"/>
    <w:rsid w:val="006E6B54"/>
    <w:rsid w:val="006E7E68"/>
    <w:rsid w:val="006F0D35"/>
    <w:rsid w:val="006F2302"/>
    <w:rsid w:val="006F24E6"/>
    <w:rsid w:val="006F268E"/>
    <w:rsid w:val="006F2AB6"/>
    <w:rsid w:val="006F2EC8"/>
    <w:rsid w:val="006F33A3"/>
    <w:rsid w:val="006F38C6"/>
    <w:rsid w:val="006F3970"/>
    <w:rsid w:val="006F3ADA"/>
    <w:rsid w:val="006F45E2"/>
    <w:rsid w:val="006F4824"/>
    <w:rsid w:val="006F51FB"/>
    <w:rsid w:val="006F54B0"/>
    <w:rsid w:val="006F56D0"/>
    <w:rsid w:val="006F5E13"/>
    <w:rsid w:val="006F63C8"/>
    <w:rsid w:val="006F6886"/>
    <w:rsid w:val="006F6D95"/>
    <w:rsid w:val="006F7CFE"/>
    <w:rsid w:val="006F7FEE"/>
    <w:rsid w:val="0070138A"/>
    <w:rsid w:val="00701544"/>
    <w:rsid w:val="007018C5"/>
    <w:rsid w:val="00702937"/>
    <w:rsid w:val="00703F67"/>
    <w:rsid w:val="00704C24"/>
    <w:rsid w:val="00705F85"/>
    <w:rsid w:val="00706179"/>
    <w:rsid w:val="00706F13"/>
    <w:rsid w:val="007072E8"/>
    <w:rsid w:val="007074B2"/>
    <w:rsid w:val="007076FB"/>
    <w:rsid w:val="0070791F"/>
    <w:rsid w:val="00707ED5"/>
    <w:rsid w:val="0071011F"/>
    <w:rsid w:val="007106C9"/>
    <w:rsid w:val="00710B15"/>
    <w:rsid w:val="00710CBC"/>
    <w:rsid w:val="00710FF1"/>
    <w:rsid w:val="00711E2F"/>
    <w:rsid w:val="0071234E"/>
    <w:rsid w:val="007127EF"/>
    <w:rsid w:val="00712CF4"/>
    <w:rsid w:val="00713372"/>
    <w:rsid w:val="007134B4"/>
    <w:rsid w:val="00713525"/>
    <w:rsid w:val="0071352A"/>
    <w:rsid w:val="00714A31"/>
    <w:rsid w:val="007150BB"/>
    <w:rsid w:val="0071618D"/>
    <w:rsid w:val="00716BF9"/>
    <w:rsid w:val="00717FED"/>
    <w:rsid w:val="00720AE2"/>
    <w:rsid w:val="00720E2E"/>
    <w:rsid w:val="0072116F"/>
    <w:rsid w:val="00721534"/>
    <w:rsid w:val="00721A52"/>
    <w:rsid w:val="00721D5B"/>
    <w:rsid w:val="00721EAE"/>
    <w:rsid w:val="007222A3"/>
    <w:rsid w:val="00722396"/>
    <w:rsid w:val="00722B3D"/>
    <w:rsid w:val="00723714"/>
    <w:rsid w:val="00723868"/>
    <w:rsid w:val="00723CF0"/>
    <w:rsid w:val="0072463D"/>
    <w:rsid w:val="00724792"/>
    <w:rsid w:val="00724A10"/>
    <w:rsid w:val="00724C58"/>
    <w:rsid w:val="00724F4C"/>
    <w:rsid w:val="00725FA4"/>
    <w:rsid w:val="00726C64"/>
    <w:rsid w:val="007275E4"/>
    <w:rsid w:val="00727B2C"/>
    <w:rsid w:val="00730302"/>
    <w:rsid w:val="00730AF6"/>
    <w:rsid w:val="00730DA7"/>
    <w:rsid w:val="00730FC6"/>
    <w:rsid w:val="007311DE"/>
    <w:rsid w:val="007314A3"/>
    <w:rsid w:val="007321AA"/>
    <w:rsid w:val="00732367"/>
    <w:rsid w:val="007326A1"/>
    <w:rsid w:val="0073296F"/>
    <w:rsid w:val="00732B59"/>
    <w:rsid w:val="00732D18"/>
    <w:rsid w:val="00732E0B"/>
    <w:rsid w:val="00732FDC"/>
    <w:rsid w:val="00733935"/>
    <w:rsid w:val="00733DD7"/>
    <w:rsid w:val="00733FD7"/>
    <w:rsid w:val="007340CC"/>
    <w:rsid w:val="00734187"/>
    <w:rsid w:val="00734C73"/>
    <w:rsid w:val="007351C6"/>
    <w:rsid w:val="007359D7"/>
    <w:rsid w:val="00736E15"/>
    <w:rsid w:val="00736FF3"/>
    <w:rsid w:val="00737714"/>
    <w:rsid w:val="00737A26"/>
    <w:rsid w:val="00740446"/>
    <w:rsid w:val="00740BDD"/>
    <w:rsid w:val="0074228C"/>
    <w:rsid w:val="0074260A"/>
    <w:rsid w:val="007438A9"/>
    <w:rsid w:val="00743AD7"/>
    <w:rsid w:val="00743B2A"/>
    <w:rsid w:val="00743DD1"/>
    <w:rsid w:val="00743E7F"/>
    <w:rsid w:val="007443FC"/>
    <w:rsid w:val="0074441A"/>
    <w:rsid w:val="0074450F"/>
    <w:rsid w:val="0074491E"/>
    <w:rsid w:val="00744ACD"/>
    <w:rsid w:val="00744D0A"/>
    <w:rsid w:val="00745C85"/>
    <w:rsid w:val="007461A1"/>
    <w:rsid w:val="0074654F"/>
    <w:rsid w:val="0074670B"/>
    <w:rsid w:val="00746E56"/>
    <w:rsid w:val="0074749F"/>
    <w:rsid w:val="00747D06"/>
    <w:rsid w:val="007505BC"/>
    <w:rsid w:val="007511E4"/>
    <w:rsid w:val="007522EC"/>
    <w:rsid w:val="007541E7"/>
    <w:rsid w:val="0075466B"/>
    <w:rsid w:val="007547AE"/>
    <w:rsid w:val="00754C8D"/>
    <w:rsid w:val="007550FC"/>
    <w:rsid w:val="00755178"/>
    <w:rsid w:val="0075578E"/>
    <w:rsid w:val="00756ABB"/>
    <w:rsid w:val="00757039"/>
    <w:rsid w:val="00760259"/>
    <w:rsid w:val="007602F3"/>
    <w:rsid w:val="00760D67"/>
    <w:rsid w:val="0076163F"/>
    <w:rsid w:val="0076247A"/>
    <w:rsid w:val="00762FB0"/>
    <w:rsid w:val="00763072"/>
    <w:rsid w:val="00763175"/>
    <w:rsid w:val="00763381"/>
    <w:rsid w:val="007640A2"/>
    <w:rsid w:val="00764270"/>
    <w:rsid w:val="007659FF"/>
    <w:rsid w:val="0076625D"/>
    <w:rsid w:val="007663CF"/>
    <w:rsid w:val="007668F7"/>
    <w:rsid w:val="00766BE8"/>
    <w:rsid w:val="0076706C"/>
    <w:rsid w:val="00767391"/>
    <w:rsid w:val="00767858"/>
    <w:rsid w:val="00770203"/>
    <w:rsid w:val="007705CD"/>
    <w:rsid w:val="00770886"/>
    <w:rsid w:val="00770FAA"/>
    <w:rsid w:val="00771B7C"/>
    <w:rsid w:val="0077229F"/>
    <w:rsid w:val="0077377A"/>
    <w:rsid w:val="00773E66"/>
    <w:rsid w:val="007748D0"/>
    <w:rsid w:val="00774ABE"/>
    <w:rsid w:val="00774AEA"/>
    <w:rsid w:val="00775964"/>
    <w:rsid w:val="0077639F"/>
    <w:rsid w:val="00776548"/>
    <w:rsid w:val="007765FE"/>
    <w:rsid w:val="007766B3"/>
    <w:rsid w:val="00777138"/>
    <w:rsid w:val="00777163"/>
    <w:rsid w:val="00777809"/>
    <w:rsid w:val="00780D34"/>
    <w:rsid w:val="00781E1A"/>
    <w:rsid w:val="00783CA6"/>
    <w:rsid w:val="00785678"/>
    <w:rsid w:val="00785C3E"/>
    <w:rsid w:val="00785E4F"/>
    <w:rsid w:val="00786378"/>
    <w:rsid w:val="00787DA9"/>
    <w:rsid w:val="00787E5A"/>
    <w:rsid w:val="00790375"/>
    <w:rsid w:val="007910F2"/>
    <w:rsid w:val="007914FE"/>
    <w:rsid w:val="007928B7"/>
    <w:rsid w:val="00792C88"/>
    <w:rsid w:val="00792CBD"/>
    <w:rsid w:val="007930DA"/>
    <w:rsid w:val="00793623"/>
    <w:rsid w:val="00793C5D"/>
    <w:rsid w:val="00793FA6"/>
    <w:rsid w:val="00794E2E"/>
    <w:rsid w:val="007950FC"/>
    <w:rsid w:val="00795373"/>
    <w:rsid w:val="00795505"/>
    <w:rsid w:val="00795587"/>
    <w:rsid w:val="0079591A"/>
    <w:rsid w:val="00795BFB"/>
    <w:rsid w:val="00795C03"/>
    <w:rsid w:val="00797AEB"/>
    <w:rsid w:val="00797CE3"/>
    <w:rsid w:val="00797DBC"/>
    <w:rsid w:val="00797E3E"/>
    <w:rsid w:val="007A060C"/>
    <w:rsid w:val="007A1930"/>
    <w:rsid w:val="007A1FE8"/>
    <w:rsid w:val="007A428E"/>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D30"/>
    <w:rsid w:val="007B2D4C"/>
    <w:rsid w:val="007B2D55"/>
    <w:rsid w:val="007B353E"/>
    <w:rsid w:val="007B3876"/>
    <w:rsid w:val="007B39D7"/>
    <w:rsid w:val="007B3B7A"/>
    <w:rsid w:val="007B3DC2"/>
    <w:rsid w:val="007B3F04"/>
    <w:rsid w:val="007B4336"/>
    <w:rsid w:val="007B47BC"/>
    <w:rsid w:val="007B4B36"/>
    <w:rsid w:val="007B53E9"/>
    <w:rsid w:val="007B564B"/>
    <w:rsid w:val="007B5CF2"/>
    <w:rsid w:val="007B6903"/>
    <w:rsid w:val="007B6C0B"/>
    <w:rsid w:val="007B71EE"/>
    <w:rsid w:val="007B73FC"/>
    <w:rsid w:val="007B75E9"/>
    <w:rsid w:val="007B77CE"/>
    <w:rsid w:val="007B7935"/>
    <w:rsid w:val="007B7ACF"/>
    <w:rsid w:val="007C0A8E"/>
    <w:rsid w:val="007C127E"/>
    <w:rsid w:val="007C1B10"/>
    <w:rsid w:val="007C1FC9"/>
    <w:rsid w:val="007C2407"/>
    <w:rsid w:val="007C27D1"/>
    <w:rsid w:val="007C2E41"/>
    <w:rsid w:val="007C3F50"/>
    <w:rsid w:val="007C585E"/>
    <w:rsid w:val="007C5B24"/>
    <w:rsid w:val="007C636C"/>
    <w:rsid w:val="007C679C"/>
    <w:rsid w:val="007C6A9F"/>
    <w:rsid w:val="007C79E3"/>
    <w:rsid w:val="007D1D55"/>
    <w:rsid w:val="007D2EEA"/>
    <w:rsid w:val="007D3138"/>
    <w:rsid w:val="007D329B"/>
    <w:rsid w:val="007D3C39"/>
    <w:rsid w:val="007D3ECB"/>
    <w:rsid w:val="007D49D7"/>
    <w:rsid w:val="007D4B87"/>
    <w:rsid w:val="007D4E4D"/>
    <w:rsid w:val="007D5813"/>
    <w:rsid w:val="007D5817"/>
    <w:rsid w:val="007D5845"/>
    <w:rsid w:val="007D60C7"/>
    <w:rsid w:val="007D6534"/>
    <w:rsid w:val="007D688D"/>
    <w:rsid w:val="007D69D2"/>
    <w:rsid w:val="007D6B92"/>
    <w:rsid w:val="007D7D17"/>
    <w:rsid w:val="007E09A4"/>
    <w:rsid w:val="007E0DAC"/>
    <w:rsid w:val="007E1112"/>
    <w:rsid w:val="007E1425"/>
    <w:rsid w:val="007E1F51"/>
    <w:rsid w:val="007E3430"/>
    <w:rsid w:val="007E3D47"/>
    <w:rsid w:val="007E47AA"/>
    <w:rsid w:val="007E4A8E"/>
    <w:rsid w:val="007E52FB"/>
    <w:rsid w:val="007E53C7"/>
    <w:rsid w:val="007E5792"/>
    <w:rsid w:val="007E5AC9"/>
    <w:rsid w:val="007E5B81"/>
    <w:rsid w:val="007E6265"/>
    <w:rsid w:val="007E66B1"/>
    <w:rsid w:val="007E6772"/>
    <w:rsid w:val="007E6B4D"/>
    <w:rsid w:val="007E71A4"/>
    <w:rsid w:val="007E72CE"/>
    <w:rsid w:val="007E7388"/>
    <w:rsid w:val="007E7A8F"/>
    <w:rsid w:val="007E7A97"/>
    <w:rsid w:val="007F0460"/>
    <w:rsid w:val="007F1280"/>
    <w:rsid w:val="007F1A49"/>
    <w:rsid w:val="007F2732"/>
    <w:rsid w:val="007F4A2F"/>
    <w:rsid w:val="007F54DB"/>
    <w:rsid w:val="007F61EC"/>
    <w:rsid w:val="007F6527"/>
    <w:rsid w:val="007F6598"/>
    <w:rsid w:val="007F6754"/>
    <w:rsid w:val="007F6845"/>
    <w:rsid w:val="007F6C99"/>
    <w:rsid w:val="007F77FE"/>
    <w:rsid w:val="007F7C1B"/>
    <w:rsid w:val="00800D21"/>
    <w:rsid w:val="00801349"/>
    <w:rsid w:val="00801920"/>
    <w:rsid w:val="00801F33"/>
    <w:rsid w:val="00802584"/>
    <w:rsid w:val="00802E44"/>
    <w:rsid w:val="00803071"/>
    <w:rsid w:val="008032F4"/>
    <w:rsid w:val="008037F3"/>
    <w:rsid w:val="00803BBC"/>
    <w:rsid w:val="0080401E"/>
    <w:rsid w:val="008042C8"/>
    <w:rsid w:val="008043BB"/>
    <w:rsid w:val="008044D2"/>
    <w:rsid w:val="00804D2E"/>
    <w:rsid w:val="00804D6F"/>
    <w:rsid w:val="00804DE5"/>
    <w:rsid w:val="0080638E"/>
    <w:rsid w:val="00806C01"/>
    <w:rsid w:val="00807980"/>
    <w:rsid w:val="0081014E"/>
    <w:rsid w:val="00810456"/>
    <w:rsid w:val="008109A6"/>
    <w:rsid w:val="00810A93"/>
    <w:rsid w:val="00811156"/>
    <w:rsid w:val="00811D3E"/>
    <w:rsid w:val="00812BAE"/>
    <w:rsid w:val="00813749"/>
    <w:rsid w:val="00813B37"/>
    <w:rsid w:val="008148CC"/>
    <w:rsid w:val="00814E22"/>
    <w:rsid w:val="008152CA"/>
    <w:rsid w:val="008161B0"/>
    <w:rsid w:val="008166FA"/>
    <w:rsid w:val="008167FC"/>
    <w:rsid w:val="00817678"/>
    <w:rsid w:val="00817731"/>
    <w:rsid w:val="008209DD"/>
    <w:rsid w:val="00820E70"/>
    <w:rsid w:val="008211A4"/>
    <w:rsid w:val="00821986"/>
    <w:rsid w:val="00821B99"/>
    <w:rsid w:val="00822032"/>
    <w:rsid w:val="008221CC"/>
    <w:rsid w:val="00822313"/>
    <w:rsid w:val="0082264D"/>
    <w:rsid w:val="00822961"/>
    <w:rsid w:val="0082304A"/>
    <w:rsid w:val="0082311D"/>
    <w:rsid w:val="00823324"/>
    <w:rsid w:val="008237CA"/>
    <w:rsid w:val="00823B9A"/>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6B6"/>
    <w:rsid w:val="008339C7"/>
    <w:rsid w:val="00834EFB"/>
    <w:rsid w:val="0083518D"/>
    <w:rsid w:val="00835CB1"/>
    <w:rsid w:val="00836CA7"/>
    <w:rsid w:val="00837AD4"/>
    <w:rsid w:val="008405D2"/>
    <w:rsid w:val="00840BEE"/>
    <w:rsid w:val="00841C6A"/>
    <w:rsid w:val="00841D80"/>
    <w:rsid w:val="00841DC8"/>
    <w:rsid w:val="00842049"/>
    <w:rsid w:val="00842644"/>
    <w:rsid w:val="00842BF3"/>
    <w:rsid w:val="00843144"/>
    <w:rsid w:val="00843734"/>
    <w:rsid w:val="00843A08"/>
    <w:rsid w:val="00843DAD"/>
    <w:rsid w:val="008441EF"/>
    <w:rsid w:val="00845754"/>
    <w:rsid w:val="00845BAD"/>
    <w:rsid w:val="0084642E"/>
    <w:rsid w:val="0084693A"/>
    <w:rsid w:val="00847A87"/>
    <w:rsid w:val="00850643"/>
    <w:rsid w:val="0085094C"/>
    <w:rsid w:val="00850F2F"/>
    <w:rsid w:val="008510DD"/>
    <w:rsid w:val="008511DC"/>
    <w:rsid w:val="008517D5"/>
    <w:rsid w:val="008518CC"/>
    <w:rsid w:val="00851B06"/>
    <w:rsid w:val="00851E8C"/>
    <w:rsid w:val="00852ACA"/>
    <w:rsid w:val="00852BB8"/>
    <w:rsid w:val="00854203"/>
    <w:rsid w:val="00855DE4"/>
    <w:rsid w:val="0085640E"/>
    <w:rsid w:val="008567D4"/>
    <w:rsid w:val="0085773A"/>
    <w:rsid w:val="0086085E"/>
    <w:rsid w:val="00860886"/>
    <w:rsid w:val="0086104E"/>
    <w:rsid w:val="00861829"/>
    <w:rsid w:val="00861B2B"/>
    <w:rsid w:val="00862022"/>
    <w:rsid w:val="008625B3"/>
    <w:rsid w:val="008629F1"/>
    <w:rsid w:val="00862C4C"/>
    <w:rsid w:val="00862E48"/>
    <w:rsid w:val="00863A37"/>
    <w:rsid w:val="00863AB8"/>
    <w:rsid w:val="00864C35"/>
    <w:rsid w:val="00864F48"/>
    <w:rsid w:val="00865FBA"/>
    <w:rsid w:val="008665E5"/>
    <w:rsid w:val="008670D0"/>
    <w:rsid w:val="0086780B"/>
    <w:rsid w:val="00870417"/>
    <w:rsid w:val="008708E0"/>
    <w:rsid w:val="0087090F"/>
    <w:rsid w:val="0087143B"/>
    <w:rsid w:val="00871641"/>
    <w:rsid w:val="00872446"/>
    <w:rsid w:val="008727EB"/>
    <w:rsid w:val="00873150"/>
    <w:rsid w:val="00873E37"/>
    <w:rsid w:val="00873E50"/>
    <w:rsid w:val="00873F4F"/>
    <w:rsid w:val="00873FF9"/>
    <w:rsid w:val="00874329"/>
    <w:rsid w:val="00874613"/>
    <w:rsid w:val="00875B5E"/>
    <w:rsid w:val="0087633B"/>
    <w:rsid w:val="00876557"/>
    <w:rsid w:val="0087657D"/>
    <w:rsid w:val="0087730D"/>
    <w:rsid w:val="008773A0"/>
    <w:rsid w:val="008807D5"/>
    <w:rsid w:val="00880832"/>
    <w:rsid w:val="00880BC2"/>
    <w:rsid w:val="00881031"/>
    <w:rsid w:val="008818E6"/>
    <w:rsid w:val="00881A25"/>
    <w:rsid w:val="00881FB4"/>
    <w:rsid w:val="00882592"/>
    <w:rsid w:val="0088261E"/>
    <w:rsid w:val="00883659"/>
    <w:rsid w:val="0088369F"/>
    <w:rsid w:val="008836A4"/>
    <w:rsid w:val="00883C9C"/>
    <w:rsid w:val="00884D80"/>
    <w:rsid w:val="00886047"/>
    <w:rsid w:val="00886D19"/>
    <w:rsid w:val="00886EE1"/>
    <w:rsid w:val="0088717A"/>
    <w:rsid w:val="0088727D"/>
    <w:rsid w:val="008875F1"/>
    <w:rsid w:val="008877B5"/>
    <w:rsid w:val="0088788E"/>
    <w:rsid w:val="00887C49"/>
    <w:rsid w:val="00887F31"/>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6997"/>
    <w:rsid w:val="00896B06"/>
    <w:rsid w:val="00896F62"/>
    <w:rsid w:val="00896FE4"/>
    <w:rsid w:val="0089779F"/>
    <w:rsid w:val="00897C27"/>
    <w:rsid w:val="00897C75"/>
    <w:rsid w:val="008A06D1"/>
    <w:rsid w:val="008A0F70"/>
    <w:rsid w:val="008A0FDB"/>
    <w:rsid w:val="008A1221"/>
    <w:rsid w:val="008A1461"/>
    <w:rsid w:val="008A1EDB"/>
    <w:rsid w:val="008A2565"/>
    <w:rsid w:val="008A28A9"/>
    <w:rsid w:val="008A3CD8"/>
    <w:rsid w:val="008A3FCC"/>
    <w:rsid w:val="008A4148"/>
    <w:rsid w:val="008A4BD9"/>
    <w:rsid w:val="008A6101"/>
    <w:rsid w:val="008A6264"/>
    <w:rsid w:val="008A62FD"/>
    <w:rsid w:val="008A66C8"/>
    <w:rsid w:val="008A6BE9"/>
    <w:rsid w:val="008A7669"/>
    <w:rsid w:val="008B0D24"/>
    <w:rsid w:val="008B0DB5"/>
    <w:rsid w:val="008B1869"/>
    <w:rsid w:val="008B21A6"/>
    <w:rsid w:val="008B220B"/>
    <w:rsid w:val="008B26C0"/>
    <w:rsid w:val="008B2CEF"/>
    <w:rsid w:val="008B2EAF"/>
    <w:rsid w:val="008B309A"/>
    <w:rsid w:val="008B3AEF"/>
    <w:rsid w:val="008B3DAA"/>
    <w:rsid w:val="008B449F"/>
    <w:rsid w:val="008B502D"/>
    <w:rsid w:val="008B61E5"/>
    <w:rsid w:val="008B6760"/>
    <w:rsid w:val="008B6CFD"/>
    <w:rsid w:val="008B75EA"/>
    <w:rsid w:val="008B775F"/>
    <w:rsid w:val="008B7D90"/>
    <w:rsid w:val="008C03DA"/>
    <w:rsid w:val="008C06E7"/>
    <w:rsid w:val="008C0FF5"/>
    <w:rsid w:val="008C1097"/>
    <w:rsid w:val="008C1130"/>
    <w:rsid w:val="008C18D3"/>
    <w:rsid w:val="008C1914"/>
    <w:rsid w:val="008C225B"/>
    <w:rsid w:val="008C3591"/>
    <w:rsid w:val="008C4694"/>
    <w:rsid w:val="008C4C10"/>
    <w:rsid w:val="008C5419"/>
    <w:rsid w:val="008C54CC"/>
    <w:rsid w:val="008C5703"/>
    <w:rsid w:val="008C6406"/>
    <w:rsid w:val="008C6D97"/>
    <w:rsid w:val="008C6F1F"/>
    <w:rsid w:val="008C7A64"/>
    <w:rsid w:val="008C7DA8"/>
    <w:rsid w:val="008D01AC"/>
    <w:rsid w:val="008D04FF"/>
    <w:rsid w:val="008D0647"/>
    <w:rsid w:val="008D13D1"/>
    <w:rsid w:val="008D18E6"/>
    <w:rsid w:val="008D1DC5"/>
    <w:rsid w:val="008D263A"/>
    <w:rsid w:val="008D2C6D"/>
    <w:rsid w:val="008D3105"/>
    <w:rsid w:val="008D3144"/>
    <w:rsid w:val="008D3613"/>
    <w:rsid w:val="008D4375"/>
    <w:rsid w:val="008D6D03"/>
    <w:rsid w:val="008D78E8"/>
    <w:rsid w:val="008D7A9B"/>
    <w:rsid w:val="008D7E0C"/>
    <w:rsid w:val="008E0060"/>
    <w:rsid w:val="008E0F2A"/>
    <w:rsid w:val="008E121C"/>
    <w:rsid w:val="008E1A0B"/>
    <w:rsid w:val="008E1E53"/>
    <w:rsid w:val="008E241A"/>
    <w:rsid w:val="008E3982"/>
    <w:rsid w:val="008E3C05"/>
    <w:rsid w:val="008E41D8"/>
    <w:rsid w:val="008E4655"/>
    <w:rsid w:val="008E4F4C"/>
    <w:rsid w:val="008E57B9"/>
    <w:rsid w:val="008E5ECA"/>
    <w:rsid w:val="008E6159"/>
    <w:rsid w:val="008E6687"/>
    <w:rsid w:val="008E6D31"/>
    <w:rsid w:val="008E7091"/>
    <w:rsid w:val="008E76AC"/>
    <w:rsid w:val="008E76D4"/>
    <w:rsid w:val="008E79F6"/>
    <w:rsid w:val="008F03AC"/>
    <w:rsid w:val="008F09C6"/>
    <w:rsid w:val="008F1341"/>
    <w:rsid w:val="008F18B2"/>
    <w:rsid w:val="008F19E5"/>
    <w:rsid w:val="008F1EB1"/>
    <w:rsid w:val="008F1FDC"/>
    <w:rsid w:val="008F21F6"/>
    <w:rsid w:val="008F255A"/>
    <w:rsid w:val="008F28D8"/>
    <w:rsid w:val="008F2B1B"/>
    <w:rsid w:val="008F2EB0"/>
    <w:rsid w:val="008F38A4"/>
    <w:rsid w:val="008F3E80"/>
    <w:rsid w:val="008F4468"/>
    <w:rsid w:val="008F44D5"/>
    <w:rsid w:val="008F5E46"/>
    <w:rsid w:val="008F63A8"/>
    <w:rsid w:val="008F6EF8"/>
    <w:rsid w:val="008F6FA2"/>
    <w:rsid w:val="008F70D7"/>
    <w:rsid w:val="008F72E0"/>
    <w:rsid w:val="008F76EA"/>
    <w:rsid w:val="008F7B85"/>
    <w:rsid w:val="008F7E34"/>
    <w:rsid w:val="00900D5E"/>
    <w:rsid w:val="00900E75"/>
    <w:rsid w:val="009013BC"/>
    <w:rsid w:val="00901457"/>
    <w:rsid w:val="0090190E"/>
    <w:rsid w:val="0090198A"/>
    <w:rsid w:val="00901A82"/>
    <w:rsid w:val="00901DFC"/>
    <w:rsid w:val="00902651"/>
    <w:rsid w:val="00902F64"/>
    <w:rsid w:val="00903386"/>
    <w:rsid w:val="0090352C"/>
    <w:rsid w:val="009049C5"/>
    <w:rsid w:val="00904A12"/>
    <w:rsid w:val="0090513F"/>
    <w:rsid w:val="009067B8"/>
    <w:rsid w:val="00906A2D"/>
    <w:rsid w:val="009113F1"/>
    <w:rsid w:val="00911464"/>
    <w:rsid w:val="0091189B"/>
    <w:rsid w:val="00911915"/>
    <w:rsid w:val="00911F4D"/>
    <w:rsid w:val="0091359D"/>
    <w:rsid w:val="00913C85"/>
    <w:rsid w:val="00913D46"/>
    <w:rsid w:val="00913EE1"/>
    <w:rsid w:val="00914F06"/>
    <w:rsid w:val="00915D26"/>
    <w:rsid w:val="00916874"/>
    <w:rsid w:val="00916C8C"/>
    <w:rsid w:val="00916D4C"/>
    <w:rsid w:val="00917201"/>
    <w:rsid w:val="00917367"/>
    <w:rsid w:val="009203B2"/>
    <w:rsid w:val="00920663"/>
    <w:rsid w:val="00920CF6"/>
    <w:rsid w:val="00921183"/>
    <w:rsid w:val="00921680"/>
    <w:rsid w:val="00921834"/>
    <w:rsid w:val="00921A1F"/>
    <w:rsid w:val="00921E5E"/>
    <w:rsid w:val="009233AB"/>
    <w:rsid w:val="00923B14"/>
    <w:rsid w:val="00923DD0"/>
    <w:rsid w:val="0092420C"/>
    <w:rsid w:val="0092537D"/>
    <w:rsid w:val="00925993"/>
    <w:rsid w:val="00926475"/>
    <w:rsid w:val="00926D40"/>
    <w:rsid w:val="00930543"/>
    <w:rsid w:val="00931ADD"/>
    <w:rsid w:val="00931C0B"/>
    <w:rsid w:val="00931E01"/>
    <w:rsid w:val="0093297A"/>
    <w:rsid w:val="00932B77"/>
    <w:rsid w:val="00933220"/>
    <w:rsid w:val="00933B57"/>
    <w:rsid w:val="00933B8D"/>
    <w:rsid w:val="00935218"/>
    <w:rsid w:val="00935ABC"/>
    <w:rsid w:val="0093614B"/>
    <w:rsid w:val="00936488"/>
    <w:rsid w:val="009364F2"/>
    <w:rsid w:val="00936F5C"/>
    <w:rsid w:val="009370B1"/>
    <w:rsid w:val="009371CC"/>
    <w:rsid w:val="00937EE8"/>
    <w:rsid w:val="00940606"/>
    <w:rsid w:val="00940768"/>
    <w:rsid w:val="009407B5"/>
    <w:rsid w:val="00940EAD"/>
    <w:rsid w:val="009410AA"/>
    <w:rsid w:val="00941285"/>
    <w:rsid w:val="0094147E"/>
    <w:rsid w:val="009420DA"/>
    <w:rsid w:val="00942327"/>
    <w:rsid w:val="009427D5"/>
    <w:rsid w:val="0094299F"/>
    <w:rsid w:val="00943053"/>
    <w:rsid w:val="00943072"/>
    <w:rsid w:val="00943CA7"/>
    <w:rsid w:val="00943E31"/>
    <w:rsid w:val="00944E53"/>
    <w:rsid w:val="0094513B"/>
    <w:rsid w:val="009454E9"/>
    <w:rsid w:val="0094621B"/>
    <w:rsid w:val="00946A76"/>
    <w:rsid w:val="00946FEC"/>
    <w:rsid w:val="009473C4"/>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F64"/>
    <w:rsid w:val="00956136"/>
    <w:rsid w:val="009561C0"/>
    <w:rsid w:val="00956203"/>
    <w:rsid w:val="009567A2"/>
    <w:rsid w:val="00957503"/>
    <w:rsid w:val="00961195"/>
    <w:rsid w:val="00961EAC"/>
    <w:rsid w:val="00962777"/>
    <w:rsid w:val="0096279C"/>
    <w:rsid w:val="00962E31"/>
    <w:rsid w:val="0096342A"/>
    <w:rsid w:val="0096416D"/>
    <w:rsid w:val="0096484C"/>
    <w:rsid w:val="0096494C"/>
    <w:rsid w:val="00964BE8"/>
    <w:rsid w:val="0096527A"/>
    <w:rsid w:val="0096528C"/>
    <w:rsid w:val="009656C6"/>
    <w:rsid w:val="00966740"/>
    <w:rsid w:val="00966827"/>
    <w:rsid w:val="00966CBB"/>
    <w:rsid w:val="00967498"/>
    <w:rsid w:val="009703FA"/>
    <w:rsid w:val="00971B12"/>
    <w:rsid w:val="00971CC1"/>
    <w:rsid w:val="00971EA3"/>
    <w:rsid w:val="00972D61"/>
    <w:rsid w:val="00972F9D"/>
    <w:rsid w:val="009733BB"/>
    <w:rsid w:val="00973D68"/>
    <w:rsid w:val="009746EB"/>
    <w:rsid w:val="0097499D"/>
    <w:rsid w:val="00974AB5"/>
    <w:rsid w:val="009754BD"/>
    <w:rsid w:val="009755E6"/>
    <w:rsid w:val="00975624"/>
    <w:rsid w:val="009761E1"/>
    <w:rsid w:val="00976BAB"/>
    <w:rsid w:val="00976CAF"/>
    <w:rsid w:val="00976EC7"/>
    <w:rsid w:val="00976FD7"/>
    <w:rsid w:val="00977680"/>
    <w:rsid w:val="00977F5E"/>
    <w:rsid w:val="00977FBF"/>
    <w:rsid w:val="00981BEB"/>
    <w:rsid w:val="009820D7"/>
    <w:rsid w:val="00982239"/>
    <w:rsid w:val="00982701"/>
    <w:rsid w:val="0098286E"/>
    <w:rsid w:val="00982A7B"/>
    <w:rsid w:val="00982E74"/>
    <w:rsid w:val="00982FE1"/>
    <w:rsid w:val="0098368D"/>
    <w:rsid w:val="0098425B"/>
    <w:rsid w:val="009843A8"/>
    <w:rsid w:val="0098445E"/>
    <w:rsid w:val="009844C9"/>
    <w:rsid w:val="00984C3F"/>
    <w:rsid w:val="00984D85"/>
    <w:rsid w:val="009851BF"/>
    <w:rsid w:val="009851CD"/>
    <w:rsid w:val="00985782"/>
    <w:rsid w:val="00986A5E"/>
    <w:rsid w:val="00986D33"/>
    <w:rsid w:val="00986E5B"/>
    <w:rsid w:val="0098706D"/>
    <w:rsid w:val="0098709A"/>
    <w:rsid w:val="009875D0"/>
    <w:rsid w:val="0098764A"/>
    <w:rsid w:val="00991445"/>
    <w:rsid w:val="00991790"/>
    <w:rsid w:val="00991B54"/>
    <w:rsid w:val="00992953"/>
    <w:rsid w:val="0099354A"/>
    <w:rsid w:val="009935FB"/>
    <w:rsid w:val="009937FF"/>
    <w:rsid w:val="00993E50"/>
    <w:rsid w:val="009940D5"/>
    <w:rsid w:val="0099505F"/>
    <w:rsid w:val="009950E7"/>
    <w:rsid w:val="00995C30"/>
    <w:rsid w:val="00995D7E"/>
    <w:rsid w:val="00996465"/>
    <w:rsid w:val="00996C5B"/>
    <w:rsid w:val="00996E66"/>
    <w:rsid w:val="009971F5"/>
    <w:rsid w:val="00997985"/>
    <w:rsid w:val="00997E69"/>
    <w:rsid w:val="00997E70"/>
    <w:rsid w:val="009A0187"/>
    <w:rsid w:val="009A0748"/>
    <w:rsid w:val="009A0B12"/>
    <w:rsid w:val="009A235E"/>
    <w:rsid w:val="009A272D"/>
    <w:rsid w:val="009A3A16"/>
    <w:rsid w:val="009A3C4E"/>
    <w:rsid w:val="009A3DAA"/>
    <w:rsid w:val="009A4054"/>
    <w:rsid w:val="009A4D1C"/>
    <w:rsid w:val="009A4F41"/>
    <w:rsid w:val="009A4F5E"/>
    <w:rsid w:val="009A5812"/>
    <w:rsid w:val="009A633A"/>
    <w:rsid w:val="009A6462"/>
    <w:rsid w:val="009A65B4"/>
    <w:rsid w:val="009A7509"/>
    <w:rsid w:val="009A77FC"/>
    <w:rsid w:val="009A7D88"/>
    <w:rsid w:val="009B079A"/>
    <w:rsid w:val="009B0900"/>
    <w:rsid w:val="009B104B"/>
    <w:rsid w:val="009B1328"/>
    <w:rsid w:val="009B2383"/>
    <w:rsid w:val="009B283D"/>
    <w:rsid w:val="009B303D"/>
    <w:rsid w:val="009B33F6"/>
    <w:rsid w:val="009B34C3"/>
    <w:rsid w:val="009B44D7"/>
    <w:rsid w:val="009B45B2"/>
    <w:rsid w:val="009B4CB8"/>
    <w:rsid w:val="009B4F8D"/>
    <w:rsid w:val="009B5752"/>
    <w:rsid w:val="009B57F5"/>
    <w:rsid w:val="009B5878"/>
    <w:rsid w:val="009B6410"/>
    <w:rsid w:val="009B646A"/>
    <w:rsid w:val="009B64AC"/>
    <w:rsid w:val="009B659F"/>
    <w:rsid w:val="009B6938"/>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537"/>
    <w:rsid w:val="009C462D"/>
    <w:rsid w:val="009C4A7A"/>
    <w:rsid w:val="009C4D62"/>
    <w:rsid w:val="009C51C4"/>
    <w:rsid w:val="009C57EA"/>
    <w:rsid w:val="009C6CD0"/>
    <w:rsid w:val="009C6FF8"/>
    <w:rsid w:val="009C7063"/>
    <w:rsid w:val="009C71DA"/>
    <w:rsid w:val="009C7500"/>
    <w:rsid w:val="009C7987"/>
    <w:rsid w:val="009C7E1C"/>
    <w:rsid w:val="009C7F29"/>
    <w:rsid w:val="009D02EA"/>
    <w:rsid w:val="009D0307"/>
    <w:rsid w:val="009D0843"/>
    <w:rsid w:val="009D0F79"/>
    <w:rsid w:val="009D191F"/>
    <w:rsid w:val="009D1F4D"/>
    <w:rsid w:val="009D22C0"/>
    <w:rsid w:val="009D24DB"/>
    <w:rsid w:val="009D261C"/>
    <w:rsid w:val="009D2802"/>
    <w:rsid w:val="009D28E9"/>
    <w:rsid w:val="009D2A09"/>
    <w:rsid w:val="009D2A6F"/>
    <w:rsid w:val="009D2B66"/>
    <w:rsid w:val="009D4626"/>
    <w:rsid w:val="009D469E"/>
    <w:rsid w:val="009D5565"/>
    <w:rsid w:val="009D60ED"/>
    <w:rsid w:val="009D7050"/>
    <w:rsid w:val="009D70BD"/>
    <w:rsid w:val="009D75F9"/>
    <w:rsid w:val="009E0563"/>
    <w:rsid w:val="009E06C2"/>
    <w:rsid w:val="009E07DF"/>
    <w:rsid w:val="009E0A18"/>
    <w:rsid w:val="009E12D5"/>
    <w:rsid w:val="009E1320"/>
    <w:rsid w:val="009E1EB8"/>
    <w:rsid w:val="009E2720"/>
    <w:rsid w:val="009E3023"/>
    <w:rsid w:val="009E3D1C"/>
    <w:rsid w:val="009E459C"/>
    <w:rsid w:val="009E4772"/>
    <w:rsid w:val="009E5113"/>
    <w:rsid w:val="009E5521"/>
    <w:rsid w:val="009E5968"/>
    <w:rsid w:val="009E5BC5"/>
    <w:rsid w:val="009E5D1D"/>
    <w:rsid w:val="009E608C"/>
    <w:rsid w:val="009E6156"/>
    <w:rsid w:val="009E6393"/>
    <w:rsid w:val="009E6704"/>
    <w:rsid w:val="009E6744"/>
    <w:rsid w:val="009E7190"/>
    <w:rsid w:val="009E7653"/>
    <w:rsid w:val="009E7922"/>
    <w:rsid w:val="009E7D62"/>
    <w:rsid w:val="009F0489"/>
    <w:rsid w:val="009F10FD"/>
    <w:rsid w:val="009F15BD"/>
    <w:rsid w:val="009F17A7"/>
    <w:rsid w:val="009F252B"/>
    <w:rsid w:val="009F457C"/>
    <w:rsid w:val="009F47C9"/>
    <w:rsid w:val="009F47F4"/>
    <w:rsid w:val="009F4A54"/>
    <w:rsid w:val="009F4BEC"/>
    <w:rsid w:val="009F4F37"/>
    <w:rsid w:val="009F553B"/>
    <w:rsid w:val="009F5874"/>
    <w:rsid w:val="009F59FE"/>
    <w:rsid w:val="009F6532"/>
    <w:rsid w:val="009F7CCD"/>
    <w:rsid w:val="00A00BD7"/>
    <w:rsid w:val="00A00C9D"/>
    <w:rsid w:val="00A02886"/>
    <w:rsid w:val="00A042F9"/>
    <w:rsid w:val="00A043FB"/>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52D"/>
    <w:rsid w:val="00A135EC"/>
    <w:rsid w:val="00A13680"/>
    <w:rsid w:val="00A1439A"/>
    <w:rsid w:val="00A144B7"/>
    <w:rsid w:val="00A144D4"/>
    <w:rsid w:val="00A1450F"/>
    <w:rsid w:val="00A169DC"/>
    <w:rsid w:val="00A16A84"/>
    <w:rsid w:val="00A16ABA"/>
    <w:rsid w:val="00A16ECA"/>
    <w:rsid w:val="00A176B2"/>
    <w:rsid w:val="00A1772B"/>
    <w:rsid w:val="00A21930"/>
    <w:rsid w:val="00A2261B"/>
    <w:rsid w:val="00A22BC4"/>
    <w:rsid w:val="00A23196"/>
    <w:rsid w:val="00A2380C"/>
    <w:rsid w:val="00A23964"/>
    <w:rsid w:val="00A23ADF"/>
    <w:rsid w:val="00A23D13"/>
    <w:rsid w:val="00A23DA6"/>
    <w:rsid w:val="00A240CB"/>
    <w:rsid w:val="00A242DE"/>
    <w:rsid w:val="00A2447F"/>
    <w:rsid w:val="00A2482E"/>
    <w:rsid w:val="00A24CB4"/>
    <w:rsid w:val="00A25341"/>
    <w:rsid w:val="00A25FD7"/>
    <w:rsid w:val="00A263AC"/>
    <w:rsid w:val="00A26AF4"/>
    <w:rsid w:val="00A26DEA"/>
    <w:rsid w:val="00A27683"/>
    <w:rsid w:val="00A31898"/>
    <w:rsid w:val="00A324C5"/>
    <w:rsid w:val="00A32E21"/>
    <w:rsid w:val="00A332CE"/>
    <w:rsid w:val="00A34797"/>
    <w:rsid w:val="00A35002"/>
    <w:rsid w:val="00A35A72"/>
    <w:rsid w:val="00A36333"/>
    <w:rsid w:val="00A363AB"/>
    <w:rsid w:val="00A366F9"/>
    <w:rsid w:val="00A37064"/>
    <w:rsid w:val="00A3741F"/>
    <w:rsid w:val="00A3756D"/>
    <w:rsid w:val="00A3773C"/>
    <w:rsid w:val="00A37E23"/>
    <w:rsid w:val="00A40314"/>
    <w:rsid w:val="00A40669"/>
    <w:rsid w:val="00A406BE"/>
    <w:rsid w:val="00A407C0"/>
    <w:rsid w:val="00A40880"/>
    <w:rsid w:val="00A40F12"/>
    <w:rsid w:val="00A41C8B"/>
    <w:rsid w:val="00A42718"/>
    <w:rsid w:val="00A43041"/>
    <w:rsid w:val="00A43AFF"/>
    <w:rsid w:val="00A43D85"/>
    <w:rsid w:val="00A4482E"/>
    <w:rsid w:val="00A44A5A"/>
    <w:rsid w:val="00A44EEE"/>
    <w:rsid w:val="00A454E3"/>
    <w:rsid w:val="00A458BF"/>
    <w:rsid w:val="00A45ED5"/>
    <w:rsid w:val="00A46303"/>
    <w:rsid w:val="00A50932"/>
    <w:rsid w:val="00A50F78"/>
    <w:rsid w:val="00A51DA4"/>
    <w:rsid w:val="00A51DB4"/>
    <w:rsid w:val="00A51F77"/>
    <w:rsid w:val="00A52D39"/>
    <w:rsid w:val="00A53109"/>
    <w:rsid w:val="00A53289"/>
    <w:rsid w:val="00A532D3"/>
    <w:rsid w:val="00A537A1"/>
    <w:rsid w:val="00A5449F"/>
    <w:rsid w:val="00A54624"/>
    <w:rsid w:val="00A55000"/>
    <w:rsid w:val="00A553D7"/>
    <w:rsid w:val="00A5614F"/>
    <w:rsid w:val="00A565AC"/>
    <w:rsid w:val="00A56D23"/>
    <w:rsid w:val="00A57479"/>
    <w:rsid w:val="00A60C76"/>
    <w:rsid w:val="00A60F91"/>
    <w:rsid w:val="00A61324"/>
    <w:rsid w:val="00A619C0"/>
    <w:rsid w:val="00A61E21"/>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4DE"/>
    <w:rsid w:val="00A70792"/>
    <w:rsid w:val="00A7111B"/>
    <w:rsid w:val="00A71EA8"/>
    <w:rsid w:val="00A722AA"/>
    <w:rsid w:val="00A72DBD"/>
    <w:rsid w:val="00A731C3"/>
    <w:rsid w:val="00A73303"/>
    <w:rsid w:val="00A734BA"/>
    <w:rsid w:val="00A73698"/>
    <w:rsid w:val="00A736AC"/>
    <w:rsid w:val="00A73B1F"/>
    <w:rsid w:val="00A743F3"/>
    <w:rsid w:val="00A74AD1"/>
    <w:rsid w:val="00A750AE"/>
    <w:rsid w:val="00A7710A"/>
    <w:rsid w:val="00A774EB"/>
    <w:rsid w:val="00A7793A"/>
    <w:rsid w:val="00A77C02"/>
    <w:rsid w:val="00A80C05"/>
    <w:rsid w:val="00A80C7B"/>
    <w:rsid w:val="00A80EFD"/>
    <w:rsid w:val="00A82091"/>
    <w:rsid w:val="00A820E0"/>
    <w:rsid w:val="00A827B5"/>
    <w:rsid w:val="00A83A71"/>
    <w:rsid w:val="00A83B99"/>
    <w:rsid w:val="00A83EE1"/>
    <w:rsid w:val="00A8497A"/>
    <w:rsid w:val="00A85C52"/>
    <w:rsid w:val="00A85FD1"/>
    <w:rsid w:val="00A86617"/>
    <w:rsid w:val="00A86B6B"/>
    <w:rsid w:val="00A86C52"/>
    <w:rsid w:val="00A874FC"/>
    <w:rsid w:val="00A90370"/>
    <w:rsid w:val="00A9081D"/>
    <w:rsid w:val="00A90A5A"/>
    <w:rsid w:val="00A9105D"/>
    <w:rsid w:val="00A9121C"/>
    <w:rsid w:val="00A91937"/>
    <w:rsid w:val="00A91D63"/>
    <w:rsid w:val="00A935BF"/>
    <w:rsid w:val="00A94045"/>
    <w:rsid w:val="00A94958"/>
    <w:rsid w:val="00A94B0C"/>
    <w:rsid w:val="00A94F8B"/>
    <w:rsid w:val="00A95099"/>
    <w:rsid w:val="00A956C0"/>
    <w:rsid w:val="00A960D7"/>
    <w:rsid w:val="00A96BFD"/>
    <w:rsid w:val="00A96DC0"/>
    <w:rsid w:val="00AA02D5"/>
    <w:rsid w:val="00AA06CF"/>
    <w:rsid w:val="00AA0E13"/>
    <w:rsid w:val="00AA0FA8"/>
    <w:rsid w:val="00AA2290"/>
    <w:rsid w:val="00AA2722"/>
    <w:rsid w:val="00AA2860"/>
    <w:rsid w:val="00AA289B"/>
    <w:rsid w:val="00AA30F9"/>
    <w:rsid w:val="00AA367A"/>
    <w:rsid w:val="00AA3C41"/>
    <w:rsid w:val="00AA3E64"/>
    <w:rsid w:val="00AA4CC7"/>
    <w:rsid w:val="00AA4D04"/>
    <w:rsid w:val="00AA535A"/>
    <w:rsid w:val="00AA583A"/>
    <w:rsid w:val="00AA5E8E"/>
    <w:rsid w:val="00AA612B"/>
    <w:rsid w:val="00AA7048"/>
    <w:rsid w:val="00AB0281"/>
    <w:rsid w:val="00AB05E2"/>
    <w:rsid w:val="00AB0CF9"/>
    <w:rsid w:val="00AB0EB1"/>
    <w:rsid w:val="00AB1145"/>
    <w:rsid w:val="00AB163A"/>
    <w:rsid w:val="00AB1AF2"/>
    <w:rsid w:val="00AB225B"/>
    <w:rsid w:val="00AB29AA"/>
    <w:rsid w:val="00AB2BAD"/>
    <w:rsid w:val="00AB3CF4"/>
    <w:rsid w:val="00AB46ED"/>
    <w:rsid w:val="00AB4F19"/>
    <w:rsid w:val="00AB566F"/>
    <w:rsid w:val="00AB604C"/>
    <w:rsid w:val="00AB6107"/>
    <w:rsid w:val="00AB6163"/>
    <w:rsid w:val="00AB6CA7"/>
    <w:rsid w:val="00AB6D57"/>
    <w:rsid w:val="00AB6D86"/>
    <w:rsid w:val="00AB6DD5"/>
    <w:rsid w:val="00AB6F05"/>
    <w:rsid w:val="00AC0BD4"/>
    <w:rsid w:val="00AC11B9"/>
    <w:rsid w:val="00AC1F33"/>
    <w:rsid w:val="00AC256E"/>
    <w:rsid w:val="00AC298A"/>
    <w:rsid w:val="00AC3B82"/>
    <w:rsid w:val="00AC3EF0"/>
    <w:rsid w:val="00AC422F"/>
    <w:rsid w:val="00AC45AE"/>
    <w:rsid w:val="00AC5050"/>
    <w:rsid w:val="00AC539D"/>
    <w:rsid w:val="00AC6357"/>
    <w:rsid w:val="00AC759F"/>
    <w:rsid w:val="00AC7C14"/>
    <w:rsid w:val="00AD01E4"/>
    <w:rsid w:val="00AD0858"/>
    <w:rsid w:val="00AD096D"/>
    <w:rsid w:val="00AD17E6"/>
    <w:rsid w:val="00AD1CA7"/>
    <w:rsid w:val="00AD3082"/>
    <w:rsid w:val="00AD4D6E"/>
    <w:rsid w:val="00AD5D6A"/>
    <w:rsid w:val="00AD5EF9"/>
    <w:rsid w:val="00AD63AA"/>
    <w:rsid w:val="00AD67BA"/>
    <w:rsid w:val="00AD7338"/>
    <w:rsid w:val="00AD744F"/>
    <w:rsid w:val="00AD7779"/>
    <w:rsid w:val="00AD7D7C"/>
    <w:rsid w:val="00AE003B"/>
    <w:rsid w:val="00AE0286"/>
    <w:rsid w:val="00AE02E3"/>
    <w:rsid w:val="00AE1231"/>
    <w:rsid w:val="00AE168C"/>
    <w:rsid w:val="00AE1C98"/>
    <w:rsid w:val="00AE262D"/>
    <w:rsid w:val="00AE2B11"/>
    <w:rsid w:val="00AE411C"/>
    <w:rsid w:val="00AE4F77"/>
    <w:rsid w:val="00AE5145"/>
    <w:rsid w:val="00AE63D7"/>
    <w:rsid w:val="00AE7340"/>
    <w:rsid w:val="00AF0BB5"/>
    <w:rsid w:val="00AF0C52"/>
    <w:rsid w:val="00AF1197"/>
    <w:rsid w:val="00AF1BBD"/>
    <w:rsid w:val="00AF246E"/>
    <w:rsid w:val="00AF29D5"/>
    <w:rsid w:val="00AF4CDE"/>
    <w:rsid w:val="00AF5249"/>
    <w:rsid w:val="00AF53F4"/>
    <w:rsid w:val="00AF542A"/>
    <w:rsid w:val="00AF658F"/>
    <w:rsid w:val="00AF7656"/>
    <w:rsid w:val="00AF794B"/>
    <w:rsid w:val="00B006E0"/>
    <w:rsid w:val="00B007C7"/>
    <w:rsid w:val="00B01219"/>
    <w:rsid w:val="00B03139"/>
    <w:rsid w:val="00B03620"/>
    <w:rsid w:val="00B047B4"/>
    <w:rsid w:val="00B04948"/>
    <w:rsid w:val="00B04C4A"/>
    <w:rsid w:val="00B05249"/>
    <w:rsid w:val="00B052C2"/>
    <w:rsid w:val="00B05633"/>
    <w:rsid w:val="00B06FFE"/>
    <w:rsid w:val="00B077F9"/>
    <w:rsid w:val="00B09F47"/>
    <w:rsid w:val="00B10207"/>
    <w:rsid w:val="00B10E76"/>
    <w:rsid w:val="00B11EAF"/>
    <w:rsid w:val="00B12868"/>
    <w:rsid w:val="00B132E7"/>
    <w:rsid w:val="00B133EB"/>
    <w:rsid w:val="00B13B5C"/>
    <w:rsid w:val="00B13BDD"/>
    <w:rsid w:val="00B13EB1"/>
    <w:rsid w:val="00B141E7"/>
    <w:rsid w:val="00B14213"/>
    <w:rsid w:val="00B14964"/>
    <w:rsid w:val="00B14985"/>
    <w:rsid w:val="00B149AE"/>
    <w:rsid w:val="00B15349"/>
    <w:rsid w:val="00B15354"/>
    <w:rsid w:val="00B1565A"/>
    <w:rsid w:val="00B16417"/>
    <w:rsid w:val="00B16B69"/>
    <w:rsid w:val="00B178E4"/>
    <w:rsid w:val="00B179EE"/>
    <w:rsid w:val="00B17A8F"/>
    <w:rsid w:val="00B17CC4"/>
    <w:rsid w:val="00B17D1F"/>
    <w:rsid w:val="00B20839"/>
    <w:rsid w:val="00B20CD4"/>
    <w:rsid w:val="00B2190C"/>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2754F"/>
    <w:rsid w:val="00B31665"/>
    <w:rsid w:val="00B3194B"/>
    <w:rsid w:val="00B31D3C"/>
    <w:rsid w:val="00B326D6"/>
    <w:rsid w:val="00B32895"/>
    <w:rsid w:val="00B32F85"/>
    <w:rsid w:val="00B3344F"/>
    <w:rsid w:val="00B33ADA"/>
    <w:rsid w:val="00B33B44"/>
    <w:rsid w:val="00B343DF"/>
    <w:rsid w:val="00B3466A"/>
    <w:rsid w:val="00B349DD"/>
    <w:rsid w:val="00B351B4"/>
    <w:rsid w:val="00B351FA"/>
    <w:rsid w:val="00B35960"/>
    <w:rsid w:val="00B3602C"/>
    <w:rsid w:val="00B3624A"/>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325"/>
    <w:rsid w:val="00B43547"/>
    <w:rsid w:val="00B435D4"/>
    <w:rsid w:val="00B43898"/>
    <w:rsid w:val="00B446BD"/>
    <w:rsid w:val="00B453DA"/>
    <w:rsid w:val="00B45A6D"/>
    <w:rsid w:val="00B4667B"/>
    <w:rsid w:val="00B46BCA"/>
    <w:rsid w:val="00B47528"/>
    <w:rsid w:val="00B478AA"/>
    <w:rsid w:val="00B50A31"/>
    <w:rsid w:val="00B513F5"/>
    <w:rsid w:val="00B5152D"/>
    <w:rsid w:val="00B52415"/>
    <w:rsid w:val="00B5293D"/>
    <w:rsid w:val="00B534DD"/>
    <w:rsid w:val="00B535AB"/>
    <w:rsid w:val="00B537CA"/>
    <w:rsid w:val="00B5482F"/>
    <w:rsid w:val="00B554FE"/>
    <w:rsid w:val="00B55692"/>
    <w:rsid w:val="00B55B51"/>
    <w:rsid w:val="00B56028"/>
    <w:rsid w:val="00B564A4"/>
    <w:rsid w:val="00B564DE"/>
    <w:rsid w:val="00B565C7"/>
    <w:rsid w:val="00B568ED"/>
    <w:rsid w:val="00B5711A"/>
    <w:rsid w:val="00B579A9"/>
    <w:rsid w:val="00B57D8C"/>
    <w:rsid w:val="00B600A4"/>
    <w:rsid w:val="00B600FD"/>
    <w:rsid w:val="00B6016D"/>
    <w:rsid w:val="00B601FD"/>
    <w:rsid w:val="00B60223"/>
    <w:rsid w:val="00B61374"/>
    <w:rsid w:val="00B61483"/>
    <w:rsid w:val="00B61A08"/>
    <w:rsid w:val="00B61D52"/>
    <w:rsid w:val="00B61D64"/>
    <w:rsid w:val="00B637D1"/>
    <w:rsid w:val="00B63E59"/>
    <w:rsid w:val="00B64F3D"/>
    <w:rsid w:val="00B650FD"/>
    <w:rsid w:val="00B65C59"/>
    <w:rsid w:val="00B65F61"/>
    <w:rsid w:val="00B663AB"/>
    <w:rsid w:val="00B663CB"/>
    <w:rsid w:val="00B665CD"/>
    <w:rsid w:val="00B6735F"/>
    <w:rsid w:val="00B7054D"/>
    <w:rsid w:val="00B710D7"/>
    <w:rsid w:val="00B72E5C"/>
    <w:rsid w:val="00B73DFA"/>
    <w:rsid w:val="00B74125"/>
    <w:rsid w:val="00B741D6"/>
    <w:rsid w:val="00B7428A"/>
    <w:rsid w:val="00B744B8"/>
    <w:rsid w:val="00B746C7"/>
    <w:rsid w:val="00B749E9"/>
    <w:rsid w:val="00B754FA"/>
    <w:rsid w:val="00B75663"/>
    <w:rsid w:val="00B7570C"/>
    <w:rsid w:val="00B760B6"/>
    <w:rsid w:val="00B76A1F"/>
    <w:rsid w:val="00B76A8B"/>
    <w:rsid w:val="00B77482"/>
    <w:rsid w:val="00B778F5"/>
    <w:rsid w:val="00B77C2E"/>
    <w:rsid w:val="00B77CD0"/>
    <w:rsid w:val="00B80A4C"/>
    <w:rsid w:val="00B80A53"/>
    <w:rsid w:val="00B8131D"/>
    <w:rsid w:val="00B823D1"/>
    <w:rsid w:val="00B825C2"/>
    <w:rsid w:val="00B82619"/>
    <w:rsid w:val="00B82883"/>
    <w:rsid w:val="00B82DE0"/>
    <w:rsid w:val="00B83CA6"/>
    <w:rsid w:val="00B83F64"/>
    <w:rsid w:val="00B84016"/>
    <w:rsid w:val="00B84993"/>
    <w:rsid w:val="00B84C00"/>
    <w:rsid w:val="00B85325"/>
    <w:rsid w:val="00B85425"/>
    <w:rsid w:val="00B85FD2"/>
    <w:rsid w:val="00B85FD4"/>
    <w:rsid w:val="00B86FA5"/>
    <w:rsid w:val="00B872AE"/>
    <w:rsid w:val="00B87806"/>
    <w:rsid w:val="00B879F4"/>
    <w:rsid w:val="00B87EC9"/>
    <w:rsid w:val="00B90941"/>
    <w:rsid w:val="00B91F5D"/>
    <w:rsid w:val="00B934E4"/>
    <w:rsid w:val="00B93640"/>
    <w:rsid w:val="00B93B69"/>
    <w:rsid w:val="00B93FF5"/>
    <w:rsid w:val="00B94C9E"/>
    <w:rsid w:val="00B94D33"/>
    <w:rsid w:val="00B95B66"/>
    <w:rsid w:val="00B96A6B"/>
    <w:rsid w:val="00BA04F6"/>
    <w:rsid w:val="00BA070B"/>
    <w:rsid w:val="00BA0C46"/>
    <w:rsid w:val="00BA12F7"/>
    <w:rsid w:val="00BA13ED"/>
    <w:rsid w:val="00BA18E1"/>
    <w:rsid w:val="00BA1A6D"/>
    <w:rsid w:val="00BA2E21"/>
    <w:rsid w:val="00BA2F12"/>
    <w:rsid w:val="00BA3864"/>
    <w:rsid w:val="00BA4149"/>
    <w:rsid w:val="00BA4427"/>
    <w:rsid w:val="00BA4948"/>
    <w:rsid w:val="00BA5137"/>
    <w:rsid w:val="00BA5C68"/>
    <w:rsid w:val="00BA5CF9"/>
    <w:rsid w:val="00BA6BC0"/>
    <w:rsid w:val="00BA6E63"/>
    <w:rsid w:val="00BA7C03"/>
    <w:rsid w:val="00BA7F12"/>
    <w:rsid w:val="00BB0955"/>
    <w:rsid w:val="00BB0B4D"/>
    <w:rsid w:val="00BB0C7D"/>
    <w:rsid w:val="00BB214C"/>
    <w:rsid w:val="00BB2751"/>
    <w:rsid w:val="00BB2D9E"/>
    <w:rsid w:val="00BB2E56"/>
    <w:rsid w:val="00BB3E67"/>
    <w:rsid w:val="00BB4798"/>
    <w:rsid w:val="00BB4D95"/>
    <w:rsid w:val="00BB5F73"/>
    <w:rsid w:val="00BB6133"/>
    <w:rsid w:val="00BB6691"/>
    <w:rsid w:val="00BB6A96"/>
    <w:rsid w:val="00BB6AE3"/>
    <w:rsid w:val="00BB751A"/>
    <w:rsid w:val="00BC0095"/>
    <w:rsid w:val="00BC0F45"/>
    <w:rsid w:val="00BC2397"/>
    <w:rsid w:val="00BC24A1"/>
    <w:rsid w:val="00BC288C"/>
    <w:rsid w:val="00BC3890"/>
    <w:rsid w:val="00BC38FD"/>
    <w:rsid w:val="00BC3BAD"/>
    <w:rsid w:val="00BC3C53"/>
    <w:rsid w:val="00BC40D7"/>
    <w:rsid w:val="00BC43FF"/>
    <w:rsid w:val="00BC4928"/>
    <w:rsid w:val="00BC4C9E"/>
    <w:rsid w:val="00BC5055"/>
    <w:rsid w:val="00BC58DA"/>
    <w:rsid w:val="00BC58F9"/>
    <w:rsid w:val="00BC5BEC"/>
    <w:rsid w:val="00BC66D0"/>
    <w:rsid w:val="00BC7E9C"/>
    <w:rsid w:val="00BD1C72"/>
    <w:rsid w:val="00BD1F61"/>
    <w:rsid w:val="00BD2747"/>
    <w:rsid w:val="00BD28F0"/>
    <w:rsid w:val="00BD30D2"/>
    <w:rsid w:val="00BD3EB5"/>
    <w:rsid w:val="00BD4252"/>
    <w:rsid w:val="00BD4760"/>
    <w:rsid w:val="00BD59E5"/>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479B"/>
    <w:rsid w:val="00BE47E2"/>
    <w:rsid w:val="00BE4A70"/>
    <w:rsid w:val="00BE501D"/>
    <w:rsid w:val="00BE511F"/>
    <w:rsid w:val="00BE52B5"/>
    <w:rsid w:val="00BE6240"/>
    <w:rsid w:val="00BE636B"/>
    <w:rsid w:val="00BE6451"/>
    <w:rsid w:val="00BE68FB"/>
    <w:rsid w:val="00BE6D1B"/>
    <w:rsid w:val="00BE6FCB"/>
    <w:rsid w:val="00BE72F5"/>
    <w:rsid w:val="00BF1941"/>
    <w:rsid w:val="00BF2DF6"/>
    <w:rsid w:val="00BF316F"/>
    <w:rsid w:val="00BF33FA"/>
    <w:rsid w:val="00BF350D"/>
    <w:rsid w:val="00BF3BDD"/>
    <w:rsid w:val="00BF4A8F"/>
    <w:rsid w:val="00BF4C2F"/>
    <w:rsid w:val="00BF5A0E"/>
    <w:rsid w:val="00BF5EE4"/>
    <w:rsid w:val="00BF5F9B"/>
    <w:rsid w:val="00BF69C9"/>
    <w:rsid w:val="00BF70D1"/>
    <w:rsid w:val="00BF737C"/>
    <w:rsid w:val="00BF7F22"/>
    <w:rsid w:val="00BF7F5D"/>
    <w:rsid w:val="00C003AD"/>
    <w:rsid w:val="00C00DFC"/>
    <w:rsid w:val="00C012D1"/>
    <w:rsid w:val="00C01D40"/>
    <w:rsid w:val="00C01DF8"/>
    <w:rsid w:val="00C02231"/>
    <w:rsid w:val="00C02AE3"/>
    <w:rsid w:val="00C02BA1"/>
    <w:rsid w:val="00C02D7C"/>
    <w:rsid w:val="00C030AB"/>
    <w:rsid w:val="00C034CB"/>
    <w:rsid w:val="00C03D13"/>
    <w:rsid w:val="00C041A7"/>
    <w:rsid w:val="00C046C2"/>
    <w:rsid w:val="00C0509B"/>
    <w:rsid w:val="00C051A8"/>
    <w:rsid w:val="00C054BC"/>
    <w:rsid w:val="00C0577C"/>
    <w:rsid w:val="00C059D0"/>
    <w:rsid w:val="00C061D6"/>
    <w:rsid w:val="00C06851"/>
    <w:rsid w:val="00C06896"/>
    <w:rsid w:val="00C074FF"/>
    <w:rsid w:val="00C07859"/>
    <w:rsid w:val="00C07D28"/>
    <w:rsid w:val="00C10433"/>
    <w:rsid w:val="00C10618"/>
    <w:rsid w:val="00C108BE"/>
    <w:rsid w:val="00C10D2A"/>
    <w:rsid w:val="00C1113C"/>
    <w:rsid w:val="00C111C2"/>
    <w:rsid w:val="00C1142D"/>
    <w:rsid w:val="00C1180D"/>
    <w:rsid w:val="00C11B7D"/>
    <w:rsid w:val="00C11F53"/>
    <w:rsid w:val="00C12266"/>
    <w:rsid w:val="00C12F3B"/>
    <w:rsid w:val="00C13085"/>
    <w:rsid w:val="00C14033"/>
    <w:rsid w:val="00C149C5"/>
    <w:rsid w:val="00C14D0B"/>
    <w:rsid w:val="00C158D4"/>
    <w:rsid w:val="00C1631D"/>
    <w:rsid w:val="00C1640B"/>
    <w:rsid w:val="00C16479"/>
    <w:rsid w:val="00C166D3"/>
    <w:rsid w:val="00C16815"/>
    <w:rsid w:val="00C170C2"/>
    <w:rsid w:val="00C17547"/>
    <w:rsid w:val="00C17897"/>
    <w:rsid w:val="00C17F23"/>
    <w:rsid w:val="00C202E9"/>
    <w:rsid w:val="00C21370"/>
    <w:rsid w:val="00C2199B"/>
    <w:rsid w:val="00C21A7C"/>
    <w:rsid w:val="00C22072"/>
    <w:rsid w:val="00C22ACF"/>
    <w:rsid w:val="00C2346D"/>
    <w:rsid w:val="00C23C64"/>
    <w:rsid w:val="00C23D5E"/>
    <w:rsid w:val="00C244B5"/>
    <w:rsid w:val="00C24D55"/>
    <w:rsid w:val="00C256AB"/>
    <w:rsid w:val="00C260E5"/>
    <w:rsid w:val="00C2650A"/>
    <w:rsid w:val="00C267A9"/>
    <w:rsid w:val="00C26D29"/>
    <w:rsid w:val="00C273C7"/>
    <w:rsid w:val="00C30460"/>
    <w:rsid w:val="00C30D93"/>
    <w:rsid w:val="00C312D2"/>
    <w:rsid w:val="00C3136D"/>
    <w:rsid w:val="00C328C9"/>
    <w:rsid w:val="00C32B95"/>
    <w:rsid w:val="00C32CD4"/>
    <w:rsid w:val="00C32EF4"/>
    <w:rsid w:val="00C3440F"/>
    <w:rsid w:val="00C357DB"/>
    <w:rsid w:val="00C35E0A"/>
    <w:rsid w:val="00C36017"/>
    <w:rsid w:val="00C36261"/>
    <w:rsid w:val="00C362A6"/>
    <w:rsid w:val="00C367C9"/>
    <w:rsid w:val="00C368B1"/>
    <w:rsid w:val="00C36AE6"/>
    <w:rsid w:val="00C36C55"/>
    <w:rsid w:val="00C37276"/>
    <w:rsid w:val="00C40052"/>
    <w:rsid w:val="00C4027E"/>
    <w:rsid w:val="00C409D5"/>
    <w:rsid w:val="00C4188C"/>
    <w:rsid w:val="00C41A0A"/>
    <w:rsid w:val="00C42D57"/>
    <w:rsid w:val="00C435C3"/>
    <w:rsid w:val="00C43912"/>
    <w:rsid w:val="00C43FAE"/>
    <w:rsid w:val="00C441C5"/>
    <w:rsid w:val="00C4460E"/>
    <w:rsid w:val="00C44B9B"/>
    <w:rsid w:val="00C44CC9"/>
    <w:rsid w:val="00C44E5F"/>
    <w:rsid w:val="00C45465"/>
    <w:rsid w:val="00C45493"/>
    <w:rsid w:val="00C45538"/>
    <w:rsid w:val="00C46B05"/>
    <w:rsid w:val="00C47169"/>
    <w:rsid w:val="00C4722C"/>
    <w:rsid w:val="00C47CF3"/>
    <w:rsid w:val="00C50334"/>
    <w:rsid w:val="00C513F0"/>
    <w:rsid w:val="00C51595"/>
    <w:rsid w:val="00C51666"/>
    <w:rsid w:val="00C51B7C"/>
    <w:rsid w:val="00C52727"/>
    <w:rsid w:val="00C53F02"/>
    <w:rsid w:val="00C54054"/>
    <w:rsid w:val="00C5785F"/>
    <w:rsid w:val="00C608E3"/>
    <w:rsid w:val="00C60C51"/>
    <w:rsid w:val="00C6131D"/>
    <w:rsid w:val="00C61B63"/>
    <w:rsid w:val="00C61E0D"/>
    <w:rsid w:val="00C6234B"/>
    <w:rsid w:val="00C628BB"/>
    <w:rsid w:val="00C6302B"/>
    <w:rsid w:val="00C63826"/>
    <w:rsid w:val="00C63EAE"/>
    <w:rsid w:val="00C649B7"/>
    <w:rsid w:val="00C64C7A"/>
    <w:rsid w:val="00C656EE"/>
    <w:rsid w:val="00C66195"/>
    <w:rsid w:val="00C6663D"/>
    <w:rsid w:val="00C66D85"/>
    <w:rsid w:val="00C6729C"/>
    <w:rsid w:val="00C67962"/>
    <w:rsid w:val="00C7000E"/>
    <w:rsid w:val="00C70CBE"/>
    <w:rsid w:val="00C70E01"/>
    <w:rsid w:val="00C71263"/>
    <w:rsid w:val="00C715FD"/>
    <w:rsid w:val="00C72366"/>
    <w:rsid w:val="00C72398"/>
    <w:rsid w:val="00C72CDC"/>
    <w:rsid w:val="00C73260"/>
    <w:rsid w:val="00C742B2"/>
    <w:rsid w:val="00C74B5F"/>
    <w:rsid w:val="00C74DC4"/>
    <w:rsid w:val="00C7540C"/>
    <w:rsid w:val="00C75978"/>
    <w:rsid w:val="00C7629F"/>
    <w:rsid w:val="00C762F3"/>
    <w:rsid w:val="00C766DB"/>
    <w:rsid w:val="00C768F3"/>
    <w:rsid w:val="00C771BE"/>
    <w:rsid w:val="00C772E9"/>
    <w:rsid w:val="00C80145"/>
    <w:rsid w:val="00C8063E"/>
    <w:rsid w:val="00C80784"/>
    <w:rsid w:val="00C8196A"/>
    <w:rsid w:val="00C81BB0"/>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22FF"/>
    <w:rsid w:val="00C92DD1"/>
    <w:rsid w:val="00C939C5"/>
    <w:rsid w:val="00C93C63"/>
    <w:rsid w:val="00C94B4F"/>
    <w:rsid w:val="00C95040"/>
    <w:rsid w:val="00C9528B"/>
    <w:rsid w:val="00C952E7"/>
    <w:rsid w:val="00C95C54"/>
    <w:rsid w:val="00C95E0E"/>
    <w:rsid w:val="00C96974"/>
    <w:rsid w:val="00C97581"/>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34F1"/>
    <w:rsid w:val="00CA3A3D"/>
    <w:rsid w:val="00CA3AA6"/>
    <w:rsid w:val="00CA3EF3"/>
    <w:rsid w:val="00CA4880"/>
    <w:rsid w:val="00CA4F3A"/>
    <w:rsid w:val="00CA51FC"/>
    <w:rsid w:val="00CA555C"/>
    <w:rsid w:val="00CA6716"/>
    <w:rsid w:val="00CA6C0C"/>
    <w:rsid w:val="00CA77FB"/>
    <w:rsid w:val="00CA793D"/>
    <w:rsid w:val="00CA7942"/>
    <w:rsid w:val="00CB026C"/>
    <w:rsid w:val="00CB079C"/>
    <w:rsid w:val="00CB0C67"/>
    <w:rsid w:val="00CB12E8"/>
    <w:rsid w:val="00CB146E"/>
    <w:rsid w:val="00CB169F"/>
    <w:rsid w:val="00CB1AA6"/>
    <w:rsid w:val="00CB27CB"/>
    <w:rsid w:val="00CB2886"/>
    <w:rsid w:val="00CB2B8A"/>
    <w:rsid w:val="00CB3293"/>
    <w:rsid w:val="00CB379B"/>
    <w:rsid w:val="00CB3BF4"/>
    <w:rsid w:val="00CB4074"/>
    <w:rsid w:val="00CB454A"/>
    <w:rsid w:val="00CB4F88"/>
    <w:rsid w:val="00CB5DD0"/>
    <w:rsid w:val="00CB654C"/>
    <w:rsid w:val="00CB7813"/>
    <w:rsid w:val="00CC06BA"/>
    <w:rsid w:val="00CC0D19"/>
    <w:rsid w:val="00CC1725"/>
    <w:rsid w:val="00CC2254"/>
    <w:rsid w:val="00CC269A"/>
    <w:rsid w:val="00CC3D6A"/>
    <w:rsid w:val="00CC3ECA"/>
    <w:rsid w:val="00CC4407"/>
    <w:rsid w:val="00CC4757"/>
    <w:rsid w:val="00CC4AD9"/>
    <w:rsid w:val="00CC51D4"/>
    <w:rsid w:val="00CC5367"/>
    <w:rsid w:val="00CC5633"/>
    <w:rsid w:val="00CC65DA"/>
    <w:rsid w:val="00CC6C62"/>
    <w:rsid w:val="00CC6D40"/>
    <w:rsid w:val="00CC75CE"/>
    <w:rsid w:val="00CC7D91"/>
    <w:rsid w:val="00CD1043"/>
    <w:rsid w:val="00CD13F3"/>
    <w:rsid w:val="00CD14B9"/>
    <w:rsid w:val="00CD1962"/>
    <w:rsid w:val="00CD259D"/>
    <w:rsid w:val="00CD29AE"/>
    <w:rsid w:val="00CD2C43"/>
    <w:rsid w:val="00CD2D52"/>
    <w:rsid w:val="00CD3749"/>
    <w:rsid w:val="00CD37B3"/>
    <w:rsid w:val="00CD40A9"/>
    <w:rsid w:val="00CD46B3"/>
    <w:rsid w:val="00CD4F5B"/>
    <w:rsid w:val="00CD57BB"/>
    <w:rsid w:val="00CD5DA9"/>
    <w:rsid w:val="00CD692C"/>
    <w:rsid w:val="00CD6C8C"/>
    <w:rsid w:val="00CD7B7C"/>
    <w:rsid w:val="00CE02A6"/>
    <w:rsid w:val="00CE11CC"/>
    <w:rsid w:val="00CE18A4"/>
    <w:rsid w:val="00CE1B77"/>
    <w:rsid w:val="00CE1C13"/>
    <w:rsid w:val="00CE2AA7"/>
    <w:rsid w:val="00CE2F93"/>
    <w:rsid w:val="00CE31D4"/>
    <w:rsid w:val="00CE3A9A"/>
    <w:rsid w:val="00CE3C2A"/>
    <w:rsid w:val="00CE4526"/>
    <w:rsid w:val="00CE4916"/>
    <w:rsid w:val="00CE4EA6"/>
    <w:rsid w:val="00CE51AE"/>
    <w:rsid w:val="00CE5AA0"/>
    <w:rsid w:val="00CE5D54"/>
    <w:rsid w:val="00CE5F1D"/>
    <w:rsid w:val="00CE6FA2"/>
    <w:rsid w:val="00CE7E44"/>
    <w:rsid w:val="00CF0103"/>
    <w:rsid w:val="00CF174F"/>
    <w:rsid w:val="00CF18AF"/>
    <w:rsid w:val="00CF18FA"/>
    <w:rsid w:val="00CF21B9"/>
    <w:rsid w:val="00CF2A2D"/>
    <w:rsid w:val="00CF2BEA"/>
    <w:rsid w:val="00CF3182"/>
    <w:rsid w:val="00CF369F"/>
    <w:rsid w:val="00CF5104"/>
    <w:rsid w:val="00CF5914"/>
    <w:rsid w:val="00CF6BF9"/>
    <w:rsid w:val="00CF70BE"/>
    <w:rsid w:val="00CF75DD"/>
    <w:rsid w:val="00D000E4"/>
    <w:rsid w:val="00D00274"/>
    <w:rsid w:val="00D00748"/>
    <w:rsid w:val="00D02A5C"/>
    <w:rsid w:val="00D0301D"/>
    <w:rsid w:val="00D03745"/>
    <w:rsid w:val="00D03800"/>
    <w:rsid w:val="00D03EF8"/>
    <w:rsid w:val="00D03F97"/>
    <w:rsid w:val="00D04F3D"/>
    <w:rsid w:val="00D065D3"/>
    <w:rsid w:val="00D06B96"/>
    <w:rsid w:val="00D0710C"/>
    <w:rsid w:val="00D0751F"/>
    <w:rsid w:val="00D0784F"/>
    <w:rsid w:val="00D10C65"/>
    <w:rsid w:val="00D10DD2"/>
    <w:rsid w:val="00D11C4B"/>
    <w:rsid w:val="00D11F46"/>
    <w:rsid w:val="00D11F87"/>
    <w:rsid w:val="00D12AEC"/>
    <w:rsid w:val="00D13799"/>
    <w:rsid w:val="00D14142"/>
    <w:rsid w:val="00D1486D"/>
    <w:rsid w:val="00D14C94"/>
    <w:rsid w:val="00D169BF"/>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DD"/>
    <w:rsid w:val="00D23047"/>
    <w:rsid w:val="00D231C8"/>
    <w:rsid w:val="00D242E2"/>
    <w:rsid w:val="00D24740"/>
    <w:rsid w:val="00D2539F"/>
    <w:rsid w:val="00D256FA"/>
    <w:rsid w:val="00D25F2C"/>
    <w:rsid w:val="00D26D63"/>
    <w:rsid w:val="00D27672"/>
    <w:rsid w:val="00D27F49"/>
    <w:rsid w:val="00D30192"/>
    <w:rsid w:val="00D30AB5"/>
    <w:rsid w:val="00D30CE1"/>
    <w:rsid w:val="00D31C4A"/>
    <w:rsid w:val="00D32F3E"/>
    <w:rsid w:val="00D32F94"/>
    <w:rsid w:val="00D33C0E"/>
    <w:rsid w:val="00D3421B"/>
    <w:rsid w:val="00D342A6"/>
    <w:rsid w:val="00D343C4"/>
    <w:rsid w:val="00D34440"/>
    <w:rsid w:val="00D3458A"/>
    <w:rsid w:val="00D35642"/>
    <w:rsid w:val="00D35A33"/>
    <w:rsid w:val="00D3636B"/>
    <w:rsid w:val="00D36A6A"/>
    <w:rsid w:val="00D36C6E"/>
    <w:rsid w:val="00D37634"/>
    <w:rsid w:val="00D37CA3"/>
    <w:rsid w:val="00D400F9"/>
    <w:rsid w:val="00D40F41"/>
    <w:rsid w:val="00D41024"/>
    <w:rsid w:val="00D428AA"/>
    <w:rsid w:val="00D42F4A"/>
    <w:rsid w:val="00D43F15"/>
    <w:rsid w:val="00D443BE"/>
    <w:rsid w:val="00D443CC"/>
    <w:rsid w:val="00D44D1E"/>
    <w:rsid w:val="00D4575D"/>
    <w:rsid w:val="00D45801"/>
    <w:rsid w:val="00D45CA6"/>
    <w:rsid w:val="00D464BF"/>
    <w:rsid w:val="00D46635"/>
    <w:rsid w:val="00D46E00"/>
    <w:rsid w:val="00D46EAD"/>
    <w:rsid w:val="00D47A86"/>
    <w:rsid w:val="00D47FA5"/>
    <w:rsid w:val="00D502A3"/>
    <w:rsid w:val="00D50AF0"/>
    <w:rsid w:val="00D524B1"/>
    <w:rsid w:val="00D52BDB"/>
    <w:rsid w:val="00D5356B"/>
    <w:rsid w:val="00D53E26"/>
    <w:rsid w:val="00D54357"/>
    <w:rsid w:val="00D54BD4"/>
    <w:rsid w:val="00D5501A"/>
    <w:rsid w:val="00D553D3"/>
    <w:rsid w:val="00D557EE"/>
    <w:rsid w:val="00D55FD3"/>
    <w:rsid w:val="00D56B71"/>
    <w:rsid w:val="00D56C71"/>
    <w:rsid w:val="00D57074"/>
    <w:rsid w:val="00D57575"/>
    <w:rsid w:val="00D60BCE"/>
    <w:rsid w:val="00D60EE3"/>
    <w:rsid w:val="00D60EE7"/>
    <w:rsid w:val="00D61986"/>
    <w:rsid w:val="00D61A48"/>
    <w:rsid w:val="00D624AA"/>
    <w:rsid w:val="00D62F75"/>
    <w:rsid w:val="00D630BE"/>
    <w:rsid w:val="00D6322D"/>
    <w:rsid w:val="00D63517"/>
    <w:rsid w:val="00D65A49"/>
    <w:rsid w:val="00D65EA0"/>
    <w:rsid w:val="00D65EBE"/>
    <w:rsid w:val="00D665F0"/>
    <w:rsid w:val="00D66A81"/>
    <w:rsid w:val="00D66CA8"/>
    <w:rsid w:val="00D70D34"/>
    <w:rsid w:val="00D70DC9"/>
    <w:rsid w:val="00D70E31"/>
    <w:rsid w:val="00D70FA3"/>
    <w:rsid w:val="00D711B2"/>
    <w:rsid w:val="00D711C5"/>
    <w:rsid w:val="00D72A7A"/>
    <w:rsid w:val="00D72DA3"/>
    <w:rsid w:val="00D7302D"/>
    <w:rsid w:val="00D75106"/>
    <w:rsid w:val="00D755F8"/>
    <w:rsid w:val="00D76752"/>
    <w:rsid w:val="00D77688"/>
    <w:rsid w:val="00D77B9E"/>
    <w:rsid w:val="00D8043F"/>
    <w:rsid w:val="00D80618"/>
    <w:rsid w:val="00D80BC1"/>
    <w:rsid w:val="00D80C90"/>
    <w:rsid w:val="00D80C9F"/>
    <w:rsid w:val="00D82487"/>
    <w:rsid w:val="00D829B1"/>
    <w:rsid w:val="00D82D1A"/>
    <w:rsid w:val="00D8360F"/>
    <w:rsid w:val="00D8377A"/>
    <w:rsid w:val="00D84D15"/>
    <w:rsid w:val="00D85092"/>
    <w:rsid w:val="00D851A4"/>
    <w:rsid w:val="00D85297"/>
    <w:rsid w:val="00D85B77"/>
    <w:rsid w:val="00D86FA2"/>
    <w:rsid w:val="00D87054"/>
    <w:rsid w:val="00D87308"/>
    <w:rsid w:val="00D87DCA"/>
    <w:rsid w:val="00D87FDD"/>
    <w:rsid w:val="00D9080F"/>
    <w:rsid w:val="00D91382"/>
    <w:rsid w:val="00D91E04"/>
    <w:rsid w:val="00D920F4"/>
    <w:rsid w:val="00D921BE"/>
    <w:rsid w:val="00D947F4"/>
    <w:rsid w:val="00D94CCE"/>
    <w:rsid w:val="00D95055"/>
    <w:rsid w:val="00D95AA4"/>
    <w:rsid w:val="00D95BDE"/>
    <w:rsid w:val="00D95F6B"/>
    <w:rsid w:val="00D96490"/>
    <w:rsid w:val="00D964EE"/>
    <w:rsid w:val="00D979E4"/>
    <w:rsid w:val="00D97E45"/>
    <w:rsid w:val="00DA0339"/>
    <w:rsid w:val="00DA1377"/>
    <w:rsid w:val="00DA206F"/>
    <w:rsid w:val="00DA2573"/>
    <w:rsid w:val="00DA2C21"/>
    <w:rsid w:val="00DA3BBD"/>
    <w:rsid w:val="00DA3E95"/>
    <w:rsid w:val="00DA42C5"/>
    <w:rsid w:val="00DA59D4"/>
    <w:rsid w:val="00DA5ADC"/>
    <w:rsid w:val="00DA6172"/>
    <w:rsid w:val="00DA61AD"/>
    <w:rsid w:val="00DA61BD"/>
    <w:rsid w:val="00DA653F"/>
    <w:rsid w:val="00DA6B2C"/>
    <w:rsid w:val="00DA6EF0"/>
    <w:rsid w:val="00DA78EC"/>
    <w:rsid w:val="00DA7CAD"/>
    <w:rsid w:val="00DA7D58"/>
    <w:rsid w:val="00DB020A"/>
    <w:rsid w:val="00DB182C"/>
    <w:rsid w:val="00DB1A7F"/>
    <w:rsid w:val="00DB2582"/>
    <w:rsid w:val="00DB2A08"/>
    <w:rsid w:val="00DB390F"/>
    <w:rsid w:val="00DB3AC1"/>
    <w:rsid w:val="00DB4001"/>
    <w:rsid w:val="00DB418B"/>
    <w:rsid w:val="00DB49CD"/>
    <w:rsid w:val="00DB4E83"/>
    <w:rsid w:val="00DB5402"/>
    <w:rsid w:val="00DB5C34"/>
    <w:rsid w:val="00DB5DF7"/>
    <w:rsid w:val="00DB606F"/>
    <w:rsid w:val="00DB62A2"/>
    <w:rsid w:val="00DB661A"/>
    <w:rsid w:val="00DB77DF"/>
    <w:rsid w:val="00DB7F6D"/>
    <w:rsid w:val="00DC02C0"/>
    <w:rsid w:val="00DC0BAE"/>
    <w:rsid w:val="00DC0F46"/>
    <w:rsid w:val="00DC1278"/>
    <w:rsid w:val="00DC1326"/>
    <w:rsid w:val="00DC1841"/>
    <w:rsid w:val="00DC1AB9"/>
    <w:rsid w:val="00DC2140"/>
    <w:rsid w:val="00DC22D8"/>
    <w:rsid w:val="00DC292D"/>
    <w:rsid w:val="00DC2DB9"/>
    <w:rsid w:val="00DC2F7E"/>
    <w:rsid w:val="00DC30E6"/>
    <w:rsid w:val="00DC32A9"/>
    <w:rsid w:val="00DC336D"/>
    <w:rsid w:val="00DC3445"/>
    <w:rsid w:val="00DC392E"/>
    <w:rsid w:val="00DC3BD1"/>
    <w:rsid w:val="00DC4047"/>
    <w:rsid w:val="00DC411C"/>
    <w:rsid w:val="00DC4198"/>
    <w:rsid w:val="00DC469F"/>
    <w:rsid w:val="00DC4BA1"/>
    <w:rsid w:val="00DC4BB6"/>
    <w:rsid w:val="00DC50EB"/>
    <w:rsid w:val="00DC52CF"/>
    <w:rsid w:val="00DC5A2E"/>
    <w:rsid w:val="00DC5A3D"/>
    <w:rsid w:val="00DC61DA"/>
    <w:rsid w:val="00DC6C6E"/>
    <w:rsid w:val="00DC70A4"/>
    <w:rsid w:val="00DC756E"/>
    <w:rsid w:val="00DC7B09"/>
    <w:rsid w:val="00DD096C"/>
    <w:rsid w:val="00DD18DF"/>
    <w:rsid w:val="00DD236B"/>
    <w:rsid w:val="00DD2F81"/>
    <w:rsid w:val="00DD3302"/>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C1C"/>
    <w:rsid w:val="00DE0C49"/>
    <w:rsid w:val="00DE0DA3"/>
    <w:rsid w:val="00DE0DD9"/>
    <w:rsid w:val="00DE113D"/>
    <w:rsid w:val="00DE122C"/>
    <w:rsid w:val="00DE1387"/>
    <w:rsid w:val="00DE15FB"/>
    <w:rsid w:val="00DE1D45"/>
    <w:rsid w:val="00DE2C11"/>
    <w:rsid w:val="00DE3611"/>
    <w:rsid w:val="00DE3C62"/>
    <w:rsid w:val="00DE3D6D"/>
    <w:rsid w:val="00DE3E82"/>
    <w:rsid w:val="00DE481D"/>
    <w:rsid w:val="00DE4ACD"/>
    <w:rsid w:val="00DE5F5F"/>
    <w:rsid w:val="00DE74ED"/>
    <w:rsid w:val="00DE78F6"/>
    <w:rsid w:val="00DE7A52"/>
    <w:rsid w:val="00DE7B7E"/>
    <w:rsid w:val="00DF004C"/>
    <w:rsid w:val="00DF0096"/>
    <w:rsid w:val="00DF090C"/>
    <w:rsid w:val="00DF0BF0"/>
    <w:rsid w:val="00DF0D16"/>
    <w:rsid w:val="00DF186D"/>
    <w:rsid w:val="00DF1CB4"/>
    <w:rsid w:val="00DF2700"/>
    <w:rsid w:val="00DF2AE3"/>
    <w:rsid w:val="00DF3955"/>
    <w:rsid w:val="00DF3CA2"/>
    <w:rsid w:val="00DF4B14"/>
    <w:rsid w:val="00DF5747"/>
    <w:rsid w:val="00DF5AF1"/>
    <w:rsid w:val="00DF6A31"/>
    <w:rsid w:val="00DF6A7B"/>
    <w:rsid w:val="00DF6E5C"/>
    <w:rsid w:val="00DF71DC"/>
    <w:rsid w:val="00DF728F"/>
    <w:rsid w:val="00DF753B"/>
    <w:rsid w:val="00DF75ED"/>
    <w:rsid w:val="00DF7651"/>
    <w:rsid w:val="00DF781C"/>
    <w:rsid w:val="00DF78A4"/>
    <w:rsid w:val="00DF7E9D"/>
    <w:rsid w:val="00E002F6"/>
    <w:rsid w:val="00E01375"/>
    <w:rsid w:val="00E013F4"/>
    <w:rsid w:val="00E01463"/>
    <w:rsid w:val="00E01A6B"/>
    <w:rsid w:val="00E02991"/>
    <w:rsid w:val="00E03B99"/>
    <w:rsid w:val="00E04054"/>
    <w:rsid w:val="00E04B1A"/>
    <w:rsid w:val="00E04F2F"/>
    <w:rsid w:val="00E052C8"/>
    <w:rsid w:val="00E05E0A"/>
    <w:rsid w:val="00E060BE"/>
    <w:rsid w:val="00E062E2"/>
    <w:rsid w:val="00E06680"/>
    <w:rsid w:val="00E06E35"/>
    <w:rsid w:val="00E10452"/>
    <w:rsid w:val="00E10E29"/>
    <w:rsid w:val="00E132C7"/>
    <w:rsid w:val="00E147B1"/>
    <w:rsid w:val="00E148E1"/>
    <w:rsid w:val="00E14D0E"/>
    <w:rsid w:val="00E151C6"/>
    <w:rsid w:val="00E1545B"/>
    <w:rsid w:val="00E16AAC"/>
    <w:rsid w:val="00E20C8D"/>
    <w:rsid w:val="00E20F14"/>
    <w:rsid w:val="00E20F89"/>
    <w:rsid w:val="00E217E9"/>
    <w:rsid w:val="00E21AF5"/>
    <w:rsid w:val="00E22332"/>
    <w:rsid w:val="00E22B68"/>
    <w:rsid w:val="00E230D1"/>
    <w:rsid w:val="00E24036"/>
    <w:rsid w:val="00E240E2"/>
    <w:rsid w:val="00E24857"/>
    <w:rsid w:val="00E24A88"/>
    <w:rsid w:val="00E24AB9"/>
    <w:rsid w:val="00E24B2F"/>
    <w:rsid w:val="00E25479"/>
    <w:rsid w:val="00E261D8"/>
    <w:rsid w:val="00E26271"/>
    <w:rsid w:val="00E26F95"/>
    <w:rsid w:val="00E27608"/>
    <w:rsid w:val="00E27ABE"/>
    <w:rsid w:val="00E30643"/>
    <w:rsid w:val="00E3092E"/>
    <w:rsid w:val="00E33D23"/>
    <w:rsid w:val="00E3419F"/>
    <w:rsid w:val="00E348B6"/>
    <w:rsid w:val="00E35613"/>
    <w:rsid w:val="00E36456"/>
    <w:rsid w:val="00E3651B"/>
    <w:rsid w:val="00E371CE"/>
    <w:rsid w:val="00E4023E"/>
    <w:rsid w:val="00E40697"/>
    <w:rsid w:val="00E40B05"/>
    <w:rsid w:val="00E4302C"/>
    <w:rsid w:val="00E43C3B"/>
    <w:rsid w:val="00E43F74"/>
    <w:rsid w:val="00E442C8"/>
    <w:rsid w:val="00E44594"/>
    <w:rsid w:val="00E44D6B"/>
    <w:rsid w:val="00E45320"/>
    <w:rsid w:val="00E45CC3"/>
    <w:rsid w:val="00E460E3"/>
    <w:rsid w:val="00E474A8"/>
    <w:rsid w:val="00E4771A"/>
    <w:rsid w:val="00E47A98"/>
    <w:rsid w:val="00E47BC6"/>
    <w:rsid w:val="00E512DA"/>
    <w:rsid w:val="00E521C9"/>
    <w:rsid w:val="00E52E7A"/>
    <w:rsid w:val="00E534CF"/>
    <w:rsid w:val="00E538D3"/>
    <w:rsid w:val="00E53F6F"/>
    <w:rsid w:val="00E54C9E"/>
    <w:rsid w:val="00E553F7"/>
    <w:rsid w:val="00E5588D"/>
    <w:rsid w:val="00E568C9"/>
    <w:rsid w:val="00E56D4F"/>
    <w:rsid w:val="00E56FEA"/>
    <w:rsid w:val="00E57794"/>
    <w:rsid w:val="00E60997"/>
    <w:rsid w:val="00E609EA"/>
    <w:rsid w:val="00E613E8"/>
    <w:rsid w:val="00E61918"/>
    <w:rsid w:val="00E61B7A"/>
    <w:rsid w:val="00E62A11"/>
    <w:rsid w:val="00E62B27"/>
    <w:rsid w:val="00E636A4"/>
    <w:rsid w:val="00E63D66"/>
    <w:rsid w:val="00E642FB"/>
    <w:rsid w:val="00E65007"/>
    <w:rsid w:val="00E65533"/>
    <w:rsid w:val="00E659A1"/>
    <w:rsid w:val="00E65DF5"/>
    <w:rsid w:val="00E66A24"/>
    <w:rsid w:val="00E66EF8"/>
    <w:rsid w:val="00E6707E"/>
    <w:rsid w:val="00E6757C"/>
    <w:rsid w:val="00E679EB"/>
    <w:rsid w:val="00E70347"/>
    <w:rsid w:val="00E703C1"/>
    <w:rsid w:val="00E70525"/>
    <w:rsid w:val="00E70ADE"/>
    <w:rsid w:val="00E71517"/>
    <w:rsid w:val="00E71939"/>
    <w:rsid w:val="00E71DEE"/>
    <w:rsid w:val="00E71EE0"/>
    <w:rsid w:val="00E72226"/>
    <w:rsid w:val="00E72262"/>
    <w:rsid w:val="00E72EDC"/>
    <w:rsid w:val="00E7329D"/>
    <w:rsid w:val="00E739C2"/>
    <w:rsid w:val="00E73CF4"/>
    <w:rsid w:val="00E73D71"/>
    <w:rsid w:val="00E76552"/>
    <w:rsid w:val="00E770BB"/>
    <w:rsid w:val="00E77C52"/>
    <w:rsid w:val="00E80AA0"/>
    <w:rsid w:val="00E80DF9"/>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F41"/>
    <w:rsid w:val="00E9057E"/>
    <w:rsid w:val="00E90E21"/>
    <w:rsid w:val="00E90F09"/>
    <w:rsid w:val="00E911DC"/>
    <w:rsid w:val="00E91ADB"/>
    <w:rsid w:val="00E92880"/>
    <w:rsid w:val="00E92D2E"/>
    <w:rsid w:val="00E92FFA"/>
    <w:rsid w:val="00E9330F"/>
    <w:rsid w:val="00E93E5E"/>
    <w:rsid w:val="00E942AC"/>
    <w:rsid w:val="00E94C3E"/>
    <w:rsid w:val="00E95049"/>
    <w:rsid w:val="00E95321"/>
    <w:rsid w:val="00E95572"/>
    <w:rsid w:val="00E959C0"/>
    <w:rsid w:val="00E95A46"/>
    <w:rsid w:val="00E97083"/>
    <w:rsid w:val="00E973B0"/>
    <w:rsid w:val="00EA0511"/>
    <w:rsid w:val="00EA1DA9"/>
    <w:rsid w:val="00EA1EB0"/>
    <w:rsid w:val="00EA20BE"/>
    <w:rsid w:val="00EA2B2E"/>
    <w:rsid w:val="00EA3193"/>
    <w:rsid w:val="00EA396E"/>
    <w:rsid w:val="00EA3F15"/>
    <w:rsid w:val="00EA55D5"/>
    <w:rsid w:val="00EA5C47"/>
    <w:rsid w:val="00EA5CB1"/>
    <w:rsid w:val="00EA5E52"/>
    <w:rsid w:val="00EA5F40"/>
    <w:rsid w:val="00EA69C9"/>
    <w:rsid w:val="00EA7847"/>
    <w:rsid w:val="00EA7BB7"/>
    <w:rsid w:val="00EB14C7"/>
    <w:rsid w:val="00EB16F4"/>
    <w:rsid w:val="00EB219D"/>
    <w:rsid w:val="00EB29E1"/>
    <w:rsid w:val="00EB2AD3"/>
    <w:rsid w:val="00EB2F92"/>
    <w:rsid w:val="00EB352A"/>
    <w:rsid w:val="00EB3569"/>
    <w:rsid w:val="00EB3D1E"/>
    <w:rsid w:val="00EB432F"/>
    <w:rsid w:val="00EB4419"/>
    <w:rsid w:val="00EB4453"/>
    <w:rsid w:val="00EB4C2F"/>
    <w:rsid w:val="00EB5054"/>
    <w:rsid w:val="00EB571F"/>
    <w:rsid w:val="00EB6E9E"/>
    <w:rsid w:val="00EC0085"/>
    <w:rsid w:val="00EC143C"/>
    <w:rsid w:val="00EC1D19"/>
    <w:rsid w:val="00EC24EC"/>
    <w:rsid w:val="00EC2908"/>
    <w:rsid w:val="00EC2AFB"/>
    <w:rsid w:val="00EC32DA"/>
    <w:rsid w:val="00EC4F55"/>
    <w:rsid w:val="00EC5439"/>
    <w:rsid w:val="00EC5451"/>
    <w:rsid w:val="00EC56E8"/>
    <w:rsid w:val="00EC5748"/>
    <w:rsid w:val="00EC57F4"/>
    <w:rsid w:val="00EC5A4B"/>
    <w:rsid w:val="00EC688C"/>
    <w:rsid w:val="00ED00D3"/>
    <w:rsid w:val="00ED0150"/>
    <w:rsid w:val="00ED083E"/>
    <w:rsid w:val="00ED0A96"/>
    <w:rsid w:val="00ED0D19"/>
    <w:rsid w:val="00ED130C"/>
    <w:rsid w:val="00ED13CE"/>
    <w:rsid w:val="00ED1943"/>
    <w:rsid w:val="00ED1945"/>
    <w:rsid w:val="00ED1D47"/>
    <w:rsid w:val="00ED27EE"/>
    <w:rsid w:val="00ED2AFF"/>
    <w:rsid w:val="00ED2CB1"/>
    <w:rsid w:val="00ED31EA"/>
    <w:rsid w:val="00ED3251"/>
    <w:rsid w:val="00ED39AA"/>
    <w:rsid w:val="00ED3DCD"/>
    <w:rsid w:val="00ED5072"/>
    <w:rsid w:val="00ED521C"/>
    <w:rsid w:val="00ED5656"/>
    <w:rsid w:val="00ED5D82"/>
    <w:rsid w:val="00ED5FF2"/>
    <w:rsid w:val="00ED6171"/>
    <w:rsid w:val="00ED651F"/>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E86"/>
    <w:rsid w:val="00EE5FCC"/>
    <w:rsid w:val="00EE62C0"/>
    <w:rsid w:val="00EE64AA"/>
    <w:rsid w:val="00EE67C5"/>
    <w:rsid w:val="00EE6B4B"/>
    <w:rsid w:val="00EE6C64"/>
    <w:rsid w:val="00EE76C0"/>
    <w:rsid w:val="00EE7D43"/>
    <w:rsid w:val="00EF0398"/>
    <w:rsid w:val="00EF056A"/>
    <w:rsid w:val="00EF18A9"/>
    <w:rsid w:val="00EF2548"/>
    <w:rsid w:val="00EF3279"/>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DD7"/>
    <w:rsid w:val="00F044B6"/>
    <w:rsid w:val="00F045A9"/>
    <w:rsid w:val="00F04810"/>
    <w:rsid w:val="00F04C6A"/>
    <w:rsid w:val="00F04C88"/>
    <w:rsid w:val="00F04F0D"/>
    <w:rsid w:val="00F055B2"/>
    <w:rsid w:val="00F06FDB"/>
    <w:rsid w:val="00F0759E"/>
    <w:rsid w:val="00F077ED"/>
    <w:rsid w:val="00F0786C"/>
    <w:rsid w:val="00F07B90"/>
    <w:rsid w:val="00F1028B"/>
    <w:rsid w:val="00F109A1"/>
    <w:rsid w:val="00F10D99"/>
    <w:rsid w:val="00F11188"/>
    <w:rsid w:val="00F12499"/>
    <w:rsid w:val="00F12502"/>
    <w:rsid w:val="00F12863"/>
    <w:rsid w:val="00F12B38"/>
    <w:rsid w:val="00F12DEC"/>
    <w:rsid w:val="00F13E43"/>
    <w:rsid w:val="00F1447E"/>
    <w:rsid w:val="00F144BE"/>
    <w:rsid w:val="00F14C30"/>
    <w:rsid w:val="00F1521A"/>
    <w:rsid w:val="00F16A43"/>
    <w:rsid w:val="00F176E8"/>
    <w:rsid w:val="00F178D8"/>
    <w:rsid w:val="00F17914"/>
    <w:rsid w:val="00F17B18"/>
    <w:rsid w:val="00F20912"/>
    <w:rsid w:val="00F219B9"/>
    <w:rsid w:val="00F21CE3"/>
    <w:rsid w:val="00F21F50"/>
    <w:rsid w:val="00F224BD"/>
    <w:rsid w:val="00F22883"/>
    <w:rsid w:val="00F22C90"/>
    <w:rsid w:val="00F231C2"/>
    <w:rsid w:val="00F2375C"/>
    <w:rsid w:val="00F23C0E"/>
    <w:rsid w:val="00F23E4C"/>
    <w:rsid w:val="00F246AE"/>
    <w:rsid w:val="00F25A7F"/>
    <w:rsid w:val="00F25FBE"/>
    <w:rsid w:val="00F26E16"/>
    <w:rsid w:val="00F270E9"/>
    <w:rsid w:val="00F2718C"/>
    <w:rsid w:val="00F276E2"/>
    <w:rsid w:val="00F304FE"/>
    <w:rsid w:val="00F30572"/>
    <w:rsid w:val="00F31249"/>
    <w:rsid w:val="00F3147E"/>
    <w:rsid w:val="00F3199B"/>
    <w:rsid w:val="00F320B2"/>
    <w:rsid w:val="00F328F0"/>
    <w:rsid w:val="00F32E67"/>
    <w:rsid w:val="00F33C6F"/>
    <w:rsid w:val="00F340A4"/>
    <w:rsid w:val="00F3467E"/>
    <w:rsid w:val="00F35276"/>
    <w:rsid w:val="00F35D5E"/>
    <w:rsid w:val="00F35F07"/>
    <w:rsid w:val="00F36702"/>
    <w:rsid w:val="00F36AF0"/>
    <w:rsid w:val="00F37413"/>
    <w:rsid w:val="00F37441"/>
    <w:rsid w:val="00F37A1B"/>
    <w:rsid w:val="00F37A39"/>
    <w:rsid w:val="00F40882"/>
    <w:rsid w:val="00F40F88"/>
    <w:rsid w:val="00F422D6"/>
    <w:rsid w:val="00F4273C"/>
    <w:rsid w:val="00F43881"/>
    <w:rsid w:val="00F43C5D"/>
    <w:rsid w:val="00F43D8E"/>
    <w:rsid w:val="00F44393"/>
    <w:rsid w:val="00F4555D"/>
    <w:rsid w:val="00F458AF"/>
    <w:rsid w:val="00F46071"/>
    <w:rsid w:val="00F46727"/>
    <w:rsid w:val="00F46780"/>
    <w:rsid w:val="00F46C13"/>
    <w:rsid w:val="00F47F49"/>
    <w:rsid w:val="00F47FF2"/>
    <w:rsid w:val="00F50305"/>
    <w:rsid w:val="00F50396"/>
    <w:rsid w:val="00F50AC4"/>
    <w:rsid w:val="00F51218"/>
    <w:rsid w:val="00F51A86"/>
    <w:rsid w:val="00F51C53"/>
    <w:rsid w:val="00F52701"/>
    <w:rsid w:val="00F532BA"/>
    <w:rsid w:val="00F53489"/>
    <w:rsid w:val="00F54493"/>
    <w:rsid w:val="00F54AB0"/>
    <w:rsid w:val="00F5566F"/>
    <w:rsid w:val="00F559EF"/>
    <w:rsid w:val="00F55A19"/>
    <w:rsid w:val="00F56125"/>
    <w:rsid w:val="00F564F9"/>
    <w:rsid w:val="00F569F1"/>
    <w:rsid w:val="00F5737F"/>
    <w:rsid w:val="00F57709"/>
    <w:rsid w:val="00F57CCB"/>
    <w:rsid w:val="00F6004A"/>
    <w:rsid w:val="00F600D4"/>
    <w:rsid w:val="00F602B8"/>
    <w:rsid w:val="00F60485"/>
    <w:rsid w:val="00F61CAC"/>
    <w:rsid w:val="00F6205E"/>
    <w:rsid w:val="00F6297F"/>
    <w:rsid w:val="00F62A1B"/>
    <w:rsid w:val="00F64373"/>
    <w:rsid w:val="00F64A44"/>
    <w:rsid w:val="00F64A85"/>
    <w:rsid w:val="00F667C0"/>
    <w:rsid w:val="00F66930"/>
    <w:rsid w:val="00F67134"/>
    <w:rsid w:val="00F678DC"/>
    <w:rsid w:val="00F67A0C"/>
    <w:rsid w:val="00F70043"/>
    <w:rsid w:val="00F72289"/>
    <w:rsid w:val="00F7234A"/>
    <w:rsid w:val="00F72B25"/>
    <w:rsid w:val="00F72C05"/>
    <w:rsid w:val="00F73BEA"/>
    <w:rsid w:val="00F73E95"/>
    <w:rsid w:val="00F740BD"/>
    <w:rsid w:val="00F74410"/>
    <w:rsid w:val="00F74C38"/>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67D"/>
    <w:rsid w:val="00F81982"/>
    <w:rsid w:val="00F82110"/>
    <w:rsid w:val="00F821A3"/>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8655A"/>
    <w:rsid w:val="00F90D7E"/>
    <w:rsid w:val="00F91043"/>
    <w:rsid w:val="00F9198C"/>
    <w:rsid w:val="00F91C11"/>
    <w:rsid w:val="00F9246F"/>
    <w:rsid w:val="00F9309A"/>
    <w:rsid w:val="00F9314A"/>
    <w:rsid w:val="00F93529"/>
    <w:rsid w:val="00F93CC0"/>
    <w:rsid w:val="00F940B2"/>
    <w:rsid w:val="00F9422A"/>
    <w:rsid w:val="00F94902"/>
    <w:rsid w:val="00F95AF6"/>
    <w:rsid w:val="00F95D08"/>
    <w:rsid w:val="00F9670D"/>
    <w:rsid w:val="00F9742E"/>
    <w:rsid w:val="00FA0181"/>
    <w:rsid w:val="00FA05A7"/>
    <w:rsid w:val="00FA075E"/>
    <w:rsid w:val="00FA0833"/>
    <w:rsid w:val="00FA0F50"/>
    <w:rsid w:val="00FA12E8"/>
    <w:rsid w:val="00FA1462"/>
    <w:rsid w:val="00FA1AED"/>
    <w:rsid w:val="00FA2806"/>
    <w:rsid w:val="00FA3C92"/>
    <w:rsid w:val="00FA469B"/>
    <w:rsid w:val="00FA4FE3"/>
    <w:rsid w:val="00FA5BD7"/>
    <w:rsid w:val="00FA631B"/>
    <w:rsid w:val="00FA6419"/>
    <w:rsid w:val="00FA6ABD"/>
    <w:rsid w:val="00FA6E4C"/>
    <w:rsid w:val="00FA727F"/>
    <w:rsid w:val="00FA75C4"/>
    <w:rsid w:val="00FA75EC"/>
    <w:rsid w:val="00FA7C64"/>
    <w:rsid w:val="00FA7E01"/>
    <w:rsid w:val="00FA7EEE"/>
    <w:rsid w:val="00FA7FEE"/>
    <w:rsid w:val="00FB0D86"/>
    <w:rsid w:val="00FB0EC0"/>
    <w:rsid w:val="00FB0FCD"/>
    <w:rsid w:val="00FB19E8"/>
    <w:rsid w:val="00FB1DA9"/>
    <w:rsid w:val="00FB246A"/>
    <w:rsid w:val="00FB24A5"/>
    <w:rsid w:val="00FB286D"/>
    <w:rsid w:val="00FB2A38"/>
    <w:rsid w:val="00FB2CA8"/>
    <w:rsid w:val="00FB397E"/>
    <w:rsid w:val="00FB3B0F"/>
    <w:rsid w:val="00FB41DE"/>
    <w:rsid w:val="00FB5CA9"/>
    <w:rsid w:val="00FB5EC8"/>
    <w:rsid w:val="00FB5FC2"/>
    <w:rsid w:val="00FB61D1"/>
    <w:rsid w:val="00FB67F1"/>
    <w:rsid w:val="00FB6C27"/>
    <w:rsid w:val="00FB6D17"/>
    <w:rsid w:val="00FB7A02"/>
    <w:rsid w:val="00FB7F50"/>
    <w:rsid w:val="00FC02F8"/>
    <w:rsid w:val="00FC0CC7"/>
    <w:rsid w:val="00FC213B"/>
    <w:rsid w:val="00FC46C8"/>
    <w:rsid w:val="00FC4B39"/>
    <w:rsid w:val="00FC4BFD"/>
    <w:rsid w:val="00FC524D"/>
    <w:rsid w:val="00FC5798"/>
    <w:rsid w:val="00FC58EF"/>
    <w:rsid w:val="00FC59C9"/>
    <w:rsid w:val="00FC5ADC"/>
    <w:rsid w:val="00FC64D4"/>
    <w:rsid w:val="00FC6844"/>
    <w:rsid w:val="00FC783B"/>
    <w:rsid w:val="00FC786D"/>
    <w:rsid w:val="00FC7C87"/>
    <w:rsid w:val="00FD08DE"/>
    <w:rsid w:val="00FD1049"/>
    <w:rsid w:val="00FD120A"/>
    <w:rsid w:val="00FD1785"/>
    <w:rsid w:val="00FD2588"/>
    <w:rsid w:val="00FD2D52"/>
    <w:rsid w:val="00FD2FC1"/>
    <w:rsid w:val="00FD30C0"/>
    <w:rsid w:val="00FD33DF"/>
    <w:rsid w:val="00FD3CBE"/>
    <w:rsid w:val="00FD3FF4"/>
    <w:rsid w:val="00FD4F8E"/>
    <w:rsid w:val="00FD5320"/>
    <w:rsid w:val="00FD5668"/>
    <w:rsid w:val="00FD69A5"/>
    <w:rsid w:val="00FD6ADE"/>
    <w:rsid w:val="00FD7A3E"/>
    <w:rsid w:val="00FD7AA3"/>
    <w:rsid w:val="00FD7C71"/>
    <w:rsid w:val="00FD7FF5"/>
    <w:rsid w:val="00FE0E01"/>
    <w:rsid w:val="00FE0F2D"/>
    <w:rsid w:val="00FE1031"/>
    <w:rsid w:val="00FE1A12"/>
    <w:rsid w:val="00FE2545"/>
    <w:rsid w:val="00FE2A21"/>
    <w:rsid w:val="00FE304A"/>
    <w:rsid w:val="00FE3697"/>
    <w:rsid w:val="00FE38A0"/>
    <w:rsid w:val="00FE39D7"/>
    <w:rsid w:val="00FE4072"/>
    <w:rsid w:val="00FE460F"/>
    <w:rsid w:val="00FE4A21"/>
    <w:rsid w:val="00FE4ECD"/>
    <w:rsid w:val="00FE6205"/>
    <w:rsid w:val="00FE67AD"/>
    <w:rsid w:val="00FE771C"/>
    <w:rsid w:val="00FE7EAA"/>
    <w:rsid w:val="00FF03E3"/>
    <w:rsid w:val="00FF0A41"/>
    <w:rsid w:val="00FF0B96"/>
    <w:rsid w:val="00FF2292"/>
    <w:rsid w:val="00FF2D46"/>
    <w:rsid w:val="00FF3345"/>
    <w:rsid w:val="00FF33B3"/>
    <w:rsid w:val="00FF4689"/>
    <w:rsid w:val="00FF4760"/>
    <w:rsid w:val="00FF4827"/>
    <w:rsid w:val="00FF5DAB"/>
    <w:rsid w:val="00FF5EAA"/>
    <w:rsid w:val="00FF5FDC"/>
    <w:rsid w:val="00FF67D7"/>
    <w:rsid w:val="00FF75C5"/>
    <w:rsid w:val="00FF7A97"/>
    <w:rsid w:val="00FF7B3C"/>
    <w:rsid w:val="01AC3E8B"/>
    <w:rsid w:val="01EAD136"/>
    <w:rsid w:val="020EDB2B"/>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C27548"/>
    <w:rsid w:val="0DD0119C"/>
    <w:rsid w:val="0EA7CB37"/>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BC98A6A"/>
    <w:rsid w:val="1DC30102"/>
    <w:rsid w:val="1E61C11F"/>
    <w:rsid w:val="1ED3EF64"/>
    <w:rsid w:val="1EF40C96"/>
    <w:rsid w:val="1EFC9573"/>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9CA36AD"/>
    <w:rsid w:val="3ABF7C83"/>
    <w:rsid w:val="3C255201"/>
    <w:rsid w:val="3CED66FB"/>
    <w:rsid w:val="3D0BCFEE"/>
    <w:rsid w:val="3D63F4AA"/>
    <w:rsid w:val="3DEAF278"/>
    <w:rsid w:val="3E122499"/>
    <w:rsid w:val="3E9A1C25"/>
    <w:rsid w:val="3EF08241"/>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EF81A05"/>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AC2D993"/>
    <w:rsid w:val="6CE20E1A"/>
    <w:rsid w:val="6E35B3F0"/>
    <w:rsid w:val="6E4EE731"/>
    <w:rsid w:val="6F7E6279"/>
    <w:rsid w:val="700F45F8"/>
    <w:rsid w:val="71334651"/>
    <w:rsid w:val="73226220"/>
    <w:rsid w:val="7355BFE1"/>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2FB4F211-BED1-4969-97B9-87480D6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2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link w:val="Prrafodelista"/>
    <w:uiPriority w:val="34"/>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57025F"/>
    <w:pPr>
      <w:numPr>
        <w:numId w:val="7"/>
      </w:numPr>
      <w:tabs>
        <w:tab w:val="left" w:pos="1560"/>
      </w:tabs>
      <w:adjustRightInd w:val="0"/>
      <w:spacing w:after="0"/>
      <w:ind w:left="0" w:firstLine="0"/>
      <w:textAlignment w:val="baseline"/>
    </w:pPr>
    <w:rPr>
      <w:rFonts w:ascii="Verdana" w:hAnsi="Verdana"/>
      <w:bCs/>
    </w:rPr>
  </w:style>
  <w:style w:type="character" w:customStyle="1" w:styleId="ARTICULOSCar">
    <w:name w:val="ARTICULOS Car"/>
    <w:basedOn w:val="Fuentedeprrafopredeter"/>
    <w:link w:val="ARTICULOS"/>
    <w:rsid w:val="0057025F"/>
    <w:rPr>
      <w:rFonts w:ascii="Verdana" w:hAnsi="Verdana"/>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09f6219-a73f-4366-a00d-6bacb1e9f8e0">
      <UserInfo>
        <DisplayName>Magaly Echeverria</DisplayName>
        <AccountId>255</AccountId>
        <AccountType/>
      </UserInfo>
      <UserInfo>
        <DisplayName>Olga Estella Ramirez Yaima</DisplayName>
        <AccountId>39</AccountId>
        <AccountType/>
      </UserInfo>
    </SharedWithUsers>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2.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customXml/itemProps3.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4.xml><?xml version="1.0" encoding="utf-8"?>
<ds:datastoreItem xmlns:ds="http://schemas.openxmlformats.org/officeDocument/2006/customXml" ds:itemID="{CF044A54-5E8F-4DE7-8DDD-DE0CFB4D2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7</TotalTime>
  <Pages>1</Pages>
  <Words>2328</Words>
  <Characters>12804</Characters>
  <Application>Microsoft Office Word</Application>
  <DocSecurity>0</DocSecurity>
  <Lines>106</Lines>
  <Paragraphs>30</Paragraphs>
  <ScaleCrop>false</ScaleCrop>
  <Company>CREG</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5</cp:revision>
  <cp:lastPrinted>2025-02-20T19:39:00Z</cp:lastPrinted>
  <dcterms:created xsi:type="dcterms:W3CDTF">2025-02-20T16:19:00Z</dcterms:created>
  <dcterms:modified xsi:type="dcterms:W3CDTF">2025-02-20T19:39:00Z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