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F6A45" w14:textId="23B94D1B" w:rsidR="00C46657" w:rsidRPr="00E470D8" w:rsidRDefault="00C46657" w:rsidP="00C46657">
      <w:pPr>
        <w:pStyle w:val="Ttulo5"/>
        <w:tabs>
          <w:tab w:val="right" w:pos="9356"/>
        </w:tabs>
        <w:spacing w:before="240" w:after="240"/>
        <w:rPr>
          <w:rFonts w:ascii="Verdana" w:hAnsi="Verdana"/>
          <w:sz w:val="24"/>
          <w:szCs w:val="24"/>
          <w:lang w:val="es-ES"/>
        </w:rPr>
      </w:pPr>
      <w:r w:rsidRPr="005B0576">
        <w:rPr>
          <w:rFonts w:ascii="Verdana" w:hAnsi="Verdana"/>
          <w:sz w:val="24"/>
          <w:szCs w:val="24"/>
          <w:lang w:val="es-ES"/>
        </w:rPr>
        <w:t xml:space="preserve">PROYECTO DE RESOLUCIÓN </w:t>
      </w:r>
      <w:r w:rsidRPr="00DC1361">
        <w:rPr>
          <w:rFonts w:ascii="Verdana" w:hAnsi="Verdana"/>
          <w:sz w:val="24"/>
          <w:szCs w:val="24"/>
          <w:lang w:val="es-ES"/>
        </w:rPr>
        <w:t xml:space="preserve">No. </w:t>
      </w:r>
      <w:r w:rsidR="00182CD9">
        <w:rPr>
          <w:rFonts w:ascii="Verdana" w:hAnsi="Verdana"/>
          <w:sz w:val="24"/>
          <w:szCs w:val="24"/>
          <w:lang w:val="es-ES"/>
        </w:rPr>
        <w:t>704</w:t>
      </w:r>
      <w:r w:rsidRPr="00E470D8">
        <w:rPr>
          <w:rFonts w:ascii="Verdana" w:hAnsi="Verdana"/>
          <w:sz w:val="24"/>
          <w:szCs w:val="24"/>
          <w:lang w:val="es-ES"/>
        </w:rPr>
        <w:t xml:space="preserve"> </w:t>
      </w:r>
      <w:r w:rsidR="00182CD9">
        <w:rPr>
          <w:rFonts w:ascii="Verdana" w:hAnsi="Verdana"/>
          <w:sz w:val="24"/>
          <w:szCs w:val="24"/>
          <w:lang w:val="es-ES"/>
        </w:rPr>
        <w:t>006</w:t>
      </w:r>
      <w:r w:rsidRPr="00E470D8">
        <w:rPr>
          <w:rFonts w:ascii="Verdana" w:hAnsi="Verdana"/>
          <w:sz w:val="24"/>
          <w:szCs w:val="24"/>
          <w:lang w:val="es-ES"/>
        </w:rPr>
        <w:t xml:space="preserve"> DE 202</w:t>
      </w:r>
      <w:r w:rsidR="00182CD9">
        <w:rPr>
          <w:rFonts w:ascii="Verdana" w:hAnsi="Verdana"/>
          <w:sz w:val="24"/>
          <w:szCs w:val="24"/>
          <w:lang w:val="es-ES"/>
        </w:rPr>
        <w:t>5</w:t>
      </w:r>
    </w:p>
    <w:p w14:paraId="2B8CD1C7" w14:textId="5953A12A" w:rsidR="00C46657" w:rsidRPr="005B0576" w:rsidRDefault="00C46657" w:rsidP="00C46657">
      <w:pPr>
        <w:pStyle w:val="Ttulo3"/>
        <w:tabs>
          <w:tab w:val="right" w:pos="9356"/>
        </w:tabs>
        <w:spacing w:before="480" w:after="480"/>
        <w:rPr>
          <w:rFonts w:ascii="Verdana" w:hAnsi="Verdana"/>
          <w:b w:val="0"/>
          <w:lang w:val="es-ES"/>
        </w:rPr>
      </w:pPr>
      <w:r w:rsidRPr="005B0576">
        <w:rPr>
          <w:rFonts w:ascii="Verdana" w:hAnsi="Verdana"/>
          <w:lang w:val="es-ES"/>
        </w:rPr>
        <w:t>(</w:t>
      </w:r>
      <w:r w:rsidR="00182CD9" w:rsidRPr="00182CD9">
        <w:rPr>
          <w:rFonts w:ascii="Verdana" w:hAnsi="Verdana"/>
          <w:lang w:val="es-ES"/>
        </w:rPr>
        <w:t>20</w:t>
      </w:r>
      <w:r w:rsidRPr="00182CD9">
        <w:rPr>
          <w:rFonts w:ascii="Verdana" w:hAnsi="Verdana"/>
          <w:lang w:val="es-ES"/>
        </w:rPr>
        <w:t xml:space="preserve"> </w:t>
      </w:r>
      <w:r w:rsidR="00182CD9" w:rsidRPr="00182CD9">
        <w:rPr>
          <w:rFonts w:ascii="Verdana" w:hAnsi="Verdana"/>
          <w:lang w:val="es-ES"/>
        </w:rPr>
        <w:t>FEB</w:t>
      </w:r>
      <w:r w:rsidRPr="00182CD9">
        <w:rPr>
          <w:rFonts w:ascii="Verdana" w:hAnsi="Verdana"/>
          <w:lang w:val="es-ES"/>
        </w:rPr>
        <w:t>.2025</w:t>
      </w:r>
      <w:r w:rsidRPr="005B0576">
        <w:rPr>
          <w:rFonts w:ascii="Verdana" w:hAnsi="Verdana"/>
          <w:lang w:val="es-ES"/>
        </w:rPr>
        <w:t>)</w:t>
      </w:r>
    </w:p>
    <w:p w14:paraId="54588ABF" w14:textId="552B8374" w:rsidR="00C46657" w:rsidRDefault="00C46657" w:rsidP="00C46657">
      <w:pPr>
        <w:spacing w:line="276" w:lineRule="auto"/>
        <w:rPr>
          <w:rFonts w:ascii="Verdana" w:hAnsi="Verdana"/>
          <w:lang w:val="es-CO"/>
        </w:rPr>
      </w:pPr>
      <w:r w:rsidRPr="00E470D8">
        <w:rPr>
          <w:rFonts w:ascii="Verdana" w:hAnsi="Verdana"/>
          <w:lang w:val="es-CO"/>
        </w:rPr>
        <w:t xml:space="preserve">La Comisión de Regulación de Energía y Gas, en su sesión No. </w:t>
      </w:r>
      <w:r w:rsidR="00E87D5C">
        <w:rPr>
          <w:rFonts w:ascii="Verdana" w:hAnsi="Verdana"/>
          <w:lang w:val="es-CO"/>
        </w:rPr>
        <w:t>1373</w:t>
      </w:r>
      <w:r w:rsidRPr="00E470D8">
        <w:rPr>
          <w:rFonts w:ascii="Verdana" w:hAnsi="Verdana"/>
          <w:lang w:val="es-CO"/>
        </w:rPr>
        <w:t xml:space="preserve"> del </w:t>
      </w:r>
      <w:r w:rsidR="00E87D5C">
        <w:rPr>
          <w:rFonts w:ascii="Verdana" w:hAnsi="Verdana"/>
          <w:lang w:val="es-CO"/>
        </w:rPr>
        <w:t xml:space="preserve">20 </w:t>
      </w:r>
      <w:r w:rsidRPr="00E470D8">
        <w:rPr>
          <w:rFonts w:ascii="Verdana" w:hAnsi="Verdana"/>
          <w:lang w:val="es-CO"/>
        </w:rPr>
        <w:t xml:space="preserve">de </w:t>
      </w:r>
      <w:r w:rsidRPr="000D0A2F">
        <w:rPr>
          <w:rFonts w:ascii="Verdana" w:hAnsi="Verdana"/>
          <w:lang w:val="es-CO"/>
        </w:rPr>
        <w:t>febrero</w:t>
      </w:r>
      <w:r w:rsidRPr="00E470D8">
        <w:rPr>
          <w:rFonts w:ascii="Verdana" w:hAnsi="Verdana"/>
          <w:lang w:val="es-CO"/>
        </w:rPr>
        <w:t xml:space="preserve"> de 202</w:t>
      </w:r>
      <w:r>
        <w:rPr>
          <w:rFonts w:ascii="Verdana" w:hAnsi="Verdana"/>
          <w:lang w:val="es-CO"/>
        </w:rPr>
        <w:t>5</w:t>
      </w:r>
      <w:r w:rsidRPr="00E470D8">
        <w:rPr>
          <w:rFonts w:ascii="Verdana" w:hAnsi="Verdana"/>
          <w:lang w:val="es-CO"/>
        </w:rPr>
        <w:t xml:space="preserve">, aprobó someter a consulta pública el presente proyecto de resolución por </w:t>
      </w:r>
      <w:r w:rsidR="00D33EA8">
        <w:rPr>
          <w:rFonts w:ascii="Verdana" w:hAnsi="Verdana"/>
          <w:lang w:val="es-CO"/>
        </w:rPr>
        <w:t>diez</w:t>
      </w:r>
      <w:r w:rsidRPr="00E470D8">
        <w:rPr>
          <w:rFonts w:ascii="Verdana" w:hAnsi="Verdana"/>
          <w:lang w:val="es-CO"/>
        </w:rPr>
        <w:t xml:space="preserve"> (</w:t>
      </w:r>
      <w:r w:rsidR="00D33EA8">
        <w:rPr>
          <w:rFonts w:ascii="Verdana" w:hAnsi="Verdana"/>
          <w:lang w:val="es-CO"/>
        </w:rPr>
        <w:t>10</w:t>
      </w:r>
      <w:r w:rsidRPr="00E470D8">
        <w:rPr>
          <w:rFonts w:ascii="Verdana" w:hAnsi="Verdana"/>
          <w:lang w:val="es-CO"/>
        </w:rPr>
        <w:t>) días hábiles, contados a partir del día siguiente a su publicación en el portal web de la CREG.</w:t>
      </w:r>
    </w:p>
    <w:p w14:paraId="63CF97DA" w14:textId="77777777" w:rsidR="00C46657" w:rsidRPr="00E470D8" w:rsidRDefault="00C46657" w:rsidP="00C46657">
      <w:pPr>
        <w:spacing w:line="276" w:lineRule="auto"/>
        <w:rPr>
          <w:rFonts w:ascii="Verdana" w:hAnsi="Verdana"/>
          <w:lang w:val="es-CO"/>
        </w:rPr>
      </w:pPr>
    </w:p>
    <w:p w14:paraId="2E017790" w14:textId="77777777" w:rsidR="00C46657" w:rsidRPr="00E470D8" w:rsidRDefault="00C46657" w:rsidP="00C46657">
      <w:pPr>
        <w:spacing w:line="276" w:lineRule="auto"/>
        <w:rPr>
          <w:rFonts w:ascii="Verdana" w:hAnsi="Verdana"/>
          <w:lang w:val="es-CO"/>
        </w:rPr>
      </w:pPr>
      <w:r w:rsidRPr="00E470D8">
        <w:rPr>
          <w:rFonts w:ascii="Verdana" w:hAnsi="Verdana"/>
          <w:lang w:val="es-CO"/>
        </w:rPr>
        <w:t>Se invita a los agentes regulados, usuarios, autoridades competentes y demás interesados, para que remitan sus observaciones o sugerencias sobre la propuesta, dentro del plazo establecido.</w:t>
      </w:r>
    </w:p>
    <w:p w14:paraId="0954A256" w14:textId="77777777" w:rsidR="00C46657" w:rsidRPr="00E470D8" w:rsidRDefault="00C46657" w:rsidP="00C46657">
      <w:pPr>
        <w:spacing w:line="276" w:lineRule="auto"/>
        <w:rPr>
          <w:rFonts w:ascii="Verdana" w:hAnsi="Verdana"/>
          <w:lang w:val="es-CO"/>
        </w:rPr>
      </w:pPr>
    </w:p>
    <w:p w14:paraId="0EE47A9D" w14:textId="414A25B8" w:rsidR="00C46657" w:rsidRPr="00E470D8" w:rsidRDefault="00C46657" w:rsidP="00C46657">
      <w:pPr>
        <w:spacing w:line="276" w:lineRule="auto"/>
        <w:rPr>
          <w:rFonts w:ascii="Verdana" w:hAnsi="Verdana"/>
          <w:lang w:val="es-CO"/>
        </w:rPr>
      </w:pPr>
      <w:r w:rsidRPr="00E470D8">
        <w:rPr>
          <w:rFonts w:ascii="Verdana" w:hAnsi="Verdana"/>
          <w:lang w:val="es-CO"/>
        </w:rPr>
        <w:t xml:space="preserve">Los interesados podrán dirigir sus comentarios al director ejecutivo de la Comisión de Regulación de Energía y Gas, al correo electrónico </w:t>
      </w:r>
      <w:hyperlink r:id="rId11" w:history="1">
        <w:r w:rsidRPr="00E470D8">
          <w:rPr>
            <w:rFonts w:ascii="Verdana" w:hAnsi="Verdana"/>
          </w:rPr>
          <w:t>creg@creg.gov.co</w:t>
        </w:r>
      </w:hyperlink>
      <w:r w:rsidRPr="00E470D8">
        <w:rPr>
          <w:rFonts w:ascii="Verdana" w:hAnsi="Verdana"/>
          <w:lang w:val="es-CO"/>
        </w:rPr>
        <w:t xml:space="preserve">, identificando el mensaje con el siguiente asunto: </w:t>
      </w:r>
      <w:r w:rsidRPr="00182CD9">
        <w:rPr>
          <w:rFonts w:ascii="Verdana" w:hAnsi="Verdana"/>
          <w:lang w:val="es-CO"/>
        </w:rPr>
        <w:t>“</w:t>
      </w:r>
      <w:r w:rsidRPr="00182CD9">
        <w:rPr>
          <w:rFonts w:ascii="Verdana" w:hAnsi="Verdana"/>
          <w:i/>
          <w:lang w:val="es-CO"/>
        </w:rPr>
        <w:t xml:space="preserve">Proyecto de resolución 704 </w:t>
      </w:r>
      <w:r w:rsidR="00182CD9">
        <w:rPr>
          <w:rFonts w:ascii="Verdana" w:hAnsi="Verdana"/>
          <w:i/>
          <w:lang w:val="es-CO"/>
        </w:rPr>
        <w:t>006</w:t>
      </w:r>
      <w:r w:rsidRPr="00182CD9">
        <w:rPr>
          <w:rFonts w:ascii="Verdana" w:hAnsi="Verdana"/>
          <w:i/>
          <w:lang w:val="es-CO"/>
        </w:rPr>
        <w:t xml:space="preserve"> de 202</w:t>
      </w:r>
      <w:r w:rsidR="001273A9" w:rsidRPr="00182CD9">
        <w:rPr>
          <w:rFonts w:ascii="Verdana" w:hAnsi="Verdana"/>
          <w:i/>
          <w:lang w:val="es-CO"/>
        </w:rPr>
        <w:t>5</w:t>
      </w:r>
      <w:r w:rsidRPr="00182CD9">
        <w:rPr>
          <w:rFonts w:ascii="Verdana" w:hAnsi="Verdana"/>
          <w:i/>
          <w:lang w:val="es-CO"/>
        </w:rPr>
        <w:t xml:space="preserve"> – </w:t>
      </w:r>
      <w:r w:rsidR="00D33EA8" w:rsidRPr="00182CD9">
        <w:rPr>
          <w:rFonts w:ascii="Verdana" w:hAnsi="Verdana"/>
          <w:i/>
          <w:lang w:val="es-CO"/>
        </w:rPr>
        <w:t xml:space="preserve">Modificación procedimiento publicación precios </w:t>
      </w:r>
      <w:r w:rsidRPr="00182CD9">
        <w:rPr>
          <w:rFonts w:ascii="Verdana" w:hAnsi="Verdana"/>
          <w:i/>
          <w:lang w:val="es-CO"/>
        </w:rPr>
        <w:t>CL”</w:t>
      </w:r>
      <w:r w:rsidR="00D33EA8" w:rsidRPr="00182CD9">
        <w:rPr>
          <w:rFonts w:ascii="Verdana" w:hAnsi="Verdana"/>
          <w:i/>
          <w:lang w:val="es-CO"/>
        </w:rPr>
        <w:t xml:space="preserve"> </w:t>
      </w:r>
      <w:r w:rsidRPr="00182CD9">
        <w:rPr>
          <w:rFonts w:ascii="Verdana" w:hAnsi="Verdana"/>
          <w:i/>
          <w:lang w:val="es-CO"/>
        </w:rPr>
        <w:t>en el formato adjunto “Comentarios_</w:t>
      </w:r>
      <w:r w:rsidR="00D33EA8" w:rsidRPr="00182CD9">
        <w:rPr>
          <w:rFonts w:ascii="Verdana" w:hAnsi="Verdana"/>
          <w:i/>
          <w:lang w:val="es-CO"/>
        </w:rPr>
        <w:t>modificacion</w:t>
      </w:r>
      <w:r w:rsidRPr="00182CD9">
        <w:rPr>
          <w:rFonts w:ascii="Verdana" w:hAnsi="Verdana"/>
          <w:i/>
          <w:lang w:val="es-CO"/>
        </w:rPr>
        <w:t>_</w:t>
      </w:r>
      <w:r w:rsidR="00D33EA8" w:rsidRPr="00182CD9">
        <w:rPr>
          <w:rFonts w:ascii="Verdana" w:hAnsi="Verdana"/>
          <w:i/>
          <w:lang w:val="es-CO"/>
        </w:rPr>
        <w:t>procedimiento_publicacion_</w:t>
      </w:r>
      <w:r w:rsidRPr="00182CD9">
        <w:rPr>
          <w:rFonts w:ascii="Verdana" w:hAnsi="Verdana"/>
          <w:i/>
          <w:lang w:val="es-CO"/>
        </w:rPr>
        <w:t>Precios_CL.xlsx</w:t>
      </w:r>
      <w:r w:rsidRPr="00E470D8">
        <w:rPr>
          <w:rFonts w:ascii="Verdana" w:hAnsi="Verdana"/>
          <w:lang w:val="es-CO"/>
        </w:rPr>
        <w:t>”.</w:t>
      </w:r>
    </w:p>
    <w:p w14:paraId="6E408371" w14:textId="77777777" w:rsidR="00C46657" w:rsidRPr="00E470D8" w:rsidRDefault="00C46657" w:rsidP="00C46657">
      <w:pPr>
        <w:spacing w:line="276" w:lineRule="auto"/>
        <w:rPr>
          <w:rFonts w:ascii="Verdana" w:hAnsi="Verdana"/>
          <w:lang w:val="es-CO"/>
        </w:rPr>
      </w:pPr>
    </w:p>
    <w:p w14:paraId="3BFF7EE9" w14:textId="77777777" w:rsidR="00C46657" w:rsidRPr="00E470D8" w:rsidRDefault="00C46657" w:rsidP="00C46657">
      <w:pPr>
        <w:spacing w:line="276" w:lineRule="auto"/>
        <w:rPr>
          <w:rFonts w:ascii="Verdana" w:hAnsi="Verdana"/>
          <w:lang w:val="es-CO"/>
        </w:rPr>
      </w:pPr>
      <w:r w:rsidRPr="00E470D8">
        <w:rPr>
          <w:rFonts w:ascii="Verdana" w:hAnsi="Verdana"/>
          <w:lang w:val="es-CO"/>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53B48A08" w14:textId="77777777" w:rsidR="00C46657" w:rsidRPr="00180DAF" w:rsidRDefault="00C46657" w:rsidP="00C46657">
      <w:pPr>
        <w:tabs>
          <w:tab w:val="right" w:pos="9356"/>
        </w:tabs>
        <w:spacing w:before="240" w:after="240"/>
        <w:rPr>
          <w:lang w:val="es-CO"/>
        </w:rPr>
      </w:pPr>
    </w:p>
    <w:p w14:paraId="5020497E" w14:textId="77777777" w:rsidR="00C46657" w:rsidRDefault="00C46657" w:rsidP="00C46657">
      <w:pPr>
        <w:jc w:val="center"/>
        <w:rPr>
          <w:rFonts w:ascii="Verdana" w:hAnsi="Verdana" w:cs="Arial"/>
          <w:b/>
          <w:color w:val="000000" w:themeColor="text1"/>
          <w:lang w:val="es-CO" w:eastAsia="es-CO"/>
        </w:rPr>
      </w:pPr>
      <w:r w:rsidRPr="00E470D8">
        <w:rPr>
          <w:rFonts w:ascii="Verdana" w:hAnsi="Verdana" w:cs="Arial"/>
          <w:b/>
          <w:color w:val="000000" w:themeColor="text1"/>
          <w:lang w:val="es-CO" w:eastAsia="es-CO"/>
        </w:rPr>
        <w:t>PROYECTO DE RESOLUCIÓN</w:t>
      </w:r>
    </w:p>
    <w:p w14:paraId="0C6BE41A" w14:textId="77777777" w:rsidR="00C46657" w:rsidRDefault="00C46657" w:rsidP="00C46657">
      <w:pPr>
        <w:jc w:val="center"/>
        <w:rPr>
          <w:rFonts w:ascii="Verdana" w:hAnsi="Verdana" w:cs="Arial"/>
          <w:b/>
          <w:color w:val="000000" w:themeColor="text1"/>
          <w:lang w:val="es-CO" w:eastAsia="es-CO"/>
        </w:rPr>
      </w:pPr>
    </w:p>
    <w:p w14:paraId="267CC799" w14:textId="7A692A64" w:rsidR="00D76752" w:rsidRPr="00F541A2" w:rsidRDefault="007C5F20" w:rsidP="00C61532">
      <w:pPr>
        <w:spacing w:before="0" w:after="360" w:line="276" w:lineRule="auto"/>
        <w:jc w:val="center"/>
        <w:rPr>
          <w:rFonts w:ascii="Verdana" w:hAnsi="Verdana"/>
          <w:lang w:val="es-CO"/>
        </w:rPr>
      </w:pPr>
      <w:r w:rsidRPr="00F541A2">
        <w:rPr>
          <w:rFonts w:ascii="Verdana" w:hAnsi="Verdana"/>
        </w:rPr>
        <w:t xml:space="preserve">Por medio de la cual </w:t>
      </w:r>
      <w:r w:rsidR="008B0F7D" w:rsidRPr="008B0F7D">
        <w:rPr>
          <w:rFonts w:ascii="Verdana" w:hAnsi="Verdana"/>
        </w:rPr>
        <w:t xml:space="preserve">se modifica </w:t>
      </w:r>
      <w:r w:rsidR="008B0F7D">
        <w:rPr>
          <w:rFonts w:ascii="Verdana" w:hAnsi="Verdana"/>
        </w:rPr>
        <w:t>el</w:t>
      </w:r>
      <w:r w:rsidR="00E91D79">
        <w:rPr>
          <w:rFonts w:ascii="Verdana" w:hAnsi="Verdana"/>
        </w:rPr>
        <w:t xml:space="preserve"> numeral 4 del</w:t>
      </w:r>
      <w:r w:rsidR="008B0F7D">
        <w:rPr>
          <w:rFonts w:ascii="Verdana" w:hAnsi="Verdana"/>
        </w:rPr>
        <w:t xml:space="preserve"> anexo de la </w:t>
      </w:r>
      <w:r w:rsidR="008B0F7D" w:rsidRPr="008B0F7D">
        <w:rPr>
          <w:rFonts w:ascii="Verdana" w:hAnsi="Verdana"/>
        </w:rPr>
        <w:t xml:space="preserve">Resolución CREG </w:t>
      </w:r>
      <w:r w:rsidR="003B0476">
        <w:rPr>
          <w:rFonts w:ascii="Verdana" w:hAnsi="Verdana"/>
        </w:rPr>
        <w:t xml:space="preserve">104 001 </w:t>
      </w:r>
      <w:r w:rsidR="008B0F7D" w:rsidRPr="008B0F7D">
        <w:rPr>
          <w:rFonts w:ascii="Verdana" w:hAnsi="Verdana"/>
        </w:rPr>
        <w:t>de 20</w:t>
      </w:r>
      <w:r w:rsidR="003B0476">
        <w:rPr>
          <w:rFonts w:ascii="Verdana" w:hAnsi="Verdana"/>
        </w:rPr>
        <w:t>22</w:t>
      </w:r>
      <w:r w:rsidR="008B0F7D" w:rsidRPr="008B0F7D">
        <w:rPr>
          <w:rFonts w:ascii="Verdana" w:hAnsi="Verdana"/>
        </w:rPr>
        <w:t>.</w:t>
      </w:r>
    </w:p>
    <w:p w14:paraId="1C01FCB2" w14:textId="77777777" w:rsidR="00045D3D" w:rsidRPr="00F541A2" w:rsidRDefault="00045D3D" w:rsidP="00C61532">
      <w:pPr>
        <w:spacing w:before="360" w:after="360" w:line="276" w:lineRule="auto"/>
        <w:ind w:right="51"/>
        <w:jc w:val="center"/>
        <w:rPr>
          <w:rFonts w:ascii="Verdana" w:hAnsi="Verdana"/>
          <w:b/>
        </w:rPr>
      </w:pPr>
      <w:r w:rsidRPr="00F541A2">
        <w:rPr>
          <w:rFonts w:ascii="Verdana" w:hAnsi="Verdana"/>
          <w:b/>
        </w:rPr>
        <w:t xml:space="preserve">LA COMISIÓN DE REGULACIÓN </w:t>
      </w:r>
      <w:r w:rsidR="00A06C25" w:rsidRPr="00F541A2">
        <w:rPr>
          <w:rFonts w:ascii="Verdana" w:hAnsi="Verdana"/>
          <w:b/>
        </w:rPr>
        <w:t>DE ENERGÍA</w:t>
      </w:r>
      <w:r w:rsidRPr="00F541A2">
        <w:rPr>
          <w:rFonts w:ascii="Verdana" w:hAnsi="Verdana"/>
          <w:b/>
        </w:rPr>
        <w:t xml:space="preserve"> Y GAS</w:t>
      </w:r>
    </w:p>
    <w:p w14:paraId="73138E0E" w14:textId="335229BE" w:rsidR="00CB079C" w:rsidRPr="00F541A2" w:rsidRDefault="007C5F20" w:rsidP="00C61532">
      <w:pPr>
        <w:spacing w:line="276" w:lineRule="auto"/>
        <w:jc w:val="center"/>
        <w:rPr>
          <w:rFonts w:ascii="Verdana" w:hAnsi="Verdana"/>
          <w:bCs/>
        </w:rPr>
      </w:pPr>
      <w:r w:rsidRPr="00F541A2">
        <w:rPr>
          <w:rFonts w:ascii="Verdana" w:hAnsi="Verdana"/>
          <w:bCs/>
        </w:rPr>
        <w:t>En ejercicio de sus atribuciones legales, en especial las conferidas por los Decretos 4130 de 2011, 1260 de 2013 y 1073 de 2015, y la Resolución 40193 de 2021, y,</w:t>
      </w:r>
    </w:p>
    <w:p w14:paraId="3C45534A" w14:textId="77777777" w:rsidR="00C22CA9" w:rsidRDefault="00C22CA9" w:rsidP="00C61532">
      <w:pPr>
        <w:spacing w:line="276" w:lineRule="auto"/>
        <w:jc w:val="center"/>
        <w:rPr>
          <w:rFonts w:ascii="Verdana" w:hAnsi="Verdana"/>
          <w:bCs/>
        </w:rPr>
      </w:pPr>
    </w:p>
    <w:p w14:paraId="6CF973D8" w14:textId="77777777" w:rsidR="00C22CA9" w:rsidRPr="00F541A2" w:rsidRDefault="00C22CA9" w:rsidP="00C61532">
      <w:pPr>
        <w:spacing w:line="276" w:lineRule="auto"/>
        <w:jc w:val="center"/>
        <w:rPr>
          <w:rFonts w:ascii="Verdana" w:hAnsi="Verdana"/>
          <w:bCs/>
        </w:rPr>
      </w:pPr>
    </w:p>
    <w:p w14:paraId="49DECB61" w14:textId="77777777" w:rsidR="00045D3D" w:rsidRPr="00782251" w:rsidRDefault="00955F64" w:rsidP="00C61532">
      <w:pPr>
        <w:suppressAutoHyphens/>
        <w:spacing w:line="276" w:lineRule="auto"/>
        <w:jc w:val="center"/>
        <w:rPr>
          <w:rFonts w:ascii="Verdana" w:hAnsi="Verdana"/>
          <w:b/>
        </w:rPr>
      </w:pPr>
      <w:r w:rsidRPr="00782251">
        <w:rPr>
          <w:rFonts w:ascii="Verdana" w:hAnsi="Verdana"/>
          <w:b/>
        </w:rPr>
        <w:lastRenderedPageBreak/>
        <w:t>C</w:t>
      </w:r>
      <w:r w:rsidR="00045D3D" w:rsidRPr="00782251">
        <w:rPr>
          <w:rFonts w:ascii="Verdana" w:hAnsi="Verdana"/>
          <w:b/>
        </w:rPr>
        <w:t>ONSIDERAND</w:t>
      </w:r>
      <w:r w:rsidR="00A06C25" w:rsidRPr="00782251">
        <w:rPr>
          <w:rFonts w:ascii="Verdana" w:hAnsi="Verdana"/>
          <w:b/>
        </w:rPr>
        <w:t>O</w:t>
      </w:r>
      <w:r w:rsidRPr="00782251">
        <w:rPr>
          <w:rFonts w:ascii="Verdana" w:hAnsi="Verdana"/>
          <w:b/>
        </w:rPr>
        <w:t xml:space="preserve"> </w:t>
      </w:r>
      <w:r w:rsidR="00A06C25" w:rsidRPr="00782251">
        <w:rPr>
          <w:rFonts w:ascii="Verdana" w:hAnsi="Verdana"/>
          <w:b/>
        </w:rPr>
        <w:t>Q</w:t>
      </w:r>
      <w:r w:rsidR="00045D3D" w:rsidRPr="00782251">
        <w:rPr>
          <w:rFonts w:ascii="Verdana" w:hAnsi="Verdana"/>
          <w:b/>
        </w:rPr>
        <w:t>UE:</w:t>
      </w:r>
    </w:p>
    <w:p w14:paraId="3AFC6464" w14:textId="77777777" w:rsidR="00C22CA9" w:rsidRPr="00782251" w:rsidRDefault="00C22CA9" w:rsidP="00C61532">
      <w:pPr>
        <w:suppressAutoHyphens/>
        <w:spacing w:line="276" w:lineRule="auto"/>
        <w:jc w:val="center"/>
        <w:rPr>
          <w:rFonts w:ascii="Verdana" w:hAnsi="Verdana"/>
          <w:b/>
        </w:rPr>
      </w:pPr>
    </w:p>
    <w:p w14:paraId="35939315" w14:textId="473AF01F" w:rsidR="00180398" w:rsidRPr="00EA722D" w:rsidRDefault="00180398" w:rsidP="00C61532">
      <w:pPr>
        <w:spacing w:line="276" w:lineRule="auto"/>
        <w:rPr>
          <w:rFonts w:ascii="Verdana" w:hAnsi="Verdana"/>
          <w:lang w:val="es-CO"/>
        </w:rPr>
      </w:pPr>
      <w:r w:rsidRPr="00EA722D">
        <w:rPr>
          <w:rFonts w:ascii="Verdana" w:hAnsi="Verdana"/>
          <w:lang w:val="es-CO"/>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0B461867" w14:textId="77777777" w:rsidR="00C22CA9" w:rsidRPr="00EA722D" w:rsidRDefault="00C22CA9" w:rsidP="00C61532">
      <w:pPr>
        <w:spacing w:line="276" w:lineRule="auto"/>
        <w:rPr>
          <w:rFonts w:ascii="Verdana" w:hAnsi="Verdana"/>
          <w:lang w:val="es-CO"/>
        </w:rPr>
      </w:pPr>
    </w:p>
    <w:p w14:paraId="797E542F" w14:textId="77777777" w:rsidR="00180398" w:rsidRPr="00EA722D" w:rsidRDefault="00180398" w:rsidP="00C61532">
      <w:pPr>
        <w:spacing w:line="276" w:lineRule="auto"/>
        <w:rPr>
          <w:rFonts w:ascii="Verdana" w:hAnsi="Verdana"/>
          <w:lang w:val="es-CO"/>
        </w:rPr>
      </w:pPr>
      <w:r w:rsidRPr="00EA722D">
        <w:rPr>
          <w:rFonts w:ascii="Verdana" w:hAnsi="Verdana"/>
          <w:lang w:val="es-CO"/>
        </w:rPr>
        <w:t>De acuerdo con lo dispuesto en el artículo 365 de la misma Carta Política de Colombia, establece que los servicios públicos son inherentes a la finalidad social del Estado y es deber de este, asegurar su prestación eficiente a todos los habitantes del territorio nacional. Así mismo se constituyó la facultad del Estado de mantener la regulación, el control y la vigilancia de los servicios públicos.</w:t>
      </w:r>
    </w:p>
    <w:p w14:paraId="7E707AD1" w14:textId="77777777" w:rsidR="00180398" w:rsidRPr="00EA722D" w:rsidRDefault="00180398" w:rsidP="00C61532">
      <w:pPr>
        <w:spacing w:line="276" w:lineRule="auto"/>
        <w:rPr>
          <w:rFonts w:ascii="Verdana" w:hAnsi="Verdana"/>
          <w:lang w:val="es-CO"/>
        </w:rPr>
      </w:pPr>
    </w:p>
    <w:p w14:paraId="3C24ABEC" w14:textId="77777777" w:rsidR="00180398" w:rsidRPr="00EA722D" w:rsidRDefault="00180398" w:rsidP="00C61532">
      <w:pPr>
        <w:spacing w:line="276" w:lineRule="auto"/>
        <w:rPr>
          <w:rFonts w:ascii="Verdana" w:hAnsi="Verdana"/>
          <w:lang w:val="es-CO"/>
        </w:rPr>
      </w:pPr>
      <w:r w:rsidRPr="00EA722D">
        <w:rPr>
          <w:rFonts w:ascii="Verdana" w:hAnsi="Verdana"/>
          <w:lang w:val="es-CO"/>
        </w:rPr>
        <w:t>En virtud del artículo 212 del Decreto 1056 de 1953, Código de Petróleos, el transporte y la distribución del petróleo y sus derivados constituyen un servicio público, y las personas o entidades dedicadas a esa actividad deben ejercerlas de conformidad con los reglamentos que dicte el Gobierno en guarda de los intereses generales.</w:t>
      </w:r>
    </w:p>
    <w:p w14:paraId="65E44A48" w14:textId="77777777" w:rsidR="00180398" w:rsidRPr="00EA722D" w:rsidRDefault="00180398" w:rsidP="00C61532">
      <w:pPr>
        <w:spacing w:line="276" w:lineRule="auto"/>
        <w:rPr>
          <w:rFonts w:ascii="Verdana" w:hAnsi="Verdana"/>
          <w:lang w:val="es-CO"/>
        </w:rPr>
      </w:pPr>
    </w:p>
    <w:p w14:paraId="598B6338" w14:textId="77777777" w:rsidR="00180398" w:rsidRPr="00EA722D" w:rsidRDefault="00180398" w:rsidP="00C61532">
      <w:pPr>
        <w:spacing w:line="276" w:lineRule="auto"/>
        <w:rPr>
          <w:rFonts w:ascii="Verdana" w:hAnsi="Verdana"/>
          <w:lang w:val="es-CO"/>
        </w:rPr>
      </w:pPr>
      <w:r w:rsidRPr="00EA722D">
        <w:rPr>
          <w:rFonts w:ascii="Verdana" w:hAnsi="Verdana"/>
          <w:lang w:val="es-CO"/>
        </w:rPr>
        <w:t>Según lo previsto en los artículos 1° y 4° de la Ley 26 de 1989, debido a la naturaleza del servicio público de la distribución de combustibles líquidos derivados de petróleo, fijado por la Ley 39 de 1987, el Gobierno podrá determinar horarios, precios, márgenes de comercialización, calidad, calibraciones, condiciones de seguridad, relaciones contractuales y demás condiciones que influyen en la mejor prestación de este servicio público.</w:t>
      </w:r>
    </w:p>
    <w:p w14:paraId="24C3E2E4" w14:textId="77777777" w:rsidR="00C22CA9" w:rsidRPr="00EA722D" w:rsidRDefault="00C22CA9" w:rsidP="00C61532">
      <w:pPr>
        <w:spacing w:line="276" w:lineRule="auto"/>
        <w:rPr>
          <w:rFonts w:ascii="Verdana" w:hAnsi="Verdana"/>
          <w:lang w:val="es-CO"/>
        </w:rPr>
      </w:pPr>
    </w:p>
    <w:p w14:paraId="536A4032" w14:textId="77777777" w:rsidR="00180398" w:rsidRPr="00EA722D" w:rsidRDefault="00180398" w:rsidP="00C61532">
      <w:pPr>
        <w:spacing w:line="276" w:lineRule="auto"/>
        <w:rPr>
          <w:rFonts w:ascii="Verdana" w:hAnsi="Verdana"/>
          <w:lang w:val="es-CO"/>
        </w:rPr>
      </w:pPr>
      <w:r w:rsidRPr="00EA722D">
        <w:rPr>
          <w:rFonts w:ascii="Verdana" w:hAnsi="Verdana"/>
          <w:lang w:val="es-CO"/>
        </w:rPr>
        <w:t>Mediante el Decreto Ley 4130 de 2011, se reasignaron funciones del Ministerio de Minas y Energía a distintas entidades que conforman el sector de minas y energía entre las cuales le fueron asignadas a la Comisión de Regulación de Energía y Gas, CREG, la función de regular las actividades de refinación, importación, almacenamiento, distribución y transporte de combustibles líquidos derivados del petróleo.</w:t>
      </w:r>
    </w:p>
    <w:p w14:paraId="2E2DAABD" w14:textId="77777777" w:rsidR="00180398" w:rsidRPr="00EA722D" w:rsidRDefault="00180398" w:rsidP="00C61532">
      <w:pPr>
        <w:spacing w:line="276" w:lineRule="auto"/>
        <w:rPr>
          <w:rFonts w:ascii="Verdana" w:hAnsi="Verdana"/>
          <w:lang w:val="es-CO"/>
        </w:rPr>
      </w:pPr>
    </w:p>
    <w:p w14:paraId="28FBCFB5" w14:textId="77777777" w:rsidR="00180398" w:rsidRPr="00EA722D" w:rsidRDefault="00180398" w:rsidP="00C61532">
      <w:pPr>
        <w:spacing w:line="276" w:lineRule="auto"/>
        <w:rPr>
          <w:rFonts w:ascii="Verdana" w:hAnsi="Verdana"/>
          <w:lang w:val="es-CO"/>
        </w:rPr>
      </w:pPr>
      <w:r w:rsidRPr="00EA722D">
        <w:rPr>
          <w:rFonts w:ascii="Verdana" w:hAnsi="Verdana"/>
          <w:lang w:val="es-CO"/>
        </w:rPr>
        <w:t xml:space="preserve">Considerando las funciones reasignadas a la CREG, mediante el Decreto 1260 de 2013, artículo 4, literal b), se establecieron las funciones de expedir regulación económica referente a las actividades de refinación, importación, </w:t>
      </w:r>
      <w:r w:rsidRPr="00EA722D">
        <w:rPr>
          <w:rFonts w:ascii="Verdana" w:hAnsi="Verdana"/>
          <w:lang w:val="es-CO"/>
        </w:rPr>
        <w:lastRenderedPageBreak/>
        <w:t xml:space="preserve">almacenamiento, distribución y transporte de combustibles líquidos derivados de hidrocarburos, tales como gasolina motor corriente, ACPM, Jet A1, diésel marino, </w:t>
      </w:r>
      <w:proofErr w:type="spellStart"/>
      <w:r w:rsidRPr="00EA722D">
        <w:rPr>
          <w:rFonts w:ascii="Verdana" w:hAnsi="Verdana"/>
          <w:lang w:val="es-CO"/>
        </w:rPr>
        <w:t>avigas</w:t>
      </w:r>
      <w:proofErr w:type="spellEnd"/>
      <w:r w:rsidRPr="00EA722D">
        <w:rPr>
          <w:rFonts w:ascii="Verdana" w:hAnsi="Verdana"/>
          <w:lang w:val="es-CO"/>
        </w:rPr>
        <w:t>, gasolina extra, kerosene, entre otros, salvo fijar los precios para la gasolina motor corriente y ACPM.</w:t>
      </w:r>
    </w:p>
    <w:p w14:paraId="545B8194" w14:textId="77777777" w:rsidR="00590206" w:rsidRDefault="00590206" w:rsidP="00C61532">
      <w:pPr>
        <w:spacing w:line="276" w:lineRule="auto"/>
        <w:rPr>
          <w:rFonts w:ascii="Verdana" w:hAnsi="Verdana"/>
          <w:lang w:val="es-CO"/>
        </w:rPr>
      </w:pPr>
    </w:p>
    <w:p w14:paraId="691446EA" w14:textId="7FD90049" w:rsidR="00101314" w:rsidRDefault="0072106C" w:rsidP="00C61532">
      <w:pPr>
        <w:spacing w:line="276" w:lineRule="auto"/>
        <w:rPr>
          <w:rFonts w:ascii="Verdana" w:hAnsi="Verdana"/>
          <w:lang w:val="es-CO"/>
        </w:rPr>
      </w:pPr>
      <w:r>
        <w:rPr>
          <w:rFonts w:ascii="Verdana" w:hAnsi="Verdana"/>
          <w:lang w:val="es-CO"/>
        </w:rPr>
        <w:t>M</w:t>
      </w:r>
      <w:r w:rsidRPr="0072106C">
        <w:rPr>
          <w:rFonts w:ascii="Verdana" w:hAnsi="Verdana"/>
          <w:lang w:val="es-CO"/>
        </w:rPr>
        <w:t>ediante la Resolución 40112 de 2021 del Ministerio de Minas y Energía, se definió la estructura de precios de la Gasolina Motor Corriente, Gasolina Motor Corriente Oxigenada, ACPM-Diésel y ACPM-Diésel mezclado con biocombustible para uso en motores DIÉSEL.</w:t>
      </w:r>
    </w:p>
    <w:p w14:paraId="1EAC2CE8" w14:textId="77777777" w:rsidR="0072106C" w:rsidRPr="00F97401" w:rsidRDefault="0072106C" w:rsidP="00C61532">
      <w:pPr>
        <w:spacing w:line="276" w:lineRule="auto"/>
        <w:rPr>
          <w:rFonts w:ascii="Verdana" w:hAnsi="Verdana"/>
          <w:lang w:val="es-CO"/>
        </w:rPr>
      </w:pPr>
    </w:p>
    <w:p w14:paraId="2C64D344" w14:textId="77777777" w:rsidR="00180398" w:rsidRPr="00AA5629" w:rsidRDefault="00180398" w:rsidP="00C61532">
      <w:pPr>
        <w:spacing w:line="276" w:lineRule="auto"/>
        <w:rPr>
          <w:rFonts w:ascii="Verdana" w:hAnsi="Verdana"/>
          <w:lang w:val="es-CO"/>
        </w:rPr>
      </w:pPr>
      <w:r w:rsidRPr="006D441E">
        <w:rPr>
          <w:rFonts w:ascii="Verdana" w:hAnsi="Verdana"/>
          <w:lang w:val="es-CO"/>
        </w:rPr>
        <w:t xml:space="preserve">El Ministerio de Minas y Energía mediante las Resoluciones 91773 de 2012, </w:t>
      </w:r>
      <w:r w:rsidRPr="00405825">
        <w:rPr>
          <w:rFonts w:ascii="Verdana" w:hAnsi="Verdana"/>
          <w:lang w:val="es-CO"/>
        </w:rPr>
        <w:t>90308 de 2013</w:t>
      </w:r>
      <w:r w:rsidRPr="00603EDB">
        <w:rPr>
          <w:rFonts w:ascii="Verdana" w:hAnsi="Verdana"/>
          <w:lang w:val="es-CO"/>
        </w:rPr>
        <w:t xml:space="preserve">, 90309 de 2013, </w:t>
      </w:r>
      <w:r w:rsidRPr="000140C5">
        <w:rPr>
          <w:rFonts w:ascii="Verdana" w:hAnsi="Verdana"/>
          <w:lang w:val="es-CO"/>
        </w:rPr>
        <w:t xml:space="preserve">90310 de 2013, </w:t>
      </w:r>
      <w:r w:rsidRPr="001542FF">
        <w:rPr>
          <w:rFonts w:ascii="Verdana" w:hAnsi="Verdana"/>
          <w:lang w:val="es-CO"/>
        </w:rPr>
        <w:t xml:space="preserve">90311 de 2013, </w:t>
      </w:r>
      <w:r w:rsidRPr="002C4239">
        <w:rPr>
          <w:rFonts w:ascii="Verdana" w:hAnsi="Verdana"/>
          <w:lang w:val="es-CO"/>
        </w:rPr>
        <w:t>90423 de 2013</w:t>
      </w:r>
      <w:r w:rsidRPr="00C042D7">
        <w:rPr>
          <w:rFonts w:ascii="Verdana" w:hAnsi="Verdana"/>
          <w:lang w:val="es-CO"/>
        </w:rPr>
        <w:t xml:space="preserve">, 90425 de 2013, </w:t>
      </w:r>
      <w:r w:rsidRPr="009D4247">
        <w:rPr>
          <w:rFonts w:ascii="Verdana" w:hAnsi="Verdana"/>
          <w:lang w:val="es-CO"/>
        </w:rPr>
        <w:t xml:space="preserve">41131 de 2015, </w:t>
      </w:r>
      <w:r w:rsidRPr="00BB37BE">
        <w:rPr>
          <w:rFonts w:ascii="Verdana" w:hAnsi="Verdana"/>
          <w:lang w:val="es-CO"/>
        </w:rPr>
        <w:t>40435 de 2016</w:t>
      </w:r>
      <w:r w:rsidRPr="006D441E">
        <w:rPr>
          <w:rStyle w:val="Refdenotaalpie"/>
          <w:rFonts w:ascii="Verdana" w:hAnsi="Verdana"/>
          <w:lang w:val="es-CO"/>
        </w:rPr>
        <w:footnoteReference w:id="2"/>
      </w:r>
      <w:r w:rsidRPr="006D441E">
        <w:rPr>
          <w:rFonts w:ascii="Verdana" w:hAnsi="Verdana"/>
          <w:lang w:val="es-CO"/>
        </w:rPr>
        <w:t xml:space="preserve">, 40827 </w:t>
      </w:r>
      <w:r>
        <w:rPr>
          <w:rFonts w:ascii="Verdana" w:hAnsi="Verdana"/>
          <w:lang w:val="es-CO"/>
        </w:rPr>
        <w:t>de</w:t>
      </w:r>
      <w:r w:rsidRPr="006D441E">
        <w:rPr>
          <w:rFonts w:ascii="Verdana" w:hAnsi="Verdana"/>
          <w:lang w:val="es-CO"/>
        </w:rPr>
        <w:t xml:space="preserve"> 2018, fijó las estructuras de precios de los departamentos de </w:t>
      </w:r>
      <w:r w:rsidRPr="00AA5629">
        <w:rPr>
          <w:rFonts w:ascii="Verdana" w:hAnsi="Verdana"/>
          <w:lang w:val="es-CO"/>
        </w:rPr>
        <w:t>Cesar, Chocó, Putumayo, Vaupés, Arauca, Boyacá, Guainía, Vichada</w:t>
      </w:r>
      <w:r>
        <w:rPr>
          <w:rFonts w:ascii="Verdana" w:hAnsi="Verdana"/>
          <w:lang w:val="es-CO"/>
        </w:rPr>
        <w:t xml:space="preserve">, </w:t>
      </w:r>
      <w:r w:rsidRPr="00AA5629">
        <w:rPr>
          <w:rFonts w:ascii="Verdana" w:hAnsi="Verdana"/>
          <w:lang w:val="es-CO"/>
        </w:rPr>
        <w:t>Amazonas, La Guajira, Norte de Santander y Nariño, respectivamente.</w:t>
      </w:r>
    </w:p>
    <w:p w14:paraId="33099E83" w14:textId="77777777" w:rsidR="00180398" w:rsidRPr="00EA722D" w:rsidRDefault="00180398" w:rsidP="00C61532">
      <w:pPr>
        <w:spacing w:line="276" w:lineRule="auto"/>
        <w:rPr>
          <w:rFonts w:ascii="Verdana" w:hAnsi="Verdana"/>
          <w:lang w:val="es-CO"/>
        </w:rPr>
      </w:pPr>
    </w:p>
    <w:p w14:paraId="1312D405" w14:textId="77777777" w:rsidR="00180398" w:rsidRPr="00EA722D" w:rsidRDefault="00180398" w:rsidP="00C61532">
      <w:pPr>
        <w:spacing w:line="276" w:lineRule="auto"/>
        <w:rPr>
          <w:rFonts w:ascii="Verdana" w:hAnsi="Verdana"/>
          <w:lang w:val="es-CO"/>
        </w:rPr>
      </w:pPr>
      <w:r w:rsidRPr="007C41ED">
        <w:rPr>
          <w:rFonts w:ascii="Verdana" w:hAnsi="Verdana"/>
          <w:lang w:val="es-CO"/>
        </w:rPr>
        <w:t xml:space="preserve">La Resolución 41281 de 2016 del Ministerio de Minas y Energía, derogó, entre otras, las Resoluciones </w:t>
      </w:r>
      <w:r w:rsidRPr="00FC4A5C">
        <w:rPr>
          <w:rFonts w:ascii="Verdana" w:hAnsi="Verdana"/>
        </w:rPr>
        <w:t>82438 de 1998, 91865 de 2012, 90228 de 2013, 82439 de 1998,</w:t>
      </w:r>
      <w:r>
        <w:rPr>
          <w:rFonts w:ascii="Verdana" w:hAnsi="Verdana"/>
        </w:rPr>
        <w:t xml:space="preserve"> 180247 de 2008 y 181279 de 2012</w:t>
      </w:r>
      <w:r w:rsidRPr="007C41ED">
        <w:rPr>
          <w:rFonts w:ascii="Verdana" w:hAnsi="Verdana"/>
          <w:lang w:val="es-CO"/>
        </w:rPr>
        <w:t xml:space="preserve"> </w:t>
      </w:r>
      <w:r w:rsidRPr="00EA722D">
        <w:rPr>
          <w:rFonts w:ascii="Verdana" w:hAnsi="Verdana"/>
          <w:lang w:val="es-CO"/>
        </w:rPr>
        <w:t>y</w:t>
      </w:r>
      <w:r>
        <w:rPr>
          <w:rFonts w:ascii="Verdana" w:hAnsi="Verdana"/>
          <w:lang w:val="es-CO"/>
        </w:rPr>
        <w:t>,</w:t>
      </w:r>
      <w:r w:rsidRPr="00EA722D">
        <w:rPr>
          <w:rFonts w:ascii="Verdana" w:hAnsi="Verdana"/>
          <w:lang w:val="es-CO"/>
        </w:rPr>
        <w:t xml:space="preserve"> adoptó la estructura para la fijación de precios de la gasolina corriente motor, gasolina motor corriente oxigenada, ACPM y ACPM mezclado con biocombustible para uso en motores diésel a partir del 1 de enero de 2017.</w:t>
      </w:r>
    </w:p>
    <w:p w14:paraId="545C81C8" w14:textId="77777777" w:rsidR="00180398" w:rsidRPr="00EA722D" w:rsidRDefault="00180398" w:rsidP="00C61532">
      <w:pPr>
        <w:spacing w:line="276" w:lineRule="auto"/>
        <w:rPr>
          <w:rFonts w:ascii="Verdana" w:hAnsi="Verdana"/>
          <w:lang w:val="es-CO"/>
        </w:rPr>
      </w:pPr>
    </w:p>
    <w:p w14:paraId="28DAAF03" w14:textId="77777777" w:rsidR="00180398" w:rsidRPr="00180ED9" w:rsidRDefault="00180398" w:rsidP="00C61532">
      <w:pPr>
        <w:spacing w:line="276" w:lineRule="auto"/>
        <w:rPr>
          <w:rFonts w:ascii="Verdana" w:hAnsi="Verdana"/>
          <w:lang w:val="es-CO"/>
        </w:rPr>
      </w:pPr>
      <w:r w:rsidRPr="00EA722D">
        <w:rPr>
          <w:rFonts w:ascii="Verdana" w:hAnsi="Verdana"/>
          <w:lang w:val="es-CO"/>
        </w:rPr>
        <w:t>El Ministerio de Hacienda y Crédito Público y el Ministerio de Minas y Energía a través de la Resolución 40193 del 21 de junio 2021 delegaron en la CREG funciones de regulación económica respecto de la cadena de distribución de combustibles líquidos. En particular, en su artículo primero, menciona lo siguiente:</w:t>
      </w:r>
      <w:r>
        <w:rPr>
          <w:rFonts w:ascii="Verdana" w:hAnsi="Verdana"/>
          <w:lang w:val="es-CO"/>
        </w:rPr>
        <w:t xml:space="preserve"> </w:t>
      </w:r>
      <w:r w:rsidRPr="00EA722D">
        <w:rPr>
          <w:rFonts w:ascii="Verdana" w:hAnsi="Verdana"/>
          <w:i/>
          <w:iCs/>
          <w:lang w:val="es-CO"/>
        </w:rPr>
        <w:t xml:space="preserve">“Establecer las metodologías para la determinación de las tarifas y márgenes asociados a la remuneración de toda la cadena, esto es, transporte, logística, comercialización y distribución de los combustibles líquidos derivados del petróleo y de los biocombustibles destinados a la mezcla con dichos combustibles. Lo anterior, con excepción del ingreso al productor o importador de la Gasolina Motor Corriente, el ACPM-Diésel y los </w:t>
      </w:r>
      <w:r w:rsidRPr="00EA722D">
        <w:rPr>
          <w:rFonts w:ascii="Verdana" w:hAnsi="Verdana"/>
          <w:i/>
          <w:iCs/>
          <w:lang w:val="es-CO"/>
        </w:rPr>
        <w:lastRenderedPageBreak/>
        <w:t>biocombustibles, tanto de origen nacional como importado, los cuales seguirán siendo fijados por los Ministerios de Minas y Energía y Hacienda y Crédito Público de manera conjunta.</w:t>
      </w:r>
    </w:p>
    <w:p w14:paraId="6878C361" w14:textId="77777777" w:rsidR="00180398" w:rsidRPr="00EA722D" w:rsidRDefault="00180398" w:rsidP="00C61532">
      <w:pPr>
        <w:spacing w:line="276" w:lineRule="auto"/>
        <w:ind w:left="567"/>
        <w:rPr>
          <w:rFonts w:ascii="Verdana" w:hAnsi="Verdana"/>
          <w:i/>
          <w:iCs/>
          <w:lang w:val="es-CO"/>
        </w:rPr>
      </w:pPr>
    </w:p>
    <w:p w14:paraId="7BEC5067" w14:textId="77777777" w:rsidR="00180398" w:rsidRPr="00EA722D" w:rsidRDefault="00180398" w:rsidP="00C61532">
      <w:pPr>
        <w:spacing w:line="276" w:lineRule="auto"/>
        <w:ind w:left="567"/>
        <w:rPr>
          <w:rFonts w:ascii="Verdana" w:hAnsi="Verdana"/>
          <w:i/>
          <w:iCs/>
          <w:lang w:val="es-CO"/>
        </w:rPr>
      </w:pPr>
      <w:r w:rsidRPr="00EA722D">
        <w:rPr>
          <w:rFonts w:ascii="Verdana" w:hAnsi="Verdana"/>
          <w:i/>
          <w:iCs/>
          <w:lang w:val="es-CO"/>
        </w:rPr>
        <w:t>Respecto a los productos señalados, las actividades y tarifas objeto de regulación son:</w:t>
      </w:r>
    </w:p>
    <w:p w14:paraId="33D57C66" w14:textId="77777777" w:rsidR="00180398" w:rsidRPr="00EA722D" w:rsidRDefault="00180398" w:rsidP="00C61532">
      <w:pPr>
        <w:spacing w:line="276" w:lineRule="auto"/>
        <w:ind w:left="567"/>
        <w:rPr>
          <w:rFonts w:ascii="Verdana" w:hAnsi="Verdana"/>
          <w:i/>
          <w:iCs/>
          <w:lang w:val="es-CO"/>
        </w:rPr>
      </w:pPr>
    </w:p>
    <w:p w14:paraId="20122DFF" w14:textId="77777777" w:rsidR="00180398" w:rsidRPr="00EA722D" w:rsidRDefault="00180398" w:rsidP="2DC7DE56">
      <w:pPr>
        <w:spacing w:line="276" w:lineRule="auto"/>
        <w:ind w:left="567"/>
        <w:rPr>
          <w:rFonts w:ascii="Verdana" w:hAnsi="Verdana"/>
          <w:i/>
          <w:iCs/>
        </w:rPr>
      </w:pPr>
      <w:r w:rsidRPr="2DC7DE56">
        <w:rPr>
          <w:rFonts w:ascii="Verdana" w:hAnsi="Verdana"/>
          <w:i/>
          <w:iCs/>
        </w:rPr>
        <w:t>i)</w:t>
      </w:r>
      <w:r>
        <w:tab/>
      </w:r>
      <w:r w:rsidRPr="2DC7DE56">
        <w:rPr>
          <w:rFonts w:ascii="Verdana" w:hAnsi="Verdana"/>
          <w:i/>
          <w:iCs/>
        </w:rPr>
        <w:t>(…)</w:t>
      </w:r>
    </w:p>
    <w:p w14:paraId="747B5A6A" w14:textId="77777777" w:rsidR="00180398" w:rsidRPr="00EA722D" w:rsidRDefault="00180398" w:rsidP="00C61532">
      <w:pPr>
        <w:spacing w:line="276" w:lineRule="auto"/>
        <w:ind w:left="567"/>
        <w:rPr>
          <w:rFonts w:ascii="Verdana" w:hAnsi="Verdana"/>
          <w:i/>
          <w:iCs/>
          <w:lang w:val="es-CO"/>
        </w:rPr>
      </w:pPr>
      <w:r w:rsidRPr="00EA722D">
        <w:rPr>
          <w:rFonts w:ascii="Verdana" w:hAnsi="Verdana"/>
          <w:i/>
          <w:iCs/>
          <w:lang w:val="es-CO"/>
        </w:rPr>
        <w:t xml:space="preserve">(…) </w:t>
      </w:r>
      <w:proofErr w:type="spellStart"/>
      <w:r w:rsidRPr="00EA722D">
        <w:rPr>
          <w:rFonts w:ascii="Verdana" w:hAnsi="Verdana"/>
          <w:i/>
          <w:iCs/>
          <w:lang w:val="es-CO"/>
        </w:rPr>
        <w:t>xii</w:t>
      </w:r>
      <w:proofErr w:type="spellEnd"/>
      <w:r w:rsidRPr="00EA722D">
        <w:rPr>
          <w:rFonts w:ascii="Verdana" w:hAnsi="Verdana"/>
          <w:i/>
          <w:iCs/>
          <w:lang w:val="es-CO"/>
        </w:rPr>
        <w:t>) Establecer otros elementos o actividades que estén relacionadas con el funcionamiento operativo o logístico de la cadena y que deban ser incorporadas en la estructura de precio de los combustibles y su remuneración.”</w:t>
      </w:r>
    </w:p>
    <w:p w14:paraId="667ABB80" w14:textId="77777777" w:rsidR="00F541A2" w:rsidRPr="00180398" w:rsidRDefault="00F541A2" w:rsidP="00C61532">
      <w:pPr>
        <w:spacing w:line="276" w:lineRule="auto"/>
        <w:rPr>
          <w:rFonts w:ascii="Verdana" w:hAnsi="Verdana"/>
          <w:lang w:val="es-CO"/>
        </w:rPr>
      </w:pPr>
    </w:p>
    <w:p w14:paraId="0D77F864" w14:textId="3B8BAD5B" w:rsidR="00F541A2" w:rsidRPr="00C22CA9" w:rsidRDefault="00A53990" w:rsidP="00C61532">
      <w:pPr>
        <w:spacing w:line="276" w:lineRule="auto"/>
        <w:rPr>
          <w:rFonts w:ascii="Verdana" w:hAnsi="Verdana"/>
          <w:lang w:val="es-CO"/>
        </w:rPr>
      </w:pPr>
      <w:r w:rsidRPr="00C22CA9">
        <w:rPr>
          <w:rFonts w:ascii="Verdana" w:hAnsi="Verdana"/>
          <w:lang w:val="es-CO"/>
        </w:rPr>
        <w:t>A través de</w:t>
      </w:r>
      <w:r w:rsidR="000D0A2F">
        <w:rPr>
          <w:rFonts w:ascii="Verdana" w:hAnsi="Verdana"/>
          <w:lang w:val="es-CO"/>
        </w:rPr>
        <w:t xml:space="preserve">l proyecto de </w:t>
      </w:r>
      <w:r w:rsidRPr="0081412D">
        <w:rPr>
          <w:rFonts w:ascii="Verdana" w:hAnsi="Verdana"/>
          <w:lang w:val="es-CO"/>
        </w:rPr>
        <w:t xml:space="preserve">Resolución </w:t>
      </w:r>
      <w:r w:rsidR="000F6EDC" w:rsidRPr="0081412D">
        <w:rPr>
          <w:rFonts w:ascii="Verdana" w:hAnsi="Verdana"/>
          <w:lang w:val="es-CO"/>
        </w:rPr>
        <w:t xml:space="preserve">CREG </w:t>
      </w:r>
      <w:r w:rsidR="0081412D" w:rsidRPr="0081412D">
        <w:rPr>
          <w:rFonts w:ascii="Verdana" w:hAnsi="Verdana"/>
          <w:lang w:val="es-CO"/>
        </w:rPr>
        <w:t>704 004</w:t>
      </w:r>
      <w:r w:rsidRPr="0081412D">
        <w:rPr>
          <w:rFonts w:ascii="Verdana" w:hAnsi="Verdana"/>
          <w:lang w:val="es-CO"/>
        </w:rPr>
        <w:t xml:space="preserve"> de </w:t>
      </w:r>
      <w:r w:rsidR="00D514B0" w:rsidRPr="0081412D">
        <w:rPr>
          <w:rFonts w:ascii="Verdana" w:hAnsi="Verdana"/>
          <w:lang w:val="es-CO"/>
        </w:rPr>
        <w:t>2</w:t>
      </w:r>
      <w:r w:rsidR="00D514B0">
        <w:rPr>
          <w:rFonts w:ascii="Verdana" w:hAnsi="Verdana"/>
          <w:lang w:val="es-CO"/>
        </w:rPr>
        <w:t>025</w:t>
      </w:r>
      <w:r w:rsidRPr="00C22CA9">
        <w:rPr>
          <w:rFonts w:ascii="Verdana" w:hAnsi="Verdana"/>
          <w:lang w:val="es-CO"/>
        </w:rPr>
        <w:t xml:space="preserve"> se </w:t>
      </w:r>
      <w:r w:rsidR="00FE160A">
        <w:rPr>
          <w:rFonts w:ascii="Verdana" w:hAnsi="Verdana"/>
          <w:lang w:val="es-CO"/>
        </w:rPr>
        <w:t xml:space="preserve">consulta la </w:t>
      </w:r>
      <w:r w:rsidRPr="00C22CA9">
        <w:rPr>
          <w:rFonts w:ascii="Verdana" w:hAnsi="Verdana"/>
          <w:lang w:val="es-CO"/>
        </w:rPr>
        <w:t>derog</w:t>
      </w:r>
      <w:r w:rsidR="00FE160A">
        <w:rPr>
          <w:rFonts w:ascii="Verdana" w:hAnsi="Verdana"/>
          <w:lang w:val="es-CO"/>
        </w:rPr>
        <w:t>atoria</w:t>
      </w:r>
      <w:r w:rsidRPr="00C22CA9">
        <w:rPr>
          <w:rFonts w:ascii="Verdana" w:hAnsi="Verdana"/>
          <w:lang w:val="es-CO"/>
        </w:rPr>
        <w:t xml:space="preserve"> </w:t>
      </w:r>
      <w:r w:rsidR="000F6EDC" w:rsidRPr="00C22CA9">
        <w:rPr>
          <w:rFonts w:ascii="Verdana" w:hAnsi="Verdana"/>
          <w:lang w:val="es-CO"/>
        </w:rPr>
        <w:t xml:space="preserve">la Resolución </w:t>
      </w:r>
      <w:proofErr w:type="spellStart"/>
      <w:r w:rsidR="000F6EDC" w:rsidRPr="00C22CA9">
        <w:rPr>
          <w:rFonts w:ascii="Verdana" w:hAnsi="Verdana"/>
          <w:lang w:val="es-CO"/>
        </w:rPr>
        <w:t>MME</w:t>
      </w:r>
      <w:proofErr w:type="spellEnd"/>
      <w:r w:rsidR="000F6EDC" w:rsidRPr="00C22CA9">
        <w:rPr>
          <w:rFonts w:ascii="Verdana" w:hAnsi="Verdana"/>
          <w:lang w:val="es-CO"/>
        </w:rPr>
        <w:t xml:space="preserve"> </w:t>
      </w:r>
      <w:r w:rsidRPr="00C22CA9">
        <w:rPr>
          <w:rFonts w:ascii="Verdana" w:hAnsi="Verdana"/>
          <w:lang w:val="es-CO"/>
        </w:rPr>
        <w:t xml:space="preserve">40112 de 2021 y se </w:t>
      </w:r>
      <w:r w:rsidR="00FE160A">
        <w:rPr>
          <w:rFonts w:ascii="Verdana" w:hAnsi="Verdana"/>
          <w:lang w:val="es-CO"/>
        </w:rPr>
        <w:t xml:space="preserve">propone la </w:t>
      </w:r>
      <w:r w:rsidR="00A402ED">
        <w:rPr>
          <w:rFonts w:ascii="Verdana" w:hAnsi="Verdana"/>
          <w:lang w:val="es-CO"/>
        </w:rPr>
        <w:t xml:space="preserve">reorganización de la </w:t>
      </w:r>
      <w:r w:rsidRPr="00C22CA9">
        <w:rPr>
          <w:rFonts w:ascii="Verdana" w:hAnsi="Verdana"/>
          <w:lang w:val="es-CO"/>
        </w:rPr>
        <w:t xml:space="preserve">estructura </w:t>
      </w:r>
      <w:r w:rsidR="00F541A2" w:rsidRPr="00C22CA9">
        <w:rPr>
          <w:rFonts w:ascii="Verdana" w:hAnsi="Verdana"/>
          <w:lang w:val="es-CO"/>
        </w:rPr>
        <w:t>para la fijación de precios de la gasolina corriente motor, gasolina motor corriente oxigenada, ACPM y ACPM mezclado</w:t>
      </w:r>
      <w:r w:rsidR="00453904">
        <w:rPr>
          <w:rFonts w:ascii="Verdana" w:hAnsi="Verdana"/>
          <w:lang w:val="es-CO"/>
        </w:rPr>
        <w:t xml:space="preserve"> </w:t>
      </w:r>
      <w:r w:rsidR="00F541A2" w:rsidRPr="00C22CA9">
        <w:rPr>
          <w:rFonts w:ascii="Verdana" w:hAnsi="Verdana"/>
          <w:lang w:val="es-CO"/>
        </w:rPr>
        <w:t xml:space="preserve">con biocombustible para uso en motores diésel </w:t>
      </w:r>
      <w:r w:rsidR="008B2B21" w:rsidRPr="00C22CA9">
        <w:rPr>
          <w:rFonts w:ascii="Verdana" w:hAnsi="Verdana"/>
          <w:lang w:val="es-CO"/>
        </w:rPr>
        <w:t xml:space="preserve">a nivel nacional, exceptuando zonas de frontera, </w:t>
      </w:r>
      <w:r w:rsidR="00F541A2" w:rsidRPr="00C22CA9">
        <w:rPr>
          <w:rFonts w:ascii="Verdana" w:hAnsi="Verdana"/>
          <w:lang w:val="es-CO"/>
        </w:rPr>
        <w:t>buscando reflejar los componentes que la integran y</w:t>
      </w:r>
      <w:r w:rsidR="00F95C21" w:rsidRPr="00C22CA9">
        <w:rPr>
          <w:rFonts w:ascii="Verdana" w:hAnsi="Verdana"/>
          <w:lang w:val="es-CO"/>
        </w:rPr>
        <w:t xml:space="preserve"> con el propósito de </w:t>
      </w:r>
      <w:r w:rsidR="00F541A2" w:rsidRPr="00C22CA9">
        <w:rPr>
          <w:rFonts w:ascii="Verdana" w:hAnsi="Verdana"/>
          <w:lang w:val="es-CO"/>
        </w:rPr>
        <w:t>facilitar el ejercicio de control y vigilancia.</w:t>
      </w:r>
    </w:p>
    <w:p w14:paraId="1DEC712F" w14:textId="77777777" w:rsidR="00922D7E" w:rsidRPr="00C22CA9" w:rsidRDefault="00922D7E" w:rsidP="00C61532">
      <w:pPr>
        <w:spacing w:line="276" w:lineRule="auto"/>
        <w:rPr>
          <w:rFonts w:ascii="Verdana" w:hAnsi="Verdana"/>
          <w:lang w:val="es-CO"/>
        </w:rPr>
      </w:pPr>
    </w:p>
    <w:p w14:paraId="765D18B6" w14:textId="3E7BFA83" w:rsidR="00922D7E" w:rsidRPr="00C22CA9" w:rsidRDefault="00C50887" w:rsidP="00C61532">
      <w:pPr>
        <w:spacing w:line="276" w:lineRule="auto"/>
        <w:rPr>
          <w:rFonts w:ascii="Verdana" w:hAnsi="Verdana"/>
          <w:lang w:val="es-CO"/>
        </w:rPr>
      </w:pPr>
      <w:r>
        <w:rPr>
          <w:rFonts w:ascii="Verdana" w:hAnsi="Verdana"/>
          <w:lang w:val="es-CO"/>
        </w:rPr>
        <w:t>Mediante e</w:t>
      </w:r>
      <w:r w:rsidR="00F84FE0">
        <w:rPr>
          <w:rFonts w:ascii="Verdana" w:hAnsi="Verdana"/>
          <w:lang w:val="es-CO"/>
        </w:rPr>
        <w:t>l proyecto de</w:t>
      </w:r>
      <w:r w:rsidR="00922D7E" w:rsidRPr="00C22CA9">
        <w:rPr>
          <w:rFonts w:ascii="Verdana" w:hAnsi="Verdana"/>
          <w:lang w:val="es-CO"/>
        </w:rPr>
        <w:t xml:space="preserve"> </w:t>
      </w:r>
      <w:r w:rsidR="00922D7E" w:rsidRPr="0081412D">
        <w:rPr>
          <w:rFonts w:ascii="Verdana" w:hAnsi="Verdana"/>
          <w:lang w:val="es-CO"/>
        </w:rPr>
        <w:t xml:space="preserve">Resolución CREG </w:t>
      </w:r>
      <w:r w:rsidR="0081412D" w:rsidRPr="0081412D">
        <w:rPr>
          <w:rFonts w:ascii="Verdana" w:hAnsi="Verdana"/>
          <w:lang w:val="es-CO"/>
        </w:rPr>
        <w:t xml:space="preserve">704 005 </w:t>
      </w:r>
      <w:r w:rsidR="00922D7E" w:rsidRPr="0081412D">
        <w:rPr>
          <w:rFonts w:ascii="Verdana" w:hAnsi="Verdana"/>
          <w:lang w:val="es-CO"/>
        </w:rPr>
        <w:t xml:space="preserve">de </w:t>
      </w:r>
      <w:r w:rsidR="00F84FE0" w:rsidRPr="0081412D">
        <w:rPr>
          <w:rFonts w:ascii="Verdana" w:hAnsi="Verdana"/>
          <w:lang w:val="es-CO"/>
        </w:rPr>
        <w:t>2025</w:t>
      </w:r>
      <w:r w:rsidR="00922D7E" w:rsidRPr="0081412D">
        <w:rPr>
          <w:rFonts w:ascii="Verdana" w:hAnsi="Verdana"/>
          <w:lang w:val="es-CO"/>
        </w:rPr>
        <w:t xml:space="preserve"> se</w:t>
      </w:r>
      <w:r w:rsidR="00922D7E" w:rsidRPr="00C22CA9">
        <w:rPr>
          <w:rFonts w:ascii="Verdana" w:hAnsi="Verdana"/>
          <w:lang w:val="es-CO"/>
        </w:rPr>
        <w:t xml:space="preserve"> </w:t>
      </w:r>
      <w:r w:rsidR="00F84FE0">
        <w:rPr>
          <w:rFonts w:ascii="Verdana" w:hAnsi="Verdana"/>
          <w:lang w:val="es-CO"/>
        </w:rPr>
        <w:t xml:space="preserve">consulta la </w:t>
      </w:r>
      <w:r w:rsidR="00473B00" w:rsidRPr="00C22CA9">
        <w:rPr>
          <w:rFonts w:ascii="Verdana" w:hAnsi="Verdana"/>
          <w:lang w:val="es-CO"/>
        </w:rPr>
        <w:t>deroga</w:t>
      </w:r>
      <w:r w:rsidR="00F84FE0">
        <w:rPr>
          <w:rFonts w:ascii="Verdana" w:hAnsi="Verdana"/>
          <w:lang w:val="es-CO"/>
        </w:rPr>
        <w:t>toria</w:t>
      </w:r>
      <w:r w:rsidR="00473B00" w:rsidRPr="00C22CA9">
        <w:rPr>
          <w:rFonts w:ascii="Verdana" w:hAnsi="Verdana"/>
          <w:lang w:val="es-CO"/>
        </w:rPr>
        <w:t xml:space="preserve"> parcial las Resoluciones expedidas por el Ministerio de Minas y Energía 91773 de 2012, 90308 de 2013, 90309 de 2013, 90310 de 2013, 90311 de 2013, 90423 de 2013, 90424 de 2013, 90425 de 2013, 41131 de 2015, 40435 de 2016, quedando vigente solo lo relacionado con las definiciones: Ti, Ce y </w:t>
      </w:r>
      <w:proofErr w:type="spellStart"/>
      <w:r w:rsidR="00473B00" w:rsidRPr="00C22CA9">
        <w:rPr>
          <w:rFonts w:ascii="Verdana" w:hAnsi="Verdana"/>
          <w:lang w:val="es-CO"/>
        </w:rPr>
        <w:t>Cc</w:t>
      </w:r>
      <w:proofErr w:type="spellEnd"/>
      <w:r w:rsidR="002F3A7F" w:rsidRPr="00C22CA9">
        <w:rPr>
          <w:rFonts w:ascii="Verdana" w:hAnsi="Verdana"/>
          <w:lang w:val="es-CO"/>
        </w:rPr>
        <w:t>;</w:t>
      </w:r>
      <w:r w:rsidR="00922D7E" w:rsidRPr="00C22CA9">
        <w:rPr>
          <w:rFonts w:ascii="Verdana" w:hAnsi="Verdana"/>
          <w:lang w:val="es-CO"/>
        </w:rPr>
        <w:t xml:space="preserve"> y se </w:t>
      </w:r>
      <w:r w:rsidR="00781746">
        <w:rPr>
          <w:rFonts w:ascii="Verdana" w:hAnsi="Verdana"/>
          <w:lang w:val="es-CO"/>
        </w:rPr>
        <w:t xml:space="preserve">propone la </w:t>
      </w:r>
      <w:r w:rsidR="00A402ED">
        <w:rPr>
          <w:rFonts w:ascii="Verdana" w:hAnsi="Verdana"/>
          <w:lang w:val="es-CO"/>
        </w:rPr>
        <w:t xml:space="preserve">reorganización de la </w:t>
      </w:r>
      <w:r w:rsidR="00922D7E" w:rsidRPr="00C22CA9">
        <w:rPr>
          <w:rFonts w:ascii="Verdana" w:hAnsi="Verdana"/>
          <w:lang w:val="es-CO"/>
        </w:rPr>
        <w:t>estructura para la fijación de precios de la gasolina corriente motor, gasolina motor corriente oxigenada, ACPM y ACPM mezclado con biocombustible para uso en motores diésel</w:t>
      </w:r>
      <w:r w:rsidR="00F95C21" w:rsidRPr="00C22CA9">
        <w:rPr>
          <w:rFonts w:ascii="Verdana" w:hAnsi="Verdana"/>
          <w:lang w:val="es-CO"/>
        </w:rPr>
        <w:t xml:space="preserve"> en</w:t>
      </w:r>
      <w:r w:rsidR="00922D7E" w:rsidRPr="00C22CA9">
        <w:rPr>
          <w:rFonts w:ascii="Verdana" w:hAnsi="Verdana"/>
          <w:lang w:val="es-CO"/>
        </w:rPr>
        <w:t xml:space="preserve"> zonas de frontera, </w:t>
      </w:r>
      <w:r w:rsidR="00956044">
        <w:rPr>
          <w:rFonts w:ascii="Verdana" w:hAnsi="Verdana"/>
          <w:lang w:val="es-CO"/>
        </w:rPr>
        <w:t xml:space="preserve">con </w:t>
      </w:r>
      <w:r w:rsidR="00453904">
        <w:rPr>
          <w:rFonts w:ascii="Verdana" w:hAnsi="Verdana"/>
          <w:lang w:val="es-CO"/>
        </w:rPr>
        <w:t>los</w:t>
      </w:r>
      <w:r w:rsidR="00956044">
        <w:rPr>
          <w:rFonts w:ascii="Verdana" w:hAnsi="Verdana"/>
          <w:lang w:val="es-CO"/>
        </w:rPr>
        <w:t xml:space="preserve"> objetivo</w:t>
      </w:r>
      <w:r w:rsidR="00453904">
        <w:rPr>
          <w:rFonts w:ascii="Verdana" w:hAnsi="Verdana"/>
          <w:lang w:val="es-CO"/>
        </w:rPr>
        <w:t>s</w:t>
      </w:r>
      <w:r w:rsidR="00956044">
        <w:rPr>
          <w:rFonts w:ascii="Verdana" w:hAnsi="Verdana"/>
          <w:lang w:val="es-CO"/>
        </w:rPr>
        <w:t xml:space="preserve"> </w:t>
      </w:r>
      <w:r w:rsidR="003B0C94">
        <w:rPr>
          <w:rFonts w:ascii="Verdana" w:hAnsi="Verdana"/>
          <w:lang w:val="es-CO"/>
        </w:rPr>
        <w:t>descritos a nivel nacional</w:t>
      </w:r>
      <w:r w:rsidR="000919DF">
        <w:rPr>
          <w:rFonts w:ascii="Verdana" w:hAnsi="Verdana"/>
          <w:lang w:val="es-CO"/>
        </w:rPr>
        <w:t>.</w:t>
      </w:r>
      <w:r w:rsidR="00956044">
        <w:rPr>
          <w:rFonts w:ascii="Verdana" w:hAnsi="Verdana"/>
          <w:lang w:val="es-CO"/>
        </w:rPr>
        <w:t xml:space="preserve"> </w:t>
      </w:r>
    </w:p>
    <w:p w14:paraId="53724D57" w14:textId="77777777" w:rsidR="003D0C5A" w:rsidRPr="00C22CA9" w:rsidRDefault="003D0C5A" w:rsidP="00C61532">
      <w:pPr>
        <w:spacing w:line="276" w:lineRule="auto"/>
        <w:rPr>
          <w:rFonts w:ascii="Verdana" w:hAnsi="Verdana"/>
          <w:lang w:val="es-CO"/>
        </w:rPr>
      </w:pPr>
    </w:p>
    <w:p w14:paraId="326AD54A" w14:textId="5F997290" w:rsidR="0009291D" w:rsidRDefault="05AEFA72" w:rsidP="44A081E1">
      <w:pPr>
        <w:spacing w:line="276" w:lineRule="auto"/>
        <w:rPr>
          <w:rFonts w:ascii="Verdana" w:hAnsi="Verdana"/>
          <w:lang w:val="es-CO"/>
        </w:rPr>
      </w:pPr>
      <w:r w:rsidRPr="44A081E1">
        <w:rPr>
          <w:rFonts w:ascii="Verdana" w:hAnsi="Verdana"/>
          <w:lang w:val="es-CO"/>
        </w:rPr>
        <w:t>A partir de los ajustes real</w:t>
      </w:r>
      <w:r w:rsidR="3DD0C3BB" w:rsidRPr="44A081E1">
        <w:rPr>
          <w:rFonts w:ascii="Verdana" w:hAnsi="Verdana"/>
          <w:lang w:val="es-CO"/>
        </w:rPr>
        <w:t xml:space="preserve">izados y buscando que el propósito </w:t>
      </w:r>
      <w:r w:rsidR="583693BD" w:rsidRPr="44A081E1">
        <w:rPr>
          <w:rFonts w:ascii="Verdana" w:hAnsi="Verdana"/>
          <w:lang w:val="es-CO"/>
        </w:rPr>
        <w:t>inicial de brindar mayor claridad y entendimiento de las normas</w:t>
      </w:r>
      <w:r w:rsidR="259BEC84" w:rsidRPr="44A081E1">
        <w:rPr>
          <w:rFonts w:ascii="Verdana" w:hAnsi="Verdana"/>
          <w:lang w:val="es-CO"/>
        </w:rPr>
        <w:t xml:space="preserve"> </w:t>
      </w:r>
      <w:r w:rsidR="583693BD" w:rsidRPr="44A081E1">
        <w:rPr>
          <w:rFonts w:ascii="Verdana" w:hAnsi="Verdana"/>
          <w:lang w:val="es-CO"/>
        </w:rPr>
        <w:t xml:space="preserve">se consideró pertinente ajustar este procedimiento </w:t>
      </w:r>
      <w:r w:rsidR="00F84B01">
        <w:rPr>
          <w:rFonts w:ascii="Verdana" w:hAnsi="Verdana"/>
          <w:lang w:val="es-CO"/>
        </w:rPr>
        <w:t>con</w:t>
      </w:r>
      <w:r w:rsidR="583693BD" w:rsidRPr="44A081E1">
        <w:rPr>
          <w:rFonts w:ascii="Verdana" w:hAnsi="Verdana"/>
          <w:lang w:val="es-CO"/>
        </w:rPr>
        <w:t xml:space="preserve"> l</w:t>
      </w:r>
      <w:r w:rsidR="1DA4075E" w:rsidRPr="44A081E1">
        <w:rPr>
          <w:rFonts w:ascii="Verdana" w:hAnsi="Verdana"/>
          <w:lang w:val="es-CO"/>
        </w:rPr>
        <w:t>a</w:t>
      </w:r>
      <w:r w:rsidR="005A4090">
        <w:rPr>
          <w:rFonts w:ascii="Verdana" w:hAnsi="Verdana"/>
          <w:lang w:val="es-CO"/>
        </w:rPr>
        <w:t xml:space="preserve"> </w:t>
      </w:r>
      <w:r w:rsidR="00713756">
        <w:rPr>
          <w:rFonts w:ascii="Verdana" w:hAnsi="Verdana"/>
          <w:lang w:val="es-CO"/>
        </w:rPr>
        <w:t xml:space="preserve">reorganización </w:t>
      </w:r>
      <w:r w:rsidR="00713756" w:rsidRPr="00713756">
        <w:rPr>
          <w:rFonts w:ascii="Verdana" w:hAnsi="Verdana"/>
          <w:lang w:val="es-CO"/>
        </w:rPr>
        <w:t xml:space="preserve">de la estructura para la fijación de precios de la gasolina corriente motor, gasolina motor corriente oxigenada, ACPM y ACPM mezclado con biocombustible para uso en motores diésel </w:t>
      </w:r>
      <w:r w:rsidR="0009291D">
        <w:rPr>
          <w:rFonts w:ascii="Verdana" w:hAnsi="Verdana"/>
          <w:lang w:val="es-CO"/>
        </w:rPr>
        <w:t xml:space="preserve">a nivel nacional y </w:t>
      </w:r>
      <w:r w:rsidR="00713756" w:rsidRPr="00713756">
        <w:rPr>
          <w:rFonts w:ascii="Verdana" w:hAnsi="Verdana"/>
          <w:lang w:val="es-CO"/>
        </w:rPr>
        <w:t>en zonas de frontera</w:t>
      </w:r>
      <w:r w:rsidR="0009291D">
        <w:rPr>
          <w:rFonts w:ascii="Verdana" w:hAnsi="Verdana"/>
          <w:lang w:val="es-CO"/>
        </w:rPr>
        <w:t>.</w:t>
      </w:r>
    </w:p>
    <w:p w14:paraId="7C8A7096" w14:textId="3CB2CCE2" w:rsidR="05AEFA72" w:rsidRDefault="0009291D" w:rsidP="44A081E1">
      <w:pPr>
        <w:spacing w:line="276" w:lineRule="auto"/>
        <w:rPr>
          <w:rFonts w:ascii="Verdana" w:hAnsi="Verdana"/>
          <w:lang w:val="es-CO"/>
        </w:rPr>
      </w:pPr>
      <w:r>
        <w:rPr>
          <w:rFonts w:ascii="Verdana" w:hAnsi="Verdana"/>
          <w:lang w:val="es-CO"/>
        </w:rPr>
        <w:t xml:space="preserve"> </w:t>
      </w:r>
    </w:p>
    <w:p w14:paraId="4391F5B6" w14:textId="3F63C5A7" w:rsidR="00F541A2" w:rsidRPr="00C22CA9" w:rsidRDefault="00F541A2" w:rsidP="00C61532">
      <w:pPr>
        <w:spacing w:line="276" w:lineRule="auto"/>
        <w:rPr>
          <w:rFonts w:ascii="Verdana" w:hAnsi="Verdana"/>
          <w:lang w:val="es-CO"/>
        </w:rPr>
      </w:pPr>
      <w:r w:rsidRPr="00C22CA9">
        <w:rPr>
          <w:rFonts w:ascii="Verdana" w:hAnsi="Verdana"/>
          <w:lang w:val="es-CO"/>
        </w:rPr>
        <w:lastRenderedPageBreak/>
        <w:t>En consecuencia,</w:t>
      </w:r>
    </w:p>
    <w:p w14:paraId="0EDEA0E7" w14:textId="77777777" w:rsidR="00CB079C" w:rsidRPr="00C22CA9" w:rsidRDefault="00CB079C" w:rsidP="00C61532">
      <w:pPr>
        <w:spacing w:line="276" w:lineRule="auto"/>
        <w:rPr>
          <w:rFonts w:ascii="Verdana" w:hAnsi="Verdana"/>
          <w:lang w:val="es-CO"/>
        </w:rPr>
      </w:pPr>
    </w:p>
    <w:p w14:paraId="0DCF66AF" w14:textId="77777777" w:rsidR="00CB079C" w:rsidRPr="00782251" w:rsidRDefault="00CB079C" w:rsidP="00C61532">
      <w:pPr>
        <w:spacing w:before="12" w:after="12" w:line="276" w:lineRule="auto"/>
        <w:jc w:val="center"/>
        <w:rPr>
          <w:rFonts w:ascii="Verdana" w:hAnsi="Verdana"/>
          <w:b/>
        </w:rPr>
      </w:pPr>
      <w:r w:rsidRPr="00782251">
        <w:rPr>
          <w:rFonts w:ascii="Verdana" w:hAnsi="Verdana"/>
          <w:b/>
        </w:rPr>
        <w:t>RESUELVE:</w:t>
      </w:r>
    </w:p>
    <w:p w14:paraId="68A2F3DB" w14:textId="77777777" w:rsidR="00CB079C" w:rsidRPr="00782251" w:rsidRDefault="00CB079C" w:rsidP="00C61532">
      <w:pPr>
        <w:spacing w:line="276" w:lineRule="auto"/>
        <w:jc w:val="center"/>
        <w:rPr>
          <w:rFonts w:ascii="Verdana" w:hAnsi="Verdana"/>
          <w:b/>
        </w:rPr>
      </w:pPr>
    </w:p>
    <w:p w14:paraId="0447F61E" w14:textId="2FFF4839" w:rsidR="005B72AB" w:rsidRDefault="00237702" w:rsidP="00C61532">
      <w:pPr>
        <w:spacing w:line="276" w:lineRule="auto"/>
        <w:rPr>
          <w:rFonts w:ascii="Verdana" w:hAnsi="Verdana" w:cs="Arial"/>
          <w:iCs/>
          <w:lang w:val="es-CO"/>
        </w:rPr>
      </w:pPr>
      <w:r w:rsidRPr="00782251">
        <w:rPr>
          <w:rFonts w:ascii="Verdana" w:hAnsi="Verdana" w:cs="Arial"/>
          <w:b/>
          <w:bCs/>
          <w:iCs/>
          <w:lang w:val="es-CO"/>
        </w:rPr>
        <w:t xml:space="preserve">Artículo </w:t>
      </w:r>
      <w:r w:rsidR="00F541A2" w:rsidRPr="00782251">
        <w:rPr>
          <w:rFonts w:ascii="Verdana" w:hAnsi="Verdana" w:cs="Arial"/>
          <w:b/>
          <w:bCs/>
          <w:iCs/>
          <w:lang w:val="es-CO"/>
        </w:rPr>
        <w:t xml:space="preserve">1. </w:t>
      </w:r>
      <w:r w:rsidRPr="00237702">
        <w:rPr>
          <w:rFonts w:ascii="Verdana" w:hAnsi="Verdana" w:cs="Arial"/>
          <w:iCs/>
          <w:lang w:val="es-CO"/>
        </w:rPr>
        <w:t xml:space="preserve">Modificar el </w:t>
      </w:r>
      <w:r w:rsidR="00A52FE6">
        <w:rPr>
          <w:rFonts w:ascii="Verdana" w:hAnsi="Verdana" w:cs="Arial"/>
          <w:iCs/>
          <w:lang w:val="es-CO"/>
        </w:rPr>
        <w:t xml:space="preserve">numeral 4 </w:t>
      </w:r>
      <w:r w:rsidRPr="00237702">
        <w:rPr>
          <w:rFonts w:ascii="Verdana" w:hAnsi="Verdana" w:cs="Arial"/>
          <w:iCs/>
          <w:lang w:val="es-CO"/>
        </w:rPr>
        <w:t xml:space="preserve">del </w:t>
      </w:r>
      <w:r>
        <w:rPr>
          <w:rFonts w:ascii="Verdana" w:hAnsi="Verdana" w:cs="Arial"/>
          <w:iCs/>
          <w:lang w:val="es-CO"/>
        </w:rPr>
        <w:t xml:space="preserve">Anexo </w:t>
      </w:r>
      <w:r w:rsidRPr="00237702">
        <w:rPr>
          <w:rFonts w:ascii="Verdana" w:hAnsi="Verdana" w:cs="Arial"/>
          <w:iCs/>
          <w:lang w:val="es-CO"/>
        </w:rPr>
        <w:t xml:space="preserve">de la Resolución CREG </w:t>
      </w:r>
      <w:r>
        <w:rPr>
          <w:rFonts w:ascii="Verdana" w:hAnsi="Verdana" w:cs="Arial"/>
          <w:iCs/>
          <w:lang w:val="es-CO"/>
        </w:rPr>
        <w:t>104 001</w:t>
      </w:r>
      <w:r w:rsidRPr="00237702">
        <w:rPr>
          <w:rFonts w:ascii="Verdana" w:hAnsi="Verdana" w:cs="Arial"/>
          <w:iCs/>
          <w:lang w:val="es-CO"/>
        </w:rPr>
        <w:t xml:space="preserve"> de </w:t>
      </w:r>
      <w:r>
        <w:rPr>
          <w:rFonts w:ascii="Verdana" w:hAnsi="Verdana" w:cs="Arial"/>
          <w:iCs/>
          <w:lang w:val="es-CO"/>
        </w:rPr>
        <w:t xml:space="preserve">2022 </w:t>
      </w:r>
      <w:r w:rsidRPr="00237702">
        <w:rPr>
          <w:rFonts w:ascii="Verdana" w:hAnsi="Verdana" w:cs="Arial"/>
          <w:iCs/>
          <w:lang w:val="es-CO"/>
        </w:rPr>
        <w:t>el cual quedará así:</w:t>
      </w:r>
    </w:p>
    <w:p w14:paraId="20FAC2C7" w14:textId="41D2A798" w:rsidR="000B786C" w:rsidRPr="000B786C" w:rsidRDefault="003D0C5A" w:rsidP="00C61532">
      <w:pPr>
        <w:spacing w:line="276" w:lineRule="auto"/>
        <w:rPr>
          <w:rFonts w:ascii="Verdana" w:hAnsi="Verdana"/>
          <w:b/>
          <w:bCs/>
          <w:szCs w:val="20"/>
          <w:lang w:val="es-CO"/>
        </w:rPr>
      </w:pPr>
      <w:r>
        <w:rPr>
          <w:rFonts w:ascii="Verdana" w:hAnsi="Verdana" w:cs="Arial"/>
          <w:iCs/>
          <w:lang w:val="es-CO"/>
        </w:rPr>
        <w:t>“</w:t>
      </w:r>
      <w:r w:rsidRPr="003D0C5A">
        <w:rPr>
          <w:rFonts w:ascii="Verdana" w:hAnsi="Verdana" w:cs="Arial"/>
          <w:b/>
          <w:bCs/>
          <w:iCs/>
          <w:lang w:val="es-CO"/>
        </w:rPr>
        <w:t xml:space="preserve">4. </w:t>
      </w:r>
      <w:r w:rsidR="000B786C" w:rsidRPr="003D0C5A">
        <w:rPr>
          <w:rFonts w:ascii="Verdana" w:hAnsi="Verdana"/>
          <w:b/>
          <w:bCs/>
          <w:szCs w:val="20"/>
          <w:lang w:val="es-CO"/>
        </w:rPr>
        <w:t>PROCEDIMIENTO</w:t>
      </w:r>
    </w:p>
    <w:p w14:paraId="4F0F1D84" w14:textId="6F8283C7" w:rsidR="000B786C" w:rsidRPr="000B786C" w:rsidRDefault="000B786C" w:rsidP="00C61532">
      <w:pPr>
        <w:numPr>
          <w:ilvl w:val="1"/>
          <w:numId w:val="44"/>
        </w:numPr>
        <w:autoSpaceDE w:val="0"/>
        <w:autoSpaceDN w:val="0"/>
        <w:adjustRightInd w:val="0"/>
        <w:spacing w:line="276" w:lineRule="auto"/>
        <w:rPr>
          <w:rFonts w:ascii="Verdana" w:hAnsi="Verdana"/>
          <w:b/>
          <w:bCs/>
          <w:szCs w:val="20"/>
          <w:lang w:val="es-CO"/>
        </w:rPr>
      </w:pPr>
      <w:r w:rsidRPr="000B786C">
        <w:rPr>
          <w:rFonts w:ascii="Verdana" w:hAnsi="Verdana"/>
          <w:b/>
          <w:bCs/>
          <w:szCs w:val="20"/>
          <w:lang w:val="es-CO"/>
        </w:rPr>
        <w:t>Etapa 1. Envío de información por parte del MME.</w:t>
      </w:r>
    </w:p>
    <w:p w14:paraId="11EC26E6" w14:textId="77777777" w:rsidR="000B786C" w:rsidRPr="000B786C" w:rsidRDefault="000B786C" w:rsidP="00C61532">
      <w:pPr>
        <w:autoSpaceDE w:val="0"/>
        <w:autoSpaceDN w:val="0"/>
        <w:adjustRightInd w:val="0"/>
        <w:spacing w:line="276" w:lineRule="auto"/>
        <w:ind w:left="720"/>
        <w:rPr>
          <w:rFonts w:ascii="Verdana" w:hAnsi="Verdana"/>
          <w:szCs w:val="20"/>
          <w:lang w:val="es-CO"/>
        </w:rPr>
      </w:pPr>
      <w:r w:rsidRPr="000B786C">
        <w:rPr>
          <w:rFonts w:ascii="Verdana" w:hAnsi="Verdana"/>
          <w:szCs w:val="20"/>
          <w:lang w:val="es-CO"/>
        </w:rPr>
        <w:t xml:space="preserve">El </w:t>
      </w:r>
      <w:proofErr w:type="spellStart"/>
      <w:r w:rsidRPr="000B786C">
        <w:rPr>
          <w:rFonts w:ascii="Verdana" w:hAnsi="Verdana"/>
          <w:szCs w:val="20"/>
          <w:lang w:val="es-CO"/>
        </w:rPr>
        <w:t>MME</w:t>
      </w:r>
      <w:proofErr w:type="spellEnd"/>
      <w:r w:rsidRPr="000B786C">
        <w:rPr>
          <w:rFonts w:ascii="Verdana" w:hAnsi="Verdana"/>
          <w:szCs w:val="20"/>
          <w:lang w:val="es-CO"/>
        </w:rPr>
        <w:t xml:space="preserve"> enviará la siguiente información para el cálculo y publicación de los precios de referencia de venta al público: </w:t>
      </w:r>
    </w:p>
    <w:p w14:paraId="2B9D0625" w14:textId="77777777" w:rsidR="000B786C" w:rsidRPr="000B786C" w:rsidRDefault="000B786C" w:rsidP="00C61532">
      <w:pPr>
        <w:numPr>
          <w:ilvl w:val="0"/>
          <w:numId w:val="45"/>
        </w:numPr>
        <w:autoSpaceDE w:val="0"/>
        <w:autoSpaceDN w:val="0"/>
        <w:adjustRightInd w:val="0"/>
        <w:spacing w:line="276" w:lineRule="auto"/>
        <w:rPr>
          <w:rFonts w:ascii="Verdana" w:hAnsi="Verdana"/>
          <w:szCs w:val="20"/>
          <w:lang w:val="es-CO"/>
        </w:rPr>
      </w:pPr>
      <w:r w:rsidRPr="000B786C">
        <w:rPr>
          <w:rFonts w:ascii="Verdana" w:hAnsi="Verdana"/>
          <w:szCs w:val="20"/>
          <w:lang w:val="es-CO"/>
        </w:rPr>
        <w:t xml:space="preserve">El valor del IP de la </w:t>
      </w:r>
      <w:proofErr w:type="spellStart"/>
      <w:r w:rsidRPr="000B786C">
        <w:rPr>
          <w:rFonts w:ascii="Verdana" w:hAnsi="Verdana"/>
          <w:szCs w:val="20"/>
          <w:lang w:val="es-CO"/>
        </w:rPr>
        <w:t>GMC</w:t>
      </w:r>
      <w:proofErr w:type="spellEnd"/>
      <w:r w:rsidRPr="000B786C">
        <w:rPr>
          <w:rFonts w:ascii="Verdana" w:hAnsi="Verdana"/>
          <w:szCs w:val="20"/>
          <w:lang w:val="es-CO"/>
        </w:rPr>
        <w:t>.</w:t>
      </w:r>
    </w:p>
    <w:p w14:paraId="420182F2" w14:textId="77777777" w:rsidR="000B786C" w:rsidRPr="000B786C" w:rsidRDefault="000B786C" w:rsidP="00C61532">
      <w:pPr>
        <w:numPr>
          <w:ilvl w:val="0"/>
          <w:numId w:val="45"/>
        </w:numPr>
        <w:autoSpaceDE w:val="0"/>
        <w:autoSpaceDN w:val="0"/>
        <w:adjustRightInd w:val="0"/>
        <w:spacing w:line="276" w:lineRule="auto"/>
        <w:rPr>
          <w:rFonts w:ascii="Verdana" w:hAnsi="Verdana"/>
          <w:szCs w:val="20"/>
          <w:lang w:val="es-CO"/>
        </w:rPr>
      </w:pPr>
      <w:r w:rsidRPr="000B786C">
        <w:rPr>
          <w:rFonts w:ascii="Verdana" w:hAnsi="Verdana"/>
          <w:szCs w:val="20"/>
          <w:lang w:val="es-CO"/>
        </w:rPr>
        <w:t>El valor del IP del ACPM-Diésel.</w:t>
      </w:r>
    </w:p>
    <w:p w14:paraId="4F095F05" w14:textId="77777777" w:rsidR="000B786C" w:rsidRPr="000B786C" w:rsidRDefault="000B786C" w:rsidP="00C61532">
      <w:pPr>
        <w:numPr>
          <w:ilvl w:val="0"/>
          <w:numId w:val="45"/>
        </w:numPr>
        <w:autoSpaceDE w:val="0"/>
        <w:autoSpaceDN w:val="0"/>
        <w:adjustRightInd w:val="0"/>
        <w:spacing w:line="276" w:lineRule="auto"/>
        <w:rPr>
          <w:rFonts w:ascii="Verdana" w:hAnsi="Verdana"/>
          <w:szCs w:val="20"/>
          <w:lang w:val="es-CO"/>
        </w:rPr>
      </w:pPr>
      <w:r w:rsidRPr="000B786C">
        <w:rPr>
          <w:rFonts w:ascii="Verdana" w:hAnsi="Verdana"/>
          <w:szCs w:val="20"/>
          <w:lang w:val="es-CO"/>
        </w:rPr>
        <w:t>El valor del IP del alcohol carburante.</w:t>
      </w:r>
    </w:p>
    <w:p w14:paraId="358F2C3E" w14:textId="77777777" w:rsidR="000B786C" w:rsidRPr="000B786C" w:rsidRDefault="000B786C" w:rsidP="00C61532">
      <w:pPr>
        <w:numPr>
          <w:ilvl w:val="0"/>
          <w:numId w:val="45"/>
        </w:numPr>
        <w:autoSpaceDE w:val="0"/>
        <w:autoSpaceDN w:val="0"/>
        <w:adjustRightInd w:val="0"/>
        <w:spacing w:line="276" w:lineRule="auto"/>
        <w:rPr>
          <w:rFonts w:ascii="Verdana" w:hAnsi="Verdana"/>
          <w:szCs w:val="20"/>
          <w:lang w:val="es-CO"/>
        </w:rPr>
      </w:pPr>
      <w:r w:rsidRPr="000B786C">
        <w:rPr>
          <w:rFonts w:ascii="Verdana" w:hAnsi="Verdana"/>
          <w:szCs w:val="20"/>
          <w:lang w:val="es-CO"/>
        </w:rPr>
        <w:t>El valor del IP del biocombustible para uso en motores diésel.</w:t>
      </w:r>
    </w:p>
    <w:p w14:paraId="50A10FCD" w14:textId="77777777" w:rsidR="000B786C" w:rsidRPr="000B786C" w:rsidRDefault="000B786C" w:rsidP="00C61532">
      <w:pPr>
        <w:numPr>
          <w:ilvl w:val="0"/>
          <w:numId w:val="45"/>
        </w:numPr>
        <w:autoSpaceDE w:val="0"/>
        <w:autoSpaceDN w:val="0"/>
        <w:adjustRightInd w:val="0"/>
        <w:spacing w:line="276" w:lineRule="auto"/>
        <w:rPr>
          <w:rFonts w:ascii="Verdana" w:hAnsi="Verdana"/>
          <w:szCs w:val="20"/>
          <w:lang w:val="es-CO"/>
        </w:rPr>
      </w:pPr>
      <w:r w:rsidRPr="000B786C">
        <w:rPr>
          <w:rFonts w:ascii="Verdana" w:hAnsi="Verdana"/>
          <w:szCs w:val="20"/>
          <w:lang w:val="es-CO"/>
        </w:rPr>
        <w:t>El porcentaje de las mezclas de los biocombustibles.</w:t>
      </w:r>
    </w:p>
    <w:p w14:paraId="4DE81E0A" w14:textId="77777777" w:rsidR="000B786C" w:rsidRPr="000B786C" w:rsidRDefault="000B786C" w:rsidP="00C61532">
      <w:pPr>
        <w:numPr>
          <w:ilvl w:val="0"/>
          <w:numId w:val="45"/>
        </w:numPr>
        <w:autoSpaceDE w:val="0"/>
        <w:autoSpaceDN w:val="0"/>
        <w:adjustRightInd w:val="0"/>
        <w:spacing w:line="276" w:lineRule="auto"/>
        <w:rPr>
          <w:rFonts w:ascii="Verdana" w:hAnsi="Verdana"/>
          <w:szCs w:val="20"/>
          <w:lang w:val="es-CO"/>
        </w:rPr>
      </w:pPr>
      <w:r w:rsidRPr="000B786C">
        <w:rPr>
          <w:rFonts w:ascii="Verdana" w:hAnsi="Verdana"/>
          <w:szCs w:val="20"/>
          <w:lang w:val="es-CO"/>
        </w:rPr>
        <w:t>Proporcionalidades en zonas de frontera.</w:t>
      </w:r>
    </w:p>
    <w:p w14:paraId="5CD5350E" w14:textId="77777777" w:rsidR="000B786C" w:rsidRPr="000B786C" w:rsidRDefault="000B786C" w:rsidP="00C61532">
      <w:pPr>
        <w:autoSpaceDE w:val="0"/>
        <w:autoSpaceDN w:val="0"/>
        <w:adjustRightInd w:val="0"/>
        <w:spacing w:line="276" w:lineRule="auto"/>
        <w:rPr>
          <w:rFonts w:ascii="Verdana" w:hAnsi="Verdana"/>
          <w:lang w:val="es-CO" w:eastAsia="es-MX"/>
        </w:rPr>
      </w:pPr>
    </w:p>
    <w:p w14:paraId="7A61489A" w14:textId="77777777" w:rsidR="000B786C" w:rsidRDefault="000B786C" w:rsidP="00C61532">
      <w:pPr>
        <w:numPr>
          <w:ilvl w:val="1"/>
          <w:numId w:val="44"/>
        </w:numPr>
        <w:autoSpaceDE w:val="0"/>
        <w:autoSpaceDN w:val="0"/>
        <w:adjustRightInd w:val="0"/>
        <w:spacing w:line="276" w:lineRule="auto"/>
        <w:rPr>
          <w:rFonts w:ascii="Verdana" w:hAnsi="Verdana"/>
          <w:b/>
          <w:bCs/>
          <w:szCs w:val="20"/>
          <w:lang w:val="es-CO"/>
        </w:rPr>
      </w:pPr>
      <w:r w:rsidRPr="000B786C">
        <w:rPr>
          <w:rFonts w:ascii="Verdana" w:hAnsi="Verdana"/>
          <w:b/>
          <w:bCs/>
          <w:szCs w:val="20"/>
          <w:lang w:val="es-CO"/>
        </w:rPr>
        <w:t xml:space="preserve">Etapa 2. Cálculo de las proporciones del IP con base en la información reportada por el </w:t>
      </w:r>
      <w:proofErr w:type="spellStart"/>
      <w:r w:rsidRPr="000B786C">
        <w:rPr>
          <w:rFonts w:ascii="Verdana" w:hAnsi="Verdana"/>
          <w:b/>
          <w:bCs/>
          <w:szCs w:val="20"/>
          <w:lang w:val="es-CO"/>
        </w:rPr>
        <w:t>MME</w:t>
      </w:r>
      <w:proofErr w:type="spellEnd"/>
      <w:r w:rsidRPr="000B786C">
        <w:rPr>
          <w:rFonts w:ascii="Verdana" w:hAnsi="Verdana"/>
          <w:b/>
          <w:bCs/>
          <w:szCs w:val="20"/>
          <w:lang w:val="es-CO"/>
        </w:rPr>
        <w:t xml:space="preserve"> y actualización de parámetros.</w:t>
      </w:r>
    </w:p>
    <w:p w14:paraId="012B3914" w14:textId="77777777" w:rsidR="000B786C" w:rsidRDefault="000B786C" w:rsidP="00C61532">
      <w:pPr>
        <w:autoSpaceDE w:val="0"/>
        <w:autoSpaceDN w:val="0"/>
        <w:adjustRightInd w:val="0"/>
        <w:spacing w:line="276" w:lineRule="auto"/>
        <w:ind w:left="720"/>
        <w:rPr>
          <w:rFonts w:ascii="Verdana" w:hAnsi="Verdana"/>
          <w:szCs w:val="20"/>
          <w:lang w:val="es-CO"/>
        </w:rPr>
      </w:pPr>
      <w:r w:rsidRPr="000B786C">
        <w:rPr>
          <w:rFonts w:ascii="Verdana" w:hAnsi="Verdana"/>
          <w:szCs w:val="20"/>
          <w:lang w:val="es-CO"/>
        </w:rPr>
        <w:t>En esta etapa se calculan las 4 variables siguientes:</w:t>
      </w:r>
    </w:p>
    <w:p w14:paraId="723974ED" w14:textId="59578C08" w:rsidR="000B786C" w:rsidRPr="00A41E8D" w:rsidRDefault="000B786C" w:rsidP="00C61532">
      <w:pPr>
        <w:numPr>
          <w:ilvl w:val="0"/>
          <w:numId w:val="47"/>
        </w:numPr>
        <w:autoSpaceDE w:val="0"/>
        <w:autoSpaceDN w:val="0"/>
        <w:adjustRightInd w:val="0"/>
        <w:spacing w:line="276" w:lineRule="auto"/>
        <w:rPr>
          <w:rFonts w:ascii="Verdana" w:hAnsi="Verdana"/>
          <w:szCs w:val="20"/>
          <w:lang w:val="es-CO"/>
        </w:rPr>
      </w:pPr>
      <w:r w:rsidRPr="000B786C">
        <w:rPr>
          <w:rFonts w:ascii="Verdana" w:hAnsi="Verdana"/>
          <w:b/>
          <w:bCs/>
          <w:szCs w:val="20"/>
          <w:lang w:val="es-CO"/>
        </w:rPr>
        <w:t xml:space="preserve">Proporción del IP </w:t>
      </w:r>
      <w:proofErr w:type="spellStart"/>
      <w:r w:rsidRPr="000B786C">
        <w:rPr>
          <w:rFonts w:ascii="Verdana" w:hAnsi="Verdana"/>
          <w:b/>
          <w:bCs/>
          <w:szCs w:val="20"/>
          <w:lang w:val="es-CO"/>
        </w:rPr>
        <w:t>GMC</w:t>
      </w:r>
      <w:proofErr w:type="spellEnd"/>
      <w:r w:rsidRPr="000B786C">
        <w:rPr>
          <w:rFonts w:ascii="Verdana" w:hAnsi="Verdana"/>
          <w:b/>
          <w:bCs/>
          <w:szCs w:val="20"/>
          <w:lang w:val="es-CO"/>
        </w:rPr>
        <w:t xml:space="preserve">: </w:t>
      </w:r>
      <w:r w:rsidRPr="000B786C">
        <w:rPr>
          <w:rFonts w:ascii="Verdana" w:hAnsi="Verdana"/>
          <w:szCs w:val="20"/>
          <w:lang w:val="es-CO"/>
        </w:rPr>
        <w:t xml:space="preserve">Es el valor resultante de aplicar lo establecido en el numeral </w:t>
      </w:r>
      <w:r w:rsidRPr="00A41E8D">
        <w:rPr>
          <w:rFonts w:ascii="Verdana" w:hAnsi="Verdana"/>
          <w:szCs w:val="20"/>
          <w:lang w:val="es-CO"/>
        </w:rPr>
        <w:t>4.1 del artículo 4 de l</w:t>
      </w:r>
      <w:r w:rsidR="00296651" w:rsidRPr="00A41E8D">
        <w:rPr>
          <w:rFonts w:ascii="Verdana" w:hAnsi="Verdana"/>
          <w:szCs w:val="20"/>
          <w:lang w:val="es-CO"/>
        </w:rPr>
        <w:t xml:space="preserve">os proyectos </w:t>
      </w:r>
      <w:r w:rsidR="00931B84" w:rsidRPr="00A41E8D">
        <w:rPr>
          <w:rFonts w:ascii="Verdana" w:hAnsi="Verdana"/>
          <w:szCs w:val="20"/>
          <w:lang w:val="es-CO"/>
        </w:rPr>
        <w:t xml:space="preserve">contenidos en la </w:t>
      </w:r>
      <w:r w:rsidRPr="00A41E8D">
        <w:rPr>
          <w:rFonts w:ascii="Verdana" w:hAnsi="Verdana"/>
          <w:szCs w:val="20"/>
          <w:lang w:val="es-CO"/>
        </w:rPr>
        <w:t xml:space="preserve">Resolución </w:t>
      </w:r>
      <w:r w:rsidR="00DD2B72" w:rsidRPr="00A41E8D">
        <w:rPr>
          <w:rFonts w:ascii="Verdana" w:hAnsi="Verdana"/>
          <w:szCs w:val="20"/>
          <w:lang w:val="es-CO"/>
        </w:rPr>
        <w:t xml:space="preserve">704 004 </w:t>
      </w:r>
      <w:r w:rsidRPr="00A41E8D">
        <w:rPr>
          <w:rFonts w:ascii="Verdana" w:hAnsi="Verdana"/>
          <w:szCs w:val="20"/>
          <w:lang w:val="es-CO"/>
        </w:rPr>
        <w:t xml:space="preserve">de </w:t>
      </w:r>
      <w:r w:rsidR="00DD2B72" w:rsidRPr="00A41E8D">
        <w:rPr>
          <w:rFonts w:ascii="Verdana" w:hAnsi="Verdana"/>
          <w:szCs w:val="20"/>
          <w:lang w:val="es-CO"/>
        </w:rPr>
        <w:t xml:space="preserve">2025 </w:t>
      </w:r>
      <w:r w:rsidRPr="00A41E8D">
        <w:rPr>
          <w:rFonts w:ascii="Verdana" w:hAnsi="Verdana"/>
          <w:szCs w:val="20"/>
          <w:lang w:val="es-CO"/>
        </w:rPr>
        <w:t xml:space="preserve">y </w:t>
      </w:r>
      <w:r w:rsidR="00931B84" w:rsidRPr="00A41E8D">
        <w:rPr>
          <w:rFonts w:ascii="Verdana" w:hAnsi="Verdana"/>
          <w:szCs w:val="20"/>
          <w:lang w:val="es-CO"/>
        </w:rPr>
        <w:t xml:space="preserve">la </w:t>
      </w:r>
      <w:r w:rsidRPr="00A41E8D">
        <w:rPr>
          <w:rFonts w:ascii="Verdana" w:hAnsi="Verdana"/>
          <w:szCs w:val="20"/>
          <w:lang w:val="es-CO"/>
        </w:rPr>
        <w:t xml:space="preserve">Resolución </w:t>
      </w:r>
      <w:r w:rsidR="00DD2B72" w:rsidRPr="00A41E8D">
        <w:rPr>
          <w:rFonts w:ascii="Verdana" w:hAnsi="Verdana"/>
          <w:szCs w:val="20"/>
          <w:lang w:val="es-CO"/>
        </w:rPr>
        <w:t xml:space="preserve">704 005 </w:t>
      </w:r>
      <w:r w:rsidRPr="00A41E8D">
        <w:rPr>
          <w:rFonts w:ascii="Verdana" w:hAnsi="Verdana"/>
          <w:szCs w:val="20"/>
          <w:lang w:val="es-CO"/>
        </w:rPr>
        <w:t xml:space="preserve">de </w:t>
      </w:r>
      <w:r w:rsidR="00DD2B72" w:rsidRPr="00A41E8D">
        <w:rPr>
          <w:rFonts w:ascii="Verdana" w:hAnsi="Verdana"/>
          <w:szCs w:val="20"/>
          <w:lang w:val="es-CO"/>
        </w:rPr>
        <w:t>2025</w:t>
      </w:r>
      <w:r w:rsidRPr="00A41E8D">
        <w:rPr>
          <w:rFonts w:ascii="Verdana" w:hAnsi="Verdana"/>
          <w:szCs w:val="20"/>
          <w:lang w:val="es-CO"/>
        </w:rPr>
        <w:t xml:space="preserve">, o aquella que la modifique, adicione o sustituya, de acuerdo con el valor del ingreso al productor de la </w:t>
      </w:r>
      <w:proofErr w:type="spellStart"/>
      <w:r w:rsidRPr="00A41E8D">
        <w:rPr>
          <w:rFonts w:ascii="Verdana" w:hAnsi="Verdana"/>
          <w:szCs w:val="20"/>
          <w:lang w:val="es-CO"/>
        </w:rPr>
        <w:t>GMC</w:t>
      </w:r>
      <w:proofErr w:type="spellEnd"/>
      <w:r w:rsidRPr="00A41E8D">
        <w:rPr>
          <w:rFonts w:ascii="Verdana" w:hAnsi="Verdana"/>
          <w:szCs w:val="20"/>
          <w:lang w:val="es-CO"/>
        </w:rPr>
        <w:t xml:space="preserve"> y el nivel de mezcla reportados por el </w:t>
      </w:r>
      <w:proofErr w:type="spellStart"/>
      <w:r w:rsidRPr="00A41E8D">
        <w:rPr>
          <w:rFonts w:ascii="Verdana" w:hAnsi="Verdana"/>
          <w:szCs w:val="20"/>
          <w:lang w:val="es-CO"/>
        </w:rPr>
        <w:t>MME</w:t>
      </w:r>
      <w:proofErr w:type="spellEnd"/>
      <w:r w:rsidRPr="00A41E8D">
        <w:rPr>
          <w:rFonts w:ascii="Verdana" w:hAnsi="Verdana"/>
          <w:szCs w:val="20"/>
          <w:lang w:val="es-CO"/>
        </w:rPr>
        <w:t xml:space="preserve"> en la etapa 1.</w:t>
      </w:r>
    </w:p>
    <w:p w14:paraId="21479EF0" w14:textId="5C6927E5" w:rsidR="000B786C" w:rsidRPr="00A41E8D" w:rsidRDefault="000B786C" w:rsidP="00C61532">
      <w:pPr>
        <w:numPr>
          <w:ilvl w:val="0"/>
          <w:numId w:val="47"/>
        </w:numPr>
        <w:autoSpaceDE w:val="0"/>
        <w:autoSpaceDN w:val="0"/>
        <w:adjustRightInd w:val="0"/>
        <w:spacing w:line="276" w:lineRule="auto"/>
        <w:rPr>
          <w:rFonts w:ascii="Verdana" w:hAnsi="Verdana"/>
          <w:szCs w:val="20"/>
          <w:lang w:val="es-CO"/>
        </w:rPr>
      </w:pPr>
      <w:r w:rsidRPr="00A41E8D">
        <w:rPr>
          <w:rFonts w:ascii="Verdana" w:hAnsi="Verdana"/>
          <w:b/>
          <w:bCs/>
          <w:szCs w:val="20"/>
          <w:lang w:val="es-CO"/>
        </w:rPr>
        <w:t xml:space="preserve">Proporción del IP del alcohol carburante: </w:t>
      </w:r>
      <w:r w:rsidRPr="00A41E8D">
        <w:rPr>
          <w:rFonts w:ascii="Verdana" w:hAnsi="Verdana"/>
          <w:szCs w:val="20"/>
          <w:lang w:val="es-CO"/>
        </w:rPr>
        <w:t>Es el valor resultante de aplicar lo establecido en el numeral 4.2 del artículo 4 de l</w:t>
      </w:r>
      <w:r w:rsidR="00931B84" w:rsidRPr="00A41E8D">
        <w:rPr>
          <w:rFonts w:ascii="Verdana" w:hAnsi="Verdana"/>
          <w:szCs w:val="20"/>
          <w:lang w:val="es-CO"/>
        </w:rPr>
        <w:t xml:space="preserve">os proyectos contenidos en la </w:t>
      </w:r>
      <w:r w:rsidRPr="00A41E8D">
        <w:rPr>
          <w:rFonts w:ascii="Verdana" w:hAnsi="Verdana"/>
          <w:szCs w:val="20"/>
          <w:lang w:val="es-CO"/>
        </w:rPr>
        <w:t xml:space="preserve">Resolución </w:t>
      </w:r>
      <w:r w:rsidR="00DD2B72" w:rsidRPr="00A41E8D">
        <w:rPr>
          <w:rFonts w:ascii="Verdana" w:hAnsi="Verdana"/>
          <w:szCs w:val="20"/>
          <w:lang w:val="es-CO"/>
        </w:rPr>
        <w:t xml:space="preserve">704 004 de 2025 </w:t>
      </w:r>
      <w:r w:rsidRPr="00A41E8D">
        <w:rPr>
          <w:rFonts w:ascii="Verdana" w:hAnsi="Verdana"/>
          <w:szCs w:val="20"/>
          <w:lang w:val="es-CO"/>
        </w:rPr>
        <w:t xml:space="preserve">y </w:t>
      </w:r>
      <w:r w:rsidR="00931B84" w:rsidRPr="00A41E8D">
        <w:rPr>
          <w:rFonts w:ascii="Verdana" w:hAnsi="Verdana"/>
          <w:szCs w:val="20"/>
          <w:lang w:val="es-CO"/>
        </w:rPr>
        <w:t xml:space="preserve">la </w:t>
      </w:r>
      <w:r w:rsidRPr="00A41E8D">
        <w:rPr>
          <w:rFonts w:ascii="Verdana" w:hAnsi="Verdana"/>
          <w:szCs w:val="20"/>
          <w:lang w:val="es-CO"/>
        </w:rPr>
        <w:t xml:space="preserve">Resolución </w:t>
      </w:r>
      <w:r w:rsidR="00DD2B72" w:rsidRPr="00A41E8D">
        <w:rPr>
          <w:rFonts w:ascii="Verdana" w:hAnsi="Verdana"/>
          <w:szCs w:val="20"/>
          <w:lang w:val="es-CO"/>
        </w:rPr>
        <w:t xml:space="preserve">704 005 </w:t>
      </w:r>
      <w:r w:rsidRPr="00A41E8D">
        <w:rPr>
          <w:rFonts w:ascii="Verdana" w:hAnsi="Verdana"/>
          <w:szCs w:val="20"/>
          <w:lang w:val="es-CO"/>
        </w:rPr>
        <w:t xml:space="preserve">de </w:t>
      </w:r>
      <w:r w:rsidR="00DD2B72" w:rsidRPr="00A41E8D">
        <w:rPr>
          <w:rFonts w:ascii="Verdana" w:hAnsi="Verdana"/>
          <w:szCs w:val="20"/>
          <w:lang w:val="es-CO"/>
        </w:rPr>
        <w:t>2025</w:t>
      </w:r>
      <w:r w:rsidRPr="00A41E8D">
        <w:rPr>
          <w:rFonts w:ascii="Verdana" w:hAnsi="Verdana"/>
          <w:szCs w:val="20"/>
          <w:lang w:val="es-CO"/>
        </w:rPr>
        <w:t xml:space="preserve">, o aquella que la modifique, adicione o sustituya, de acuerdo con el valor del ingreso al productor del alcohol carburante y el nivel de mezcla reportados por el </w:t>
      </w:r>
      <w:proofErr w:type="spellStart"/>
      <w:r w:rsidRPr="00A41E8D">
        <w:rPr>
          <w:rFonts w:ascii="Verdana" w:hAnsi="Verdana"/>
          <w:szCs w:val="20"/>
          <w:lang w:val="es-CO"/>
        </w:rPr>
        <w:t>MME</w:t>
      </w:r>
      <w:proofErr w:type="spellEnd"/>
      <w:r w:rsidRPr="00A41E8D">
        <w:rPr>
          <w:rFonts w:ascii="Verdana" w:hAnsi="Verdana"/>
          <w:szCs w:val="20"/>
          <w:lang w:val="es-CO"/>
        </w:rPr>
        <w:t xml:space="preserve"> en la etapa 1.</w:t>
      </w:r>
    </w:p>
    <w:p w14:paraId="53A91F59" w14:textId="18D0138B" w:rsidR="000B786C" w:rsidRDefault="000B786C" w:rsidP="00C61532">
      <w:pPr>
        <w:numPr>
          <w:ilvl w:val="0"/>
          <w:numId w:val="47"/>
        </w:numPr>
        <w:autoSpaceDE w:val="0"/>
        <w:autoSpaceDN w:val="0"/>
        <w:adjustRightInd w:val="0"/>
        <w:spacing w:line="276" w:lineRule="auto"/>
        <w:rPr>
          <w:rFonts w:ascii="Verdana" w:hAnsi="Verdana"/>
          <w:szCs w:val="20"/>
          <w:lang w:val="es-CO"/>
        </w:rPr>
      </w:pPr>
      <w:r w:rsidRPr="00A41E8D">
        <w:rPr>
          <w:rFonts w:ascii="Verdana" w:hAnsi="Verdana"/>
          <w:b/>
          <w:bCs/>
          <w:szCs w:val="20"/>
          <w:lang w:val="es-CO"/>
        </w:rPr>
        <w:t xml:space="preserve">Proporción del IP ACPM-Diésel: </w:t>
      </w:r>
      <w:r w:rsidRPr="00A41E8D">
        <w:rPr>
          <w:rFonts w:ascii="Verdana" w:hAnsi="Verdana"/>
          <w:szCs w:val="20"/>
          <w:lang w:val="es-CO"/>
        </w:rPr>
        <w:t>Es el valor resultante de aplicar lo establecido en el numeral 4.1 del artículo 4 de l</w:t>
      </w:r>
      <w:r w:rsidR="006C7612" w:rsidRPr="00A41E8D">
        <w:rPr>
          <w:rFonts w:ascii="Verdana" w:hAnsi="Verdana"/>
          <w:szCs w:val="20"/>
          <w:lang w:val="es-CO"/>
        </w:rPr>
        <w:t xml:space="preserve">os proyectos contenidos en la </w:t>
      </w:r>
      <w:r w:rsidRPr="00A41E8D">
        <w:rPr>
          <w:rFonts w:ascii="Verdana" w:hAnsi="Verdana"/>
          <w:szCs w:val="20"/>
          <w:lang w:val="es-CO"/>
        </w:rPr>
        <w:t xml:space="preserve">Resolución </w:t>
      </w:r>
      <w:r w:rsidR="006C7612" w:rsidRPr="00A41E8D">
        <w:rPr>
          <w:rFonts w:ascii="Verdana" w:hAnsi="Verdana"/>
          <w:szCs w:val="20"/>
          <w:lang w:val="es-CO"/>
        </w:rPr>
        <w:t xml:space="preserve">704 004 </w:t>
      </w:r>
      <w:r w:rsidRPr="00A41E8D">
        <w:rPr>
          <w:rFonts w:ascii="Verdana" w:hAnsi="Verdana"/>
          <w:szCs w:val="20"/>
          <w:lang w:val="es-CO"/>
        </w:rPr>
        <w:t xml:space="preserve">de </w:t>
      </w:r>
      <w:r w:rsidR="006C7612" w:rsidRPr="00A41E8D">
        <w:rPr>
          <w:rFonts w:ascii="Verdana" w:hAnsi="Verdana"/>
          <w:szCs w:val="20"/>
          <w:lang w:val="es-CO"/>
        </w:rPr>
        <w:t xml:space="preserve">2025 </w:t>
      </w:r>
      <w:r w:rsidRPr="00A41E8D">
        <w:rPr>
          <w:rFonts w:ascii="Verdana" w:hAnsi="Verdana"/>
          <w:szCs w:val="20"/>
          <w:lang w:val="es-CO"/>
        </w:rPr>
        <w:t xml:space="preserve">y </w:t>
      </w:r>
      <w:r w:rsidR="006C7612" w:rsidRPr="00A41E8D">
        <w:rPr>
          <w:rFonts w:ascii="Verdana" w:hAnsi="Verdana"/>
          <w:szCs w:val="20"/>
          <w:lang w:val="es-CO"/>
        </w:rPr>
        <w:t xml:space="preserve">la </w:t>
      </w:r>
      <w:r w:rsidRPr="00A41E8D">
        <w:rPr>
          <w:rFonts w:ascii="Verdana" w:hAnsi="Verdana"/>
          <w:szCs w:val="20"/>
          <w:lang w:val="es-CO"/>
        </w:rPr>
        <w:t xml:space="preserve">Resolución </w:t>
      </w:r>
      <w:r w:rsidR="006C7612" w:rsidRPr="00A41E8D">
        <w:rPr>
          <w:rFonts w:ascii="Verdana" w:hAnsi="Verdana"/>
          <w:szCs w:val="20"/>
          <w:lang w:val="es-CO"/>
        </w:rPr>
        <w:t xml:space="preserve">704 </w:t>
      </w:r>
      <w:r w:rsidR="006C7612" w:rsidRPr="00A41E8D">
        <w:rPr>
          <w:rFonts w:ascii="Verdana" w:hAnsi="Verdana"/>
          <w:szCs w:val="20"/>
          <w:lang w:val="es-CO"/>
        </w:rPr>
        <w:lastRenderedPageBreak/>
        <w:t>005 de 2025</w:t>
      </w:r>
      <w:r w:rsidRPr="00A41E8D">
        <w:rPr>
          <w:rFonts w:ascii="Verdana" w:hAnsi="Verdana"/>
          <w:szCs w:val="20"/>
          <w:lang w:val="es-CO"/>
        </w:rPr>
        <w:t>, o aquella que la modifique</w:t>
      </w:r>
      <w:r w:rsidRPr="000B786C">
        <w:rPr>
          <w:rFonts w:ascii="Verdana" w:hAnsi="Verdana"/>
          <w:szCs w:val="20"/>
          <w:lang w:val="es-CO"/>
        </w:rPr>
        <w:t xml:space="preserve">, adicione o sustituya, de acuerdo con el valor del ingreso al productor del ACPM-Diésel y el nivel de mezcla los reportados por el </w:t>
      </w:r>
      <w:proofErr w:type="spellStart"/>
      <w:r w:rsidRPr="000B786C">
        <w:rPr>
          <w:rFonts w:ascii="Verdana" w:hAnsi="Verdana"/>
          <w:szCs w:val="20"/>
          <w:lang w:val="es-CO"/>
        </w:rPr>
        <w:t>MME</w:t>
      </w:r>
      <w:proofErr w:type="spellEnd"/>
      <w:r w:rsidRPr="000B786C">
        <w:rPr>
          <w:rFonts w:ascii="Verdana" w:hAnsi="Verdana"/>
          <w:szCs w:val="20"/>
          <w:lang w:val="es-CO"/>
        </w:rPr>
        <w:t xml:space="preserve"> en la etapa 1.</w:t>
      </w:r>
    </w:p>
    <w:p w14:paraId="1A248216" w14:textId="13404BD9" w:rsidR="000B786C" w:rsidRPr="000B786C" w:rsidRDefault="000B786C" w:rsidP="00C61532">
      <w:pPr>
        <w:numPr>
          <w:ilvl w:val="0"/>
          <w:numId w:val="47"/>
        </w:numPr>
        <w:autoSpaceDE w:val="0"/>
        <w:autoSpaceDN w:val="0"/>
        <w:adjustRightInd w:val="0"/>
        <w:spacing w:line="276" w:lineRule="auto"/>
        <w:rPr>
          <w:rFonts w:ascii="Verdana" w:hAnsi="Verdana"/>
          <w:szCs w:val="20"/>
          <w:lang w:val="es-CO"/>
        </w:rPr>
      </w:pPr>
      <w:r w:rsidRPr="000B786C">
        <w:rPr>
          <w:rFonts w:ascii="Verdana" w:hAnsi="Verdana"/>
          <w:b/>
          <w:bCs/>
          <w:szCs w:val="20"/>
          <w:lang w:val="es-CO"/>
        </w:rPr>
        <w:t xml:space="preserve">Proporción del IP del biocombustible para uso en motores diésel: </w:t>
      </w:r>
      <w:r w:rsidRPr="000B786C">
        <w:rPr>
          <w:rFonts w:ascii="Verdana" w:hAnsi="Verdana"/>
          <w:szCs w:val="20"/>
          <w:lang w:val="es-CO"/>
        </w:rPr>
        <w:t xml:space="preserve">Es el valor resultante de aplicar lo establecido en </w:t>
      </w:r>
      <w:r w:rsidRPr="009C31A7">
        <w:rPr>
          <w:rFonts w:ascii="Verdana" w:hAnsi="Verdana"/>
          <w:szCs w:val="20"/>
          <w:lang w:val="es-CO"/>
        </w:rPr>
        <w:t>el numeral 4.2 de</w:t>
      </w:r>
      <w:r w:rsidR="009C31A7" w:rsidRPr="009C31A7">
        <w:rPr>
          <w:rFonts w:ascii="Verdana" w:hAnsi="Verdana"/>
          <w:szCs w:val="20"/>
          <w:lang w:val="es-CO"/>
        </w:rPr>
        <w:t>l</w:t>
      </w:r>
      <w:r w:rsidRPr="009C31A7">
        <w:rPr>
          <w:rFonts w:ascii="Verdana" w:hAnsi="Verdana"/>
          <w:szCs w:val="20"/>
          <w:lang w:val="es-CO"/>
        </w:rPr>
        <w:t xml:space="preserve"> artículo 4 de l</w:t>
      </w:r>
      <w:r w:rsidR="009C31A7" w:rsidRPr="009C31A7">
        <w:rPr>
          <w:rFonts w:ascii="Verdana" w:hAnsi="Verdana"/>
          <w:szCs w:val="20"/>
          <w:lang w:val="es-CO"/>
        </w:rPr>
        <w:t>os proyectos contenidos en la</w:t>
      </w:r>
      <w:r w:rsidRPr="009C31A7">
        <w:rPr>
          <w:rFonts w:ascii="Verdana" w:hAnsi="Verdana"/>
          <w:szCs w:val="20"/>
          <w:lang w:val="es-CO"/>
        </w:rPr>
        <w:t xml:space="preserve"> Resolución </w:t>
      </w:r>
      <w:r w:rsidR="009C31A7" w:rsidRPr="009C31A7">
        <w:rPr>
          <w:rFonts w:ascii="Verdana" w:hAnsi="Verdana"/>
          <w:szCs w:val="20"/>
          <w:lang w:val="es-CO"/>
        </w:rPr>
        <w:t xml:space="preserve">704 004 de 2025 </w:t>
      </w:r>
      <w:r w:rsidRPr="009C31A7">
        <w:rPr>
          <w:rFonts w:ascii="Verdana" w:hAnsi="Verdana"/>
          <w:szCs w:val="20"/>
          <w:lang w:val="es-CO"/>
        </w:rPr>
        <w:t xml:space="preserve">y </w:t>
      </w:r>
      <w:r w:rsidR="009C31A7" w:rsidRPr="009C31A7">
        <w:rPr>
          <w:rFonts w:ascii="Verdana" w:hAnsi="Verdana"/>
          <w:szCs w:val="20"/>
          <w:lang w:val="es-CO"/>
        </w:rPr>
        <w:t xml:space="preserve">la </w:t>
      </w:r>
      <w:r w:rsidRPr="009C31A7">
        <w:rPr>
          <w:rFonts w:ascii="Verdana" w:hAnsi="Verdana"/>
          <w:szCs w:val="20"/>
          <w:lang w:val="es-CO"/>
        </w:rPr>
        <w:t xml:space="preserve">Resolución </w:t>
      </w:r>
      <w:r w:rsidR="009C31A7" w:rsidRPr="009C31A7">
        <w:rPr>
          <w:rFonts w:ascii="Verdana" w:hAnsi="Verdana"/>
          <w:szCs w:val="20"/>
          <w:lang w:val="es-CO"/>
        </w:rPr>
        <w:t>704 005 de 2025</w:t>
      </w:r>
      <w:r w:rsidRPr="009C31A7">
        <w:rPr>
          <w:rFonts w:ascii="Verdana" w:hAnsi="Verdana"/>
          <w:szCs w:val="20"/>
          <w:lang w:val="es-CO"/>
        </w:rPr>
        <w:t>, o aquella</w:t>
      </w:r>
      <w:r w:rsidRPr="000B786C">
        <w:rPr>
          <w:rFonts w:ascii="Verdana" w:hAnsi="Verdana"/>
          <w:szCs w:val="20"/>
          <w:lang w:val="es-CO"/>
        </w:rPr>
        <w:t xml:space="preserve"> que la modifique, adicione o sustituya, de acuerdo con valor del IP del biocombustible para uso en motores diésel y el nivel de mezcla reportados por el </w:t>
      </w:r>
      <w:proofErr w:type="spellStart"/>
      <w:r w:rsidRPr="000B786C">
        <w:rPr>
          <w:rFonts w:ascii="Verdana" w:hAnsi="Verdana"/>
          <w:szCs w:val="20"/>
          <w:lang w:val="es-CO"/>
        </w:rPr>
        <w:t>MME</w:t>
      </w:r>
      <w:proofErr w:type="spellEnd"/>
      <w:r w:rsidRPr="000B786C">
        <w:rPr>
          <w:rFonts w:ascii="Verdana" w:hAnsi="Verdana"/>
          <w:szCs w:val="20"/>
          <w:lang w:val="es-CO"/>
        </w:rPr>
        <w:t xml:space="preserve"> en la etapa 1.</w:t>
      </w:r>
    </w:p>
    <w:p w14:paraId="059F36ED" w14:textId="77777777" w:rsidR="000B786C" w:rsidRPr="000B786C" w:rsidRDefault="000B786C" w:rsidP="00C61532">
      <w:pPr>
        <w:autoSpaceDE w:val="0"/>
        <w:autoSpaceDN w:val="0"/>
        <w:adjustRightInd w:val="0"/>
        <w:spacing w:line="276" w:lineRule="auto"/>
        <w:jc w:val="center"/>
        <w:rPr>
          <w:rFonts w:ascii="Verdana" w:hAnsi="Verdana"/>
          <w:lang w:val="es-CO"/>
        </w:rPr>
      </w:pPr>
    </w:p>
    <w:p w14:paraId="480AC6AA" w14:textId="77777777" w:rsidR="000B786C" w:rsidRPr="000B786C" w:rsidRDefault="000B786C" w:rsidP="00C61532">
      <w:pPr>
        <w:numPr>
          <w:ilvl w:val="1"/>
          <w:numId w:val="44"/>
        </w:numPr>
        <w:autoSpaceDE w:val="0"/>
        <w:autoSpaceDN w:val="0"/>
        <w:adjustRightInd w:val="0"/>
        <w:spacing w:line="276" w:lineRule="auto"/>
        <w:rPr>
          <w:rFonts w:ascii="Verdana" w:hAnsi="Verdana"/>
          <w:b/>
          <w:bCs/>
          <w:szCs w:val="20"/>
          <w:lang w:val="es-CO"/>
        </w:rPr>
      </w:pPr>
      <w:r w:rsidRPr="000B786C">
        <w:rPr>
          <w:rFonts w:ascii="Verdana" w:hAnsi="Verdana"/>
          <w:b/>
          <w:bCs/>
          <w:szCs w:val="20"/>
          <w:lang w:val="es-CO"/>
        </w:rPr>
        <w:t>Etapa 3. Cálculo de las componentes de la estructura de precios.</w:t>
      </w:r>
    </w:p>
    <w:p w14:paraId="607433CF" w14:textId="3F0DDB04" w:rsidR="000B786C" w:rsidRPr="000B786C" w:rsidRDefault="000B786C" w:rsidP="00C61532">
      <w:pPr>
        <w:autoSpaceDE w:val="0"/>
        <w:autoSpaceDN w:val="0"/>
        <w:adjustRightInd w:val="0"/>
        <w:spacing w:line="276" w:lineRule="auto"/>
        <w:ind w:left="720"/>
        <w:rPr>
          <w:rFonts w:ascii="Verdana" w:hAnsi="Verdana"/>
          <w:i/>
          <w:iCs/>
          <w:szCs w:val="20"/>
          <w:lang w:val="es-CO"/>
        </w:rPr>
      </w:pPr>
      <w:r w:rsidRPr="000B786C">
        <w:rPr>
          <w:rFonts w:ascii="Verdana" w:hAnsi="Verdana"/>
          <w:szCs w:val="20"/>
          <w:lang w:val="es-CO"/>
        </w:rPr>
        <w:t xml:space="preserve">En esta etapa se realiza el cálculo de los componentes de la estructura de precios de acuerdo con lo establecido en los artículos 3 al 10 </w:t>
      </w:r>
      <w:r w:rsidRPr="00870188">
        <w:rPr>
          <w:rFonts w:ascii="Verdana" w:hAnsi="Verdana"/>
          <w:szCs w:val="20"/>
          <w:lang w:val="es-CO"/>
        </w:rPr>
        <w:t>de la</w:t>
      </w:r>
      <w:r w:rsidR="00870188">
        <w:rPr>
          <w:rFonts w:ascii="Verdana" w:hAnsi="Verdana"/>
          <w:szCs w:val="20"/>
          <w:lang w:val="es-CO"/>
        </w:rPr>
        <w:t>s</w:t>
      </w:r>
      <w:r w:rsidRPr="00870188">
        <w:rPr>
          <w:rFonts w:ascii="Verdana" w:hAnsi="Verdana"/>
          <w:szCs w:val="20"/>
          <w:lang w:val="es-CO"/>
        </w:rPr>
        <w:t xml:space="preserve"> </w:t>
      </w:r>
      <w:r w:rsidR="00870188" w:rsidRPr="00870188">
        <w:rPr>
          <w:rFonts w:ascii="Verdana" w:hAnsi="Verdana"/>
          <w:szCs w:val="20"/>
          <w:lang w:val="es-CO"/>
        </w:rPr>
        <w:t>r</w:t>
      </w:r>
      <w:r w:rsidRPr="00870188">
        <w:rPr>
          <w:rFonts w:ascii="Verdana" w:hAnsi="Verdana"/>
          <w:szCs w:val="20"/>
          <w:lang w:val="es-CO"/>
        </w:rPr>
        <w:t xml:space="preserve">esoluciones </w:t>
      </w:r>
      <w:r w:rsidR="009A5C72" w:rsidRPr="00870188">
        <w:rPr>
          <w:rFonts w:ascii="Verdana" w:hAnsi="Verdana"/>
          <w:szCs w:val="20"/>
          <w:lang w:val="es-CO"/>
        </w:rPr>
        <w:t xml:space="preserve">704 004 de 2025 </w:t>
      </w:r>
      <w:r w:rsidRPr="00870188">
        <w:rPr>
          <w:rFonts w:ascii="Verdana" w:hAnsi="Verdana"/>
          <w:szCs w:val="20"/>
          <w:lang w:val="es-CO"/>
        </w:rPr>
        <w:t xml:space="preserve">y </w:t>
      </w:r>
      <w:r w:rsidR="00870188" w:rsidRPr="00870188">
        <w:rPr>
          <w:rFonts w:ascii="Verdana" w:hAnsi="Verdana"/>
          <w:szCs w:val="20"/>
          <w:lang w:val="es-CO"/>
        </w:rPr>
        <w:t>704 005 de 2025</w:t>
      </w:r>
      <w:r w:rsidRPr="00870188">
        <w:rPr>
          <w:rFonts w:ascii="Verdana" w:hAnsi="Verdana"/>
          <w:szCs w:val="20"/>
          <w:lang w:val="es-CO"/>
        </w:rPr>
        <w:t xml:space="preserve"> o aquellas que las modifiquen, adicionen o sustituyan.</w:t>
      </w:r>
    </w:p>
    <w:p w14:paraId="64F4740C" w14:textId="77777777" w:rsidR="000B786C" w:rsidRPr="000B786C" w:rsidRDefault="000B786C" w:rsidP="00C61532">
      <w:pPr>
        <w:autoSpaceDE w:val="0"/>
        <w:autoSpaceDN w:val="0"/>
        <w:adjustRightInd w:val="0"/>
        <w:spacing w:line="276" w:lineRule="auto"/>
        <w:ind w:left="1080"/>
        <w:rPr>
          <w:rFonts w:ascii="Verdana" w:hAnsi="Verdana"/>
          <w:szCs w:val="20"/>
          <w:lang w:val="es-CO"/>
        </w:rPr>
      </w:pPr>
    </w:p>
    <w:p w14:paraId="1114E720" w14:textId="77777777" w:rsidR="000B786C" w:rsidRPr="000B786C" w:rsidRDefault="000B786C" w:rsidP="00C61532">
      <w:pPr>
        <w:numPr>
          <w:ilvl w:val="1"/>
          <w:numId w:val="44"/>
        </w:numPr>
        <w:autoSpaceDE w:val="0"/>
        <w:autoSpaceDN w:val="0"/>
        <w:adjustRightInd w:val="0"/>
        <w:spacing w:line="276" w:lineRule="auto"/>
        <w:rPr>
          <w:rFonts w:ascii="Verdana" w:hAnsi="Verdana"/>
          <w:b/>
          <w:bCs/>
          <w:szCs w:val="20"/>
          <w:lang w:val="es-CO"/>
        </w:rPr>
      </w:pPr>
      <w:r w:rsidRPr="000B786C">
        <w:rPr>
          <w:rFonts w:ascii="Verdana" w:hAnsi="Verdana"/>
          <w:b/>
          <w:bCs/>
          <w:szCs w:val="20"/>
          <w:lang w:val="es-CO"/>
        </w:rPr>
        <w:t xml:space="preserve">Etapa 4. Cálculo del </w:t>
      </w:r>
      <w:proofErr w:type="spellStart"/>
      <w:r w:rsidRPr="000B786C">
        <w:rPr>
          <w:rFonts w:ascii="Verdana" w:hAnsi="Verdana"/>
          <w:b/>
          <w:bCs/>
          <w:szCs w:val="20"/>
          <w:lang w:val="es-CO"/>
        </w:rPr>
        <w:t>PMA</w:t>
      </w:r>
      <w:proofErr w:type="spellEnd"/>
      <w:r w:rsidRPr="000B786C">
        <w:rPr>
          <w:rFonts w:ascii="Verdana" w:hAnsi="Verdana"/>
          <w:b/>
          <w:bCs/>
          <w:szCs w:val="20"/>
          <w:lang w:val="es-CO"/>
        </w:rPr>
        <w:t>.</w:t>
      </w:r>
    </w:p>
    <w:p w14:paraId="69F36647" w14:textId="71A2A8B0" w:rsidR="000B786C" w:rsidRPr="000B786C" w:rsidRDefault="000B786C" w:rsidP="00C61532">
      <w:pPr>
        <w:autoSpaceDE w:val="0"/>
        <w:autoSpaceDN w:val="0"/>
        <w:adjustRightInd w:val="0"/>
        <w:spacing w:line="276" w:lineRule="auto"/>
        <w:ind w:left="709"/>
        <w:rPr>
          <w:rFonts w:ascii="Verdana" w:hAnsi="Verdana"/>
          <w:szCs w:val="20"/>
          <w:lang w:val="es-CO"/>
        </w:rPr>
      </w:pPr>
      <w:r w:rsidRPr="000B786C">
        <w:rPr>
          <w:rFonts w:ascii="Verdana" w:hAnsi="Verdana"/>
          <w:szCs w:val="20"/>
          <w:lang w:val="es-CO"/>
        </w:rPr>
        <w:t>En esta etapa se realiza el cálculo de la variable Precio de venta en planta de abasto mayorista (</w:t>
      </w:r>
      <w:proofErr w:type="spellStart"/>
      <w:r w:rsidRPr="000B786C">
        <w:rPr>
          <w:rFonts w:ascii="Verdana" w:hAnsi="Verdana"/>
          <w:szCs w:val="20"/>
          <w:lang w:val="es-CO"/>
        </w:rPr>
        <w:t>PMA</w:t>
      </w:r>
      <w:proofErr w:type="spellEnd"/>
      <w:r w:rsidRPr="000B786C">
        <w:rPr>
          <w:rFonts w:ascii="Verdana" w:hAnsi="Verdana"/>
          <w:szCs w:val="20"/>
          <w:lang w:val="es-CO"/>
        </w:rPr>
        <w:t xml:space="preserve">) de acuerdo con lo establecido en el artículo 11 </w:t>
      </w:r>
      <w:r w:rsidR="00870188" w:rsidRPr="00870188">
        <w:rPr>
          <w:rFonts w:ascii="Verdana" w:hAnsi="Verdana"/>
          <w:szCs w:val="20"/>
          <w:lang w:val="es-CO"/>
        </w:rPr>
        <w:t>de la</w:t>
      </w:r>
      <w:r w:rsidR="00870188">
        <w:rPr>
          <w:rFonts w:ascii="Verdana" w:hAnsi="Verdana"/>
          <w:szCs w:val="20"/>
          <w:lang w:val="es-CO"/>
        </w:rPr>
        <w:t>s</w:t>
      </w:r>
      <w:r w:rsidR="00870188" w:rsidRPr="00870188">
        <w:rPr>
          <w:rFonts w:ascii="Verdana" w:hAnsi="Verdana"/>
          <w:szCs w:val="20"/>
          <w:lang w:val="es-CO"/>
        </w:rPr>
        <w:t xml:space="preserve"> resoluciones 704 004 de 2025 y 704 005 de 2025</w:t>
      </w:r>
      <w:r w:rsidR="00870188">
        <w:rPr>
          <w:rFonts w:ascii="Verdana" w:hAnsi="Verdana"/>
          <w:szCs w:val="20"/>
          <w:lang w:val="es-CO"/>
        </w:rPr>
        <w:t xml:space="preserve"> o</w:t>
      </w:r>
      <w:r w:rsidRPr="000B786C">
        <w:rPr>
          <w:rFonts w:ascii="Verdana" w:hAnsi="Verdana"/>
          <w:szCs w:val="20"/>
          <w:lang w:val="es-CO"/>
        </w:rPr>
        <w:t xml:space="preserve"> aquellas que las modifiquen, adicionen o sustituyan.</w:t>
      </w:r>
    </w:p>
    <w:p w14:paraId="39A79FB7" w14:textId="77777777" w:rsidR="000B786C" w:rsidRPr="000B786C" w:rsidRDefault="000B786C" w:rsidP="00C61532">
      <w:pPr>
        <w:autoSpaceDE w:val="0"/>
        <w:autoSpaceDN w:val="0"/>
        <w:adjustRightInd w:val="0"/>
        <w:spacing w:line="276" w:lineRule="auto"/>
        <w:ind w:left="709"/>
        <w:rPr>
          <w:rFonts w:ascii="Verdana" w:hAnsi="Verdana"/>
          <w:i/>
          <w:iCs/>
          <w:szCs w:val="20"/>
          <w:lang w:val="es-CO"/>
        </w:rPr>
      </w:pPr>
    </w:p>
    <w:p w14:paraId="6EA6F4DD" w14:textId="77777777" w:rsidR="000B786C" w:rsidRPr="000B786C" w:rsidRDefault="000B786C" w:rsidP="00C61532">
      <w:pPr>
        <w:numPr>
          <w:ilvl w:val="1"/>
          <w:numId w:val="44"/>
        </w:numPr>
        <w:autoSpaceDE w:val="0"/>
        <w:autoSpaceDN w:val="0"/>
        <w:adjustRightInd w:val="0"/>
        <w:spacing w:line="276" w:lineRule="auto"/>
        <w:rPr>
          <w:rFonts w:ascii="Verdana" w:hAnsi="Verdana"/>
          <w:b/>
          <w:bCs/>
          <w:szCs w:val="20"/>
          <w:lang w:val="es-CO"/>
        </w:rPr>
      </w:pPr>
      <w:r w:rsidRPr="000B786C">
        <w:rPr>
          <w:rFonts w:ascii="Verdana" w:hAnsi="Verdana"/>
          <w:b/>
          <w:bCs/>
          <w:szCs w:val="20"/>
          <w:lang w:val="es-CO"/>
        </w:rPr>
        <w:t>Etapa 6. Publicación periódica del PVP</w:t>
      </w:r>
    </w:p>
    <w:p w14:paraId="160CA3C5" w14:textId="77777777" w:rsidR="000B786C" w:rsidRPr="000B786C" w:rsidRDefault="000B786C" w:rsidP="00C61532">
      <w:pPr>
        <w:autoSpaceDE w:val="0"/>
        <w:autoSpaceDN w:val="0"/>
        <w:adjustRightInd w:val="0"/>
        <w:spacing w:line="276" w:lineRule="auto"/>
        <w:ind w:left="720"/>
        <w:rPr>
          <w:rFonts w:ascii="Verdana" w:hAnsi="Verdana"/>
          <w:szCs w:val="20"/>
          <w:lang w:val="es-CO"/>
        </w:rPr>
      </w:pPr>
      <w:r w:rsidRPr="000B786C">
        <w:rPr>
          <w:rFonts w:ascii="Verdana" w:hAnsi="Verdana"/>
          <w:szCs w:val="20"/>
          <w:lang w:val="es-CO"/>
        </w:rPr>
        <w:t>En esta etapa se realizan las siguientes actividades relacionadas con la publicación del Precio de venta por galón al público (PVP):</w:t>
      </w:r>
    </w:p>
    <w:p w14:paraId="7DF37C2D" w14:textId="77777777" w:rsidR="000B786C" w:rsidRPr="000B786C" w:rsidRDefault="000B786C" w:rsidP="00C61532">
      <w:pPr>
        <w:numPr>
          <w:ilvl w:val="0"/>
          <w:numId w:val="46"/>
        </w:numPr>
        <w:autoSpaceDE w:val="0"/>
        <w:autoSpaceDN w:val="0"/>
        <w:adjustRightInd w:val="0"/>
        <w:spacing w:line="276" w:lineRule="auto"/>
        <w:rPr>
          <w:rFonts w:ascii="Verdana" w:hAnsi="Verdana"/>
          <w:szCs w:val="20"/>
          <w:lang w:val="es-CO"/>
        </w:rPr>
      </w:pPr>
      <w:r w:rsidRPr="000B786C">
        <w:rPr>
          <w:rFonts w:ascii="Verdana" w:hAnsi="Verdana"/>
          <w:b/>
          <w:bCs/>
          <w:szCs w:val="20"/>
          <w:lang w:val="es-CO"/>
        </w:rPr>
        <w:t xml:space="preserve">Seguimiento al cálculo del PVP con el </w:t>
      </w:r>
      <w:proofErr w:type="spellStart"/>
      <w:r w:rsidRPr="000B786C">
        <w:rPr>
          <w:rFonts w:ascii="Verdana" w:hAnsi="Verdana"/>
          <w:b/>
          <w:bCs/>
          <w:szCs w:val="20"/>
          <w:lang w:val="es-CO"/>
        </w:rPr>
        <w:t>MME</w:t>
      </w:r>
      <w:proofErr w:type="spellEnd"/>
      <w:r w:rsidRPr="000B786C">
        <w:rPr>
          <w:rFonts w:ascii="Verdana" w:hAnsi="Verdana"/>
          <w:b/>
          <w:bCs/>
          <w:szCs w:val="20"/>
          <w:lang w:val="es-CO"/>
        </w:rPr>
        <w:t>:</w:t>
      </w:r>
      <w:r w:rsidRPr="000B786C">
        <w:rPr>
          <w:rFonts w:ascii="Verdana" w:hAnsi="Verdana"/>
          <w:szCs w:val="20"/>
          <w:lang w:val="es-CO"/>
        </w:rPr>
        <w:t xml:space="preserve"> La CREG podrá revisar el resultado del PVP en conjunto con el MME. Este también podrá ser revisado cuando alguna de estas entidades lo considere necesario.</w:t>
      </w:r>
    </w:p>
    <w:p w14:paraId="00EFD2B9" w14:textId="77777777" w:rsidR="000B786C" w:rsidRPr="000B786C" w:rsidRDefault="000B786C" w:rsidP="00C61532">
      <w:pPr>
        <w:numPr>
          <w:ilvl w:val="0"/>
          <w:numId w:val="46"/>
        </w:numPr>
        <w:autoSpaceDE w:val="0"/>
        <w:autoSpaceDN w:val="0"/>
        <w:adjustRightInd w:val="0"/>
        <w:spacing w:line="276" w:lineRule="auto"/>
        <w:rPr>
          <w:rFonts w:ascii="Verdana" w:hAnsi="Verdana"/>
          <w:szCs w:val="20"/>
          <w:lang w:val="es-CO"/>
        </w:rPr>
      </w:pPr>
      <w:r w:rsidRPr="000B786C">
        <w:rPr>
          <w:rFonts w:ascii="Verdana" w:hAnsi="Verdana"/>
          <w:b/>
          <w:bCs/>
          <w:szCs w:val="20"/>
          <w:lang w:val="es-CO"/>
        </w:rPr>
        <w:t>Elaboración de documento técnico:</w:t>
      </w:r>
      <w:r w:rsidRPr="000B786C">
        <w:rPr>
          <w:rFonts w:ascii="Verdana" w:hAnsi="Verdana"/>
          <w:szCs w:val="20"/>
          <w:lang w:val="es-CO"/>
        </w:rPr>
        <w:t xml:space="preserve"> Se elabora documento técnico denominado: “Documento técnico de la estructura de precios vigente de la Gasolina Motor Corriente, ACPM-Diésel y sus mezclas con biocombustibles”. Este documento contiene la explicación del cálculo de los componentes de la estructura de precios.</w:t>
      </w:r>
    </w:p>
    <w:p w14:paraId="0B73A6CD" w14:textId="77777777" w:rsidR="000B786C" w:rsidRPr="000B786C" w:rsidRDefault="000B786C" w:rsidP="00C61532">
      <w:pPr>
        <w:numPr>
          <w:ilvl w:val="0"/>
          <w:numId w:val="46"/>
        </w:numPr>
        <w:autoSpaceDE w:val="0"/>
        <w:autoSpaceDN w:val="0"/>
        <w:adjustRightInd w:val="0"/>
        <w:spacing w:line="276" w:lineRule="auto"/>
        <w:rPr>
          <w:rFonts w:ascii="Verdana" w:hAnsi="Verdana"/>
          <w:szCs w:val="20"/>
          <w:lang w:val="es-CO"/>
        </w:rPr>
      </w:pPr>
      <w:r w:rsidRPr="000B786C">
        <w:rPr>
          <w:rFonts w:ascii="Verdana" w:hAnsi="Verdana"/>
          <w:b/>
          <w:bCs/>
          <w:szCs w:val="20"/>
          <w:lang w:val="es-CO"/>
        </w:rPr>
        <w:t>Elaboración del documento de PVP para las principales ciudades del país</w:t>
      </w:r>
      <w:r w:rsidRPr="000B786C">
        <w:rPr>
          <w:rFonts w:ascii="Verdana" w:hAnsi="Verdana"/>
          <w:szCs w:val="20"/>
          <w:lang w:val="es-CO"/>
        </w:rPr>
        <w:t xml:space="preserve">: Se elabora un documento de publicación del PVP de </w:t>
      </w:r>
      <w:proofErr w:type="spellStart"/>
      <w:r w:rsidRPr="000B786C">
        <w:rPr>
          <w:rFonts w:ascii="Verdana" w:hAnsi="Verdana"/>
          <w:szCs w:val="20"/>
          <w:lang w:val="es-CO"/>
        </w:rPr>
        <w:t>GMCO</w:t>
      </w:r>
      <w:proofErr w:type="spellEnd"/>
      <w:r w:rsidRPr="000B786C">
        <w:rPr>
          <w:rFonts w:ascii="Verdana" w:hAnsi="Verdana"/>
          <w:szCs w:val="20"/>
          <w:lang w:val="es-CO"/>
        </w:rPr>
        <w:t xml:space="preserve"> y ACPM-Diésel y su mezcla con biocombustible en las </w:t>
      </w:r>
      <w:r w:rsidRPr="000B786C">
        <w:rPr>
          <w:rFonts w:ascii="Verdana" w:hAnsi="Verdana"/>
          <w:szCs w:val="20"/>
          <w:lang w:val="es-CO"/>
        </w:rPr>
        <w:lastRenderedPageBreak/>
        <w:t xml:space="preserve">principales ciudades del país denominado: “Precios de referencia de </w:t>
      </w:r>
      <w:proofErr w:type="spellStart"/>
      <w:r w:rsidRPr="000B786C">
        <w:rPr>
          <w:rFonts w:ascii="Verdana" w:hAnsi="Verdana"/>
          <w:szCs w:val="20"/>
          <w:lang w:val="es-CO"/>
        </w:rPr>
        <w:t>GMCO</w:t>
      </w:r>
      <w:proofErr w:type="spellEnd"/>
      <w:r w:rsidRPr="000B786C">
        <w:rPr>
          <w:rFonts w:ascii="Verdana" w:hAnsi="Verdana"/>
          <w:szCs w:val="20"/>
          <w:lang w:val="es-CO"/>
        </w:rPr>
        <w:t xml:space="preserve"> y ACPM-Diésel y su mezcla con biocombustible por ciudades”.</w:t>
      </w:r>
    </w:p>
    <w:p w14:paraId="6ED2C4A9" w14:textId="77777777" w:rsidR="000B786C" w:rsidRPr="000B786C" w:rsidRDefault="000B786C" w:rsidP="00C61532">
      <w:pPr>
        <w:numPr>
          <w:ilvl w:val="0"/>
          <w:numId w:val="46"/>
        </w:numPr>
        <w:autoSpaceDE w:val="0"/>
        <w:autoSpaceDN w:val="0"/>
        <w:adjustRightInd w:val="0"/>
        <w:spacing w:line="276" w:lineRule="auto"/>
        <w:rPr>
          <w:rFonts w:ascii="Verdana" w:hAnsi="Verdana"/>
          <w:szCs w:val="20"/>
          <w:lang w:val="es-CO"/>
        </w:rPr>
      </w:pPr>
      <w:r w:rsidRPr="000B786C">
        <w:rPr>
          <w:rFonts w:ascii="Verdana" w:hAnsi="Verdana"/>
          <w:b/>
          <w:bCs/>
          <w:szCs w:val="20"/>
          <w:lang w:val="es-CO"/>
        </w:rPr>
        <w:t>Elaboración de circular de publicación:</w:t>
      </w:r>
      <w:r w:rsidRPr="000B786C">
        <w:rPr>
          <w:rFonts w:ascii="Verdana" w:hAnsi="Verdana"/>
          <w:szCs w:val="20"/>
          <w:lang w:val="es-CO"/>
        </w:rPr>
        <w:t xml:space="preserve"> Se elabora una circular para oficializar la publicación de los resultados del PVP de referencia de </w:t>
      </w:r>
      <w:proofErr w:type="spellStart"/>
      <w:r w:rsidRPr="000B786C">
        <w:rPr>
          <w:rFonts w:ascii="Verdana" w:hAnsi="Verdana"/>
          <w:szCs w:val="20"/>
          <w:lang w:val="es-CO"/>
        </w:rPr>
        <w:t>GMCO</w:t>
      </w:r>
      <w:proofErr w:type="spellEnd"/>
      <w:r w:rsidRPr="000B786C">
        <w:rPr>
          <w:rFonts w:ascii="Verdana" w:hAnsi="Verdana"/>
          <w:szCs w:val="20"/>
          <w:lang w:val="es-CO"/>
        </w:rPr>
        <w:t xml:space="preserve"> y ACPM-Diésel y su mezcla con biocombustible, la cual será suscrita por el </w:t>
      </w:r>
      <w:proofErr w:type="gramStart"/>
      <w:r w:rsidRPr="000B786C">
        <w:rPr>
          <w:rFonts w:ascii="Verdana" w:hAnsi="Verdana"/>
          <w:szCs w:val="20"/>
          <w:lang w:val="es-CO"/>
        </w:rPr>
        <w:t>Director Ejecutivo</w:t>
      </w:r>
      <w:proofErr w:type="gramEnd"/>
      <w:r w:rsidRPr="000B786C">
        <w:rPr>
          <w:rFonts w:ascii="Verdana" w:hAnsi="Verdana"/>
          <w:szCs w:val="20"/>
          <w:lang w:val="es-CO"/>
        </w:rPr>
        <w:t xml:space="preserve"> de la CREG. Los documentos 2 y 3 acompañaran la circular como anexos. </w:t>
      </w:r>
    </w:p>
    <w:p w14:paraId="15D9A028" w14:textId="33D0693A" w:rsidR="00237702" w:rsidRPr="005B72AB" w:rsidRDefault="000B786C" w:rsidP="00C61532">
      <w:pPr>
        <w:numPr>
          <w:ilvl w:val="0"/>
          <w:numId w:val="46"/>
        </w:numPr>
        <w:autoSpaceDE w:val="0"/>
        <w:autoSpaceDN w:val="0"/>
        <w:adjustRightInd w:val="0"/>
        <w:spacing w:line="276" w:lineRule="auto"/>
        <w:rPr>
          <w:rFonts w:ascii="Verdana" w:hAnsi="Verdana" w:cs="Arial"/>
          <w:iCs/>
          <w:lang w:val="es-CO"/>
        </w:rPr>
      </w:pPr>
      <w:r w:rsidRPr="000B786C">
        <w:rPr>
          <w:rFonts w:ascii="Verdana" w:hAnsi="Verdana"/>
          <w:b/>
          <w:bCs/>
          <w:szCs w:val="20"/>
          <w:lang w:val="es-CO"/>
        </w:rPr>
        <w:t>Publicación en página web:</w:t>
      </w:r>
      <w:r w:rsidRPr="000B786C">
        <w:rPr>
          <w:rFonts w:ascii="Verdana" w:hAnsi="Verdana"/>
          <w:szCs w:val="20"/>
          <w:lang w:val="es-CO"/>
        </w:rPr>
        <w:t xml:space="preserve"> El (i) documento técnico y (</w:t>
      </w:r>
      <w:proofErr w:type="spellStart"/>
      <w:r w:rsidRPr="000B786C">
        <w:rPr>
          <w:rFonts w:ascii="Verdana" w:hAnsi="Verdana"/>
          <w:szCs w:val="20"/>
          <w:lang w:val="es-CO"/>
        </w:rPr>
        <w:t>ii</w:t>
      </w:r>
      <w:proofErr w:type="spellEnd"/>
      <w:r w:rsidRPr="000B786C">
        <w:rPr>
          <w:rFonts w:ascii="Verdana" w:hAnsi="Verdana"/>
          <w:szCs w:val="20"/>
          <w:lang w:val="es-CO"/>
        </w:rPr>
        <w:t xml:space="preserve">) la </w:t>
      </w:r>
      <w:r w:rsidRPr="00C22CA9">
        <w:rPr>
          <w:rFonts w:ascii="Verdana" w:hAnsi="Verdana"/>
          <w:lang w:val="es-CO"/>
        </w:rPr>
        <w:t xml:space="preserve">información de precios de referencia por ciudades será publicada en la página web de la CREG, sección “Combustibles líquidos”, subsección “Precios de los combustibles”. Así mismo, en la misma ruta será publicada la información histórica del PVP en las principales ciudades del país y el </w:t>
      </w:r>
      <w:proofErr w:type="gramStart"/>
      <w:r w:rsidRPr="00C22CA9">
        <w:rPr>
          <w:rFonts w:ascii="Verdana" w:hAnsi="Verdana"/>
          <w:lang w:val="es-CO"/>
        </w:rPr>
        <w:t>link</w:t>
      </w:r>
      <w:proofErr w:type="gramEnd"/>
      <w:r w:rsidRPr="00C22CA9">
        <w:rPr>
          <w:rFonts w:ascii="Verdana" w:hAnsi="Verdana"/>
          <w:lang w:val="es-CO"/>
        </w:rPr>
        <w:t xml:space="preserve"> al </w:t>
      </w:r>
      <w:proofErr w:type="spellStart"/>
      <w:r w:rsidRPr="00C22CA9">
        <w:rPr>
          <w:rFonts w:ascii="Verdana" w:hAnsi="Verdana"/>
          <w:lang w:val="es-CO"/>
        </w:rPr>
        <w:t>SICOM</w:t>
      </w:r>
      <w:proofErr w:type="spellEnd"/>
      <w:r w:rsidRPr="00C22CA9">
        <w:rPr>
          <w:rFonts w:ascii="Verdana" w:hAnsi="Verdana"/>
          <w:lang w:val="es-CO"/>
        </w:rPr>
        <w:t xml:space="preserve"> para consultar los precios de venta de los combustibles en las estaciones de servicio autorizadas</w:t>
      </w:r>
      <w:r w:rsidR="00237702" w:rsidRPr="00C22CA9">
        <w:rPr>
          <w:rFonts w:ascii="Verdana" w:hAnsi="Verdana"/>
          <w:lang w:val="es-CO"/>
        </w:rPr>
        <w:t>”</w:t>
      </w:r>
      <w:r w:rsidR="005B72AB" w:rsidRPr="00C22CA9">
        <w:rPr>
          <w:rFonts w:ascii="Verdana" w:hAnsi="Verdana"/>
          <w:lang w:val="es-CO"/>
        </w:rPr>
        <w:t>.</w:t>
      </w:r>
    </w:p>
    <w:p w14:paraId="1D71E115" w14:textId="77777777" w:rsidR="00F541A2" w:rsidRPr="00782251" w:rsidRDefault="00F541A2" w:rsidP="00C61532">
      <w:pPr>
        <w:spacing w:line="276" w:lineRule="auto"/>
        <w:rPr>
          <w:rFonts w:ascii="Verdana" w:hAnsi="Verdana" w:cs="Arial"/>
          <w:iCs/>
          <w:lang w:val="es-CO"/>
        </w:rPr>
      </w:pPr>
    </w:p>
    <w:p w14:paraId="34D4AB63" w14:textId="174524D3" w:rsidR="00F541A2" w:rsidRPr="00782251" w:rsidRDefault="00F541A2" w:rsidP="00C61532">
      <w:pPr>
        <w:spacing w:line="276" w:lineRule="auto"/>
        <w:rPr>
          <w:rFonts w:ascii="Verdana" w:hAnsi="Verdana" w:cs="Arial"/>
          <w:iCs/>
          <w:lang w:val="es-CO"/>
        </w:rPr>
      </w:pPr>
      <w:r w:rsidRPr="00782251">
        <w:rPr>
          <w:rFonts w:ascii="Verdana" w:hAnsi="Verdana" w:cs="Arial"/>
          <w:b/>
          <w:bCs/>
          <w:iCs/>
          <w:lang w:val="es-CO"/>
        </w:rPr>
        <w:t xml:space="preserve">ARTÍCULO </w:t>
      </w:r>
      <w:r w:rsidR="00323B84">
        <w:rPr>
          <w:rFonts w:ascii="Verdana" w:hAnsi="Verdana" w:cs="Arial"/>
          <w:b/>
          <w:bCs/>
          <w:iCs/>
          <w:lang w:val="es-CO"/>
        </w:rPr>
        <w:t>2</w:t>
      </w:r>
      <w:r w:rsidRPr="00782251">
        <w:rPr>
          <w:rFonts w:ascii="Verdana" w:hAnsi="Verdana" w:cs="Arial"/>
          <w:b/>
          <w:bCs/>
          <w:iCs/>
          <w:lang w:val="es-CO"/>
        </w:rPr>
        <w:t>. VIGENCIA.</w:t>
      </w:r>
      <w:r w:rsidRPr="00782251">
        <w:rPr>
          <w:rFonts w:ascii="Verdana" w:hAnsi="Verdana" w:cs="Arial"/>
          <w:iCs/>
          <w:lang w:val="es-CO"/>
        </w:rPr>
        <w:t xml:space="preserve"> </w:t>
      </w:r>
      <w:r w:rsidRPr="00782251">
        <w:rPr>
          <w:rFonts w:ascii="Verdana" w:hAnsi="Verdana"/>
        </w:rPr>
        <w:t>La presente Resolución rige a partir de la fecha de su publicación</w:t>
      </w:r>
      <w:r w:rsidRPr="00782251">
        <w:rPr>
          <w:rFonts w:ascii="Verdana" w:hAnsi="Verdana" w:cs="Arial"/>
          <w:iCs/>
          <w:lang w:val="es-CO"/>
        </w:rPr>
        <w:t>.</w:t>
      </w:r>
    </w:p>
    <w:p w14:paraId="6021BC5A" w14:textId="77777777" w:rsidR="00CB079C" w:rsidRPr="00782251" w:rsidRDefault="00CB079C" w:rsidP="00C61532">
      <w:pPr>
        <w:spacing w:line="276" w:lineRule="auto"/>
        <w:rPr>
          <w:rFonts w:ascii="Verdana" w:hAnsi="Verdana"/>
          <w:lang w:val="es-CO"/>
        </w:rPr>
      </w:pPr>
    </w:p>
    <w:p w14:paraId="07A75AEE" w14:textId="4B6EAD58" w:rsidR="00CB079C" w:rsidRPr="00F541A2" w:rsidRDefault="00CB079C" w:rsidP="00C61532">
      <w:pPr>
        <w:spacing w:before="12" w:after="12" w:line="276" w:lineRule="auto"/>
        <w:rPr>
          <w:rFonts w:ascii="Verdana" w:hAnsi="Verdana"/>
        </w:rPr>
      </w:pPr>
      <w:r w:rsidRPr="00782251">
        <w:rPr>
          <w:rFonts w:ascii="Verdana" w:hAnsi="Verdana"/>
        </w:rPr>
        <w:t xml:space="preserve">Dada en Bogotá, D.C., a los </w:t>
      </w:r>
      <w:r w:rsidR="00BF17E7">
        <w:rPr>
          <w:rFonts w:ascii="Verdana" w:hAnsi="Verdana"/>
        </w:rPr>
        <w:t xml:space="preserve">veinte </w:t>
      </w:r>
      <w:r w:rsidRPr="00782251">
        <w:rPr>
          <w:rFonts w:ascii="Verdana" w:hAnsi="Verdana"/>
        </w:rPr>
        <w:t>(</w:t>
      </w:r>
      <w:r w:rsidR="00BF17E7">
        <w:rPr>
          <w:rFonts w:ascii="Verdana" w:hAnsi="Verdana"/>
        </w:rPr>
        <w:t>20</w:t>
      </w:r>
      <w:r w:rsidRPr="00782251">
        <w:rPr>
          <w:rFonts w:ascii="Verdana" w:hAnsi="Verdana"/>
        </w:rPr>
        <w:t>) días del</w:t>
      </w:r>
      <w:r w:rsidRPr="00F541A2">
        <w:rPr>
          <w:rFonts w:ascii="Verdana" w:hAnsi="Verdana"/>
        </w:rPr>
        <w:t xml:space="preserve"> mes de </w:t>
      </w:r>
      <w:r w:rsidR="00BF17E7">
        <w:rPr>
          <w:rFonts w:ascii="Verdana" w:hAnsi="Verdana"/>
        </w:rPr>
        <w:t>febrero</w:t>
      </w:r>
      <w:r w:rsidRPr="00F541A2">
        <w:rPr>
          <w:rFonts w:ascii="Verdana" w:hAnsi="Verdana"/>
        </w:rPr>
        <w:t xml:space="preserve"> </w:t>
      </w:r>
      <w:proofErr w:type="spellStart"/>
      <w:r w:rsidRPr="00F541A2">
        <w:rPr>
          <w:rFonts w:ascii="Verdana" w:hAnsi="Verdana"/>
        </w:rPr>
        <w:t>d</w:t>
      </w:r>
      <w:r w:rsidR="00BF17E7">
        <w:rPr>
          <w:rFonts w:ascii="Verdana" w:hAnsi="Verdana"/>
        </w:rPr>
        <w:t>é</w:t>
      </w:r>
      <w:proofErr w:type="spellEnd"/>
      <w:r w:rsidRPr="00F541A2">
        <w:rPr>
          <w:rFonts w:ascii="Verdana" w:hAnsi="Verdana"/>
        </w:rPr>
        <w:t xml:space="preserve"> 202</w:t>
      </w:r>
      <w:r w:rsidR="00F541A2" w:rsidRPr="00F541A2">
        <w:rPr>
          <w:rFonts w:ascii="Verdana" w:hAnsi="Verdana"/>
        </w:rPr>
        <w:t>5</w:t>
      </w:r>
      <w:r w:rsidRPr="00F541A2">
        <w:rPr>
          <w:rFonts w:ascii="Verdana" w:hAnsi="Verdana"/>
        </w:rPr>
        <w:t>.</w:t>
      </w:r>
    </w:p>
    <w:p w14:paraId="3A5811A9" w14:textId="77777777" w:rsidR="00CB079C" w:rsidRPr="00F541A2" w:rsidRDefault="00CB079C" w:rsidP="00C61532">
      <w:pPr>
        <w:spacing w:line="276" w:lineRule="auto"/>
        <w:rPr>
          <w:rFonts w:ascii="Verdana" w:hAnsi="Verdana"/>
        </w:rPr>
      </w:pPr>
    </w:p>
    <w:p w14:paraId="2520C3CC" w14:textId="64488EDE" w:rsidR="00CB079C" w:rsidRPr="00182CD9" w:rsidRDefault="00CB079C" w:rsidP="00C61532">
      <w:pPr>
        <w:spacing w:line="276" w:lineRule="auto"/>
        <w:jc w:val="center"/>
        <w:rPr>
          <w:rFonts w:ascii="Verdana" w:hAnsi="Verdana"/>
          <w:b/>
        </w:rPr>
      </w:pPr>
      <w:r w:rsidRPr="00182CD9">
        <w:rPr>
          <w:rFonts w:ascii="Verdana" w:hAnsi="Verdana"/>
          <w:b/>
        </w:rPr>
        <w:t>PUBLÍQUESE Y CÚMPLASE</w:t>
      </w:r>
    </w:p>
    <w:sectPr w:rsidR="00CB079C" w:rsidRPr="00182CD9" w:rsidSect="00CB079C">
      <w:headerReference w:type="default" r:id="rId12"/>
      <w:headerReference w:type="first" r:id="rId13"/>
      <w:footerReference w:type="first" r:id="rId14"/>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5EEE" w14:textId="77777777" w:rsidR="004E703E" w:rsidRDefault="004E703E">
      <w:r>
        <w:separator/>
      </w:r>
    </w:p>
    <w:p w14:paraId="6BF1B816" w14:textId="77777777" w:rsidR="004E703E" w:rsidRDefault="004E703E"/>
    <w:p w14:paraId="333005ED" w14:textId="77777777" w:rsidR="004E703E" w:rsidRDefault="004E703E" w:rsidP="00C851C0"/>
  </w:endnote>
  <w:endnote w:type="continuationSeparator" w:id="0">
    <w:p w14:paraId="058BA62E" w14:textId="77777777" w:rsidR="004E703E" w:rsidRDefault="004E703E">
      <w:r>
        <w:continuationSeparator/>
      </w:r>
    </w:p>
    <w:p w14:paraId="5972D88C" w14:textId="77777777" w:rsidR="004E703E" w:rsidRDefault="004E703E"/>
    <w:p w14:paraId="25EA68A6" w14:textId="77777777" w:rsidR="004E703E" w:rsidRDefault="004E703E" w:rsidP="00C851C0"/>
  </w:endnote>
  <w:endnote w:type="continuationNotice" w:id="1">
    <w:p w14:paraId="7A9035A2" w14:textId="77777777" w:rsidR="004E703E" w:rsidRDefault="004E70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1627" w14:textId="77777777" w:rsidR="004E703E" w:rsidRDefault="004E703E">
      <w:r>
        <w:separator/>
      </w:r>
    </w:p>
    <w:p w14:paraId="15AAB541" w14:textId="77777777" w:rsidR="004E703E" w:rsidRDefault="004E703E"/>
    <w:p w14:paraId="50F84558" w14:textId="77777777" w:rsidR="004E703E" w:rsidRDefault="004E703E" w:rsidP="00C851C0"/>
  </w:footnote>
  <w:footnote w:type="continuationSeparator" w:id="0">
    <w:p w14:paraId="2C8829D6" w14:textId="77777777" w:rsidR="004E703E" w:rsidRDefault="004E703E">
      <w:r>
        <w:continuationSeparator/>
      </w:r>
    </w:p>
    <w:p w14:paraId="7EB9B228" w14:textId="77777777" w:rsidR="004E703E" w:rsidRDefault="004E703E"/>
    <w:p w14:paraId="34F4AA4F" w14:textId="77777777" w:rsidR="004E703E" w:rsidRDefault="004E703E" w:rsidP="00C851C0"/>
  </w:footnote>
  <w:footnote w:type="continuationNotice" w:id="1">
    <w:p w14:paraId="268A8430" w14:textId="77777777" w:rsidR="004E703E" w:rsidRDefault="004E703E">
      <w:pPr>
        <w:spacing w:before="0" w:after="0"/>
      </w:pPr>
    </w:p>
  </w:footnote>
  <w:footnote w:id="2">
    <w:p w14:paraId="4CD40704" w14:textId="77777777" w:rsidR="00180398" w:rsidRDefault="00180398" w:rsidP="00180398">
      <w:pPr>
        <w:pStyle w:val="Textonotapie"/>
      </w:pPr>
      <w:r>
        <w:rPr>
          <w:rStyle w:val="Refdenotaalpie"/>
        </w:rPr>
        <w:footnoteRef/>
      </w:r>
      <w:r>
        <w:t xml:space="preserve"> </w:t>
      </w:r>
      <w:r w:rsidRPr="006D441E">
        <w:rPr>
          <w:rFonts w:ascii="Verdana" w:hAnsi="Verdana"/>
          <w:sz w:val="20"/>
        </w:rPr>
        <w:t xml:space="preserve">Modificada por las Resoluciones MME </w:t>
      </w:r>
      <w:hyperlink r:id="rId1" w:history="1">
        <w:r w:rsidRPr="006D441E">
          <w:rPr>
            <w:rFonts w:ascii="Verdana" w:hAnsi="Verdana"/>
            <w:sz w:val="20"/>
          </w:rPr>
          <w:t>4-1282 de 2016</w:t>
        </w:r>
      </w:hyperlink>
      <w:r w:rsidRPr="006D441E">
        <w:rPr>
          <w:rFonts w:ascii="Verdana" w:hAnsi="Verdana"/>
          <w:sz w:val="20"/>
        </w:rPr>
        <w:t xml:space="preserve"> y </w:t>
      </w:r>
      <w:r w:rsidRPr="006D441E">
        <w:rPr>
          <w:rFonts w:ascii="Verdana" w:hAnsi="Verdana"/>
          <w:b/>
          <w:bCs/>
          <w:sz w:val="20"/>
          <w:lang w:val="es-ES"/>
        </w:rPr>
        <w:t> </w:t>
      </w:r>
      <w:hyperlink r:id="rId2" w:history="1">
        <w:r w:rsidRPr="006D441E">
          <w:rPr>
            <w:rFonts w:ascii="Verdana" w:hAnsi="Verdana"/>
            <w:sz w:val="20"/>
          </w:rPr>
          <w:t>4-0191 de 2020</w:t>
        </w:r>
      </w:hyperlink>
      <w:r w:rsidRPr="006D441E">
        <w:rPr>
          <w:rFonts w:ascii="Verdana" w:hAnsi="Verdana"/>
          <w:sz w:val="20"/>
        </w:rPr>
        <w:t>.</w:t>
      </w:r>
      <w:r w:rsidRPr="00BB4D46">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1B4F0086" w:rsidR="00C47CF3" w:rsidRPr="002560C5" w:rsidRDefault="007C5F20" w:rsidP="004A5BF5">
    <w:pPr>
      <w:pStyle w:val="Ttulo1"/>
      <w:numPr>
        <w:ilvl w:val="0"/>
        <w:numId w:val="0"/>
      </w:numPr>
      <w:ind w:right="6"/>
      <w:rPr>
        <w:rFonts w:cs="Arial"/>
        <w:b w:val="0"/>
        <w:sz w:val="22"/>
        <w:szCs w:val="22"/>
      </w:rPr>
    </w:pPr>
    <w:r>
      <w:rPr>
        <w:rFonts w:cs="Arial"/>
        <w:b w:val="0"/>
        <w:sz w:val="22"/>
        <w:szCs w:val="22"/>
      </w:rPr>
      <w:t xml:space="preserve">PROYECTO DE </w:t>
    </w:r>
    <w:r w:rsidR="00C47CF3" w:rsidRPr="002560C5">
      <w:rPr>
        <w:rFonts w:cs="Arial"/>
        <w:b w:val="0"/>
        <w:sz w:val="22"/>
        <w:szCs w:val="22"/>
      </w:rPr>
      <w:t xml:space="preserve">RESOLUCIÓN </w:t>
    </w:r>
    <w:proofErr w:type="gramStart"/>
    <w:r w:rsidR="00C47CF3" w:rsidRPr="002560C5">
      <w:rPr>
        <w:rFonts w:cs="Arial"/>
        <w:b w:val="0"/>
        <w:sz w:val="22"/>
        <w:szCs w:val="22"/>
      </w:rPr>
      <w:t>No</w:t>
    </w:r>
    <w:r w:rsidR="004A5BF5">
      <w:rPr>
        <w:rFonts w:cs="Arial"/>
        <w:b w:val="0"/>
        <w:sz w:val="22"/>
        <w:szCs w:val="22"/>
      </w:rPr>
      <w:t xml:space="preserve">  </w:t>
    </w:r>
    <w:r w:rsidR="00182CD9">
      <w:rPr>
        <w:rFonts w:cs="Arial"/>
        <w:bCs/>
        <w:sz w:val="22"/>
        <w:szCs w:val="22"/>
        <w:u w:val="single"/>
      </w:rPr>
      <w:t>704</w:t>
    </w:r>
    <w:proofErr w:type="gramEnd"/>
    <w:r w:rsidR="004A5BF5" w:rsidRPr="004A5BF5">
      <w:rPr>
        <w:rFonts w:cs="Arial"/>
        <w:bCs/>
        <w:sz w:val="22"/>
        <w:szCs w:val="22"/>
        <w:u w:val="single"/>
      </w:rPr>
      <w:t xml:space="preserve"> </w:t>
    </w:r>
    <w:r w:rsidR="00182CD9">
      <w:rPr>
        <w:rFonts w:cs="Arial"/>
        <w:bCs/>
        <w:sz w:val="22"/>
        <w:szCs w:val="22"/>
        <w:u w:val="single"/>
      </w:rPr>
      <w:t>006</w:t>
    </w:r>
    <w:r w:rsidR="00C47CF3">
      <w:rPr>
        <w:rFonts w:cs="Arial"/>
        <w:b w:val="0"/>
        <w:sz w:val="22"/>
        <w:szCs w:val="22"/>
      </w:rPr>
      <w:t xml:space="preserve">   </w:t>
    </w:r>
    <w:r>
      <w:rPr>
        <w:rFonts w:cs="Arial"/>
        <w:b w:val="0"/>
        <w:sz w:val="22"/>
        <w:szCs w:val="22"/>
      </w:rPr>
      <w:t>D</w:t>
    </w:r>
    <w:r w:rsidR="00C47CF3" w:rsidRPr="002560C5">
      <w:rPr>
        <w:rFonts w:cs="Arial"/>
        <w:b w:val="0"/>
        <w:sz w:val="22"/>
        <w:szCs w:val="22"/>
      </w:rPr>
      <w:t xml:space="preserve">E </w:t>
    </w:r>
    <w:r w:rsidR="00182CD9">
      <w:rPr>
        <w:rFonts w:cs="Arial"/>
        <w:bCs/>
        <w:sz w:val="22"/>
        <w:szCs w:val="22"/>
        <w:u w:val="single"/>
      </w:rPr>
      <w:t>20</w:t>
    </w:r>
    <w:r w:rsidR="00C47CF3" w:rsidRPr="004A5BF5">
      <w:rPr>
        <w:rFonts w:cs="Arial"/>
        <w:bCs/>
        <w:sz w:val="22"/>
        <w:szCs w:val="22"/>
        <w:u w:val="single"/>
      </w:rPr>
      <w:t xml:space="preserve"> </w:t>
    </w:r>
    <w:r w:rsidR="00182CD9">
      <w:rPr>
        <w:rFonts w:cs="Arial"/>
        <w:bCs/>
        <w:sz w:val="22"/>
        <w:szCs w:val="22"/>
        <w:u w:val="single"/>
      </w:rPr>
      <w:t>FEB</w:t>
    </w:r>
    <w:r w:rsidR="00C47CF3" w:rsidRPr="004A5BF5">
      <w:rPr>
        <w:rFonts w:cs="Arial"/>
        <w:bCs/>
        <w:sz w:val="22"/>
        <w:szCs w:val="22"/>
        <w:u w:val="single"/>
      </w:rPr>
      <w:t>.202</w:t>
    </w:r>
    <w:r w:rsidR="00182CD9">
      <w:rPr>
        <w:rFonts w:cs="Arial"/>
        <w:bCs/>
        <w:sz w:val="22"/>
        <w:szCs w:val="22"/>
        <w:u w:val="single"/>
      </w:rPr>
      <w:t>5</w:t>
    </w:r>
    <w:r w:rsidR="004A5BF5" w:rsidRPr="004A5BF5">
      <w:rPr>
        <w:rFonts w:cs="Arial"/>
        <w:bCs/>
        <w:sz w:val="22"/>
        <w:szCs w:val="22"/>
      </w:rPr>
      <w:t xml:space="preserve">  </w:t>
    </w:r>
    <w:r w:rsidR="00C47CF3" w:rsidRPr="002560C5">
      <w:rPr>
        <w:rFonts w:cs="Arial"/>
        <w:b w:val="0"/>
        <w:sz w:val="22"/>
        <w:szCs w:val="22"/>
      </w:rPr>
      <w:t xml:space="preserve">HOJA No. </w:t>
    </w:r>
    <w:r w:rsidR="00C47CF3" w:rsidRPr="002560C5">
      <w:rPr>
        <w:rFonts w:cs="Arial"/>
        <w:b w:val="0"/>
        <w:sz w:val="22"/>
        <w:szCs w:val="22"/>
      </w:rPr>
      <w:fldChar w:fldCharType="begin"/>
    </w:r>
    <w:r w:rsidR="00C47CF3" w:rsidRPr="002560C5">
      <w:rPr>
        <w:rFonts w:cs="Arial"/>
        <w:b w:val="0"/>
        <w:sz w:val="22"/>
        <w:szCs w:val="22"/>
      </w:rPr>
      <w:instrText xml:space="preserve"> PAGE   \* MERGEFORMAT </w:instrText>
    </w:r>
    <w:r w:rsidR="00C47CF3" w:rsidRPr="002560C5">
      <w:rPr>
        <w:rFonts w:cs="Arial"/>
        <w:b w:val="0"/>
        <w:sz w:val="22"/>
        <w:szCs w:val="22"/>
      </w:rPr>
      <w:fldChar w:fldCharType="separate"/>
    </w:r>
    <w:r w:rsidR="002641A4">
      <w:rPr>
        <w:rFonts w:cs="Arial"/>
        <w:b w:val="0"/>
        <w:noProof/>
        <w:sz w:val="22"/>
        <w:szCs w:val="22"/>
      </w:rPr>
      <w:t>2</w:t>
    </w:r>
    <w:r w:rsidR="00C47CF3" w:rsidRPr="002560C5">
      <w:rPr>
        <w:rFonts w:cs="Arial"/>
        <w:b w:val="0"/>
        <w:sz w:val="22"/>
        <w:szCs w:val="22"/>
      </w:rPr>
      <w:fldChar w:fldCharType="end"/>
    </w:r>
    <w:r w:rsidR="00C47CF3" w:rsidRPr="002560C5">
      <w:rPr>
        <w:rFonts w:cs="Arial"/>
        <w:b w:val="0"/>
        <w:sz w:val="22"/>
        <w:szCs w:val="22"/>
      </w:rPr>
      <w:t>/</w:t>
    </w:r>
    <w:fldSimple w:instr="NUMPAGES  \* MERGEFORMAT">
      <w:r w:rsidR="002641A4" w:rsidRPr="002641A4">
        <w:rPr>
          <w:rFonts w:cs="Arial"/>
          <w:b w:val="0"/>
          <w:noProof/>
          <w:sz w:val="22"/>
          <w:szCs w:val="22"/>
        </w:rPr>
        <w:t>4</w:t>
      </w:r>
    </w:fldSimple>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359A698">
            <v:rect id="Rectangle 1" style="position:absolute;margin-left:-9.55pt;margin-top:11.15pt;width:493.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5ED7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"/>
          </w:pict>
        </mc:Fallback>
      </mc:AlternateContent>
    </w:r>
  </w:p>
  <w:p w14:paraId="19A008AD" w14:textId="30ADB654" w:rsidR="00C47CF3" w:rsidRPr="007C5F20" w:rsidRDefault="00181770" w:rsidP="00181770">
    <w:pPr>
      <w:pBdr>
        <w:bottom w:val="single" w:sz="4" w:space="1" w:color="auto"/>
      </w:pBdr>
      <w:rPr>
        <w:rFonts w:ascii="Verdana" w:hAnsi="Verdana"/>
        <w:i/>
        <w:iCs/>
        <w:sz w:val="20"/>
        <w:szCs w:val="20"/>
        <w:lang w:val="es-CO"/>
      </w:rPr>
    </w:pPr>
    <w:r w:rsidRPr="00181770">
      <w:rPr>
        <w:rFonts w:ascii="Verdana" w:hAnsi="Verdana"/>
        <w:i/>
        <w:iCs/>
        <w:sz w:val="20"/>
        <w:szCs w:val="20"/>
        <w:lang w:val="es-CO"/>
      </w:rPr>
      <w:t xml:space="preserve">Por medio de la cual se modifica el </w:t>
    </w:r>
    <w:r w:rsidR="00A52FE6" w:rsidRPr="00A52FE6">
      <w:rPr>
        <w:rFonts w:ascii="Verdana" w:hAnsi="Verdana"/>
        <w:i/>
        <w:iCs/>
        <w:sz w:val="20"/>
        <w:szCs w:val="20"/>
        <w:lang w:val="es-CO"/>
      </w:rPr>
      <w:t>numeral 4</w:t>
    </w:r>
    <w:r w:rsidR="00A52FE6">
      <w:rPr>
        <w:rFonts w:ascii="Verdana" w:hAnsi="Verdana"/>
        <w:i/>
        <w:iCs/>
        <w:sz w:val="20"/>
        <w:szCs w:val="20"/>
        <w:lang w:val="es-CO"/>
      </w:rPr>
      <w:t xml:space="preserve"> del</w:t>
    </w:r>
    <w:r w:rsidR="00A52FE6" w:rsidRPr="00A52FE6">
      <w:rPr>
        <w:rFonts w:ascii="Verdana" w:hAnsi="Verdana"/>
        <w:i/>
        <w:iCs/>
        <w:sz w:val="20"/>
        <w:szCs w:val="20"/>
        <w:lang w:val="es-CO"/>
      </w:rPr>
      <w:t xml:space="preserve"> </w:t>
    </w:r>
    <w:r w:rsidRPr="00181770">
      <w:rPr>
        <w:rFonts w:ascii="Verdana" w:hAnsi="Verdana"/>
        <w:i/>
        <w:iCs/>
        <w:sz w:val="20"/>
        <w:szCs w:val="20"/>
        <w:lang w:val="es-CO"/>
      </w:rPr>
      <w:t>anexo de la Resolución CREG 104 001 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58242"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59A7CD1">
            <v:rect id="Rectangle 2" style="position:absolute;margin-left:-21.3pt;margin-top:65.8pt;width:510.7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CE90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9290F84"/>
    <w:multiLevelType w:val="hybridMultilevel"/>
    <w:tmpl w:val="B8D2CBEE"/>
    <w:lvl w:ilvl="0" w:tplc="7186BF0C">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EA13BE"/>
    <w:multiLevelType w:val="hybridMultilevel"/>
    <w:tmpl w:val="10B43C0E"/>
    <w:lvl w:ilvl="0" w:tplc="682E2CDA">
      <w:start w:val="1"/>
      <w:numFmt w:val="lowerRoman"/>
      <w:lvlText w:val="%1)"/>
      <w:lvlJc w:val="left"/>
      <w:pPr>
        <w:ind w:left="1080" w:hanging="72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C91BBC"/>
    <w:multiLevelType w:val="hybridMultilevel"/>
    <w:tmpl w:val="75C6CD50"/>
    <w:lvl w:ilvl="0" w:tplc="7186BF0C">
      <w:numFmt w:val="bullet"/>
      <w:lvlText w:val="-"/>
      <w:lvlJc w:val="left"/>
      <w:pPr>
        <w:ind w:left="1800" w:hanging="360"/>
      </w:pPr>
      <w:rPr>
        <w:rFonts w:ascii="Bookman Old Style" w:eastAsia="Times New Roman" w:hAnsi="Bookman Old Style"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0" w15:restartNumberingAfterBreak="0">
    <w:nsid w:val="152437F6"/>
    <w:multiLevelType w:val="multilevel"/>
    <w:tmpl w:val="98F69DCA"/>
    <w:lvl w:ilvl="0">
      <w:start w:val="4"/>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2" w15:restartNumberingAfterBreak="0">
    <w:nsid w:val="1FA65573"/>
    <w:multiLevelType w:val="hybridMultilevel"/>
    <w:tmpl w:val="945AD9D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7" w15:restartNumberingAfterBreak="0">
    <w:nsid w:val="2DE67ECB"/>
    <w:multiLevelType w:val="hybridMultilevel"/>
    <w:tmpl w:val="7A22DA10"/>
    <w:lvl w:ilvl="0" w:tplc="C85E3D1A">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72078"/>
    <w:multiLevelType w:val="hybridMultilevel"/>
    <w:tmpl w:val="0F4E766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450A62"/>
    <w:multiLevelType w:val="hybridMultilevel"/>
    <w:tmpl w:val="1388A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4"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5"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7" w15:restartNumberingAfterBreak="0">
    <w:nsid w:val="4DC54A20"/>
    <w:multiLevelType w:val="hybridMultilevel"/>
    <w:tmpl w:val="0172D676"/>
    <w:lvl w:ilvl="0" w:tplc="7D7C7376">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29"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55FF5A13"/>
    <w:multiLevelType w:val="multilevel"/>
    <w:tmpl w:val="A92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51691F"/>
    <w:multiLevelType w:val="hybridMultilevel"/>
    <w:tmpl w:val="7A28D74E"/>
    <w:lvl w:ilvl="0" w:tplc="240A000B">
      <w:start w:val="1"/>
      <w:numFmt w:val="bullet"/>
      <w:lvlText w:val=""/>
      <w:lvlJc w:val="left"/>
      <w:pPr>
        <w:ind w:left="360" w:hanging="360"/>
      </w:pPr>
      <w:rPr>
        <w:rFonts w:ascii="Wingdings" w:hAnsi="Wingdings" w:hint="default"/>
      </w:rPr>
    </w:lvl>
    <w:lvl w:ilvl="1" w:tplc="E57694EE">
      <w:start w:val="1"/>
      <w:numFmt w:val="lowerRoman"/>
      <w:lvlText w:val="%2)"/>
      <w:lvlJc w:val="left"/>
      <w:pPr>
        <w:ind w:left="720" w:hanging="360"/>
      </w:pPr>
      <w:rPr>
        <w:rFonts w:ascii="Bookman Old Style" w:hAnsi="Bookman Old Style"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3"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3C3FDB"/>
    <w:multiLevelType w:val="hybridMultilevel"/>
    <w:tmpl w:val="5C463FCE"/>
    <w:lvl w:ilvl="0" w:tplc="FFFFFFFF">
      <w:start w:val="1"/>
      <w:numFmt w:val="decimal"/>
      <w:lvlText w:val="%1)"/>
      <w:lvlJc w:val="left"/>
      <w:pPr>
        <w:ind w:left="1068" w:hanging="360"/>
      </w:pPr>
    </w:lvl>
    <w:lvl w:ilvl="1" w:tplc="FFFFFFFF">
      <w:start w:val="1"/>
      <w:numFmt w:val="decimal"/>
      <w:lvlText w:val="%2)"/>
      <w:lvlJc w:val="left"/>
      <w:pPr>
        <w:ind w:left="1443" w:hanging="375"/>
      </w:pPr>
      <w:rPr>
        <w:rFonts w:hint="default"/>
      </w:r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35"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6CE2A75"/>
    <w:multiLevelType w:val="hybridMultilevel"/>
    <w:tmpl w:val="945AD9D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7352BE2"/>
    <w:multiLevelType w:val="hybridMultilevel"/>
    <w:tmpl w:val="9F52748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2"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3C51132"/>
    <w:multiLevelType w:val="hybridMultilevel"/>
    <w:tmpl w:val="D234CB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7" w15:restartNumberingAfterBreak="0">
    <w:nsid w:val="797B4929"/>
    <w:multiLevelType w:val="hybridMultilevel"/>
    <w:tmpl w:val="9F527488"/>
    <w:lvl w:ilvl="0" w:tplc="475E48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9"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B8915D5"/>
    <w:multiLevelType w:val="hybridMultilevel"/>
    <w:tmpl w:val="98CE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71995600">
    <w:abstractNumId w:val="1"/>
  </w:num>
  <w:num w:numId="2" w16cid:durableId="717970195">
    <w:abstractNumId w:val="16"/>
  </w:num>
  <w:num w:numId="3" w16cid:durableId="56586464">
    <w:abstractNumId w:val="35"/>
  </w:num>
  <w:num w:numId="4" w16cid:durableId="1845702787">
    <w:abstractNumId w:val="28"/>
  </w:num>
  <w:num w:numId="5" w16cid:durableId="451557794">
    <w:abstractNumId w:val="42"/>
  </w:num>
  <w:num w:numId="6" w16cid:durableId="1281650517">
    <w:abstractNumId w:val="18"/>
  </w:num>
  <w:num w:numId="7" w16cid:durableId="167451520">
    <w:abstractNumId w:val="44"/>
  </w:num>
  <w:num w:numId="8" w16cid:durableId="462508100">
    <w:abstractNumId w:val="46"/>
  </w:num>
  <w:num w:numId="9" w16cid:durableId="625937620">
    <w:abstractNumId w:val="32"/>
  </w:num>
  <w:num w:numId="10" w16cid:durableId="1303732040">
    <w:abstractNumId w:val="24"/>
  </w:num>
  <w:num w:numId="11" w16cid:durableId="2109498536">
    <w:abstractNumId w:val="7"/>
  </w:num>
  <w:num w:numId="12" w16cid:durableId="51780760">
    <w:abstractNumId w:val="48"/>
  </w:num>
  <w:num w:numId="13" w16cid:durableId="1420444577">
    <w:abstractNumId w:val="13"/>
  </w:num>
  <w:num w:numId="14" w16cid:durableId="1352997831">
    <w:abstractNumId w:val="33"/>
  </w:num>
  <w:num w:numId="15" w16cid:durableId="654071359">
    <w:abstractNumId w:val="5"/>
  </w:num>
  <w:num w:numId="16" w16cid:durableId="839586357">
    <w:abstractNumId w:val="3"/>
  </w:num>
  <w:num w:numId="17" w16cid:durableId="1390492230">
    <w:abstractNumId w:val="37"/>
  </w:num>
  <w:num w:numId="18" w16cid:durableId="2059473358">
    <w:abstractNumId w:val="36"/>
  </w:num>
  <w:num w:numId="19" w16cid:durableId="989943001">
    <w:abstractNumId w:val="25"/>
  </w:num>
  <w:num w:numId="20" w16cid:durableId="678236002">
    <w:abstractNumId w:val="49"/>
  </w:num>
  <w:num w:numId="21" w16cid:durableId="1784686364">
    <w:abstractNumId w:val="43"/>
  </w:num>
  <w:num w:numId="22" w16cid:durableId="547767205">
    <w:abstractNumId w:val="20"/>
  </w:num>
  <w:num w:numId="23" w16cid:durableId="883831037">
    <w:abstractNumId w:val="2"/>
  </w:num>
  <w:num w:numId="24" w16cid:durableId="318390007">
    <w:abstractNumId w:val="26"/>
  </w:num>
  <w:num w:numId="25" w16cid:durableId="1822696908">
    <w:abstractNumId w:val="19"/>
  </w:num>
  <w:num w:numId="26" w16cid:durableId="2081902215">
    <w:abstractNumId w:val="0"/>
  </w:num>
  <w:num w:numId="27" w16cid:durableId="1535732420">
    <w:abstractNumId w:val="41"/>
  </w:num>
  <w:num w:numId="28" w16cid:durableId="1747342675">
    <w:abstractNumId w:val="29"/>
  </w:num>
  <w:num w:numId="29" w16cid:durableId="187187676">
    <w:abstractNumId w:val="14"/>
  </w:num>
  <w:num w:numId="30" w16cid:durableId="261576056">
    <w:abstractNumId w:val="15"/>
  </w:num>
  <w:num w:numId="31" w16cid:durableId="1200708535">
    <w:abstractNumId w:val="22"/>
  </w:num>
  <w:num w:numId="32" w16cid:durableId="537477974">
    <w:abstractNumId w:val="45"/>
  </w:num>
  <w:num w:numId="33" w16cid:durableId="1196770918">
    <w:abstractNumId w:val="47"/>
  </w:num>
  <w:num w:numId="34" w16cid:durableId="475806177">
    <w:abstractNumId w:val="50"/>
  </w:num>
  <w:num w:numId="35" w16cid:durableId="1924413312">
    <w:abstractNumId w:val="27"/>
  </w:num>
  <w:num w:numId="36" w16cid:durableId="745300883">
    <w:abstractNumId w:val="6"/>
  </w:num>
  <w:num w:numId="37" w16cid:durableId="590703706">
    <w:abstractNumId w:val="9"/>
  </w:num>
  <w:num w:numId="38" w16cid:durableId="240067402">
    <w:abstractNumId w:val="31"/>
  </w:num>
  <w:num w:numId="39" w16cid:durableId="2020235412">
    <w:abstractNumId w:val="17"/>
  </w:num>
  <w:num w:numId="40" w16cid:durableId="2070380499">
    <w:abstractNumId w:val="30"/>
  </w:num>
  <w:num w:numId="41" w16cid:durableId="1882091050">
    <w:abstractNumId w:val="8"/>
  </w:num>
  <w:num w:numId="42" w16cid:durableId="1071929718">
    <w:abstractNumId w:val="21"/>
  </w:num>
  <w:num w:numId="43" w16cid:durableId="256913638">
    <w:abstractNumId w:val="39"/>
  </w:num>
  <w:num w:numId="44" w16cid:durableId="1545098641">
    <w:abstractNumId w:val="10"/>
  </w:num>
  <w:num w:numId="45" w16cid:durableId="1815220401">
    <w:abstractNumId w:val="38"/>
  </w:num>
  <w:num w:numId="46" w16cid:durableId="967474918">
    <w:abstractNumId w:val="34"/>
  </w:num>
  <w:num w:numId="47" w16cid:durableId="1310406362">
    <w:abstractNumId w:val="12"/>
  </w:num>
  <w:num w:numId="48" w16cid:durableId="109347320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530"/>
    <w:rsid w:val="0000070E"/>
    <w:rsid w:val="0000111F"/>
    <w:rsid w:val="000014A8"/>
    <w:rsid w:val="0000191D"/>
    <w:rsid w:val="00001FC7"/>
    <w:rsid w:val="0000215F"/>
    <w:rsid w:val="000023DF"/>
    <w:rsid w:val="00003049"/>
    <w:rsid w:val="0000342B"/>
    <w:rsid w:val="00003EF0"/>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68F"/>
    <w:rsid w:val="00015F4C"/>
    <w:rsid w:val="000162EE"/>
    <w:rsid w:val="00016B85"/>
    <w:rsid w:val="00016E16"/>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8C8"/>
    <w:rsid w:val="00034669"/>
    <w:rsid w:val="000346EE"/>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05F"/>
    <w:rsid w:val="00047950"/>
    <w:rsid w:val="000514CE"/>
    <w:rsid w:val="0005163B"/>
    <w:rsid w:val="0005171B"/>
    <w:rsid w:val="00051D1F"/>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1090"/>
    <w:rsid w:val="00073606"/>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9DF"/>
    <w:rsid w:val="00091CDB"/>
    <w:rsid w:val="00091DC4"/>
    <w:rsid w:val="00091FE9"/>
    <w:rsid w:val="0009291D"/>
    <w:rsid w:val="000931FF"/>
    <w:rsid w:val="00094406"/>
    <w:rsid w:val="000944AD"/>
    <w:rsid w:val="000944F8"/>
    <w:rsid w:val="000957BC"/>
    <w:rsid w:val="00095EA2"/>
    <w:rsid w:val="00096719"/>
    <w:rsid w:val="00096B33"/>
    <w:rsid w:val="0009773A"/>
    <w:rsid w:val="00097EC4"/>
    <w:rsid w:val="000A0B0B"/>
    <w:rsid w:val="000A1108"/>
    <w:rsid w:val="000A1319"/>
    <w:rsid w:val="000A19AC"/>
    <w:rsid w:val="000A26FD"/>
    <w:rsid w:val="000A2DF9"/>
    <w:rsid w:val="000A31B6"/>
    <w:rsid w:val="000A38CC"/>
    <w:rsid w:val="000A403D"/>
    <w:rsid w:val="000A55BC"/>
    <w:rsid w:val="000A5644"/>
    <w:rsid w:val="000B1C02"/>
    <w:rsid w:val="000B2EC9"/>
    <w:rsid w:val="000B3688"/>
    <w:rsid w:val="000B5566"/>
    <w:rsid w:val="000B65BD"/>
    <w:rsid w:val="000B6846"/>
    <w:rsid w:val="000B786C"/>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9CD"/>
    <w:rsid w:val="000D0A2F"/>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5201"/>
    <w:rsid w:val="000D5429"/>
    <w:rsid w:val="000D5523"/>
    <w:rsid w:val="000D5C79"/>
    <w:rsid w:val="000D7A17"/>
    <w:rsid w:val="000D7A79"/>
    <w:rsid w:val="000E07E4"/>
    <w:rsid w:val="000E1309"/>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0162"/>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6EDC"/>
    <w:rsid w:val="000F7641"/>
    <w:rsid w:val="000F7AE9"/>
    <w:rsid w:val="000F7C81"/>
    <w:rsid w:val="001003E5"/>
    <w:rsid w:val="0010087D"/>
    <w:rsid w:val="0010101F"/>
    <w:rsid w:val="00101314"/>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1467"/>
    <w:rsid w:val="0011257F"/>
    <w:rsid w:val="0011261E"/>
    <w:rsid w:val="001129C7"/>
    <w:rsid w:val="00112F16"/>
    <w:rsid w:val="00112FF1"/>
    <w:rsid w:val="0011363A"/>
    <w:rsid w:val="00113D9B"/>
    <w:rsid w:val="00113E40"/>
    <w:rsid w:val="0011457A"/>
    <w:rsid w:val="001147FF"/>
    <w:rsid w:val="00114A62"/>
    <w:rsid w:val="001150FE"/>
    <w:rsid w:val="00116227"/>
    <w:rsid w:val="001167F7"/>
    <w:rsid w:val="001177E6"/>
    <w:rsid w:val="00117BD9"/>
    <w:rsid w:val="00117CC3"/>
    <w:rsid w:val="00120203"/>
    <w:rsid w:val="00120917"/>
    <w:rsid w:val="0012112B"/>
    <w:rsid w:val="001232F1"/>
    <w:rsid w:val="00124CC3"/>
    <w:rsid w:val="00126140"/>
    <w:rsid w:val="001264C4"/>
    <w:rsid w:val="00126763"/>
    <w:rsid w:val="00126B3C"/>
    <w:rsid w:val="00126B7F"/>
    <w:rsid w:val="00126EB6"/>
    <w:rsid w:val="001273A9"/>
    <w:rsid w:val="001277DA"/>
    <w:rsid w:val="0012783F"/>
    <w:rsid w:val="00130D85"/>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3ADE"/>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E00"/>
    <w:rsid w:val="00164F9B"/>
    <w:rsid w:val="0016514F"/>
    <w:rsid w:val="00166572"/>
    <w:rsid w:val="00166AA9"/>
    <w:rsid w:val="00166B53"/>
    <w:rsid w:val="00166CC2"/>
    <w:rsid w:val="00167A13"/>
    <w:rsid w:val="001710F9"/>
    <w:rsid w:val="00171B59"/>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48"/>
    <w:rsid w:val="00177E96"/>
    <w:rsid w:val="00180398"/>
    <w:rsid w:val="00181770"/>
    <w:rsid w:val="0018241F"/>
    <w:rsid w:val="001827DF"/>
    <w:rsid w:val="00182CD9"/>
    <w:rsid w:val="00182E70"/>
    <w:rsid w:val="0018305D"/>
    <w:rsid w:val="00183134"/>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28E0"/>
    <w:rsid w:val="001A2B6E"/>
    <w:rsid w:val="001A2BB7"/>
    <w:rsid w:val="001A31CF"/>
    <w:rsid w:val="001A3643"/>
    <w:rsid w:val="001A39D5"/>
    <w:rsid w:val="001A3DD8"/>
    <w:rsid w:val="001A42B8"/>
    <w:rsid w:val="001A44FC"/>
    <w:rsid w:val="001A47F9"/>
    <w:rsid w:val="001A547A"/>
    <w:rsid w:val="001A5F1B"/>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6579"/>
    <w:rsid w:val="001B67E0"/>
    <w:rsid w:val="001C0098"/>
    <w:rsid w:val="001C083E"/>
    <w:rsid w:val="001C0C42"/>
    <w:rsid w:val="001C13C7"/>
    <w:rsid w:val="001C2018"/>
    <w:rsid w:val="001C2365"/>
    <w:rsid w:val="001C2D65"/>
    <w:rsid w:val="001C3206"/>
    <w:rsid w:val="001C36F4"/>
    <w:rsid w:val="001C3877"/>
    <w:rsid w:val="001C4A3C"/>
    <w:rsid w:val="001C4ACA"/>
    <w:rsid w:val="001C4F24"/>
    <w:rsid w:val="001C5DDF"/>
    <w:rsid w:val="001C66D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3E76"/>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104"/>
    <w:rsid w:val="001F1310"/>
    <w:rsid w:val="001F1C53"/>
    <w:rsid w:val="001F22E7"/>
    <w:rsid w:val="001F277A"/>
    <w:rsid w:val="001F27C5"/>
    <w:rsid w:val="001F2830"/>
    <w:rsid w:val="001F2C5B"/>
    <w:rsid w:val="001F2FD8"/>
    <w:rsid w:val="001F4256"/>
    <w:rsid w:val="001F4369"/>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64F0"/>
    <w:rsid w:val="00206B97"/>
    <w:rsid w:val="00206E10"/>
    <w:rsid w:val="00207023"/>
    <w:rsid w:val="00207D99"/>
    <w:rsid w:val="00207DF5"/>
    <w:rsid w:val="00207F42"/>
    <w:rsid w:val="002103F3"/>
    <w:rsid w:val="002105A3"/>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62E"/>
    <w:rsid w:val="00227D53"/>
    <w:rsid w:val="00227E1E"/>
    <w:rsid w:val="00227ED9"/>
    <w:rsid w:val="002301AD"/>
    <w:rsid w:val="0023219E"/>
    <w:rsid w:val="00232752"/>
    <w:rsid w:val="0023338E"/>
    <w:rsid w:val="00233774"/>
    <w:rsid w:val="00235196"/>
    <w:rsid w:val="002352B9"/>
    <w:rsid w:val="0023598E"/>
    <w:rsid w:val="00235E8D"/>
    <w:rsid w:val="0023621E"/>
    <w:rsid w:val="002367F5"/>
    <w:rsid w:val="00236F00"/>
    <w:rsid w:val="00237702"/>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D05"/>
    <w:rsid w:val="0025047F"/>
    <w:rsid w:val="0025074E"/>
    <w:rsid w:val="00250806"/>
    <w:rsid w:val="00251CA5"/>
    <w:rsid w:val="00251FD4"/>
    <w:rsid w:val="0025287D"/>
    <w:rsid w:val="002528C8"/>
    <w:rsid w:val="0025311B"/>
    <w:rsid w:val="00253AF7"/>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3B0"/>
    <w:rsid w:val="00260438"/>
    <w:rsid w:val="00260906"/>
    <w:rsid w:val="00261684"/>
    <w:rsid w:val="00261CF7"/>
    <w:rsid w:val="00262248"/>
    <w:rsid w:val="0026282C"/>
    <w:rsid w:val="00262AEC"/>
    <w:rsid w:val="002631B1"/>
    <w:rsid w:val="002641A4"/>
    <w:rsid w:val="002641E0"/>
    <w:rsid w:val="00264F14"/>
    <w:rsid w:val="0026521A"/>
    <w:rsid w:val="002654BA"/>
    <w:rsid w:val="002657E2"/>
    <w:rsid w:val="00266008"/>
    <w:rsid w:val="00266672"/>
    <w:rsid w:val="00266C51"/>
    <w:rsid w:val="00266CD6"/>
    <w:rsid w:val="002673AC"/>
    <w:rsid w:val="00267B60"/>
    <w:rsid w:val="00270C4A"/>
    <w:rsid w:val="00271781"/>
    <w:rsid w:val="00271C36"/>
    <w:rsid w:val="00271EF7"/>
    <w:rsid w:val="0027278C"/>
    <w:rsid w:val="00272E37"/>
    <w:rsid w:val="00273484"/>
    <w:rsid w:val="002739BD"/>
    <w:rsid w:val="00274AAE"/>
    <w:rsid w:val="00274C95"/>
    <w:rsid w:val="00275144"/>
    <w:rsid w:val="00275DAB"/>
    <w:rsid w:val="00275F19"/>
    <w:rsid w:val="00276059"/>
    <w:rsid w:val="00276B49"/>
    <w:rsid w:val="00276BEC"/>
    <w:rsid w:val="00280F65"/>
    <w:rsid w:val="00281001"/>
    <w:rsid w:val="002821BE"/>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534B"/>
    <w:rsid w:val="00295582"/>
    <w:rsid w:val="00295857"/>
    <w:rsid w:val="00295ACD"/>
    <w:rsid w:val="00296651"/>
    <w:rsid w:val="0029698E"/>
    <w:rsid w:val="00296BB6"/>
    <w:rsid w:val="002977B5"/>
    <w:rsid w:val="002A02F2"/>
    <w:rsid w:val="002A1463"/>
    <w:rsid w:val="002A1E50"/>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71B1"/>
    <w:rsid w:val="002B7231"/>
    <w:rsid w:val="002B73B1"/>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D015F"/>
    <w:rsid w:val="002D1E55"/>
    <w:rsid w:val="002D3602"/>
    <w:rsid w:val="002D3AD3"/>
    <w:rsid w:val="002D3AE9"/>
    <w:rsid w:val="002D3CE7"/>
    <w:rsid w:val="002D4510"/>
    <w:rsid w:val="002D472D"/>
    <w:rsid w:val="002D5D64"/>
    <w:rsid w:val="002D7D6C"/>
    <w:rsid w:val="002D7FF5"/>
    <w:rsid w:val="002E09F5"/>
    <w:rsid w:val="002E0ACA"/>
    <w:rsid w:val="002E1665"/>
    <w:rsid w:val="002E1770"/>
    <w:rsid w:val="002E1AF2"/>
    <w:rsid w:val="002E1F65"/>
    <w:rsid w:val="002E2697"/>
    <w:rsid w:val="002E3319"/>
    <w:rsid w:val="002E3B7D"/>
    <w:rsid w:val="002E3E00"/>
    <w:rsid w:val="002E5313"/>
    <w:rsid w:val="002E5B4D"/>
    <w:rsid w:val="002E635C"/>
    <w:rsid w:val="002E6544"/>
    <w:rsid w:val="002E6699"/>
    <w:rsid w:val="002E6C92"/>
    <w:rsid w:val="002E7997"/>
    <w:rsid w:val="002F008A"/>
    <w:rsid w:val="002F026E"/>
    <w:rsid w:val="002F036D"/>
    <w:rsid w:val="002F04DC"/>
    <w:rsid w:val="002F0734"/>
    <w:rsid w:val="002F1CFE"/>
    <w:rsid w:val="002F1E4A"/>
    <w:rsid w:val="002F22EB"/>
    <w:rsid w:val="002F3712"/>
    <w:rsid w:val="002F3A7F"/>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BEA"/>
    <w:rsid w:val="00304C48"/>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B84"/>
    <w:rsid w:val="00323FB8"/>
    <w:rsid w:val="00324244"/>
    <w:rsid w:val="00324364"/>
    <w:rsid w:val="003246CB"/>
    <w:rsid w:val="003253B3"/>
    <w:rsid w:val="00326185"/>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6141"/>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606A3"/>
    <w:rsid w:val="003614BE"/>
    <w:rsid w:val="003615DC"/>
    <w:rsid w:val="00361EF5"/>
    <w:rsid w:val="0036241E"/>
    <w:rsid w:val="0036394B"/>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FCD"/>
    <w:rsid w:val="00380F32"/>
    <w:rsid w:val="00381634"/>
    <w:rsid w:val="00381AA5"/>
    <w:rsid w:val="00381AAD"/>
    <w:rsid w:val="00383533"/>
    <w:rsid w:val="00383AB4"/>
    <w:rsid w:val="003847D8"/>
    <w:rsid w:val="00384BFB"/>
    <w:rsid w:val="003851AB"/>
    <w:rsid w:val="0038560E"/>
    <w:rsid w:val="00385A73"/>
    <w:rsid w:val="0038622E"/>
    <w:rsid w:val="00386A9A"/>
    <w:rsid w:val="00387028"/>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EE"/>
    <w:rsid w:val="003929E2"/>
    <w:rsid w:val="003936AA"/>
    <w:rsid w:val="00393854"/>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60E"/>
    <w:rsid w:val="003A64BB"/>
    <w:rsid w:val="003A6E21"/>
    <w:rsid w:val="003A6FE1"/>
    <w:rsid w:val="003A7169"/>
    <w:rsid w:val="003B0476"/>
    <w:rsid w:val="003B07F4"/>
    <w:rsid w:val="003B09F5"/>
    <w:rsid w:val="003B0C94"/>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45C"/>
    <w:rsid w:val="003C7D50"/>
    <w:rsid w:val="003C7FA6"/>
    <w:rsid w:val="003D0607"/>
    <w:rsid w:val="003D076C"/>
    <w:rsid w:val="003D099C"/>
    <w:rsid w:val="003D0C5A"/>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344"/>
    <w:rsid w:val="003E01CE"/>
    <w:rsid w:val="003E0745"/>
    <w:rsid w:val="003E0B14"/>
    <w:rsid w:val="003E1C9E"/>
    <w:rsid w:val="003E3442"/>
    <w:rsid w:val="003E47EE"/>
    <w:rsid w:val="003E489D"/>
    <w:rsid w:val="003E51AE"/>
    <w:rsid w:val="003E5626"/>
    <w:rsid w:val="003E5A4D"/>
    <w:rsid w:val="003E5FCF"/>
    <w:rsid w:val="003E65F8"/>
    <w:rsid w:val="003E6648"/>
    <w:rsid w:val="003E6AD1"/>
    <w:rsid w:val="003E7112"/>
    <w:rsid w:val="003E7120"/>
    <w:rsid w:val="003E7817"/>
    <w:rsid w:val="003E7875"/>
    <w:rsid w:val="003E78B5"/>
    <w:rsid w:val="003F06BB"/>
    <w:rsid w:val="003F0B23"/>
    <w:rsid w:val="003F11CA"/>
    <w:rsid w:val="003F13F5"/>
    <w:rsid w:val="003F1778"/>
    <w:rsid w:val="003F251B"/>
    <w:rsid w:val="003F3F29"/>
    <w:rsid w:val="003F46A3"/>
    <w:rsid w:val="003F4F6D"/>
    <w:rsid w:val="003F54A4"/>
    <w:rsid w:val="003F55EE"/>
    <w:rsid w:val="003F6365"/>
    <w:rsid w:val="003F6F37"/>
    <w:rsid w:val="003F70F2"/>
    <w:rsid w:val="003F71DF"/>
    <w:rsid w:val="003F77E3"/>
    <w:rsid w:val="003F78B5"/>
    <w:rsid w:val="003F7E0E"/>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51D9"/>
    <w:rsid w:val="0041597A"/>
    <w:rsid w:val="00415BAB"/>
    <w:rsid w:val="00415C22"/>
    <w:rsid w:val="00415ED2"/>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02D"/>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5CE4"/>
    <w:rsid w:val="00436359"/>
    <w:rsid w:val="0043763F"/>
    <w:rsid w:val="00440840"/>
    <w:rsid w:val="004408F6"/>
    <w:rsid w:val="00440DC7"/>
    <w:rsid w:val="00441407"/>
    <w:rsid w:val="00441C8E"/>
    <w:rsid w:val="00441FD9"/>
    <w:rsid w:val="00442708"/>
    <w:rsid w:val="004429D9"/>
    <w:rsid w:val="0044318E"/>
    <w:rsid w:val="00443B35"/>
    <w:rsid w:val="004441E2"/>
    <w:rsid w:val="00444247"/>
    <w:rsid w:val="004457D6"/>
    <w:rsid w:val="00445836"/>
    <w:rsid w:val="00445EB0"/>
    <w:rsid w:val="00446813"/>
    <w:rsid w:val="00446BEE"/>
    <w:rsid w:val="00446C55"/>
    <w:rsid w:val="00447147"/>
    <w:rsid w:val="0044719F"/>
    <w:rsid w:val="00447BED"/>
    <w:rsid w:val="00447E47"/>
    <w:rsid w:val="0045002C"/>
    <w:rsid w:val="0045009B"/>
    <w:rsid w:val="004508F2"/>
    <w:rsid w:val="00450A9D"/>
    <w:rsid w:val="00450DE5"/>
    <w:rsid w:val="00451303"/>
    <w:rsid w:val="0045178C"/>
    <w:rsid w:val="00451EE2"/>
    <w:rsid w:val="00451F60"/>
    <w:rsid w:val="00452577"/>
    <w:rsid w:val="004526AC"/>
    <w:rsid w:val="0045293D"/>
    <w:rsid w:val="00452C1F"/>
    <w:rsid w:val="00453055"/>
    <w:rsid w:val="004534D2"/>
    <w:rsid w:val="00453904"/>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514"/>
    <w:rsid w:val="00470634"/>
    <w:rsid w:val="0047092D"/>
    <w:rsid w:val="00470F7B"/>
    <w:rsid w:val="0047122B"/>
    <w:rsid w:val="00472125"/>
    <w:rsid w:val="00473B00"/>
    <w:rsid w:val="00473B7A"/>
    <w:rsid w:val="00474922"/>
    <w:rsid w:val="00474F99"/>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7081"/>
    <w:rsid w:val="004870B0"/>
    <w:rsid w:val="00487926"/>
    <w:rsid w:val="00490CC9"/>
    <w:rsid w:val="00490E5A"/>
    <w:rsid w:val="00491A88"/>
    <w:rsid w:val="0049218A"/>
    <w:rsid w:val="0049240C"/>
    <w:rsid w:val="00492C4A"/>
    <w:rsid w:val="00492ECE"/>
    <w:rsid w:val="00493822"/>
    <w:rsid w:val="00493A74"/>
    <w:rsid w:val="00493D94"/>
    <w:rsid w:val="00494EA1"/>
    <w:rsid w:val="00495EFD"/>
    <w:rsid w:val="004960E9"/>
    <w:rsid w:val="00497384"/>
    <w:rsid w:val="004975CC"/>
    <w:rsid w:val="004979E7"/>
    <w:rsid w:val="00497DC9"/>
    <w:rsid w:val="004A0B44"/>
    <w:rsid w:val="004A0B80"/>
    <w:rsid w:val="004A221B"/>
    <w:rsid w:val="004A2E88"/>
    <w:rsid w:val="004A39F3"/>
    <w:rsid w:val="004A3BDC"/>
    <w:rsid w:val="004A421E"/>
    <w:rsid w:val="004A4313"/>
    <w:rsid w:val="004A5305"/>
    <w:rsid w:val="004A5BF5"/>
    <w:rsid w:val="004A6144"/>
    <w:rsid w:val="004A6D92"/>
    <w:rsid w:val="004A70C5"/>
    <w:rsid w:val="004A716C"/>
    <w:rsid w:val="004A73D6"/>
    <w:rsid w:val="004A78FB"/>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A31"/>
    <w:rsid w:val="004D040D"/>
    <w:rsid w:val="004D182B"/>
    <w:rsid w:val="004D328C"/>
    <w:rsid w:val="004D355C"/>
    <w:rsid w:val="004D4B8C"/>
    <w:rsid w:val="004D5A3A"/>
    <w:rsid w:val="004D6BB3"/>
    <w:rsid w:val="004D6BC4"/>
    <w:rsid w:val="004D72B2"/>
    <w:rsid w:val="004D74C5"/>
    <w:rsid w:val="004D7634"/>
    <w:rsid w:val="004E0285"/>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03E"/>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B86"/>
    <w:rsid w:val="004F5F72"/>
    <w:rsid w:val="004F6360"/>
    <w:rsid w:val="004F6460"/>
    <w:rsid w:val="004F70B9"/>
    <w:rsid w:val="00500DD1"/>
    <w:rsid w:val="005010CF"/>
    <w:rsid w:val="00501AAD"/>
    <w:rsid w:val="00501B46"/>
    <w:rsid w:val="00501BA1"/>
    <w:rsid w:val="0050206F"/>
    <w:rsid w:val="0050222B"/>
    <w:rsid w:val="00503B34"/>
    <w:rsid w:val="0050415A"/>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2CE"/>
    <w:rsid w:val="00523494"/>
    <w:rsid w:val="005238F2"/>
    <w:rsid w:val="00523A96"/>
    <w:rsid w:val="00524167"/>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520D"/>
    <w:rsid w:val="00536925"/>
    <w:rsid w:val="00537499"/>
    <w:rsid w:val="005402A5"/>
    <w:rsid w:val="00540633"/>
    <w:rsid w:val="005407C8"/>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D5"/>
    <w:rsid w:val="0054797E"/>
    <w:rsid w:val="00547E18"/>
    <w:rsid w:val="005503D0"/>
    <w:rsid w:val="005509D2"/>
    <w:rsid w:val="00550FF3"/>
    <w:rsid w:val="00551C12"/>
    <w:rsid w:val="00552AD1"/>
    <w:rsid w:val="005532D5"/>
    <w:rsid w:val="00553DE0"/>
    <w:rsid w:val="00553F3C"/>
    <w:rsid w:val="005541AC"/>
    <w:rsid w:val="00554B07"/>
    <w:rsid w:val="00554C96"/>
    <w:rsid w:val="00554CEA"/>
    <w:rsid w:val="005556FC"/>
    <w:rsid w:val="00555BA6"/>
    <w:rsid w:val="00555E24"/>
    <w:rsid w:val="00555F0E"/>
    <w:rsid w:val="00557262"/>
    <w:rsid w:val="00560967"/>
    <w:rsid w:val="00560A68"/>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11EC"/>
    <w:rsid w:val="005714A3"/>
    <w:rsid w:val="00571C46"/>
    <w:rsid w:val="00571D26"/>
    <w:rsid w:val="005736BB"/>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206"/>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E0C"/>
    <w:rsid w:val="005A10C4"/>
    <w:rsid w:val="005A18E5"/>
    <w:rsid w:val="005A1E31"/>
    <w:rsid w:val="005A32ED"/>
    <w:rsid w:val="005A35ED"/>
    <w:rsid w:val="005A3E1C"/>
    <w:rsid w:val="005A4090"/>
    <w:rsid w:val="005A4407"/>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2BF"/>
    <w:rsid w:val="005B6CB3"/>
    <w:rsid w:val="005B6E70"/>
    <w:rsid w:val="005B71F6"/>
    <w:rsid w:val="005B72AB"/>
    <w:rsid w:val="005C00E9"/>
    <w:rsid w:val="005C0ACC"/>
    <w:rsid w:val="005C0F45"/>
    <w:rsid w:val="005C1C67"/>
    <w:rsid w:val="005C2146"/>
    <w:rsid w:val="005C2300"/>
    <w:rsid w:val="005C27C6"/>
    <w:rsid w:val="005C368B"/>
    <w:rsid w:val="005C36C6"/>
    <w:rsid w:val="005C3BAA"/>
    <w:rsid w:val="005C5053"/>
    <w:rsid w:val="005C51B8"/>
    <w:rsid w:val="005C61F8"/>
    <w:rsid w:val="005C63D3"/>
    <w:rsid w:val="005C6976"/>
    <w:rsid w:val="005C772C"/>
    <w:rsid w:val="005C7781"/>
    <w:rsid w:val="005D0151"/>
    <w:rsid w:val="005D0888"/>
    <w:rsid w:val="005D0A73"/>
    <w:rsid w:val="005D0C07"/>
    <w:rsid w:val="005D0C96"/>
    <w:rsid w:val="005D1C05"/>
    <w:rsid w:val="005D1DE8"/>
    <w:rsid w:val="005D3126"/>
    <w:rsid w:val="005D31B9"/>
    <w:rsid w:val="005D352F"/>
    <w:rsid w:val="005D405A"/>
    <w:rsid w:val="005D40F0"/>
    <w:rsid w:val="005D4A35"/>
    <w:rsid w:val="005D502E"/>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A09"/>
    <w:rsid w:val="00602D1B"/>
    <w:rsid w:val="006036D2"/>
    <w:rsid w:val="006051EC"/>
    <w:rsid w:val="006052C5"/>
    <w:rsid w:val="0060532A"/>
    <w:rsid w:val="00605DA0"/>
    <w:rsid w:val="00605DA7"/>
    <w:rsid w:val="0060679E"/>
    <w:rsid w:val="0060783E"/>
    <w:rsid w:val="006102A4"/>
    <w:rsid w:val="00610A14"/>
    <w:rsid w:val="0061112B"/>
    <w:rsid w:val="0061181E"/>
    <w:rsid w:val="00611B5C"/>
    <w:rsid w:val="006123DD"/>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1DC9"/>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28E5"/>
    <w:rsid w:val="00652B8C"/>
    <w:rsid w:val="00653410"/>
    <w:rsid w:val="00653D45"/>
    <w:rsid w:val="00653FE0"/>
    <w:rsid w:val="00653FE9"/>
    <w:rsid w:val="00654384"/>
    <w:rsid w:val="006561FF"/>
    <w:rsid w:val="00656A24"/>
    <w:rsid w:val="00657B06"/>
    <w:rsid w:val="00660613"/>
    <w:rsid w:val="0066063C"/>
    <w:rsid w:val="006622B2"/>
    <w:rsid w:val="00662A64"/>
    <w:rsid w:val="00662D71"/>
    <w:rsid w:val="00663351"/>
    <w:rsid w:val="00663B7D"/>
    <w:rsid w:val="00664318"/>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40B2"/>
    <w:rsid w:val="00674275"/>
    <w:rsid w:val="00674313"/>
    <w:rsid w:val="006747D5"/>
    <w:rsid w:val="006752BF"/>
    <w:rsid w:val="00675985"/>
    <w:rsid w:val="00676724"/>
    <w:rsid w:val="00677E6A"/>
    <w:rsid w:val="00677FBF"/>
    <w:rsid w:val="00680BFA"/>
    <w:rsid w:val="00680C6F"/>
    <w:rsid w:val="00680DD2"/>
    <w:rsid w:val="0068113D"/>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72C7"/>
    <w:rsid w:val="006A7B6F"/>
    <w:rsid w:val="006A7EFB"/>
    <w:rsid w:val="006B0670"/>
    <w:rsid w:val="006B1433"/>
    <w:rsid w:val="006B191E"/>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0B42"/>
    <w:rsid w:val="006C1AF2"/>
    <w:rsid w:val="006C1DDA"/>
    <w:rsid w:val="006C1FD7"/>
    <w:rsid w:val="006C28E5"/>
    <w:rsid w:val="006C2D31"/>
    <w:rsid w:val="006C2D8E"/>
    <w:rsid w:val="006C32C9"/>
    <w:rsid w:val="006C39C5"/>
    <w:rsid w:val="006C3E16"/>
    <w:rsid w:val="006C3EC2"/>
    <w:rsid w:val="006C40BF"/>
    <w:rsid w:val="006C4912"/>
    <w:rsid w:val="006C5475"/>
    <w:rsid w:val="006C551B"/>
    <w:rsid w:val="006C5A3C"/>
    <w:rsid w:val="006C5AFE"/>
    <w:rsid w:val="006C5F0F"/>
    <w:rsid w:val="006C7612"/>
    <w:rsid w:val="006C7715"/>
    <w:rsid w:val="006C7AF6"/>
    <w:rsid w:val="006C7F6B"/>
    <w:rsid w:val="006D0483"/>
    <w:rsid w:val="006D093B"/>
    <w:rsid w:val="006D14F9"/>
    <w:rsid w:val="006D1906"/>
    <w:rsid w:val="006D1ED8"/>
    <w:rsid w:val="006D2747"/>
    <w:rsid w:val="006D2C27"/>
    <w:rsid w:val="006D2F90"/>
    <w:rsid w:val="006D30B1"/>
    <w:rsid w:val="006D3371"/>
    <w:rsid w:val="006D499A"/>
    <w:rsid w:val="006D4C57"/>
    <w:rsid w:val="006D5027"/>
    <w:rsid w:val="006D5773"/>
    <w:rsid w:val="006D5E04"/>
    <w:rsid w:val="006D74F0"/>
    <w:rsid w:val="006D7B38"/>
    <w:rsid w:val="006E0A54"/>
    <w:rsid w:val="006E135B"/>
    <w:rsid w:val="006E155D"/>
    <w:rsid w:val="006E1EEA"/>
    <w:rsid w:val="006E243D"/>
    <w:rsid w:val="006E24A7"/>
    <w:rsid w:val="006E38F5"/>
    <w:rsid w:val="006E3FEC"/>
    <w:rsid w:val="006E4298"/>
    <w:rsid w:val="006E495A"/>
    <w:rsid w:val="006E4C15"/>
    <w:rsid w:val="006E5FC3"/>
    <w:rsid w:val="006E6B54"/>
    <w:rsid w:val="006E7E68"/>
    <w:rsid w:val="006F0D35"/>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2B6"/>
    <w:rsid w:val="00711E2F"/>
    <w:rsid w:val="0071234E"/>
    <w:rsid w:val="007127EF"/>
    <w:rsid w:val="00712CF4"/>
    <w:rsid w:val="00713372"/>
    <w:rsid w:val="007134B4"/>
    <w:rsid w:val="00713525"/>
    <w:rsid w:val="0071352A"/>
    <w:rsid w:val="00713756"/>
    <w:rsid w:val="0071429A"/>
    <w:rsid w:val="00714A31"/>
    <w:rsid w:val="007150BB"/>
    <w:rsid w:val="0071618D"/>
    <w:rsid w:val="00716BF9"/>
    <w:rsid w:val="00717FED"/>
    <w:rsid w:val="00720AE2"/>
    <w:rsid w:val="00720E2E"/>
    <w:rsid w:val="0072106C"/>
    <w:rsid w:val="0072116F"/>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DA7"/>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D06"/>
    <w:rsid w:val="007505BC"/>
    <w:rsid w:val="007511E4"/>
    <w:rsid w:val="007522EC"/>
    <w:rsid w:val="007541E7"/>
    <w:rsid w:val="0075466B"/>
    <w:rsid w:val="007547AE"/>
    <w:rsid w:val="00754C8D"/>
    <w:rsid w:val="007550FC"/>
    <w:rsid w:val="00755178"/>
    <w:rsid w:val="0075578E"/>
    <w:rsid w:val="00756ABB"/>
    <w:rsid w:val="00757039"/>
    <w:rsid w:val="00760259"/>
    <w:rsid w:val="007602F3"/>
    <w:rsid w:val="00760D67"/>
    <w:rsid w:val="0076163F"/>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7138"/>
    <w:rsid w:val="00777163"/>
    <w:rsid w:val="00777809"/>
    <w:rsid w:val="00780D34"/>
    <w:rsid w:val="00781746"/>
    <w:rsid w:val="00781E1A"/>
    <w:rsid w:val="00782251"/>
    <w:rsid w:val="00783CA6"/>
    <w:rsid w:val="00785678"/>
    <w:rsid w:val="00785C3E"/>
    <w:rsid w:val="00785E4F"/>
    <w:rsid w:val="00786378"/>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1930"/>
    <w:rsid w:val="007A1FE8"/>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4BC"/>
    <w:rsid w:val="007C0A8E"/>
    <w:rsid w:val="007C127E"/>
    <w:rsid w:val="007C1B10"/>
    <w:rsid w:val="007C1FC9"/>
    <w:rsid w:val="007C2407"/>
    <w:rsid w:val="007C27D1"/>
    <w:rsid w:val="007C2E41"/>
    <w:rsid w:val="007C3F50"/>
    <w:rsid w:val="007C585E"/>
    <w:rsid w:val="007C5B24"/>
    <w:rsid w:val="007C5F20"/>
    <w:rsid w:val="007C636C"/>
    <w:rsid w:val="007C679C"/>
    <w:rsid w:val="007C6A9F"/>
    <w:rsid w:val="007C79E3"/>
    <w:rsid w:val="007D1D55"/>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851"/>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2732"/>
    <w:rsid w:val="007F4A2F"/>
    <w:rsid w:val="007F54DB"/>
    <w:rsid w:val="007F61EC"/>
    <w:rsid w:val="007F6527"/>
    <w:rsid w:val="007F6598"/>
    <w:rsid w:val="007F6754"/>
    <w:rsid w:val="007F6845"/>
    <w:rsid w:val="007F6C99"/>
    <w:rsid w:val="007F77FE"/>
    <w:rsid w:val="007F7C1B"/>
    <w:rsid w:val="00800D21"/>
    <w:rsid w:val="00800F80"/>
    <w:rsid w:val="00801349"/>
    <w:rsid w:val="00801920"/>
    <w:rsid w:val="00801E1F"/>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7980"/>
    <w:rsid w:val="0081014E"/>
    <w:rsid w:val="00810456"/>
    <w:rsid w:val="008109A6"/>
    <w:rsid w:val="00810A93"/>
    <w:rsid w:val="00810B25"/>
    <w:rsid w:val="00810D23"/>
    <w:rsid w:val="00811156"/>
    <w:rsid w:val="00811D3E"/>
    <w:rsid w:val="00812BAE"/>
    <w:rsid w:val="00813749"/>
    <w:rsid w:val="00813B37"/>
    <w:rsid w:val="0081412D"/>
    <w:rsid w:val="008148CC"/>
    <w:rsid w:val="00814E22"/>
    <w:rsid w:val="008152CA"/>
    <w:rsid w:val="008161B0"/>
    <w:rsid w:val="008166FA"/>
    <w:rsid w:val="008167FC"/>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F2F"/>
    <w:rsid w:val="008510DD"/>
    <w:rsid w:val="008511DC"/>
    <w:rsid w:val="008517D5"/>
    <w:rsid w:val="008518CC"/>
    <w:rsid w:val="00851B06"/>
    <w:rsid w:val="00851E8C"/>
    <w:rsid w:val="00852ACA"/>
    <w:rsid w:val="00852BB8"/>
    <w:rsid w:val="00854203"/>
    <w:rsid w:val="00855DE4"/>
    <w:rsid w:val="0085640E"/>
    <w:rsid w:val="008567D4"/>
    <w:rsid w:val="0085773A"/>
    <w:rsid w:val="0086085E"/>
    <w:rsid w:val="00860886"/>
    <w:rsid w:val="0086104E"/>
    <w:rsid w:val="00861829"/>
    <w:rsid w:val="00861B2B"/>
    <w:rsid w:val="00862022"/>
    <w:rsid w:val="008625B3"/>
    <w:rsid w:val="008629F1"/>
    <w:rsid w:val="00862C4C"/>
    <w:rsid w:val="00862E48"/>
    <w:rsid w:val="00863A37"/>
    <w:rsid w:val="00863AB8"/>
    <w:rsid w:val="00864C35"/>
    <w:rsid w:val="00864F48"/>
    <w:rsid w:val="00865FBA"/>
    <w:rsid w:val="008665E5"/>
    <w:rsid w:val="008670D0"/>
    <w:rsid w:val="0086780B"/>
    <w:rsid w:val="00870188"/>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1031"/>
    <w:rsid w:val="008818E6"/>
    <w:rsid w:val="00881A25"/>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D75"/>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EDB"/>
    <w:rsid w:val="008A2565"/>
    <w:rsid w:val="008A28A9"/>
    <w:rsid w:val="008A39E4"/>
    <w:rsid w:val="008A3CD8"/>
    <w:rsid w:val="008A3FCC"/>
    <w:rsid w:val="008A4148"/>
    <w:rsid w:val="008A4BD9"/>
    <w:rsid w:val="008A6101"/>
    <w:rsid w:val="008A6264"/>
    <w:rsid w:val="008A62FD"/>
    <w:rsid w:val="008A66C8"/>
    <w:rsid w:val="008A6BE9"/>
    <w:rsid w:val="008A7669"/>
    <w:rsid w:val="008B0D24"/>
    <w:rsid w:val="008B0DB5"/>
    <w:rsid w:val="008B0F7D"/>
    <w:rsid w:val="008B1869"/>
    <w:rsid w:val="008B21A6"/>
    <w:rsid w:val="008B220B"/>
    <w:rsid w:val="008B26C0"/>
    <w:rsid w:val="008B2B21"/>
    <w:rsid w:val="008B2CEF"/>
    <w:rsid w:val="008B2EAF"/>
    <w:rsid w:val="008B309A"/>
    <w:rsid w:val="008B3AEF"/>
    <w:rsid w:val="008B3DAA"/>
    <w:rsid w:val="008B449F"/>
    <w:rsid w:val="008B502D"/>
    <w:rsid w:val="008B61E5"/>
    <w:rsid w:val="008B6760"/>
    <w:rsid w:val="008B6A8F"/>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5419"/>
    <w:rsid w:val="008C54CC"/>
    <w:rsid w:val="008C5703"/>
    <w:rsid w:val="008C6406"/>
    <w:rsid w:val="008C6D97"/>
    <w:rsid w:val="008C6F1F"/>
    <w:rsid w:val="008C7A64"/>
    <w:rsid w:val="008C7DA8"/>
    <w:rsid w:val="008D01AC"/>
    <w:rsid w:val="008D04FF"/>
    <w:rsid w:val="008D0647"/>
    <w:rsid w:val="008D13D1"/>
    <w:rsid w:val="008D18E6"/>
    <w:rsid w:val="008D198C"/>
    <w:rsid w:val="008D1DC5"/>
    <w:rsid w:val="008D263A"/>
    <w:rsid w:val="008D29D5"/>
    <w:rsid w:val="008D2C6D"/>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39"/>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A2D"/>
    <w:rsid w:val="009113F1"/>
    <w:rsid w:val="00911464"/>
    <w:rsid w:val="0091189B"/>
    <w:rsid w:val="00911915"/>
    <w:rsid w:val="00911F4D"/>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2D7E"/>
    <w:rsid w:val="009233AB"/>
    <w:rsid w:val="00923B14"/>
    <w:rsid w:val="00923DD0"/>
    <w:rsid w:val="0092420C"/>
    <w:rsid w:val="0092537D"/>
    <w:rsid w:val="00925993"/>
    <w:rsid w:val="00926475"/>
    <w:rsid w:val="00926D40"/>
    <w:rsid w:val="00930543"/>
    <w:rsid w:val="00931ADD"/>
    <w:rsid w:val="00931B84"/>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304"/>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044"/>
    <w:rsid w:val="00956136"/>
    <w:rsid w:val="009561C0"/>
    <w:rsid w:val="00956203"/>
    <w:rsid w:val="009567A2"/>
    <w:rsid w:val="00957503"/>
    <w:rsid w:val="00961195"/>
    <w:rsid w:val="00961EAC"/>
    <w:rsid w:val="00962777"/>
    <w:rsid w:val="0096279C"/>
    <w:rsid w:val="00962E31"/>
    <w:rsid w:val="0096342A"/>
    <w:rsid w:val="0096416D"/>
    <w:rsid w:val="0096484C"/>
    <w:rsid w:val="0096494C"/>
    <w:rsid w:val="00964BE8"/>
    <w:rsid w:val="0096527A"/>
    <w:rsid w:val="0096528C"/>
    <w:rsid w:val="009656C6"/>
    <w:rsid w:val="00966740"/>
    <w:rsid w:val="00966827"/>
    <w:rsid w:val="00966CBB"/>
    <w:rsid w:val="009670CC"/>
    <w:rsid w:val="00967498"/>
    <w:rsid w:val="009703FA"/>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295"/>
    <w:rsid w:val="00991445"/>
    <w:rsid w:val="00991790"/>
    <w:rsid w:val="00991B54"/>
    <w:rsid w:val="00992953"/>
    <w:rsid w:val="0099354A"/>
    <w:rsid w:val="009935FB"/>
    <w:rsid w:val="009937FF"/>
    <w:rsid w:val="00993E50"/>
    <w:rsid w:val="009940D5"/>
    <w:rsid w:val="0099505F"/>
    <w:rsid w:val="009950E7"/>
    <w:rsid w:val="00995C30"/>
    <w:rsid w:val="00995D7E"/>
    <w:rsid w:val="009963B9"/>
    <w:rsid w:val="00996465"/>
    <w:rsid w:val="00996C5B"/>
    <w:rsid w:val="00996E66"/>
    <w:rsid w:val="009971F5"/>
    <w:rsid w:val="00997985"/>
    <w:rsid w:val="00997E69"/>
    <w:rsid w:val="00997E70"/>
    <w:rsid w:val="009A0187"/>
    <w:rsid w:val="009A0748"/>
    <w:rsid w:val="009A0B12"/>
    <w:rsid w:val="009A235E"/>
    <w:rsid w:val="009A272D"/>
    <w:rsid w:val="009A3A16"/>
    <w:rsid w:val="009A3C4E"/>
    <w:rsid w:val="009A3DAA"/>
    <w:rsid w:val="009A4054"/>
    <w:rsid w:val="009A4D1C"/>
    <w:rsid w:val="009A4F41"/>
    <w:rsid w:val="009A5812"/>
    <w:rsid w:val="009A5C72"/>
    <w:rsid w:val="009A633A"/>
    <w:rsid w:val="009A6462"/>
    <w:rsid w:val="009A77FC"/>
    <w:rsid w:val="009A7D88"/>
    <w:rsid w:val="009B0701"/>
    <w:rsid w:val="009B079A"/>
    <w:rsid w:val="009B104B"/>
    <w:rsid w:val="009B1328"/>
    <w:rsid w:val="009B2383"/>
    <w:rsid w:val="009B283D"/>
    <w:rsid w:val="009B303D"/>
    <w:rsid w:val="009B33F6"/>
    <w:rsid w:val="009B34C3"/>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1A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E1C"/>
    <w:rsid w:val="009C7F29"/>
    <w:rsid w:val="009D02EA"/>
    <w:rsid w:val="009D0307"/>
    <w:rsid w:val="009D0843"/>
    <w:rsid w:val="009D0F79"/>
    <w:rsid w:val="009D191F"/>
    <w:rsid w:val="009D1F4D"/>
    <w:rsid w:val="009D22C0"/>
    <w:rsid w:val="009D24DB"/>
    <w:rsid w:val="009D261C"/>
    <w:rsid w:val="009D2802"/>
    <w:rsid w:val="009D28E9"/>
    <w:rsid w:val="009D2A09"/>
    <w:rsid w:val="009D2A6F"/>
    <w:rsid w:val="009D2B66"/>
    <w:rsid w:val="009D3663"/>
    <w:rsid w:val="009D4626"/>
    <w:rsid w:val="009D469E"/>
    <w:rsid w:val="009D5565"/>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457C"/>
    <w:rsid w:val="009F47C9"/>
    <w:rsid w:val="009F47F4"/>
    <w:rsid w:val="009F4A54"/>
    <w:rsid w:val="009F4BEC"/>
    <w:rsid w:val="009F4F37"/>
    <w:rsid w:val="009F553B"/>
    <w:rsid w:val="009F5874"/>
    <w:rsid w:val="009F59FE"/>
    <w:rsid w:val="009F6532"/>
    <w:rsid w:val="009F7CCD"/>
    <w:rsid w:val="00A00C9D"/>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39A"/>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2ED"/>
    <w:rsid w:val="00A40314"/>
    <w:rsid w:val="00A40669"/>
    <w:rsid w:val="00A406BE"/>
    <w:rsid w:val="00A407C0"/>
    <w:rsid w:val="00A40880"/>
    <w:rsid w:val="00A40F12"/>
    <w:rsid w:val="00A41C8B"/>
    <w:rsid w:val="00A41E8D"/>
    <w:rsid w:val="00A42718"/>
    <w:rsid w:val="00A43041"/>
    <w:rsid w:val="00A43AFF"/>
    <w:rsid w:val="00A43D85"/>
    <w:rsid w:val="00A4482E"/>
    <w:rsid w:val="00A44A5A"/>
    <w:rsid w:val="00A44EEE"/>
    <w:rsid w:val="00A454E3"/>
    <w:rsid w:val="00A458BF"/>
    <w:rsid w:val="00A45ED5"/>
    <w:rsid w:val="00A46303"/>
    <w:rsid w:val="00A50932"/>
    <w:rsid w:val="00A50F78"/>
    <w:rsid w:val="00A51A1A"/>
    <w:rsid w:val="00A51DA4"/>
    <w:rsid w:val="00A51DB4"/>
    <w:rsid w:val="00A51F77"/>
    <w:rsid w:val="00A52D39"/>
    <w:rsid w:val="00A52FE6"/>
    <w:rsid w:val="00A53109"/>
    <w:rsid w:val="00A53289"/>
    <w:rsid w:val="00A532D3"/>
    <w:rsid w:val="00A537A1"/>
    <w:rsid w:val="00A53990"/>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148"/>
    <w:rsid w:val="00A743F3"/>
    <w:rsid w:val="00A74AD1"/>
    <w:rsid w:val="00A750AE"/>
    <w:rsid w:val="00A7710A"/>
    <w:rsid w:val="00A772F9"/>
    <w:rsid w:val="00A774EB"/>
    <w:rsid w:val="00A7793A"/>
    <w:rsid w:val="00A77C02"/>
    <w:rsid w:val="00A80C05"/>
    <w:rsid w:val="00A80C7B"/>
    <w:rsid w:val="00A80EFD"/>
    <w:rsid w:val="00A82091"/>
    <w:rsid w:val="00A820E0"/>
    <w:rsid w:val="00A827B5"/>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B0C"/>
    <w:rsid w:val="00A94F8B"/>
    <w:rsid w:val="00A95099"/>
    <w:rsid w:val="00A956C0"/>
    <w:rsid w:val="00A960D7"/>
    <w:rsid w:val="00A96BFD"/>
    <w:rsid w:val="00AA02D5"/>
    <w:rsid w:val="00AA06CF"/>
    <w:rsid w:val="00AA0FA8"/>
    <w:rsid w:val="00AA2290"/>
    <w:rsid w:val="00AA2722"/>
    <w:rsid w:val="00AA2850"/>
    <w:rsid w:val="00AA2860"/>
    <w:rsid w:val="00AA289B"/>
    <w:rsid w:val="00AA30F9"/>
    <w:rsid w:val="00AA367A"/>
    <w:rsid w:val="00AA3C41"/>
    <w:rsid w:val="00AA3E64"/>
    <w:rsid w:val="00AA4CC7"/>
    <w:rsid w:val="00AA4D04"/>
    <w:rsid w:val="00AA535A"/>
    <w:rsid w:val="00AA583A"/>
    <w:rsid w:val="00AA5E8E"/>
    <w:rsid w:val="00AA612B"/>
    <w:rsid w:val="00AA7048"/>
    <w:rsid w:val="00AB0281"/>
    <w:rsid w:val="00AB05E2"/>
    <w:rsid w:val="00AB0CF9"/>
    <w:rsid w:val="00AB0EB1"/>
    <w:rsid w:val="00AB1145"/>
    <w:rsid w:val="00AB163A"/>
    <w:rsid w:val="00AB1AF2"/>
    <w:rsid w:val="00AB214F"/>
    <w:rsid w:val="00AB225B"/>
    <w:rsid w:val="00AB29AA"/>
    <w:rsid w:val="00AB2BAD"/>
    <w:rsid w:val="00AB3CF4"/>
    <w:rsid w:val="00AB46ED"/>
    <w:rsid w:val="00AB4F19"/>
    <w:rsid w:val="00AB566F"/>
    <w:rsid w:val="00AB604C"/>
    <w:rsid w:val="00AB6107"/>
    <w:rsid w:val="00AB6163"/>
    <w:rsid w:val="00AB6CA7"/>
    <w:rsid w:val="00AB6D57"/>
    <w:rsid w:val="00AB6D86"/>
    <w:rsid w:val="00AB6DD5"/>
    <w:rsid w:val="00AB6F05"/>
    <w:rsid w:val="00AC026D"/>
    <w:rsid w:val="00AC0BD4"/>
    <w:rsid w:val="00AC11B9"/>
    <w:rsid w:val="00AC1F33"/>
    <w:rsid w:val="00AC256E"/>
    <w:rsid w:val="00AC298A"/>
    <w:rsid w:val="00AC3B82"/>
    <w:rsid w:val="00AC3EF0"/>
    <w:rsid w:val="00AC422F"/>
    <w:rsid w:val="00AC45AE"/>
    <w:rsid w:val="00AC5050"/>
    <w:rsid w:val="00AC539D"/>
    <w:rsid w:val="00AC6357"/>
    <w:rsid w:val="00AC759F"/>
    <w:rsid w:val="00AD01E4"/>
    <w:rsid w:val="00AD0676"/>
    <w:rsid w:val="00AD0858"/>
    <w:rsid w:val="00AD096D"/>
    <w:rsid w:val="00AD17E6"/>
    <w:rsid w:val="00AD1CA7"/>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68C"/>
    <w:rsid w:val="00AE1C98"/>
    <w:rsid w:val="00AE262D"/>
    <w:rsid w:val="00AE2B11"/>
    <w:rsid w:val="00AE411C"/>
    <w:rsid w:val="00AE4F77"/>
    <w:rsid w:val="00AE5145"/>
    <w:rsid w:val="00AE5722"/>
    <w:rsid w:val="00AE63D7"/>
    <w:rsid w:val="00AE7340"/>
    <w:rsid w:val="00AF0BB5"/>
    <w:rsid w:val="00AF0C52"/>
    <w:rsid w:val="00AF1197"/>
    <w:rsid w:val="00AF1BBD"/>
    <w:rsid w:val="00AF22D6"/>
    <w:rsid w:val="00AF246E"/>
    <w:rsid w:val="00AF29D5"/>
    <w:rsid w:val="00AF4CDE"/>
    <w:rsid w:val="00AF5249"/>
    <w:rsid w:val="00AF53F4"/>
    <w:rsid w:val="00AF542A"/>
    <w:rsid w:val="00AF658F"/>
    <w:rsid w:val="00AF7656"/>
    <w:rsid w:val="00AF794B"/>
    <w:rsid w:val="00B006E0"/>
    <w:rsid w:val="00B007C7"/>
    <w:rsid w:val="00B01219"/>
    <w:rsid w:val="00B012B5"/>
    <w:rsid w:val="00B03139"/>
    <w:rsid w:val="00B03620"/>
    <w:rsid w:val="00B047B4"/>
    <w:rsid w:val="00B04948"/>
    <w:rsid w:val="00B04C4A"/>
    <w:rsid w:val="00B05249"/>
    <w:rsid w:val="00B052C2"/>
    <w:rsid w:val="00B05633"/>
    <w:rsid w:val="00B06FFE"/>
    <w:rsid w:val="00B077F9"/>
    <w:rsid w:val="00B09F47"/>
    <w:rsid w:val="00B10207"/>
    <w:rsid w:val="00B10E76"/>
    <w:rsid w:val="00B11EAF"/>
    <w:rsid w:val="00B1261B"/>
    <w:rsid w:val="00B12868"/>
    <w:rsid w:val="00B132E7"/>
    <w:rsid w:val="00B133EB"/>
    <w:rsid w:val="00B13B30"/>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8AA"/>
    <w:rsid w:val="00B50A31"/>
    <w:rsid w:val="00B513F5"/>
    <w:rsid w:val="00B5152D"/>
    <w:rsid w:val="00B52415"/>
    <w:rsid w:val="00B5293D"/>
    <w:rsid w:val="00B534DD"/>
    <w:rsid w:val="00B535AB"/>
    <w:rsid w:val="00B537CA"/>
    <w:rsid w:val="00B53E0C"/>
    <w:rsid w:val="00B54549"/>
    <w:rsid w:val="00B5482F"/>
    <w:rsid w:val="00B55144"/>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37D1"/>
    <w:rsid w:val="00B63E59"/>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60B6"/>
    <w:rsid w:val="00B76A1F"/>
    <w:rsid w:val="00B76A8B"/>
    <w:rsid w:val="00B76F67"/>
    <w:rsid w:val="00B77482"/>
    <w:rsid w:val="00B778F5"/>
    <w:rsid w:val="00B77C2E"/>
    <w:rsid w:val="00B77CD0"/>
    <w:rsid w:val="00B80A4C"/>
    <w:rsid w:val="00B80A53"/>
    <w:rsid w:val="00B8131D"/>
    <w:rsid w:val="00B823D1"/>
    <w:rsid w:val="00B825C2"/>
    <w:rsid w:val="00B82619"/>
    <w:rsid w:val="00B82883"/>
    <w:rsid w:val="00B82DE0"/>
    <w:rsid w:val="00B83CA6"/>
    <w:rsid w:val="00B83F64"/>
    <w:rsid w:val="00B84016"/>
    <w:rsid w:val="00B84993"/>
    <w:rsid w:val="00B84C00"/>
    <w:rsid w:val="00B85325"/>
    <w:rsid w:val="00B85425"/>
    <w:rsid w:val="00B85FD2"/>
    <w:rsid w:val="00B85FD4"/>
    <w:rsid w:val="00B86FA5"/>
    <w:rsid w:val="00B872AE"/>
    <w:rsid w:val="00B87806"/>
    <w:rsid w:val="00B879F4"/>
    <w:rsid w:val="00B87EC9"/>
    <w:rsid w:val="00B90365"/>
    <w:rsid w:val="00B90941"/>
    <w:rsid w:val="00B91F5D"/>
    <w:rsid w:val="00B934E4"/>
    <w:rsid w:val="00B93640"/>
    <w:rsid w:val="00B93B69"/>
    <w:rsid w:val="00B93FF5"/>
    <w:rsid w:val="00B94C9E"/>
    <w:rsid w:val="00B94D33"/>
    <w:rsid w:val="00B95B66"/>
    <w:rsid w:val="00B96A6B"/>
    <w:rsid w:val="00B96FB7"/>
    <w:rsid w:val="00BA04F6"/>
    <w:rsid w:val="00BA070B"/>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F45"/>
    <w:rsid w:val="00BC2397"/>
    <w:rsid w:val="00BC24A1"/>
    <w:rsid w:val="00BC288C"/>
    <w:rsid w:val="00BC3890"/>
    <w:rsid w:val="00BC38FD"/>
    <w:rsid w:val="00BC3BAD"/>
    <w:rsid w:val="00BC3C53"/>
    <w:rsid w:val="00BC40D7"/>
    <w:rsid w:val="00BC43FF"/>
    <w:rsid w:val="00BC4928"/>
    <w:rsid w:val="00BC4C9E"/>
    <w:rsid w:val="00BC5055"/>
    <w:rsid w:val="00BC58DA"/>
    <w:rsid w:val="00BC58F9"/>
    <w:rsid w:val="00BC5BEC"/>
    <w:rsid w:val="00BC66D0"/>
    <w:rsid w:val="00BC7E9C"/>
    <w:rsid w:val="00BD1C72"/>
    <w:rsid w:val="00BD1F61"/>
    <w:rsid w:val="00BD22C7"/>
    <w:rsid w:val="00BD2747"/>
    <w:rsid w:val="00BD28F0"/>
    <w:rsid w:val="00BD30D2"/>
    <w:rsid w:val="00BD3EB5"/>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F5"/>
    <w:rsid w:val="00BF17E7"/>
    <w:rsid w:val="00BF1941"/>
    <w:rsid w:val="00BF2DF6"/>
    <w:rsid w:val="00BF316F"/>
    <w:rsid w:val="00BF33FA"/>
    <w:rsid w:val="00BF350D"/>
    <w:rsid w:val="00BF3966"/>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59BA"/>
    <w:rsid w:val="00C1631D"/>
    <w:rsid w:val="00C1640B"/>
    <w:rsid w:val="00C16479"/>
    <w:rsid w:val="00C166D3"/>
    <w:rsid w:val="00C16815"/>
    <w:rsid w:val="00C170C2"/>
    <w:rsid w:val="00C17547"/>
    <w:rsid w:val="00C17897"/>
    <w:rsid w:val="00C17F23"/>
    <w:rsid w:val="00C202E9"/>
    <w:rsid w:val="00C21370"/>
    <w:rsid w:val="00C2199B"/>
    <w:rsid w:val="00C21A7C"/>
    <w:rsid w:val="00C22072"/>
    <w:rsid w:val="00C22ACF"/>
    <w:rsid w:val="00C22CA9"/>
    <w:rsid w:val="00C2346D"/>
    <w:rsid w:val="00C23C64"/>
    <w:rsid w:val="00C23D5E"/>
    <w:rsid w:val="00C244B5"/>
    <w:rsid w:val="00C24D55"/>
    <w:rsid w:val="00C2567C"/>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657"/>
    <w:rsid w:val="00C46B05"/>
    <w:rsid w:val="00C47169"/>
    <w:rsid w:val="00C4722C"/>
    <w:rsid w:val="00C47CF3"/>
    <w:rsid w:val="00C50334"/>
    <w:rsid w:val="00C50887"/>
    <w:rsid w:val="00C513F0"/>
    <w:rsid w:val="00C51595"/>
    <w:rsid w:val="00C51666"/>
    <w:rsid w:val="00C51B7C"/>
    <w:rsid w:val="00C52727"/>
    <w:rsid w:val="00C53F02"/>
    <w:rsid w:val="00C54054"/>
    <w:rsid w:val="00C5785F"/>
    <w:rsid w:val="00C608E3"/>
    <w:rsid w:val="00C60C51"/>
    <w:rsid w:val="00C6131D"/>
    <w:rsid w:val="00C61532"/>
    <w:rsid w:val="00C61B63"/>
    <w:rsid w:val="00C61E0D"/>
    <w:rsid w:val="00C6234B"/>
    <w:rsid w:val="00C628BB"/>
    <w:rsid w:val="00C6302B"/>
    <w:rsid w:val="00C63826"/>
    <w:rsid w:val="00C63EAE"/>
    <w:rsid w:val="00C649B7"/>
    <w:rsid w:val="00C64C7A"/>
    <w:rsid w:val="00C656EE"/>
    <w:rsid w:val="00C66195"/>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DD1"/>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F1"/>
    <w:rsid w:val="00CA3A3D"/>
    <w:rsid w:val="00CA3AA6"/>
    <w:rsid w:val="00CA3EF3"/>
    <w:rsid w:val="00CA4880"/>
    <w:rsid w:val="00CA4F3A"/>
    <w:rsid w:val="00CA51FC"/>
    <w:rsid w:val="00CA555C"/>
    <w:rsid w:val="00CA6716"/>
    <w:rsid w:val="00CA6C0C"/>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654C"/>
    <w:rsid w:val="00CB7813"/>
    <w:rsid w:val="00CC044A"/>
    <w:rsid w:val="00CC06BA"/>
    <w:rsid w:val="00CC07CC"/>
    <w:rsid w:val="00CC0D19"/>
    <w:rsid w:val="00CC1725"/>
    <w:rsid w:val="00CC2254"/>
    <w:rsid w:val="00CC269A"/>
    <w:rsid w:val="00CC3D6A"/>
    <w:rsid w:val="00CC3ECA"/>
    <w:rsid w:val="00CC4407"/>
    <w:rsid w:val="00CC4757"/>
    <w:rsid w:val="00CC4AD9"/>
    <w:rsid w:val="00CC4F61"/>
    <w:rsid w:val="00CC51D4"/>
    <w:rsid w:val="00CC5367"/>
    <w:rsid w:val="00CC5633"/>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49F"/>
    <w:rsid w:val="00CD46B3"/>
    <w:rsid w:val="00CD4F5B"/>
    <w:rsid w:val="00CD57BB"/>
    <w:rsid w:val="00CD5DA9"/>
    <w:rsid w:val="00CD6557"/>
    <w:rsid w:val="00CD692C"/>
    <w:rsid w:val="00CD6A5B"/>
    <w:rsid w:val="00CD6C8C"/>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E44"/>
    <w:rsid w:val="00CF0103"/>
    <w:rsid w:val="00CF174F"/>
    <w:rsid w:val="00CF18AF"/>
    <w:rsid w:val="00CF18FA"/>
    <w:rsid w:val="00CF21B9"/>
    <w:rsid w:val="00CF2A2D"/>
    <w:rsid w:val="00CF3182"/>
    <w:rsid w:val="00CF369F"/>
    <w:rsid w:val="00CF5104"/>
    <w:rsid w:val="00CF5914"/>
    <w:rsid w:val="00CF6BF9"/>
    <w:rsid w:val="00CF70BE"/>
    <w:rsid w:val="00CF75DD"/>
    <w:rsid w:val="00D00274"/>
    <w:rsid w:val="00D00748"/>
    <w:rsid w:val="00D02A5C"/>
    <w:rsid w:val="00D0301D"/>
    <w:rsid w:val="00D03745"/>
    <w:rsid w:val="00D03800"/>
    <w:rsid w:val="00D03EF8"/>
    <w:rsid w:val="00D03F97"/>
    <w:rsid w:val="00D04F3D"/>
    <w:rsid w:val="00D065D3"/>
    <w:rsid w:val="00D06B96"/>
    <w:rsid w:val="00D0710C"/>
    <w:rsid w:val="00D0751F"/>
    <w:rsid w:val="00D0784F"/>
    <w:rsid w:val="00D10C65"/>
    <w:rsid w:val="00D10DD2"/>
    <w:rsid w:val="00D11C4B"/>
    <w:rsid w:val="00D11DF2"/>
    <w:rsid w:val="00D11F46"/>
    <w:rsid w:val="00D11F87"/>
    <w:rsid w:val="00D12AEC"/>
    <w:rsid w:val="00D13799"/>
    <w:rsid w:val="00D14142"/>
    <w:rsid w:val="00D1486D"/>
    <w:rsid w:val="00D14C94"/>
    <w:rsid w:val="00D163AC"/>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539F"/>
    <w:rsid w:val="00D256FA"/>
    <w:rsid w:val="00D25F2C"/>
    <w:rsid w:val="00D26D63"/>
    <w:rsid w:val="00D27672"/>
    <w:rsid w:val="00D27F49"/>
    <w:rsid w:val="00D30192"/>
    <w:rsid w:val="00D30AB5"/>
    <w:rsid w:val="00D30CE1"/>
    <w:rsid w:val="00D31C4A"/>
    <w:rsid w:val="00D32F3E"/>
    <w:rsid w:val="00D32F94"/>
    <w:rsid w:val="00D33C0E"/>
    <w:rsid w:val="00D33EA8"/>
    <w:rsid w:val="00D3421B"/>
    <w:rsid w:val="00D342A6"/>
    <w:rsid w:val="00D343C4"/>
    <w:rsid w:val="00D34440"/>
    <w:rsid w:val="00D3458A"/>
    <w:rsid w:val="00D35642"/>
    <w:rsid w:val="00D35A33"/>
    <w:rsid w:val="00D3636B"/>
    <w:rsid w:val="00D36A6A"/>
    <w:rsid w:val="00D36C6E"/>
    <w:rsid w:val="00D37634"/>
    <w:rsid w:val="00D37CA3"/>
    <w:rsid w:val="00D400F9"/>
    <w:rsid w:val="00D40464"/>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14B0"/>
    <w:rsid w:val="00D51BAB"/>
    <w:rsid w:val="00D524B1"/>
    <w:rsid w:val="00D52BDB"/>
    <w:rsid w:val="00D5356B"/>
    <w:rsid w:val="00D53E26"/>
    <w:rsid w:val="00D54357"/>
    <w:rsid w:val="00D54BD4"/>
    <w:rsid w:val="00D5501A"/>
    <w:rsid w:val="00D553D3"/>
    <w:rsid w:val="00D557EE"/>
    <w:rsid w:val="00D55FD3"/>
    <w:rsid w:val="00D5608E"/>
    <w:rsid w:val="00D56B71"/>
    <w:rsid w:val="00D56C71"/>
    <w:rsid w:val="00D57074"/>
    <w:rsid w:val="00D57575"/>
    <w:rsid w:val="00D60BCE"/>
    <w:rsid w:val="00D60EE3"/>
    <w:rsid w:val="00D60EE7"/>
    <w:rsid w:val="00D61044"/>
    <w:rsid w:val="00D61986"/>
    <w:rsid w:val="00D61A48"/>
    <w:rsid w:val="00D624AA"/>
    <w:rsid w:val="00D62F75"/>
    <w:rsid w:val="00D630BE"/>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B77"/>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490"/>
    <w:rsid w:val="00D964EE"/>
    <w:rsid w:val="00D979E4"/>
    <w:rsid w:val="00D97E45"/>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2582"/>
    <w:rsid w:val="00DB2A08"/>
    <w:rsid w:val="00DB390F"/>
    <w:rsid w:val="00DB3AC1"/>
    <w:rsid w:val="00DB4001"/>
    <w:rsid w:val="00DB418B"/>
    <w:rsid w:val="00DB49CD"/>
    <w:rsid w:val="00DB4E83"/>
    <w:rsid w:val="00DB5402"/>
    <w:rsid w:val="00DB5C34"/>
    <w:rsid w:val="00DB5DF7"/>
    <w:rsid w:val="00DB606F"/>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A2E"/>
    <w:rsid w:val="00DC5A3D"/>
    <w:rsid w:val="00DC61DA"/>
    <w:rsid w:val="00DC6C6E"/>
    <w:rsid w:val="00DC70A4"/>
    <w:rsid w:val="00DC756E"/>
    <w:rsid w:val="00DC7B09"/>
    <w:rsid w:val="00DD096C"/>
    <w:rsid w:val="00DD18DF"/>
    <w:rsid w:val="00DD236B"/>
    <w:rsid w:val="00DD2B72"/>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9F9"/>
    <w:rsid w:val="00DE1D45"/>
    <w:rsid w:val="00DE2C11"/>
    <w:rsid w:val="00DE2D60"/>
    <w:rsid w:val="00DE3611"/>
    <w:rsid w:val="00DE3C62"/>
    <w:rsid w:val="00DE3D6D"/>
    <w:rsid w:val="00DE3E82"/>
    <w:rsid w:val="00DE481D"/>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608"/>
    <w:rsid w:val="00E27ABE"/>
    <w:rsid w:val="00E30643"/>
    <w:rsid w:val="00E3092E"/>
    <w:rsid w:val="00E33D23"/>
    <w:rsid w:val="00E3419F"/>
    <w:rsid w:val="00E348B6"/>
    <w:rsid w:val="00E3513B"/>
    <w:rsid w:val="00E35613"/>
    <w:rsid w:val="00E36456"/>
    <w:rsid w:val="00E3651B"/>
    <w:rsid w:val="00E371CE"/>
    <w:rsid w:val="00E4023E"/>
    <w:rsid w:val="00E40697"/>
    <w:rsid w:val="00E40B05"/>
    <w:rsid w:val="00E4302C"/>
    <w:rsid w:val="00E437CA"/>
    <w:rsid w:val="00E43C3B"/>
    <w:rsid w:val="00E43F74"/>
    <w:rsid w:val="00E442C8"/>
    <w:rsid w:val="00E44594"/>
    <w:rsid w:val="00E44D6B"/>
    <w:rsid w:val="00E45320"/>
    <w:rsid w:val="00E45CC3"/>
    <w:rsid w:val="00E460E3"/>
    <w:rsid w:val="00E474A8"/>
    <w:rsid w:val="00E4771A"/>
    <w:rsid w:val="00E47A98"/>
    <w:rsid w:val="00E47BC6"/>
    <w:rsid w:val="00E512DA"/>
    <w:rsid w:val="00E521C9"/>
    <w:rsid w:val="00E52E7A"/>
    <w:rsid w:val="00E534CF"/>
    <w:rsid w:val="00E538D3"/>
    <w:rsid w:val="00E53F6F"/>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6A4"/>
    <w:rsid w:val="00E63D66"/>
    <w:rsid w:val="00E642FB"/>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939"/>
    <w:rsid w:val="00E71DEE"/>
    <w:rsid w:val="00E71EE0"/>
    <w:rsid w:val="00E72226"/>
    <w:rsid w:val="00E72262"/>
    <w:rsid w:val="00E72EDC"/>
    <w:rsid w:val="00E7329D"/>
    <w:rsid w:val="00E739C2"/>
    <w:rsid w:val="00E73CF4"/>
    <w:rsid w:val="00E73D71"/>
    <w:rsid w:val="00E76552"/>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D5C"/>
    <w:rsid w:val="00E87DAD"/>
    <w:rsid w:val="00E87F41"/>
    <w:rsid w:val="00E9057E"/>
    <w:rsid w:val="00E90E21"/>
    <w:rsid w:val="00E90F09"/>
    <w:rsid w:val="00E911DC"/>
    <w:rsid w:val="00E91ADB"/>
    <w:rsid w:val="00E91D79"/>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1F2D"/>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76C0"/>
    <w:rsid w:val="00EE7D43"/>
    <w:rsid w:val="00EF0398"/>
    <w:rsid w:val="00EF056A"/>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E9A"/>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99B"/>
    <w:rsid w:val="00F320B2"/>
    <w:rsid w:val="00F328F0"/>
    <w:rsid w:val="00F32E67"/>
    <w:rsid w:val="00F33C6F"/>
    <w:rsid w:val="00F3467E"/>
    <w:rsid w:val="00F35276"/>
    <w:rsid w:val="00F35D5E"/>
    <w:rsid w:val="00F35F07"/>
    <w:rsid w:val="00F36702"/>
    <w:rsid w:val="00F36AF0"/>
    <w:rsid w:val="00F37413"/>
    <w:rsid w:val="00F37441"/>
    <w:rsid w:val="00F37A1B"/>
    <w:rsid w:val="00F37A39"/>
    <w:rsid w:val="00F40882"/>
    <w:rsid w:val="00F40F88"/>
    <w:rsid w:val="00F422D6"/>
    <w:rsid w:val="00F43881"/>
    <w:rsid w:val="00F43C5D"/>
    <w:rsid w:val="00F44393"/>
    <w:rsid w:val="00F4555D"/>
    <w:rsid w:val="00F458AF"/>
    <w:rsid w:val="00F46071"/>
    <w:rsid w:val="00F46727"/>
    <w:rsid w:val="00F46780"/>
    <w:rsid w:val="00F47F49"/>
    <w:rsid w:val="00F47FF2"/>
    <w:rsid w:val="00F50305"/>
    <w:rsid w:val="00F50396"/>
    <w:rsid w:val="00F50AC4"/>
    <w:rsid w:val="00F51218"/>
    <w:rsid w:val="00F5187D"/>
    <w:rsid w:val="00F51A86"/>
    <w:rsid w:val="00F51C53"/>
    <w:rsid w:val="00F52701"/>
    <w:rsid w:val="00F532BA"/>
    <w:rsid w:val="00F53489"/>
    <w:rsid w:val="00F541A2"/>
    <w:rsid w:val="00F54493"/>
    <w:rsid w:val="00F5566F"/>
    <w:rsid w:val="00F559EF"/>
    <w:rsid w:val="00F55A19"/>
    <w:rsid w:val="00F56125"/>
    <w:rsid w:val="00F564F9"/>
    <w:rsid w:val="00F569F1"/>
    <w:rsid w:val="00F5737F"/>
    <w:rsid w:val="00F57709"/>
    <w:rsid w:val="00F57CCB"/>
    <w:rsid w:val="00F6004A"/>
    <w:rsid w:val="00F600D4"/>
    <w:rsid w:val="00F602B8"/>
    <w:rsid w:val="00F60485"/>
    <w:rsid w:val="00F61CAC"/>
    <w:rsid w:val="00F6205E"/>
    <w:rsid w:val="00F624E5"/>
    <w:rsid w:val="00F6297F"/>
    <w:rsid w:val="00F62A1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68C"/>
    <w:rsid w:val="00F82C05"/>
    <w:rsid w:val="00F82FBB"/>
    <w:rsid w:val="00F83414"/>
    <w:rsid w:val="00F83735"/>
    <w:rsid w:val="00F8384D"/>
    <w:rsid w:val="00F838CC"/>
    <w:rsid w:val="00F83FD1"/>
    <w:rsid w:val="00F84316"/>
    <w:rsid w:val="00F8437A"/>
    <w:rsid w:val="00F84552"/>
    <w:rsid w:val="00F84A0C"/>
    <w:rsid w:val="00F84A6D"/>
    <w:rsid w:val="00F84B01"/>
    <w:rsid w:val="00F84B69"/>
    <w:rsid w:val="00F84C8C"/>
    <w:rsid w:val="00F84FE0"/>
    <w:rsid w:val="00F85CC3"/>
    <w:rsid w:val="00F86162"/>
    <w:rsid w:val="00F8620B"/>
    <w:rsid w:val="00F90D7E"/>
    <w:rsid w:val="00F91043"/>
    <w:rsid w:val="00F9198C"/>
    <w:rsid w:val="00F91C11"/>
    <w:rsid w:val="00F9246F"/>
    <w:rsid w:val="00F9309A"/>
    <w:rsid w:val="00F9314A"/>
    <w:rsid w:val="00F93529"/>
    <w:rsid w:val="00F93CC0"/>
    <w:rsid w:val="00F940B2"/>
    <w:rsid w:val="00F9422A"/>
    <w:rsid w:val="00F94902"/>
    <w:rsid w:val="00F95AF6"/>
    <w:rsid w:val="00F95C21"/>
    <w:rsid w:val="00F95D08"/>
    <w:rsid w:val="00F9670D"/>
    <w:rsid w:val="00F9742E"/>
    <w:rsid w:val="00FA0181"/>
    <w:rsid w:val="00FA05A7"/>
    <w:rsid w:val="00FA075E"/>
    <w:rsid w:val="00FA0833"/>
    <w:rsid w:val="00FA0F50"/>
    <w:rsid w:val="00FA12E8"/>
    <w:rsid w:val="00FA1462"/>
    <w:rsid w:val="00FA1AED"/>
    <w:rsid w:val="00FA3C92"/>
    <w:rsid w:val="00FA469B"/>
    <w:rsid w:val="00FA4FE3"/>
    <w:rsid w:val="00FA5BD7"/>
    <w:rsid w:val="00FA631B"/>
    <w:rsid w:val="00FA6419"/>
    <w:rsid w:val="00FA6E4C"/>
    <w:rsid w:val="00FA727F"/>
    <w:rsid w:val="00FA75C4"/>
    <w:rsid w:val="00FA75EC"/>
    <w:rsid w:val="00FA7C64"/>
    <w:rsid w:val="00FA7EEE"/>
    <w:rsid w:val="00FA7FEE"/>
    <w:rsid w:val="00FB08DA"/>
    <w:rsid w:val="00FB0D86"/>
    <w:rsid w:val="00FB0FCD"/>
    <w:rsid w:val="00FB19E8"/>
    <w:rsid w:val="00FB1DA9"/>
    <w:rsid w:val="00FB246A"/>
    <w:rsid w:val="00FB24A5"/>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D52"/>
    <w:rsid w:val="00FD2FC1"/>
    <w:rsid w:val="00FD30C0"/>
    <w:rsid w:val="00FD33DF"/>
    <w:rsid w:val="00FD3CBE"/>
    <w:rsid w:val="00FD3FF4"/>
    <w:rsid w:val="00FD50BB"/>
    <w:rsid w:val="00FD5320"/>
    <w:rsid w:val="00FD5668"/>
    <w:rsid w:val="00FD69A5"/>
    <w:rsid w:val="00FD6ADE"/>
    <w:rsid w:val="00FD7A3E"/>
    <w:rsid w:val="00FD7AA3"/>
    <w:rsid w:val="00FD7C71"/>
    <w:rsid w:val="00FE0E01"/>
    <w:rsid w:val="00FE0F2D"/>
    <w:rsid w:val="00FE1031"/>
    <w:rsid w:val="00FE160A"/>
    <w:rsid w:val="00FE1A12"/>
    <w:rsid w:val="00FE2545"/>
    <w:rsid w:val="00FE2A21"/>
    <w:rsid w:val="00FE2F87"/>
    <w:rsid w:val="00FE304A"/>
    <w:rsid w:val="00FE3697"/>
    <w:rsid w:val="00FE38A0"/>
    <w:rsid w:val="00FE39D7"/>
    <w:rsid w:val="00FE4072"/>
    <w:rsid w:val="00FE460F"/>
    <w:rsid w:val="00FE4A21"/>
    <w:rsid w:val="00FE4ECD"/>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AA"/>
    <w:rsid w:val="00FF5FDC"/>
    <w:rsid w:val="00FF67D7"/>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AEFA72"/>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5B010A"/>
    <w:rsid w:val="0DC27548"/>
    <w:rsid w:val="0DD0119C"/>
    <w:rsid w:val="0F248FAA"/>
    <w:rsid w:val="0FF69FC3"/>
    <w:rsid w:val="10D5F307"/>
    <w:rsid w:val="10DC3266"/>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A4075E"/>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59BEC84"/>
    <w:rsid w:val="26188534"/>
    <w:rsid w:val="265AE9C2"/>
    <w:rsid w:val="27F0BB65"/>
    <w:rsid w:val="284DF516"/>
    <w:rsid w:val="2880152C"/>
    <w:rsid w:val="296B86AD"/>
    <w:rsid w:val="29C79DBE"/>
    <w:rsid w:val="29FDCFEC"/>
    <w:rsid w:val="2A130E38"/>
    <w:rsid w:val="2A374A4E"/>
    <w:rsid w:val="2A86EFCD"/>
    <w:rsid w:val="2DB1861A"/>
    <w:rsid w:val="2DC7DE56"/>
    <w:rsid w:val="2DD31FA7"/>
    <w:rsid w:val="2DD50F84"/>
    <w:rsid w:val="2DF02F8C"/>
    <w:rsid w:val="2E2D38AF"/>
    <w:rsid w:val="2E3802CE"/>
    <w:rsid w:val="2F134593"/>
    <w:rsid w:val="2F45F2A1"/>
    <w:rsid w:val="3031D4DA"/>
    <w:rsid w:val="304A0365"/>
    <w:rsid w:val="309283CB"/>
    <w:rsid w:val="30EE4FE0"/>
    <w:rsid w:val="329BBFBF"/>
    <w:rsid w:val="3417078A"/>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D0C3BB"/>
    <w:rsid w:val="3DEAF278"/>
    <w:rsid w:val="3E122499"/>
    <w:rsid w:val="3E9A1C25"/>
    <w:rsid w:val="3F1BA789"/>
    <w:rsid w:val="40A3873F"/>
    <w:rsid w:val="41178D86"/>
    <w:rsid w:val="42FCC037"/>
    <w:rsid w:val="43CA8B0E"/>
    <w:rsid w:val="4452418C"/>
    <w:rsid w:val="44655C5D"/>
    <w:rsid w:val="44A081E1"/>
    <w:rsid w:val="469DC7C7"/>
    <w:rsid w:val="46C0183A"/>
    <w:rsid w:val="46F3E2A8"/>
    <w:rsid w:val="47476B30"/>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6732EC"/>
    <w:rsid w:val="5682C5B4"/>
    <w:rsid w:val="56AD5906"/>
    <w:rsid w:val="583693BD"/>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36A0E1"/>
    <w:rsid w:val="6CE20E1A"/>
    <w:rsid w:val="6E334CE1"/>
    <w:rsid w:val="6E35B3F0"/>
    <w:rsid w:val="6E4EE731"/>
    <w:rsid w:val="6F7E6279"/>
    <w:rsid w:val="700F45F8"/>
    <w:rsid w:val="71334651"/>
    <w:rsid w:val="71D22451"/>
    <w:rsid w:val="727B5814"/>
    <w:rsid w:val="73226220"/>
    <w:rsid w:val="7355BFE1"/>
    <w:rsid w:val="7429AD8B"/>
    <w:rsid w:val="747EEF09"/>
    <w:rsid w:val="74D304C0"/>
    <w:rsid w:val="7544B85B"/>
    <w:rsid w:val="7592B20F"/>
    <w:rsid w:val="75AD75A1"/>
    <w:rsid w:val="75B0DFCE"/>
    <w:rsid w:val="77E9125B"/>
    <w:rsid w:val="77F87463"/>
    <w:rsid w:val="78322F5F"/>
    <w:rsid w:val="795A4DB2"/>
    <w:rsid w:val="79B1D6CE"/>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FB4F211-BED1-4969-97B9-87480D6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595129"/>
    <w:pPr>
      <w:numPr>
        <w:numId w:val="3"/>
      </w:numPr>
      <w:jc w:val="center"/>
    </w:pPr>
    <w:rPr>
      <w:b/>
      <w:bCs/>
    </w:rPr>
  </w:style>
  <w:style w:type="character" w:customStyle="1" w:styleId="SubttuloCar">
    <w:name w:val="Subtítulo Car"/>
    <w:link w:val="Subttulo"/>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iPriority w:val="99"/>
    <w:unhideWhenUsed/>
    <w:rsid w:val="00E01463"/>
    <w:pPr>
      <w:ind w:left="283"/>
    </w:pPr>
  </w:style>
  <w:style w:type="character" w:customStyle="1" w:styleId="SangradetextonormalCar">
    <w:name w:val="Sangría de texto normal Car"/>
    <w:link w:val="Sangradetextonormal"/>
    <w:uiPriority w:val="99"/>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uiPriority w:val="99"/>
    <w:semiHidden/>
    <w:unhideWhenUsed/>
    <w:rsid w:val="00242F2B"/>
    <w:rPr>
      <w:b/>
      <w:bCs/>
    </w:rPr>
  </w:style>
  <w:style w:type="character" w:customStyle="1" w:styleId="AsuntodelcomentarioCar">
    <w:name w:val="Asunto del comentario Car"/>
    <w:link w:val="Asuntodelcomentario"/>
    <w:uiPriority w:val="99"/>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 w:type="character" w:styleId="Mencinsinresolver">
    <w:name w:val="Unresolved Mention"/>
    <w:basedOn w:val="Fuentedeprrafopredeter"/>
    <w:uiPriority w:val="99"/>
    <w:semiHidden/>
    <w:unhideWhenUsed/>
    <w:rsid w:val="00F541A2"/>
    <w:rPr>
      <w:color w:val="605E5C"/>
      <w:shd w:val="clear" w:color="auto" w:fill="E1DFDD"/>
    </w:rPr>
  </w:style>
  <w:style w:type="character" w:styleId="Refdenotaalpie">
    <w:name w:val="footnote reference"/>
    <w:basedOn w:val="Fuentedeprrafopredeter"/>
    <w:uiPriority w:val="99"/>
    <w:semiHidden/>
    <w:unhideWhenUsed/>
    <w:rsid w:val="001803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g@creg.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boletinlexbase.com/lexbase/Normas/Resoluciones/Min-Minas/2020/R4-0191de2020.htm" TargetMode="External"/><Relationship Id="rId1" Type="http://schemas.openxmlformats.org/officeDocument/2006/relationships/hyperlink" Target="https://boletinlexbase.com/lexbase/Normas/Resoluciones/Min-Minas/2016/R4-1282de2016.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5e352c5-a0a5-4aff-9101-fc8c076df9f7">
      <UserInfo>
        <DisplayName>Magaly Echeverria</DisplayName>
        <AccountId>255</AccountId>
        <AccountType/>
      </UserInfo>
      <UserInfo>
        <DisplayName>Olga Estella Ramirez Yaima</DisplayName>
        <AccountId>39</AccountId>
        <AccountType/>
      </UserInfo>
    </SharedWithUsers>
    <TaxCatchAll xmlns="c5e352c5-a0a5-4aff-9101-fc8c076df9f7" xsi:nil="true"/>
    <lcf76f155ced4ddcb4097134ff3c332f xmlns="52f50d89-700a-49c3-acb1-cc45863f80d1">
      <Terms xmlns="http://schemas.microsoft.com/office/infopath/2007/PartnerControls"/>
    </lcf76f155ced4ddcb4097134ff3c332f>
    <Usuarios xmlns="52f50d89-700a-49c3-acb1-cc45863f80d1">
      <UserInfo>
        <DisplayName/>
        <AccountId xsi:nil="true"/>
        <AccountType/>
      </UserInfo>
    </Usuario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2.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3.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4.xml><?xml version="1.0" encoding="utf-8"?>
<ds:datastoreItem xmlns:ds="http://schemas.openxmlformats.org/officeDocument/2006/customXml" ds:itemID="{ED38465F-8794-49FB-936F-45EC67A9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38</TotalTime>
  <Pages>1</Pages>
  <Words>1974</Words>
  <Characters>10858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35</cp:revision>
  <cp:lastPrinted>2025-02-27T20:29:00Z</cp:lastPrinted>
  <dcterms:created xsi:type="dcterms:W3CDTF">2025-02-20T20:35:00Z</dcterms:created>
  <dcterms:modified xsi:type="dcterms:W3CDTF">2025-02-27T20:29:00Z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0x010100DCDD0B26ABEDD0459BD4267A57D8442E</vt:lpwstr>
  </property>
</Properties>
</file>