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709F" w14:textId="497B401E" w:rsidR="00542B8B" w:rsidRPr="005A2DFB" w:rsidRDefault="00542B8B" w:rsidP="00A743EC">
      <w:pPr>
        <w:spacing w:line="240" w:lineRule="auto"/>
        <w:rPr>
          <w:rFonts w:ascii="Helvetica" w:hAnsi="Helvetica" w:cs="Helvetica"/>
          <w:sz w:val="22"/>
          <w:szCs w:val="22"/>
          <w:lang w:val="es-MX"/>
        </w:rPr>
      </w:pPr>
      <w:r w:rsidRPr="005A2DFB">
        <w:rPr>
          <w:rFonts w:ascii="Helvetica" w:hAnsi="Helvetica" w:cs="Helvetica"/>
          <w:sz w:val="22"/>
          <w:szCs w:val="22"/>
          <w:lang w:val="es-MX"/>
        </w:rPr>
        <w:t>Bogotá, D. C.</w:t>
      </w:r>
      <w:proofErr w:type="gramStart"/>
      <w:r w:rsidRPr="005A2DFB">
        <w:rPr>
          <w:rFonts w:ascii="Helvetica" w:hAnsi="Helvetica" w:cs="Helvetica"/>
          <w:sz w:val="22"/>
          <w:szCs w:val="22"/>
          <w:lang w:val="es-MX"/>
        </w:rPr>
        <w:t xml:space="preserve">,  </w:t>
      </w:r>
      <w:r w:rsidR="00A743EC">
        <w:rPr>
          <w:rFonts w:ascii="Helvetica" w:hAnsi="Helvetica" w:cs="Helvetica"/>
          <w:sz w:val="22"/>
          <w:szCs w:val="22"/>
          <w:lang w:val="es-MX"/>
        </w:rPr>
        <w:t>24</w:t>
      </w:r>
      <w:proofErr w:type="gramEnd"/>
      <w:r w:rsidR="00351F72" w:rsidRPr="005A2DFB">
        <w:rPr>
          <w:rFonts w:ascii="Helvetica" w:hAnsi="Helvetica" w:cs="Helvetica"/>
          <w:sz w:val="22"/>
          <w:szCs w:val="22"/>
          <w:lang w:val="es-MX"/>
        </w:rPr>
        <w:t xml:space="preserve"> de enero de 2025</w:t>
      </w:r>
    </w:p>
    <w:p w14:paraId="00A5D322" w14:textId="77777777" w:rsidR="00486572" w:rsidRPr="005A2DFB" w:rsidRDefault="00486572" w:rsidP="00A743EC">
      <w:pPr>
        <w:spacing w:before="0" w:after="0" w:line="240" w:lineRule="auto"/>
        <w:rPr>
          <w:rFonts w:ascii="Helvetica" w:hAnsi="Helvetica" w:cs="Helvetica"/>
          <w:sz w:val="22"/>
          <w:szCs w:val="22"/>
        </w:rPr>
      </w:pPr>
    </w:p>
    <w:p w14:paraId="3CE31EBC" w14:textId="33AC51C8" w:rsidR="00542B8B" w:rsidRPr="005A2DFB" w:rsidRDefault="00542B8B" w:rsidP="00A743EC">
      <w:pPr>
        <w:pStyle w:val="Ttulo5"/>
        <w:spacing w:before="0" w:line="240" w:lineRule="auto"/>
        <w:jc w:val="center"/>
        <w:rPr>
          <w:rFonts w:ascii="Helvetica" w:eastAsia="Times New Roman" w:hAnsi="Helvetica" w:cs="Helvetica"/>
          <w:b/>
          <w:bCs/>
          <w:i/>
          <w:iCs/>
          <w:noProof/>
          <w:color w:val="auto"/>
          <w:spacing w:val="-5"/>
          <w:kern w:val="60"/>
          <w:sz w:val="40"/>
          <w:szCs w:val="40"/>
        </w:rPr>
      </w:pPr>
      <w:r w:rsidRPr="005A2DFB">
        <w:rPr>
          <w:rFonts w:ascii="Helvetica" w:eastAsia="Times New Roman" w:hAnsi="Helvetica" w:cs="Helvetica"/>
          <w:b/>
          <w:bCs/>
          <w:i/>
          <w:iCs/>
          <w:noProof/>
          <w:color w:val="auto"/>
          <w:spacing w:val="-5"/>
          <w:kern w:val="60"/>
          <w:sz w:val="40"/>
          <w:szCs w:val="40"/>
        </w:rPr>
        <w:t>CIRCULAR No</w:t>
      </w:r>
      <w:r w:rsidRPr="00A743EC">
        <w:rPr>
          <w:rFonts w:ascii="Helvetica" w:eastAsia="Times New Roman" w:hAnsi="Helvetica" w:cs="Helvetica"/>
          <w:b/>
          <w:bCs/>
          <w:i/>
          <w:iCs/>
          <w:noProof/>
          <w:color w:val="auto"/>
          <w:spacing w:val="-5"/>
          <w:kern w:val="60"/>
          <w:sz w:val="40"/>
          <w:szCs w:val="40"/>
        </w:rPr>
        <w:t>.</w:t>
      </w:r>
      <w:r w:rsidR="00351F72" w:rsidRPr="00A743EC">
        <w:rPr>
          <w:rFonts w:ascii="Helvetica" w:eastAsia="Times New Roman" w:hAnsi="Helvetica" w:cs="Helvetica"/>
          <w:b/>
          <w:bCs/>
          <w:i/>
          <w:iCs/>
          <w:noProof/>
          <w:color w:val="auto"/>
          <w:spacing w:val="-5"/>
          <w:kern w:val="60"/>
          <w:sz w:val="40"/>
          <w:szCs w:val="40"/>
        </w:rPr>
        <w:t xml:space="preserve"> </w:t>
      </w:r>
      <w:r w:rsidR="00A743EC" w:rsidRPr="00A743EC">
        <w:rPr>
          <w:rFonts w:ascii="Helvetica" w:eastAsia="Times New Roman" w:hAnsi="Helvetica" w:cs="Helvetica"/>
          <w:b/>
          <w:bCs/>
          <w:i/>
          <w:iCs/>
          <w:noProof/>
          <w:color w:val="auto"/>
          <w:spacing w:val="-5"/>
          <w:kern w:val="60"/>
          <w:sz w:val="40"/>
          <w:szCs w:val="40"/>
        </w:rPr>
        <w:t xml:space="preserve">124 </w:t>
      </w:r>
      <w:r w:rsidR="00351F72" w:rsidRPr="00A743EC">
        <w:rPr>
          <w:rFonts w:ascii="Helvetica" w:eastAsia="Times New Roman" w:hAnsi="Helvetica" w:cs="Helvetica"/>
          <w:b/>
          <w:bCs/>
          <w:i/>
          <w:iCs/>
          <w:noProof/>
          <w:color w:val="auto"/>
          <w:spacing w:val="-5"/>
          <w:kern w:val="60"/>
          <w:sz w:val="40"/>
          <w:szCs w:val="40"/>
        </w:rPr>
        <w:fldChar w:fldCharType="begin"/>
      </w:r>
      <w:r w:rsidR="00351F72" w:rsidRPr="00A743EC">
        <w:rPr>
          <w:rFonts w:ascii="Helvetica" w:eastAsia="Times New Roman" w:hAnsi="Helvetica" w:cs="Helvetica"/>
          <w:b/>
          <w:bCs/>
          <w:i/>
          <w:iCs/>
          <w:noProof/>
          <w:color w:val="auto"/>
          <w:spacing w:val="-5"/>
          <w:kern w:val="60"/>
          <w:sz w:val="40"/>
          <w:szCs w:val="40"/>
        </w:rPr>
        <w:instrText xml:space="preserve"> MERGEFIELD  NumeroCircular  \* MERGEFORMAT </w:instrText>
      </w:r>
      <w:r w:rsidR="00351F72" w:rsidRPr="00A743EC">
        <w:rPr>
          <w:rFonts w:ascii="Helvetica" w:eastAsia="Times New Roman" w:hAnsi="Helvetica" w:cs="Helvetica"/>
          <w:b/>
          <w:bCs/>
          <w:i/>
          <w:iCs/>
          <w:noProof/>
          <w:color w:val="auto"/>
          <w:spacing w:val="-5"/>
          <w:kern w:val="60"/>
          <w:sz w:val="40"/>
          <w:szCs w:val="40"/>
        </w:rPr>
        <w:fldChar w:fldCharType="separate"/>
      </w:r>
      <w:r w:rsidR="00351F72" w:rsidRPr="00A743EC">
        <w:rPr>
          <w:rFonts w:ascii="Helvetica" w:eastAsia="Times New Roman" w:hAnsi="Helvetica" w:cs="Helvetica"/>
          <w:b/>
          <w:bCs/>
          <w:i/>
          <w:iCs/>
          <w:noProof/>
          <w:color w:val="auto"/>
          <w:spacing w:val="-5"/>
          <w:kern w:val="60"/>
          <w:sz w:val="40"/>
          <w:szCs w:val="40"/>
        </w:rPr>
        <w:t>de 2025</w:t>
      </w:r>
      <w:r w:rsidR="00351F72" w:rsidRPr="00A743EC">
        <w:rPr>
          <w:rFonts w:ascii="Helvetica" w:eastAsia="Times New Roman" w:hAnsi="Helvetica" w:cs="Helvetica"/>
          <w:b/>
          <w:bCs/>
          <w:i/>
          <w:iCs/>
          <w:noProof/>
          <w:color w:val="auto"/>
          <w:spacing w:val="-5"/>
          <w:kern w:val="60"/>
          <w:sz w:val="40"/>
          <w:szCs w:val="40"/>
        </w:rPr>
        <w:fldChar w:fldCharType="end"/>
      </w:r>
    </w:p>
    <w:p w14:paraId="4D0C8A75" w14:textId="77777777" w:rsidR="00366827" w:rsidRPr="005A2DFB" w:rsidRDefault="00366827" w:rsidP="00A743EC">
      <w:pPr>
        <w:pStyle w:val="Sangradetextonormal"/>
        <w:ind w:left="1410" w:hanging="1410"/>
        <w:rPr>
          <w:rFonts w:ascii="Helvetica" w:hAnsi="Helvetica" w:cs="Helvetica"/>
          <w:b/>
          <w:bCs/>
          <w:lang w:val="es-ES"/>
        </w:rPr>
      </w:pPr>
    </w:p>
    <w:p w14:paraId="3A11A745" w14:textId="682420D5" w:rsidR="00486572" w:rsidRPr="005A2DFB" w:rsidRDefault="00486572" w:rsidP="00A743EC">
      <w:pPr>
        <w:pStyle w:val="Sangradetextonormal"/>
        <w:ind w:left="1412" w:hanging="1412"/>
        <w:rPr>
          <w:rFonts w:ascii="Helvetica" w:hAnsi="Helvetica" w:cs="Helvetica"/>
          <w:b/>
          <w:bCs/>
          <w:lang w:val="es-ES"/>
        </w:rPr>
      </w:pPr>
      <w:r w:rsidRPr="005A2DFB">
        <w:rPr>
          <w:rFonts w:ascii="Helvetica" w:hAnsi="Helvetica" w:cs="Helvetica"/>
          <w:b/>
          <w:bCs/>
          <w:lang w:val="es-ES"/>
        </w:rPr>
        <w:t>PARA:</w:t>
      </w:r>
      <w:r w:rsidRPr="005A2DFB">
        <w:rPr>
          <w:rFonts w:ascii="Helvetica" w:hAnsi="Helvetica" w:cs="Helvetica"/>
        </w:rPr>
        <w:tab/>
      </w:r>
      <w:r w:rsidR="00574D1D" w:rsidRPr="005A2DFB">
        <w:rPr>
          <w:rFonts w:ascii="Helvetica" w:hAnsi="Helvetica" w:cs="Helvetica"/>
          <w:b/>
          <w:bCs/>
          <w:lang w:val="es-ES"/>
        </w:rPr>
        <w:t>OPERADORES DE RED</w:t>
      </w:r>
      <w:r w:rsidR="00D17370" w:rsidRPr="005A2DFB">
        <w:rPr>
          <w:rFonts w:ascii="Helvetica" w:hAnsi="Helvetica" w:cs="Helvetica"/>
          <w:b/>
          <w:bCs/>
          <w:lang w:val="es-ES"/>
        </w:rPr>
        <w:t>, USUARIOS Y DEMÁS INTERESADOS</w:t>
      </w:r>
    </w:p>
    <w:p w14:paraId="524AC56D" w14:textId="77777777" w:rsidR="00486572" w:rsidRPr="005A2DFB" w:rsidRDefault="00486572" w:rsidP="00A743EC">
      <w:pPr>
        <w:pStyle w:val="Sangradetextonormal"/>
        <w:ind w:left="1412" w:hanging="1412"/>
        <w:rPr>
          <w:rFonts w:ascii="Helvetica" w:hAnsi="Helvetica" w:cs="Helvetica"/>
          <w:b/>
        </w:rPr>
      </w:pPr>
    </w:p>
    <w:p w14:paraId="1984CBC1" w14:textId="20CF77F2" w:rsidR="00486572" w:rsidRPr="005A2DFB" w:rsidRDefault="00486572" w:rsidP="00A743EC">
      <w:pPr>
        <w:pStyle w:val="Sangradetextonormal"/>
        <w:ind w:left="1412" w:hanging="1412"/>
        <w:rPr>
          <w:rFonts w:ascii="Helvetica" w:hAnsi="Helvetica" w:cs="Helvetica"/>
          <w:b/>
          <w:bCs/>
          <w:lang w:val="es-ES"/>
        </w:rPr>
      </w:pPr>
      <w:r w:rsidRPr="005A2DFB">
        <w:rPr>
          <w:rFonts w:ascii="Helvetica" w:hAnsi="Helvetica" w:cs="Helvetica"/>
          <w:b/>
          <w:bCs/>
          <w:lang w:val="es-ES"/>
        </w:rPr>
        <w:t>DE:</w:t>
      </w:r>
      <w:r w:rsidRPr="005A2DFB">
        <w:rPr>
          <w:rFonts w:ascii="Helvetica" w:hAnsi="Helvetica" w:cs="Helvetica"/>
        </w:rPr>
        <w:tab/>
      </w:r>
      <w:r w:rsidR="00551769" w:rsidRPr="005A2DFB">
        <w:rPr>
          <w:rFonts w:ascii="Helvetica" w:hAnsi="Helvetica" w:cs="Helvetica"/>
          <w:b/>
          <w:bCs/>
          <w:lang w:val="es-ES"/>
        </w:rPr>
        <w:t>PRESIDENCIA Y DIRECCIÓN EJECUTIVA DE LA CREG</w:t>
      </w:r>
    </w:p>
    <w:p w14:paraId="303ACA4E" w14:textId="77777777" w:rsidR="00486572" w:rsidRPr="005A2DFB" w:rsidRDefault="00486572" w:rsidP="00A743EC">
      <w:pPr>
        <w:pStyle w:val="Sangradetextonormal"/>
        <w:ind w:left="1412" w:hanging="1412"/>
        <w:rPr>
          <w:rFonts w:ascii="Helvetica" w:hAnsi="Helvetica" w:cs="Helvetica"/>
          <w:b/>
        </w:rPr>
      </w:pPr>
    </w:p>
    <w:p w14:paraId="5A6FCC67" w14:textId="3530AEA5" w:rsidR="00486572" w:rsidRPr="005A2DFB" w:rsidRDefault="00486572" w:rsidP="00A743EC">
      <w:pPr>
        <w:pStyle w:val="Sangradetextonormal"/>
        <w:ind w:left="1412" w:hanging="1412"/>
        <w:rPr>
          <w:rFonts w:ascii="Helvetica" w:hAnsi="Helvetica" w:cs="Helvetica"/>
          <w:b/>
          <w:bCs/>
          <w:lang w:val="es-ES"/>
        </w:rPr>
      </w:pPr>
      <w:r w:rsidRPr="005A2DFB">
        <w:rPr>
          <w:rFonts w:ascii="Helvetica" w:hAnsi="Helvetica" w:cs="Helvetica"/>
          <w:b/>
          <w:bCs/>
          <w:lang w:val="es-ES"/>
        </w:rPr>
        <w:t>ASUNTO:</w:t>
      </w:r>
      <w:r w:rsidR="00D15C04" w:rsidRPr="005A2DFB">
        <w:rPr>
          <w:rFonts w:ascii="Helvetica" w:hAnsi="Helvetica" w:cs="Helvetica"/>
          <w:lang w:val="es-ES"/>
        </w:rPr>
        <w:tab/>
      </w:r>
      <w:r w:rsidR="00D15C04" w:rsidRPr="005A2DFB">
        <w:rPr>
          <w:rFonts w:ascii="Helvetica" w:hAnsi="Helvetica" w:cs="Helvetica"/>
          <w:b/>
          <w:bCs/>
          <w:lang w:val="es-ES"/>
        </w:rPr>
        <w:t>MODIFICACIÓN DE</w:t>
      </w:r>
      <w:r w:rsidR="00FA0C37" w:rsidRPr="005A2DFB">
        <w:rPr>
          <w:rFonts w:ascii="Helvetica" w:hAnsi="Helvetica" w:cs="Helvetica"/>
          <w:b/>
          <w:bCs/>
          <w:lang w:val="es-ES"/>
        </w:rPr>
        <w:t>L NUMERAL 3 DE LOS</w:t>
      </w:r>
      <w:r w:rsidR="00D15C04" w:rsidRPr="005A2DFB">
        <w:rPr>
          <w:rFonts w:ascii="Helvetica" w:hAnsi="Helvetica" w:cs="Helvetica"/>
          <w:b/>
          <w:bCs/>
          <w:lang w:val="es-ES"/>
        </w:rPr>
        <w:t xml:space="preserve"> CRI</w:t>
      </w:r>
      <w:r w:rsidR="00B775C2" w:rsidRPr="005A2DFB">
        <w:rPr>
          <w:rFonts w:ascii="Helvetica" w:hAnsi="Helvetica" w:cs="Helvetica"/>
          <w:b/>
          <w:bCs/>
          <w:lang w:val="es-ES"/>
        </w:rPr>
        <w:t xml:space="preserve">TERIOS </w:t>
      </w:r>
      <w:r w:rsidR="004E2ED6" w:rsidRPr="005A2DFB">
        <w:rPr>
          <w:rFonts w:ascii="Helvetica" w:hAnsi="Helvetica" w:cs="Helvetica"/>
          <w:b/>
          <w:bCs/>
          <w:lang w:val="es-ES"/>
        </w:rPr>
        <w:t xml:space="preserve">Y CONSIDERACIONES </w:t>
      </w:r>
      <w:r w:rsidR="00B775C2" w:rsidRPr="005A2DFB">
        <w:rPr>
          <w:rFonts w:ascii="Helvetica" w:hAnsi="Helvetica" w:cs="Helvetica"/>
          <w:b/>
          <w:bCs/>
          <w:lang w:val="es-ES"/>
        </w:rPr>
        <w:t>PARA LA DEFINICIÓN DE LAS M</w:t>
      </w:r>
      <w:r w:rsidR="00D17370" w:rsidRPr="005A2DFB">
        <w:rPr>
          <w:rFonts w:ascii="Helvetica" w:hAnsi="Helvetica" w:cs="Helvetica"/>
          <w:b/>
          <w:bCs/>
          <w:lang w:val="es-ES"/>
        </w:rPr>
        <w:t>ETAS DE CALIDAD MEDIA</w:t>
      </w:r>
      <w:r w:rsidR="00E84722" w:rsidRPr="005A2DFB">
        <w:rPr>
          <w:rFonts w:ascii="Helvetica" w:hAnsi="Helvetica" w:cs="Helvetica"/>
          <w:b/>
          <w:bCs/>
          <w:lang w:val="es-ES"/>
        </w:rPr>
        <w:t xml:space="preserve"> PARA </w:t>
      </w:r>
      <w:r w:rsidR="00A014C9" w:rsidRPr="005A2DFB">
        <w:rPr>
          <w:rFonts w:ascii="Helvetica" w:hAnsi="Helvetica" w:cs="Helvetica"/>
          <w:b/>
          <w:bCs/>
          <w:lang w:val="es-ES"/>
        </w:rPr>
        <w:t>LOS</w:t>
      </w:r>
      <w:r w:rsidR="00E84722" w:rsidRPr="005A2DFB">
        <w:rPr>
          <w:rFonts w:ascii="Helvetica" w:hAnsi="Helvetica" w:cs="Helvetica"/>
          <w:b/>
          <w:bCs/>
          <w:lang w:val="es-ES"/>
        </w:rPr>
        <w:t xml:space="preserve"> AÑO</w:t>
      </w:r>
      <w:r w:rsidR="008B554F" w:rsidRPr="005A2DFB">
        <w:rPr>
          <w:rFonts w:ascii="Helvetica" w:hAnsi="Helvetica" w:cs="Helvetica"/>
          <w:b/>
          <w:bCs/>
          <w:lang w:val="es-ES"/>
        </w:rPr>
        <w:t>S</w:t>
      </w:r>
      <w:r w:rsidR="00E84722" w:rsidRPr="005A2DFB">
        <w:rPr>
          <w:rFonts w:ascii="Helvetica" w:hAnsi="Helvetica" w:cs="Helvetica"/>
          <w:b/>
          <w:bCs/>
          <w:lang w:val="es-ES"/>
        </w:rPr>
        <w:t xml:space="preserve"> </w:t>
      </w:r>
      <w:r w:rsidR="00381A52" w:rsidRPr="005A2DFB">
        <w:rPr>
          <w:rFonts w:ascii="Helvetica" w:hAnsi="Helvetica" w:cs="Helvetica"/>
          <w:b/>
          <w:bCs/>
          <w:lang w:val="es-ES"/>
        </w:rPr>
        <w:t xml:space="preserve">SEXTO Y </w:t>
      </w:r>
      <w:r w:rsidR="00366827" w:rsidRPr="005A2DFB">
        <w:rPr>
          <w:rFonts w:ascii="Helvetica" w:hAnsi="Helvetica" w:cs="Helvetica"/>
          <w:b/>
          <w:bCs/>
          <w:lang w:val="es-ES"/>
        </w:rPr>
        <w:t>SÉPTIMO</w:t>
      </w:r>
      <w:r w:rsidR="00381A52" w:rsidRPr="005A2DFB">
        <w:rPr>
          <w:rFonts w:ascii="Helvetica" w:hAnsi="Helvetica" w:cs="Helvetica"/>
          <w:b/>
          <w:bCs/>
          <w:lang w:val="es-ES"/>
        </w:rPr>
        <w:t xml:space="preserve"> DE APLICACIÓN DE LA RESOLUCIÓN CREG 015 DE 2018</w:t>
      </w:r>
    </w:p>
    <w:p w14:paraId="65925625" w14:textId="39D19197" w:rsidR="00381A52" w:rsidRPr="005A2DFB" w:rsidRDefault="005F0821" w:rsidP="00A743EC">
      <w:pPr>
        <w:pStyle w:val="Textoindependiente"/>
        <w:spacing w:before="240" w:after="0" w:line="240" w:lineRule="auto"/>
        <w:rPr>
          <w:rFonts w:ascii="Helvetica" w:hAnsi="Helvetica" w:cs="Helvetica"/>
          <w:sz w:val="24"/>
          <w:szCs w:val="24"/>
        </w:rPr>
      </w:pPr>
      <w:r w:rsidRPr="005A2DFB">
        <w:rPr>
          <w:rFonts w:ascii="Helvetica" w:hAnsi="Helvetica" w:cs="Helvetica"/>
          <w:sz w:val="24"/>
          <w:szCs w:val="24"/>
        </w:rPr>
        <w:t>La Comisión de Regulación de Energía y Gas, en su sesión No.</w:t>
      </w:r>
      <w:r w:rsidR="00B164A7" w:rsidRPr="005A2DFB">
        <w:rPr>
          <w:rFonts w:ascii="Helvetica" w:hAnsi="Helvetica" w:cs="Helvetica"/>
          <w:sz w:val="24"/>
          <w:szCs w:val="24"/>
        </w:rPr>
        <w:t xml:space="preserve"> </w:t>
      </w:r>
      <w:r w:rsidR="00046551" w:rsidRPr="005A2DFB">
        <w:rPr>
          <w:rFonts w:ascii="Helvetica" w:hAnsi="Helvetica" w:cs="Helvetica"/>
          <w:sz w:val="24"/>
          <w:szCs w:val="24"/>
        </w:rPr>
        <w:t>136</w:t>
      </w:r>
      <w:r w:rsidR="00B302BF" w:rsidRPr="005A2DFB">
        <w:rPr>
          <w:rFonts w:ascii="Helvetica" w:hAnsi="Helvetica" w:cs="Helvetica"/>
          <w:sz w:val="24"/>
          <w:szCs w:val="24"/>
        </w:rPr>
        <w:t>7</w:t>
      </w:r>
      <w:r w:rsidR="00D15C04" w:rsidRPr="005A2DFB">
        <w:rPr>
          <w:rFonts w:ascii="Helvetica" w:hAnsi="Helvetica" w:cs="Helvetica"/>
          <w:sz w:val="24"/>
          <w:szCs w:val="24"/>
        </w:rPr>
        <w:t xml:space="preserve"> </w:t>
      </w:r>
      <w:r w:rsidRPr="005A2DFB">
        <w:rPr>
          <w:rFonts w:ascii="Helvetica" w:hAnsi="Helvetica" w:cs="Helvetica"/>
          <w:sz w:val="24"/>
          <w:szCs w:val="24"/>
        </w:rPr>
        <w:t>del</w:t>
      </w:r>
      <w:r w:rsidR="00B302BF" w:rsidRPr="005A2DFB">
        <w:rPr>
          <w:rFonts w:ascii="Helvetica" w:hAnsi="Helvetica" w:cs="Helvetica"/>
          <w:sz w:val="24"/>
          <w:szCs w:val="24"/>
        </w:rPr>
        <w:t xml:space="preserve"> 16 de enero</w:t>
      </w:r>
      <w:r w:rsidR="00421E0F" w:rsidRPr="005A2DFB">
        <w:rPr>
          <w:rFonts w:ascii="Helvetica" w:hAnsi="Helvetica" w:cs="Helvetica"/>
          <w:sz w:val="24"/>
          <w:szCs w:val="24"/>
        </w:rPr>
        <w:t xml:space="preserve"> </w:t>
      </w:r>
      <w:r w:rsidRPr="005A2DFB">
        <w:rPr>
          <w:rFonts w:ascii="Helvetica" w:hAnsi="Helvetica" w:cs="Helvetica"/>
          <w:sz w:val="24"/>
          <w:szCs w:val="24"/>
        </w:rPr>
        <w:t>de 202</w:t>
      </w:r>
      <w:r w:rsidR="00B302BF" w:rsidRPr="005A2DFB">
        <w:rPr>
          <w:rFonts w:ascii="Helvetica" w:hAnsi="Helvetica" w:cs="Helvetica"/>
          <w:sz w:val="24"/>
          <w:szCs w:val="24"/>
        </w:rPr>
        <w:t>5</w:t>
      </w:r>
      <w:r w:rsidR="00421E0F" w:rsidRPr="005A2DFB">
        <w:rPr>
          <w:rFonts w:ascii="Helvetica" w:hAnsi="Helvetica" w:cs="Helvetica"/>
          <w:sz w:val="24"/>
          <w:szCs w:val="24"/>
        </w:rPr>
        <w:t>,</w:t>
      </w:r>
      <w:r w:rsidRPr="005A2DFB">
        <w:rPr>
          <w:rFonts w:ascii="Helvetica" w:hAnsi="Helvetica" w:cs="Helvetica"/>
          <w:sz w:val="24"/>
          <w:szCs w:val="24"/>
        </w:rPr>
        <w:t xml:space="preserve"> </w:t>
      </w:r>
      <w:r w:rsidR="00C6374B" w:rsidRPr="005A2DFB">
        <w:rPr>
          <w:rFonts w:ascii="Helvetica" w:hAnsi="Helvetica" w:cs="Helvetica"/>
          <w:sz w:val="24"/>
          <w:szCs w:val="24"/>
        </w:rPr>
        <w:t xml:space="preserve">acordó </w:t>
      </w:r>
      <w:r w:rsidR="004862C0" w:rsidRPr="005A2DFB">
        <w:rPr>
          <w:rFonts w:ascii="Helvetica" w:hAnsi="Helvetica" w:cs="Helvetica"/>
          <w:sz w:val="24"/>
          <w:szCs w:val="24"/>
        </w:rPr>
        <w:t>modificar el numeral 3 del anexo de la C</w:t>
      </w:r>
      <w:r w:rsidRPr="005A2DFB">
        <w:rPr>
          <w:rFonts w:ascii="Helvetica" w:hAnsi="Helvetica" w:cs="Helvetica"/>
          <w:sz w:val="24"/>
          <w:szCs w:val="24"/>
        </w:rPr>
        <w:t>ircular</w:t>
      </w:r>
      <w:r w:rsidR="004862C0" w:rsidRPr="005A2DFB">
        <w:rPr>
          <w:rFonts w:ascii="Helvetica" w:hAnsi="Helvetica" w:cs="Helvetica"/>
          <w:sz w:val="24"/>
          <w:szCs w:val="24"/>
        </w:rPr>
        <w:t xml:space="preserve"> CREG 053 de 2024</w:t>
      </w:r>
      <w:r w:rsidR="00421E0F" w:rsidRPr="005A2DFB">
        <w:rPr>
          <w:rFonts w:ascii="Helvetica" w:hAnsi="Helvetica" w:cs="Helvetica"/>
          <w:sz w:val="24"/>
          <w:szCs w:val="24"/>
        </w:rPr>
        <w:t>, mediante la cual se</w:t>
      </w:r>
      <w:r w:rsidRPr="005A2DFB">
        <w:rPr>
          <w:rFonts w:ascii="Helvetica" w:hAnsi="Helvetica" w:cs="Helvetica"/>
          <w:sz w:val="24"/>
          <w:szCs w:val="24"/>
        </w:rPr>
        <w:t xml:space="preserve"> </w:t>
      </w:r>
      <w:r w:rsidR="004862C0" w:rsidRPr="005A2DFB">
        <w:rPr>
          <w:rFonts w:ascii="Helvetica" w:hAnsi="Helvetica" w:cs="Helvetica"/>
          <w:sz w:val="24"/>
          <w:szCs w:val="24"/>
        </w:rPr>
        <w:t>establecieron</w:t>
      </w:r>
      <w:r w:rsidRPr="005A2DFB">
        <w:rPr>
          <w:rFonts w:ascii="Helvetica" w:hAnsi="Helvetica" w:cs="Helvetica"/>
          <w:sz w:val="24"/>
          <w:szCs w:val="24"/>
        </w:rPr>
        <w:t xml:space="preserve"> </w:t>
      </w:r>
      <w:r w:rsidR="00C6374B" w:rsidRPr="005A2DFB">
        <w:rPr>
          <w:rFonts w:ascii="Helvetica" w:hAnsi="Helvetica" w:cs="Helvetica"/>
          <w:sz w:val="24"/>
          <w:szCs w:val="24"/>
        </w:rPr>
        <w:t xml:space="preserve">los </w:t>
      </w:r>
      <w:r w:rsidR="00B775C2" w:rsidRPr="005A2DFB">
        <w:rPr>
          <w:rFonts w:ascii="Helvetica" w:hAnsi="Helvetica" w:cs="Helvetica"/>
          <w:sz w:val="24"/>
          <w:szCs w:val="24"/>
        </w:rPr>
        <w:t xml:space="preserve">criterios y condiciones a partir de los cuales la CREG </w:t>
      </w:r>
      <w:r w:rsidR="00C6374B" w:rsidRPr="005A2DFB">
        <w:rPr>
          <w:rFonts w:ascii="Helvetica" w:hAnsi="Helvetica" w:cs="Helvetica"/>
          <w:sz w:val="24"/>
          <w:szCs w:val="24"/>
        </w:rPr>
        <w:t>definirá</w:t>
      </w:r>
      <w:r w:rsidR="00B775C2" w:rsidRPr="005A2DFB">
        <w:rPr>
          <w:rFonts w:ascii="Helvetica" w:hAnsi="Helvetica" w:cs="Helvetica"/>
          <w:sz w:val="24"/>
          <w:szCs w:val="24"/>
        </w:rPr>
        <w:t xml:space="preserve"> las metas de calidad del servicio en los SDL para los años </w:t>
      </w:r>
      <w:r w:rsidR="00381A52" w:rsidRPr="005A2DFB">
        <w:rPr>
          <w:rFonts w:ascii="Helvetica" w:hAnsi="Helvetica" w:cs="Helvetica"/>
          <w:sz w:val="24"/>
          <w:szCs w:val="24"/>
        </w:rPr>
        <w:t>sexto y séptimo del periodo tarifario de aplicación de la Resolución CREG 015 de 2018.</w:t>
      </w:r>
    </w:p>
    <w:p w14:paraId="3E62EB13" w14:textId="600CF7ED" w:rsidR="009F220F" w:rsidRDefault="004862C0" w:rsidP="00A743EC">
      <w:pPr>
        <w:pStyle w:val="Textoindependiente"/>
        <w:spacing w:before="240" w:after="0" w:line="240" w:lineRule="auto"/>
        <w:rPr>
          <w:rFonts w:ascii="Helvetica" w:hAnsi="Helvetica" w:cs="Helvetica"/>
          <w:sz w:val="24"/>
          <w:szCs w:val="24"/>
        </w:rPr>
      </w:pPr>
      <w:r w:rsidRPr="005A2DFB">
        <w:rPr>
          <w:rFonts w:ascii="Helvetica" w:hAnsi="Helvetica" w:cs="Helvetica"/>
          <w:sz w:val="24"/>
          <w:szCs w:val="24"/>
        </w:rPr>
        <w:t xml:space="preserve">Se aclara que las actuaciones administrativas particulares para la definición de las metas del año </w:t>
      </w:r>
      <w:r w:rsidR="00090F6C" w:rsidRPr="005A2DFB">
        <w:rPr>
          <w:rFonts w:ascii="Helvetica" w:hAnsi="Helvetica" w:cs="Helvetica"/>
          <w:sz w:val="24"/>
          <w:szCs w:val="24"/>
        </w:rPr>
        <w:t>sexto</w:t>
      </w:r>
      <w:r w:rsidRPr="005A2DFB">
        <w:rPr>
          <w:rFonts w:ascii="Helvetica" w:hAnsi="Helvetica" w:cs="Helvetica"/>
          <w:sz w:val="24"/>
          <w:szCs w:val="24"/>
        </w:rPr>
        <w:t xml:space="preserve"> continuarán desarrollándose mediante el trámite </w:t>
      </w:r>
      <w:r w:rsidR="00902303" w:rsidRPr="005A2DFB">
        <w:rPr>
          <w:rFonts w:ascii="Helvetica" w:hAnsi="Helvetica" w:cs="Helvetica"/>
          <w:sz w:val="24"/>
          <w:szCs w:val="24"/>
        </w:rPr>
        <w:t>iniciado</w:t>
      </w:r>
      <w:r w:rsidR="00C65506" w:rsidRPr="005A2DFB">
        <w:rPr>
          <w:rFonts w:ascii="Helvetica" w:hAnsi="Helvetica" w:cs="Helvetica"/>
          <w:sz w:val="24"/>
          <w:szCs w:val="24"/>
        </w:rPr>
        <w:t xml:space="preserve">, dado que las modificaciones hechas en la presente circular </w:t>
      </w:r>
      <w:r w:rsidR="00943E3F">
        <w:rPr>
          <w:rFonts w:ascii="Helvetica" w:hAnsi="Helvetica" w:cs="Helvetica"/>
          <w:sz w:val="24"/>
          <w:szCs w:val="24"/>
        </w:rPr>
        <w:t>son</w:t>
      </w:r>
      <w:r w:rsidR="00777D34" w:rsidRPr="00777D34">
        <w:rPr>
          <w:rFonts w:ascii="Helvetica" w:hAnsi="Helvetica" w:cs="Helvetica"/>
          <w:sz w:val="24"/>
          <w:szCs w:val="24"/>
        </w:rPr>
        <w:t xml:space="preserve"> </w:t>
      </w:r>
      <w:r w:rsidR="00943E3F">
        <w:rPr>
          <w:rFonts w:ascii="Helvetica" w:hAnsi="Helvetica" w:cs="Helvetica"/>
          <w:sz w:val="24"/>
          <w:szCs w:val="24"/>
        </w:rPr>
        <w:t xml:space="preserve">las </w:t>
      </w:r>
      <w:r w:rsidR="00777D34" w:rsidRPr="00777D34">
        <w:rPr>
          <w:rFonts w:ascii="Helvetica" w:hAnsi="Helvetica" w:cs="Helvetica"/>
          <w:sz w:val="24"/>
          <w:szCs w:val="24"/>
        </w:rPr>
        <w:t>mism</w:t>
      </w:r>
      <w:r w:rsidR="00943E3F">
        <w:rPr>
          <w:rFonts w:ascii="Helvetica" w:hAnsi="Helvetica" w:cs="Helvetica"/>
          <w:sz w:val="24"/>
          <w:szCs w:val="24"/>
        </w:rPr>
        <w:t>as</w:t>
      </w:r>
      <w:r w:rsidR="00777D34" w:rsidRPr="00777D34">
        <w:rPr>
          <w:rFonts w:ascii="Helvetica" w:hAnsi="Helvetica" w:cs="Helvetica"/>
          <w:sz w:val="24"/>
          <w:szCs w:val="24"/>
        </w:rPr>
        <w:t xml:space="preserve"> en cuanto a su fondo normativo</w:t>
      </w:r>
      <w:r w:rsidR="00880882" w:rsidRPr="005A2DFB">
        <w:rPr>
          <w:rFonts w:ascii="Helvetica" w:hAnsi="Helvetica" w:cs="Helvetica"/>
          <w:sz w:val="24"/>
          <w:szCs w:val="24"/>
        </w:rPr>
        <w:t xml:space="preserve"> para el cálculo de las metas del año sexto.</w:t>
      </w:r>
      <w:r w:rsidRPr="005A2DFB">
        <w:rPr>
          <w:rFonts w:ascii="Helvetica" w:hAnsi="Helvetica" w:cs="Helvetica"/>
          <w:sz w:val="24"/>
          <w:szCs w:val="24"/>
        </w:rPr>
        <w:t xml:space="preserve"> </w:t>
      </w:r>
    </w:p>
    <w:p w14:paraId="56EC55A5" w14:textId="5789A82D" w:rsidR="00B242AB" w:rsidRDefault="00B242AB" w:rsidP="00A743EC">
      <w:pPr>
        <w:pStyle w:val="Textoindependiente"/>
        <w:spacing w:before="0" w:after="0" w:line="240" w:lineRule="auto"/>
        <w:rPr>
          <w:rFonts w:ascii="Helvetica" w:hAnsi="Helvetica" w:cs="Helvetica"/>
          <w:sz w:val="24"/>
          <w:szCs w:val="24"/>
        </w:rPr>
      </w:pPr>
    </w:p>
    <w:p w14:paraId="4E172995" w14:textId="5705B949" w:rsidR="00C67B33" w:rsidRPr="005A2DFB" w:rsidRDefault="004F43F7" w:rsidP="00A743EC">
      <w:pPr>
        <w:pStyle w:val="Textoindependiente"/>
        <w:spacing w:before="0" w:after="0" w:line="240" w:lineRule="auto"/>
        <w:rPr>
          <w:rFonts w:ascii="Helvetica" w:hAnsi="Helvetica" w:cs="Helvetica"/>
          <w:sz w:val="24"/>
          <w:szCs w:val="24"/>
        </w:rPr>
      </w:pPr>
      <w:r w:rsidRPr="004F43F7">
        <w:rPr>
          <w:rFonts w:ascii="Helvetica" w:hAnsi="Helvetica" w:cs="Helvetica"/>
          <w:sz w:val="24"/>
          <w:szCs w:val="24"/>
        </w:rPr>
        <w:t>Que en cumplimiento de lo ordenado en el numeral 8 del artículo 8 de la Ley 1437 de 2011, "Código de Procedimiento Administrativo y de lo Contencioso Administrativo", en concordancia con lo previsto en el artículo 2.1.2.1.14 del Decreto 270 de 2017</w:t>
      </w:r>
      <w:r w:rsidR="005A2DFB">
        <w:rPr>
          <w:rFonts w:ascii="Helvetica" w:hAnsi="Helvetica" w:cs="Helvetica"/>
          <w:sz w:val="24"/>
          <w:szCs w:val="24"/>
        </w:rPr>
        <w:t xml:space="preserve"> y el artículo 34 de </w:t>
      </w:r>
      <w:proofErr w:type="gramStart"/>
      <w:r w:rsidR="005A2DFB">
        <w:rPr>
          <w:rFonts w:ascii="Helvetica" w:hAnsi="Helvetica" w:cs="Helvetica"/>
          <w:sz w:val="24"/>
          <w:szCs w:val="24"/>
        </w:rPr>
        <w:t>la  Resolución</w:t>
      </w:r>
      <w:proofErr w:type="gramEnd"/>
      <w:r w:rsidR="005A2DFB">
        <w:rPr>
          <w:rFonts w:ascii="Helvetica" w:hAnsi="Helvetica" w:cs="Helvetica"/>
          <w:sz w:val="24"/>
          <w:szCs w:val="24"/>
        </w:rPr>
        <w:t xml:space="preserve"> CREG</w:t>
      </w:r>
      <w:r w:rsidR="005A2DFB" w:rsidRPr="005A2DFB">
        <w:rPr>
          <w:rFonts w:ascii="Helvetica" w:hAnsi="Helvetica" w:cs="Helvetica"/>
          <w:sz w:val="24"/>
          <w:szCs w:val="24"/>
        </w:rPr>
        <w:t xml:space="preserve"> 105 003 </w:t>
      </w:r>
      <w:r w:rsidR="005A2DFB">
        <w:rPr>
          <w:rFonts w:ascii="Helvetica" w:hAnsi="Helvetica" w:cs="Helvetica"/>
          <w:sz w:val="24"/>
          <w:szCs w:val="24"/>
        </w:rPr>
        <w:t xml:space="preserve">de </w:t>
      </w:r>
      <w:r w:rsidR="005A2DFB" w:rsidRPr="005A2DFB">
        <w:rPr>
          <w:rFonts w:ascii="Helvetica" w:hAnsi="Helvetica" w:cs="Helvetica"/>
          <w:sz w:val="24"/>
          <w:szCs w:val="24"/>
        </w:rPr>
        <w:t xml:space="preserve"> 2023</w:t>
      </w:r>
      <w:r w:rsidRPr="004F43F7">
        <w:rPr>
          <w:rFonts w:ascii="Helvetica" w:hAnsi="Helvetica" w:cs="Helvetica"/>
          <w:sz w:val="24"/>
          <w:szCs w:val="24"/>
        </w:rPr>
        <w:t>, el proyecto normativo se publicó en la página web de</w:t>
      </w:r>
      <w:r w:rsidR="005A2DFB">
        <w:rPr>
          <w:rFonts w:ascii="Helvetica" w:hAnsi="Helvetica" w:cs="Helvetica"/>
          <w:sz w:val="24"/>
          <w:szCs w:val="24"/>
        </w:rPr>
        <w:t xml:space="preserve"> la CREG</w:t>
      </w:r>
      <w:r w:rsidRPr="004F43F7">
        <w:rPr>
          <w:rFonts w:ascii="Helvetica" w:hAnsi="Helvetica" w:cs="Helvetica"/>
          <w:sz w:val="24"/>
          <w:szCs w:val="24"/>
        </w:rPr>
        <w:t xml:space="preserve"> y los comentarios recibidos fueron debidamente analizados e incorporados en el presente decreto en lo que se consideró pertinente.</w:t>
      </w:r>
    </w:p>
    <w:p w14:paraId="33A3B513" w14:textId="036829C5" w:rsidR="00486572" w:rsidRPr="005A2DFB" w:rsidRDefault="00486572" w:rsidP="00A743EC">
      <w:pPr>
        <w:pStyle w:val="Textoindependiente"/>
        <w:spacing w:after="0" w:line="240" w:lineRule="auto"/>
        <w:rPr>
          <w:rFonts w:ascii="Helvetica" w:hAnsi="Helvetica" w:cs="Helvetica"/>
          <w:sz w:val="24"/>
          <w:szCs w:val="24"/>
          <w:lang w:val="pt-BR"/>
        </w:rPr>
      </w:pPr>
      <w:r w:rsidRPr="005A2DFB">
        <w:rPr>
          <w:rFonts w:ascii="Helvetica" w:hAnsi="Helvetica" w:cs="Helvetica"/>
          <w:sz w:val="24"/>
          <w:szCs w:val="24"/>
          <w:lang w:val="pt-BR"/>
        </w:rPr>
        <w:t>Cordialmente,</w:t>
      </w:r>
    </w:p>
    <w:p w14:paraId="6C058580" w14:textId="77777777" w:rsidR="00366827" w:rsidRPr="005A2DFB" w:rsidRDefault="00366827" w:rsidP="00A743EC">
      <w:pPr>
        <w:pStyle w:val="Textoindependiente"/>
        <w:spacing w:after="0" w:line="240" w:lineRule="auto"/>
        <w:rPr>
          <w:rFonts w:ascii="Helvetica" w:hAnsi="Helvetica" w:cs="Helvetica"/>
          <w:sz w:val="24"/>
          <w:szCs w:val="24"/>
          <w:lang w:val="pt-BR"/>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659"/>
      </w:tblGrid>
      <w:tr w:rsidR="00551769" w:rsidRPr="00D312FC" w14:paraId="4E537352" w14:textId="77777777" w:rsidTr="00A743EC">
        <w:trPr>
          <w:trHeight w:val="270"/>
        </w:trPr>
        <w:tc>
          <w:tcPr>
            <w:tcW w:w="4659" w:type="dxa"/>
          </w:tcPr>
          <w:p w14:paraId="4D307887" w14:textId="1638F600" w:rsidR="00551769" w:rsidRPr="005A2DFB" w:rsidRDefault="00551769" w:rsidP="00A743EC">
            <w:pPr>
              <w:pStyle w:val="Textoindependiente"/>
              <w:spacing w:before="0" w:after="0" w:line="240" w:lineRule="auto"/>
              <w:jc w:val="center"/>
              <w:rPr>
                <w:rFonts w:ascii="Helvetica" w:eastAsiaTheme="minorEastAsia" w:hAnsi="Helvetica" w:cs="Helvetica"/>
                <w:b/>
                <w:spacing w:val="0"/>
                <w:sz w:val="24"/>
                <w:szCs w:val="24"/>
              </w:rPr>
            </w:pPr>
            <w:r w:rsidRPr="005A2DFB">
              <w:rPr>
                <w:rFonts w:ascii="Helvetica" w:eastAsiaTheme="minorEastAsia" w:hAnsi="Helvetica" w:cs="Helvetica"/>
                <w:b/>
                <w:spacing w:val="0"/>
                <w:sz w:val="24"/>
                <w:szCs w:val="24"/>
              </w:rPr>
              <w:t>ANDRÉS CAMACHO MORALES</w:t>
            </w:r>
          </w:p>
        </w:tc>
        <w:tc>
          <w:tcPr>
            <w:tcW w:w="4659" w:type="dxa"/>
          </w:tcPr>
          <w:p w14:paraId="578CC44C" w14:textId="1F0C6222" w:rsidR="00551769" w:rsidRPr="005A2DFB" w:rsidRDefault="00C6374B" w:rsidP="00A743EC">
            <w:pPr>
              <w:pStyle w:val="Textoindependiente"/>
              <w:spacing w:before="0" w:after="0" w:line="240" w:lineRule="auto"/>
              <w:jc w:val="center"/>
              <w:rPr>
                <w:rFonts w:ascii="Helvetica" w:eastAsiaTheme="minorEastAsia" w:hAnsi="Helvetica" w:cs="Helvetica"/>
                <w:b/>
                <w:spacing w:val="0"/>
                <w:sz w:val="24"/>
                <w:szCs w:val="24"/>
              </w:rPr>
            </w:pPr>
            <w:r w:rsidRPr="005A2DFB">
              <w:rPr>
                <w:rFonts w:ascii="Helvetica" w:eastAsiaTheme="minorEastAsia" w:hAnsi="Helvetica" w:cs="Helvetica"/>
                <w:b/>
                <w:spacing w:val="0"/>
                <w:sz w:val="24"/>
                <w:szCs w:val="24"/>
              </w:rPr>
              <w:t>ANTONIO JIMÉNEZ RIVERA</w:t>
            </w:r>
          </w:p>
        </w:tc>
      </w:tr>
      <w:tr w:rsidR="00551769" w:rsidRPr="00D312FC" w14:paraId="46AD2011" w14:textId="77777777" w:rsidTr="00A743EC">
        <w:trPr>
          <w:trHeight w:val="285"/>
        </w:trPr>
        <w:tc>
          <w:tcPr>
            <w:tcW w:w="4659" w:type="dxa"/>
          </w:tcPr>
          <w:p w14:paraId="727BF737" w14:textId="358ED0EF" w:rsidR="00551769" w:rsidRPr="005A2DFB" w:rsidRDefault="003E07F0" w:rsidP="00A743EC">
            <w:pPr>
              <w:pStyle w:val="Textoindependiente"/>
              <w:spacing w:before="0" w:after="0" w:line="240" w:lineRule="auto"/>
              <w:jc w:val="center"/>
              <w:rPr>
                <w:rFonts w:ascii="Helvetica" w:eastAsiaTheme="minorEastAsia" w:hAnsi="Helvetica" w:cs="Helvetica"/>
                <w:b/>
                <w:spacing w:val="0"/>
                <w:sz w:val="24"/>
                <w:szCs w:val="24"/>
              </w:rPr>
            </w:pPr>
            <w:r w:rsidRPr="003E07F0">
              <w:rPr>
                <w:rFonts w:ascii="Helvetica" w:eastAsiaTheme="minorEastAsia" w:hAnsi="Helvetica" w:cs="Helvetica"/>
                <w:b/>
                <w:spacing w:val="0"/>
                <w:sz w:val="24"/>
                <w:szCs w:val="24"/>
                <w:lang w:val="es-MX"/>
              </w:rPr>
              <w:t>Ministro de minas y energía</w:t>
            </w:r>
          </w:p>
        </w:tc>
        <w:tc>
          <w:tcPr>
            <w:tcW w:w="4659" w:type="dxa"/>
          </w:tcPr>
          <w:p w14:paraId="18C7DE70" w14:textId="293F5F4D" w:rsidR="00551769" w:rsidRPr="005A2DFB" w:rsidRDefault="00551769" w:rsidP="00A743EC">
            <w:pPr>
              <w:pStyle w:val="Textoindependiente"/>
              <w:spacing w:before="0" w:after="0" w:line="240" w:lineRule="auto"/>
              <w:jc w:val="center"/>
              <w:rPr>
                <w:rFonts w:ascii="Helvetica" w:eastAsiaTheme="minorEastAsia" w:hAnsi="Helvetica" w:cs="Helvetica"/>
                <w:b/>
                <w:spacing w:val="0"/>
                <w:sz w:val="24"/>
                <w:szCs w:val="24"/>
              </w:rPr>
            </w:pPr>
            <w:r w:rsidRPr="005A2DFB">
              <w:rPr>
                <w:rFonts w:ascii="Helvetica" w:eastAsiaTheme="minorEastAsia" w:hAnsi="Helvetica" w:cs="Helvetica"/>
                <w:b/>
                <w:spacing w:val="0"/>
                <w:sz w:val="24"/>
                <w:szCs w:val="24"/>
              </w:rPr>
              <w:t>Director Ejecutivo</w:t>
            </w:r>
          </w:p>
        </w:tc>
      </w:tr>
    </w:tbl>
    <w:p w14:paraId="0DD9BA21" w14:textId="77777777" w:rsidR="00486572" w:rsidRDefault="00486572" w:rsidP="00A743EC">
      <w:pPr>
        <w:pStyle w:val="Textoindependiente"/>
        <w:spacing w:after="0" w:line="240" w:lineRule="auto"/>
        <w:rPr>
          <w:rFonts w:ascii="Helvetica" w:hAnsi="Helvetica" w:cs="Helvetica"/>
        </w:rPr>
      </w:pPr>
    </w:p>
    <w:p w14:paraId="481D1B6C" w14:textId="2C9A073C" w:rsidR="007779E7" w:rsidRPr="005A2DFB" w:rsidRDefault="00486572" w:rsidP="00A743EC">
      <w:pPr>
        <w:pStyle w:val="Textoindependiente"/>
        <w:spacing w:after="0" w:line="240" w:lineRule="auto"/>
        <w:rPr>
          <w:rFonts w:ascii="Helvetica" w:hAnsi="Helvetica" w:cs="Helvetica"/>
        </w:rPr>
      </w:pPr>
      <w:r w:rsidRPr="00A743EC">
        <w:rPr>
          <w:rFonts w:ascii="Helvetica" w:hAnsi="Helvetica" w:cs="Helvetica"/>
          <w:sz w:val="18"/>
          <w:szCs w:val="18"/>
        </w:rPr>
        <w:t>Anexo:</w:t>
      </w:r>
      <w:r w:rsidR="005F0821" w:rsidRPr="00A743EC">
        <w:rPr>
          <w:rFonts w:ascii="Helvetica" w:hAnsi="Helvetica" w:cs="Helvetica"/>
          <w:sz w:val="18"/>
          <w:szCs w:val="18"/>
        </w:rPr>
        <w:t xml:space="preserve"> </w:t>
      </w:r>
      <w:r w:rsidR="00A75A0A" w:rsidRPr="00A743EC">
        <w:rPr>
          <w:rFonts w:ascii="Helvetica" w:hAnsi="Helvetica" w:cs="Helvetica"/>
          <w:sz w:val="18"/>
          <w:szCs w:val="18"/>
        </w:rPr>
        <w:t>Modificación del numeral 3 de los</w:t>
      </w:r>
      <w:r w:rsidR="005F0821" w:rsidRPr="00A743EC">
        <w:rPr>
          <w:rFonts w:ascii="Helvetica" w:hAnsi="Helvetica" w:cs="Helvetica"/>
          <w:sz w:val="18"/>
          <w:szCs w:val="18"/>
        </w:rPr>
        <w:t xml:space="preserve"> </w:t>
      </w:r>
      <w:r w:rsidR="004E2ED6" w:rsidRPr="00A743EC">
        <w:rPr>
          <w:rFonts w:ascii="Helvetica" w:hAnsi="Helvetica" w:cs="Helvetica"/>
          <w:sz w:val="18"/>
          <w:szCs w:val="18"/>
        </w:rPr>
        <w:t>criterios y consideraciones de cálculo de las metas de calidad media en los sistemas de distribución local, para los años sexto y séptimo del periodo tarifario de aplicación de la Resolución CREG 015 de 2018</w:t>
      </w:r>
      <w:r w:rsidR="004E2ED6" w:rsidRPr="005A2DFB">
        <w:rPr>
          <w:rFonts w:ascii="Helvetica" w:hAnsi="Helvetica" w:cs="Helvetica"/>
        </w:rPr>
        <w:t>.</w:t>
      </w:r>
    </w:p>
    <w:p w14:paraId="213365C4" w14:textId="19673271" w:rsidR="00577F52" w:rsidRDefault="00577F52" w:rsidP="00A743EC">
      <w:pPr>
        <w:spacing w:before="0" w:after="0" w:line="240" w:lineRule="auto"/>
        <w:rPr>
          <w:rFonts w:ascii="Helvetica" w:eastAsia="Times New Roman" w:hAnsi="Helvetica" w:cs="Helvetica"/>
          <w:spacing w:val="-5"/>
          <w:sz w:val="22"/>
          <w:szCs w:val="22"/>
        </w:rPr>
      </w:pPr>
    </w:p>
    <w:p w14:paraId="34921378" w14:textId="79C60868" w:rsidR="007779E7" w:rsidRPr="005A2DFB" w:rsidRDefault="00577F52" w:rsidP="00A743EC">
      <w:pPr>
        <w:pStyle w:val="Textoindependiente"/>
        <w:spacing w:after="0" w:line="240" w:lineRule="auto"/>
        <w:jc w:val="center"/>
        <w:rPr>
          <w:rFonts w:ascii="Helvetica" w:hAnsi="Helvetica" w:cs="Helvetica"/>
          <w:b/>
          <w:bCs/>
          <w:sz w:val="22"/>
          <w:szCs w:val="22"/>
        </w:rPr>
      </w:pPr>
      <w:r w:rsidRPr="005A2DFB">
        <w:rPr>
          <w:rFonts w:ascii="Helvetica" w:hAnsi="Helvetica" w:cs="Helvetica"/>
          <w:b/>
          <w:bCs/>
          <w:sz w:val="22"/>
          <w:szCs w:val="22"/>
        </w:rPr>
        <w:lastRenderedPageBreak/>
        <w:t>ANEXO</w:t>
      </w:r>
    </w:p>
    <w:p w14:paraId="178ACA6D" w14:textId="77777777" w:rsidR="007779E7" w:rsidRPr="005A2DFB" w:rsidRDefault="007779E7" w:rsidP="00A743EC">
      <w:pPr>
        <w:pStyle w:val="Textoindependiente"/>
        <w:spacing w:after="0" w:line="240" w:lineRule="auto"/>
        <w:rPr>
          <w:rFonts w:ascii="Helvetica" w:hAnsi="Helvetica" w:cs="Helvetica"/>
          <w:sz w:val="22"/>
          <w:szCs w:val="22"/>
        </w:rPr>
      </w:pPr>
    </w:p>
    <w:p w14:paraId="4F9FF660" w14:textId="6628A521" w:rsidR="007779E7" w:rsidRPr="005A2DFB" w:rsidRDefault="007779E7" w:rsidP="00A743EC">
      <w:pPr>
        <w:spacing w:line="240" w:lineRule="auto"/>
        <w:jc w:val="center"/>
        <w:rPr>
          <w:rFonts w:ascii="Helvetica" w:hAnsi="Helvetica" w:cs="Helvetica"/>
          <w:b/>
          <w:bCs/>
          <w:lang w:val="es-MX"/>
        </w:rPr>
      </w:pPr>
      <w:bookmarkStart w:id="0" w:name="_Hlk166737930"/>
      <w:bookmarkStart w:id="1" w:name="_Hlk166741258"/>
      <w:r w:rsidRPr="005A2DFB">
        <w:rPr>
          <w:rFonts w:ascii="Helvetica" w:hAnsi="Helvetica" w:cs="Helvetica"/>
          <w:b/>
          <w:bCs/>
          <w:lang w:val="es-MX"/>
        </w:rPr>
        <w:t>MODIFICACIÓN DEL NUMERAL 3 DE LOS CRITERIOS Y CONSIDERACIONES DE CÁLCULO DE LAS METAS DE CALIDAD MEDIA EN LOS SISTEMAS DE DISTRIBUCIÓN LOCAL, PARA LOS AÑOS SEXTO</w:t>
      </w:r>
      <w:bookmarkEnd w:id="0"/>
      <w:r w:rsidRPr="005A2DFB">
        <w:rPr>
          <w:rFonts w:ascii="Helvetica" w:hAnsi="Helvetica" w:cs="Helvetica"/>
          <w:b/>
          <w:bCs/>
          <w:lang w:val="es-MX"/>
        </w:rPr>
        <w:t xml:space="preserve"> Y SEPTIMO DEL PERIODO TARIFARIO DE APLICACIÓN DE LA RESOLUCIÓN CREG 015 DE 2018</w:t>
      </w:r>
      <w:bookmarkEnd w:id="1"/>
    </w:p>
    <w:p w14:paraId="46BBB0D1" w14:textId="77777777" w:rsidR="007779E7" w:rsidRPr="005A2DFB" w:rsidRDefault="007779E7" w:rsidP="00A743EC">
      <w:pPr>
        <w:spacing w:line="240" w:lineRule="auto"/>
        <w:rPr>
          <w:rFonts w:ascii="Helvetica" w:hAnsi="Helvetica" w:cs="Helvetica"/>
          <w:lang w:val="es-MX"/>
        </w:rPr>
      </w:pPr>
    </w:p>
    <w:p w14:paraId="297B2A01" w14:textId="77777777" w:rsidR="007779E7" w:rsidRPr="005A2DFB" w:rsidRDefault="007779E7" w:rsidP="00A743EC">
      <w:pPr>
        <w:spacing w:line="240" w:lineRule="auto"/>
        <w:rPr>
          <w:rFonts w:ascii="Helvetica" w:hAnsi="Helvetica" w:cs="Helvetica"/>
          <w:lang w:val="es-MX"/>
        </w:rPr>
      </w:pPr>
      <w:r w:rsidRPr="005A2DFB">
        <w:rPr>
          <w:rFonts w:ascii="Helvetica" w:hAnsi="Helvetica" w:cs="Helvetica"/>
          <w:lang w:val="es-MX"/>
        </w:rPr>
        <w:t xml:space="preserve">El numeral 3 del Anexo de la Circular 053 de 2024 quedará así: </w:t>
      </w:r>
    </w:p>
    <w:p w14:paraId="7507274D" w14:textId="77777777" w:rsidR="007779E7" w:rsidRPr="005A2DFB" w:rsidRDefault="007779E7" w:rsidP="00A743EC">
      <w:pPr>
        <w:pStyle w:val="Estilo1"/>
        <w:numPr>
          <w:ilvl w:val="0"/>
          <w:numId w:val="5"/>
        </w:numPr>
        <w:spacing w:line="240" w:lineRule="auto"/>
        <w:rPr>
          <w:rFonts w:ascii="Helvetica" w:hAnsi="Helvetica" w:cs="Helvetica"/>
        </w:rPr>
      </w:pPr>
      <w:r w:rsidRPr="005A2DFB">
        <w:rPr>
          <w:rFonts w:ascii="Helvetica" w:hAnsi="Helvetica" w:cs="Helvetica"/>
        </w:rPr>
        <w:t xml:space="preserve">CONSIDERACIONES PARA LA DEFINICIÓN DE METAS </w:t>
      </w:r>
    </w:p>
    <w:p w14:paraId="2E7BA4FE" w14:textId="77777777" w:rsidR="007779E7" w:rsidRPr="005A2DFB" w:rsidRDefault="007779E7" w:rsidP="00A743EC">
      <w:pPr>
        <w:spacing w:before="100" w:beforeAutospacing="1" w:after="100" w:afterAutospacing="1" w:line="240" w:lineRule="auto"/>
        <w:jc w:val="both"/>
        <w:rPr>
          <w:rFonts w:ascii="Helvetica" w:eastAsia="Times New Roman" w:hAnsi="Helvetica" w:cs="Helvetica"/>
          <w:bCs/>
          <w:lang w:eastAsia="es-ES"/>
        </w:rPr>
      </w:pPr>
      <w:r w:rsidRPr="005A2DFB">
        <w:rPr>
          <w:rFonts w:ascii="Helvetica" w:eastAsia="Times New Roman" w:hAnsi="Helvetica" w:cs="Helvetica"/>
          <w:bCs/>
          <w:lang w:eastAsia="es-ES"/>
        </w:rPr>
        <w:t xml:space="preserve">A continuación, se presentan las consideraciones que serán tenidas en cuenta para el cálculo de las metas de calidad del servicio en los SDL de los años sexto y séptimo del periodo tarifario de aplicación de la Resolución CREG 015 de 2018. </w:t>
      </w:r>
    </w:p>
    <w:p w14:paraId="58756D07" w14:textId="77777777" w:rsidR="007779E7" w:rsidRPr="005A2DFB" w:rsidRDefault="007779E7" w:rsidP="00A743EC">
      <w:pPr>
        <w:pStyle w:val="Prrafodelista"/>
        <w:numPr>
          <w:ilvl w:val="1"/>
          <w:numId w:val="4"/>
        </w:numPr>
        <w:spacing w:before="100" w:beforeAutospacing="1" w:after="100" w:afterAutospacing="1" w:line="240" w:lineRule="auto"/>
        <w:jc w:val="both"/>
        <w:rPr>
          <w:rFonts w:ascii="Helvetica" w:eastAsia="Times New Roman" w:hAnsi="Helvetica" w:cs="Helvetica"/>
          <w:bCs/>
          <w:lang w:eastAsia="es-ES"/>
        </w:rPr>
      </w:pPr>
      <w:r w:rsidRPr="005A2DFB">
        <w:rPr>
          <w:rFonts w:ascii="Helvetica" w:eastAsia="Times New Roman" w:hAnsi="Helvetica" w:cs="Helvetica"/>
          <w:bCs/>
          <w:lang w:eastAsia="es-ES"/>
        </w:rPr>
        <w:t xml:space="preserve">METAS DEL SEXTO Y SÉPTIMO AÑO </w:t>
      </w:r>
    </w:p>
    <w:p w14:paraId="2BE48DB2" w14:textId="4E898A52" w:rsidR="007779E7" w:rsidRPr="005A2DFB" w:rsidRDefault="007779E7" w:rsidP="00A743EC">
      <w:pPr>
        <w:spacing w:before="100" w:beforeAutospacing="1" w:after="100" w:afterAutospacing="1" w:line="240" w:lineRule="auto"/>
        <w:ind w:left="644"/>
        <w:jc w:val="both"/>
        <w:rPr>
          <w:rFonts w:ascii="Helvetica" w:eastAsia="Times New Roman" w:hAnsi="Helvetica" w:cs="Helvetica"/>
          <w:bCs/>
          <w:lang w:val="es-ES" w:eastAsia="es-ES"/>
        </w:rPr>
      </w:pPr>
      <w:r w:rsidRPr="005A2DFB">
        <w:rPr>
          <w:rFonts w:ascii="Helvetica" w:eastAsia="Times New Roman" w:hAnsi="Helvetica" w:cs="Helvetica"/>
          <w:bCs/>
          <w:lang w:val="es-ES" w:eastAsia="es-ES"/>
        </w:rPr>
        <w:t xml:space="preserve">Para el cálculo de las metas de calidad media en los SDL para el sexto y séptimo año del periodo tarifario de aplicación de la Resolución CREG 015 de 2018, se considerará el valor del indicador respectivo, </w:t>
      </w:r>
      <w:proofErr w:type="spellStart"/>
      <w:r w:rsidRPr="005A2DFB">
        <w:rPr>
          <w:rFonts w:ascii="Helvetica" w:eastAsia="Times New Roman" w:hAnsi="Helvetica" w:cs="Helvetica"/>
          <w:bCs/>
          <w:i/>
          <w:iCs/>
          <w:lang w:val="es-ES" w:eastAsia="es-ES"/>
        </w:rPr>
        <w:t>SAIDI</w:t>
      </w:r>
      <w:r w:rsidR="00F96F94" w:rsidRPr="005A2DFB">
        <w:rPr>
          <w:rFonts w:ascii="Helvetica" w:eastAsia="Times New Roman" w:hAnsi="Helvetica" w:cs="Helvetica"/>
          <w:bCs/>
          <w:i/>
          <w:iCs/>
          <w:lang w:val="es-ES" w:eastAsia="es-ES"/>
        </w:rPr>
        <w:t>_</w:t>
      </w:r>
      <w:proofErr w:type="gramStart"/>
      <w:r w:rsidR="00F96F94" w:rsidRPr="005A2DFB">
        <w:rPr>
          <w:rFonts w:ascii="Helvetica" w:eastAsia="Times New Roman" w:hAnsi="Helvetica" w:cs="Helvetica"/>
          <w:bCs/>
          <w:i/>
          <w:iCs/>
          <w:lang w:val="es-ES" w:eastAsia="es-ES"/>
        </w:rPr>
        <w:t>M</w:t>
      </w:r>
      <w:r w:rsidR="00F96F94" w:rsidRPr="005A2DFB">
        <w:rPr>
          <w:rFonts w:ascii="Helvetica" w:eastAsia="Times New Roman" w:hAnsi="Helvetica" w:cs="Helvetica"/>
          <w:bCs/>
          <w:i/>
          <w:iCs/>
          <w:vertAlign w:val="subscript"/>
          <w:lang w:val="es-ES" w:eastAsia="es-ES"/>
        </w:rPr>
        <w:t>j,t</w:t>
      </w:r>
      <w:proofErr w:type="spellEnd"/>
      <w:proofErr w:type="gramEnd"/>
      <w:r w:rsidRPr="005A2DFB">
        <w:rPr>
          <w:rFonts w:ascii="Helvetica" w:eastAsia="Times New Roman" w:hAnsi="Helvetica" w:cs="Helvetica"/>
          <w:bCs/>
          <w:lang w:val="es-ES" w:eastAsia="es-ES"/>
        </w:rPr>
        <w:t xml:space="preserve"> o </w:t>
      </w:r>
      <w:proofErr w:type="spellStart"/>
      <w:r w:rsidRPr="005A2DFB">
        <w:rPr>
          <w:rFonts w:ascii="Helvetica" w:eastAsia="Times New Roman" w:hAnsi="Helvetica" w:cs="Helvetica"/>
          <w:bCs/>
          <w:i/>
          <w:iCs/>
          <w:lang w:val="es-ES" w:eastAsia="es-ES"/>
        </w:rPr>
        <w:t>SAIFI</w:t>
      </w:r>
      <w:r w:rsidR="00F96F94" w:rsidRPr="005A2DFB">
        <w:rPr>
          <w:rFonts w:ascii="Helvetica" w:eastAsia="Times New Roman" w:hAnsi="Helvetica" w:cs="Helvetica"/>
          <w:bCs/>
          <w:i/>
          <w:iCs/>
          <w:lang w:val="es-ES" w:eastAsia="es-ES"/>
        </w:rPr>
        <w:t>_M</w:t>
      </w:r>
      <w:r w:rsidR="00F96F94" w:rsidRPr="005A2DFB">
        <w:rPr>
          <w:rFonts w:ascii="Helvetica" w:eastAsia="Times New Roman" w:hAnsi="Helvetica" w:cs="Helvetica"/>
          <w:bCs/>
          <w:i/>
          <w:iCs/>
          <w:vertAlign w:val="subscript"/>
          <w:lang w:val="es-ES" w:eastAsia="es-ES"/>
        </w:rPr>
        <w:t>j,t</w:t>
      </w:r>
      <w:proofErr w:type="spellEnd"/>
      <w:r w:rsidRPr="005A2DFB">
        <w:rPr>
          <w:rFonts w:ascii="Helvetica" w:eastAsia="Times New Roman" w:hAnsi="Helvetica" w:cs="Helvetica"/>
          <w:bCs/>
          <w:lang w:val="es-ES" w:eastAsia="es-ES"/>
        </w:rPr>
        <w:t>, aprobado al OR mediante resolución particular, para el año anterior del periodo tarifario y se le aplicará una reducción del 8%. Para la definición de estas metas se aplicarán las mismas consideraciones que fueron aplicadas para establecer los valores aprobados de los años anteriores.</w:t>
      </w:r>
    </w:p>
    <w:p w14:paraId="7A1CAB92" w14:textId="5DA60F19" w:rsidR="007779E7" w:rsidRPr="005A2DFB" w:rsidRDefault="007779E7" w:rsidP="00A743EC">
      <w:pPr>
        <w:spacing w:before="100" w:beforeAutospacing="1" w:after="100" w:afterAutospacing="1" w:line="240" w:lineRule="auto"/>
        <w:ind w:left="644"/>
        <w:jc w:val="both"/>
        <w:rPr>
          <w:rFonts w:ascii="Helvetica" w:eastAsia="Times New Roman" w:hAnsi="Helvetica" w:cs="Helvetica"/>
          <w:bCs/>
          <w:lang w:val="es-ES" w:eastAsia="es-ES"/>
        </w:rPr>
      </w:pPr>
      <w:r w:rsidRPr="005A2DFB">
        <w:rPr>
          <w:rFonts w:ascii="Helvetica" w:eastAsia="Times New Roman" w:hAnsi="Helvetica" w:cs="Helvetica"/>
          <w:bCs/>
          <w:lang w:val="es-ES" w:eastAsia="es-ES"/>
        </w:rPr>
        <w:t>Los OR que lo consideren necesario</w:t>
      </w:r>
      <w:r w:rsidR="00B52ECE" w:rsidRPr="005A2DFB">
        <w:rPr>
          <w:rFonts w:ascii="Helvetica" w:eastAsia="Times New Roman" w:hAnsi="Helvetica" w:cs="Helvetica"/>
          <w:bCs/>
          <w:lang w:val="es-ES" w:eastAsia="es-ES"/>
        </w:rPr>
        <w:t>,</w:t>
      </w:r>
      <w:r w:rsidRPr="005A2DFB">
        <w:rPr>
          <w:rFonts w:ascii="Helvetica" w:eastAsia="Times New Roman" w:hAnsi="Helvetica" w:cs="Helvetica"/>
          <w:bCs/>
          <w:lang w:val="es-ES" w:eastAsia="es-ES"/>
        </w:rPr>
        <w:t xml:space="preserve"> podrán solicitar que la meta del año sexto o del año séptimo</w:t>
      </w:r>
      <w:r w:rsidRPr="005A2DFB">
        <w:rPr>
          <w:rFonts w:ascii="Helvetica" w:eastAsia="Times New Roman" w:hAnsi="Helvetica" w:cs="Helvetica"/>
          <w:bCs/>
          <w:i/>
          <w:iCs/>
          <w:lang w:val="es-ES" w:eastAsia="es-ES"/>
        </w:rPr>
        <w:t xml:space="preserve"> </w:t>
      </w:r>
      <w:r w:rsidRPr="005A2DFB">
        <w:rPr>
          <w:rFonts w:ascii="Helvetica" w:eastAsia="Times New Roman" w:hAnsi="Helvetica" w:cs="Helvetica"/>
          <w:bCs/>
          <w:lang w:val="es-ES" w:eastAsia="es-ES"/>
        </w:rPr>
        <w:t>se calcule con las consideraciones opcionales de cálculo que se establecen en el numeral 3.2 de este documento. Para acogerse a esta opción el OR deberá hacer una solicitud formal a la CREG, indicando el año para el cual quiere acogerse a la aplicación de las consideraciones opcionales.</w:t>
      </w:r>
    </w:p>
    <w:p w14:paraId="38EEEBF0" w14:textId="77777777" w:rsidR="007779E7" w:rsidRPr="005A2DFB" w:rsidRDefault="007779E7" w:rsidP="00A743EC">
      <w:pPr>
        <w:pStyle w:val="Prrafodelista"/>
        <w:keepNext/>
        <w:numPr>
          <w:ilvl w:val="1"/>
          <w:numId w:val="4"/>
        </w:numPr>
        <w:spacing w:before="100" w:beforeAutospacing="1" w:after="100" w:afterAutospacing="1" w:line="240" w:lineRule="auto"/>
        <w:jc w:val="both"/>
        <w:rPr>
          <w:rFonts w:ascii="Helvetica" w:eastAsia="Times New Roman" w:hAnsi="Helvetica" w:cs="Helvetica"/>
          <w:bCs/>
          <w:lang w:eastAsia="es-ES"/>
        </w:rPr>
      </w:pPr>
      <w:r w:rsidRPr="005A2DFB">
        <w:rPr>
          <w:rFonts w:ascii="Helvetica" w:eastAsia="Times New Roman" w:hAnsi="Helvetica" w:cs="Helvetica"/>
          <w:bCs/>
          <w:lang w:eastAsia="es-ES"/>
        </w:rPr>
        <w:t xml:space="preserve">CONSIDERACIONES OPCIONALES DE CÁLCULO: </w:t>
      </w:r>
    </w:p>
    <w:p w14:paraId="40DE1F3E" w14:textId="3B586A95" w:rsidR="007779E7" w:rsidRPr="005A2DFB" w:rsidRDefault="007779E7" w:rsidP="00A743EC">
      <w:pPr>
        <w:spacing w:before="100" w:beforeAutospacing="1" w:after="100" w:afterAutospacing="1" w:line="240" w:lineRule="auto"/>
        <w:ind w:left="644"/>
        <w:jc w:val="both"/>
        <w:rPr>
          <w:rFonts w:ascii="Helvetica" w:eastAsia="Times New Roman" w:hAnsi="Helvetica" w:cs="Helvetica"/>
          <w:bCs/>
          <w:lang w:val="es-ES" w:eastAsia="es-ES"/>
        </w:rPr>
      </w:pPr>
      <w:r w:rsidRPr="005A2DFB">
        <w:rPr>
          <w:rFonts w:ascii="Helvetica" w:eastAsia="Times New Roman" w:hAnsi="Helvetica" w:cs="Helvetica"/>
          <w:bCs/>
          <w:lang w:val="es-ES" w:eastAsia="es-ES"/>
        </w:rPr>
        <w:t xml:space="preserve">Para los </w:t>
      </w:r>
      <w:proofErr w:type="spellStart"/>
      <w:r w:rsidRPr="005A2DFB">
        <w:rPr>
          <w:rFonts w:ascii="Helvetica" w:eastAsia="Times New Roman" w:hAnsi="Helvetica" w:cs="Helvetica"/>
          <w:bCs/>
          <w:lang w:val="es-ES" w:eastAsia="es-ES"/>
        </w:rPr>
        <w:t>OR</w:t>
      </w:r>
      <w:proofErr w:type="spellEnd"/>
      <w:r w:rsidRPr="005A2DFB">
        <w:rPr>
          <w:rFonts w:ascii="Helvetica" w:eastAsia="Times New Roman" w:hAnsi="Helvetica" w:cs="Helvetica"/>
          <w:bCs/>
          <w:lang w:val="es-ES" w:eastAsia="es-ES"/>
        </w:rPr>
        <w:t xml:space="preserve"> que así lo soliciten, el cálculo de las metas de calidad media en los </w:t>
      </w:r>
      <w:proofErr w:type="spellStart"/>
      <w:r w:rsidRPr="005A2DFB">
        <w:rPr>
          <w:rFonts w:ascii="Helvetica" w:eastAsia="Times New Roman" w:hAnsi="Helvetica" w:cs="Helvetica"/>
          <w:bCs/>
          <w:lang w:val="es-ES" w:eastAsia="es-ES"/>
        </w:rPr>
        <w:t>SDL</w:t>
      </w:r>
      <w:proofErr w:type="spellEnd"/>
      <w:r w:rsidR="00566280" w:rsidRPr="005A2DFB">
        <w:rPr>
          <w:rFonts w:ascii="Helvetica" w:eastAsia="Times New Roman" w:hAnsi="Helvetica" w:cs="Helvetica"/>
          <w:bCs/>
          <w:lang w:val="es-ES" w:eastAsia="es-ES"/>
        </w:rPr>
        <w:t xml:space="preserve">, de uno o </w:t>
      </w:r>
      <w:r w:rsidR="002D1494" w:rsidRPr="005A2DFB">
        <w:rPr>
          <w:rFonts w:ascii="Helvetica" w:eastAsia="Times New Roman" w:hAnsi="Helvetica" w:cs="Helvetica"/>
          <w:bCs/>
          <w:lang w:val="es-ES" w:eastAsia="es-ES"/>
        </w:rPr>
        <w:t xml:space="preserve">de </w:t>
      </w:r>
      <w:r w:rsidR="00566280" w:rsidRPr="005A2DFB">
        <w:rPr>
          <w:rFonts w:ascii="Helvetica" w:eastAsia="Times New Roman" w:hAnsi="Helvetica" w:cs="Helvetica"/>
          <w:bCs/>
          <w:lang w:val="es-ES" w:eastAsia="es-ES"/>
        </w:rPr>
        <w:t>los dos indicadores</w:t>
      </w:r>
      <w:r w:rsidR="00984308" w:rsidRPr="005A2DFB">
        <w:rPr>
          <w:rFonts w:ascii="Helvetica" w:eastAsia="Times New Roman" w:hAnsi="Helvetica" w:cs="Helvetica"/>
          <w:bCs/>
          <w:lang w:val="es-ES" w:eastAsia="es-ES"/>
        </w:rPr>
        <w:t>,</w:t>
      </w:r>
      <w:r w:rsidR="00566280" w:rsidRPr="005A2DFB">
        <w:rPr>
          <w:rFonts w:ascii="Helvetica" w:eastAsia="Times New Roman" w:hAnsi="Helvetica" w:cs="Helvetica"/>
          <w:bCs/>
          <w:lang w:val="es-ES" w:eastAsia="es-ES"/>
        </w:rPr>
        <w:t xml:space="preserve"> </w:t>
      </w:r>
      <w:proofErr w:type="spellStart"/>
      <w:r w:rsidR="00984308" w:rsidRPr="005A2DFB">
        <w:rPr>
          <w:rFonts w:ascii="Helvetica" w:eastAsia="Times New Roman" w:hAnsi="Helvetica" w:cs="Helvetica"/>
          <w:bCs/>
          <w:i/>
          <w:iCs/>
          <w:lang w:eastAsia="es-ES"/>
        </w:rPr>
        <w:t>SAIDI_</w:t>
      </w:r>
      <w:proofErr w:type="gramStart"/>
      <w:r w:rsidR="00984308" w:rsidRPr="005A2DFB">
        <w:rPr>
          <w:rFonts w:ascii="Helvetica" w:eastAsia="Times New Roman" w:hAnsi="Helvetica" w:cs="Helvetica"/>
          <w:bCs/>
          <w:i/>
          <w:iCs/>
          <w:lang w:eastAsia="es-ES"/>
        </w:rPr>
        <w:t>M</w:t>
      </w:r>
      <w:r w:rsidR="00984308" w:rsidRPr="005A2DFB">
        <w:rPr>
          <w:rFonts w:ascii="Helvetica" w:eastAsia="Times New Roman" w:hAnsi="Helvetica" w:cs="Helvetica"/>
          <w:bCs/>
          <w:i/>
          <w:iCs/>
          <w:vertAlign w:val="subscript"/>
          <w:lang w:eastAsia="es-ES"/>
        </w:rPr>
        <w:t>j,t</w:t>
      </w:r>
      <w:proofErr w:type="spellEnd"/>
      <w:proofErr w:type="gramEnd"/>
      <w:r w:rsidR="00984308" w:rsidRPr="005A2DFB">
        <w:rPr>
          <w:rFonts w:ascii="Helvetica" w:eastAsia="Times New Roman" w:hAnsi="Helvetica" w:cs="Helvetica"/>
          <w:bCs/>
          <w:lang w:eastAsia="es-ES"/>
        </w:rPr>
        <w:t xml:space="preserve"> y </w:t>
      </w:r>
      <w:proofErr w:type="spellStart"/>
      <w:r w:rsidR="00984308" w:rsidRPr="005A2DFB">
        <w:rPr>
          <w:rFonts w:ascii="Helvetica" w:eastAsia="Times New Roman" w:hAnsi="Helvetica" w:cs="Helvetica"/>
          <w:bCs/>
          <w:i/>
          <w:iCs/>
          <w:lang w:eastAsia="es-ES"/>
        </w:rPr>
        <w:t>SAIFI_M</w:t>
      </w:r>
      <w:r w:rsidR="00984308" w:rsidRPr="005A2DFB">
        <w:rPr>
          <w:rFonts w:ascii="Helvetica" w:eastAsia="Times New Roman" w:hAnsi="Helvetica" w:cs="Helvetica"/>
          <w:bCs/>
          <w:i/>
          <w:iCs/>
          <w:vertAlign w:val="subscript"/>
          <w:lang w:eastAsia="es-ES"/>
        </w:rPr>
        <w:t>j,t</w:t>
      </w:r>
      <w:proofErr w:type="spellEnd"/>
      <w:r w:rsidR="00984308" w:rsidRPr="005A2DFB">
        <w:rPr>
          <w:rFonts w:ascii="Helvetica" w:eastAsia="Times New Roman" w:hAnsi="Helvetica" w:cs="Helvetica"/>
          <w:bCs/>
          <w:lang w:eastAsia="es-ES"/>
        </w:rPr>
        <w:t xml:space="preserve">, </w:t>
      </w:r>
      <w:r w:rsidRPr="005A2DFB">
        <w:rPr>
          <w:rFonts w:ascii="Helvetica" w:eastAsia="Times New Roman" w:hAnsi="Helvetica" w:cs="Helvetica"/>
          <w:bCs/>
          <w:lang w:val="es-ES" w:eastAsia="es-ES"/>
        </w:rPr>
        <w:t xml:space="preserve">para el sexto o </w:t>
      </w:r>
      <w:r w:rsidR="00C32BD5" w:rsidRPr="005A2DFB">
        <w:rPr>
          <w:rFonts w:ascii="Helvetica" w:eastAsia="Times New Roman" w:hAnsi="Helvetica" w:cs="Helvetica"/>
          <w:bCs/>
          <w:lang w:val="es-ES" w:eastAsia="es-ES"/>
        </w:rPr>
        <w:t xml:space="preserve">para el año </w:t>
      </w:r>
      <w:r w:rsidRPr="005A2DFB">
        <w:rPr>
          <w:rFonts w:ascii="Helvetica" w:eastAsia="Times New Roman" w:hAnsi="Helvetica" w:cs="Helvetica"/>
          <w:bCs/>
          <w:lang w:val="es-ES" w:eastAsia="es-ES"/>
        </w:rPr>
        <w:t xml:space="preserve">séptimo año del periodo tarifario de aplicación de la Resolución CREG 015 de 2018, se realizará teniendo en cuenta lo siguiente. </w:t>
      </w:r>
    </w:p>
    <w:p w14:paraId="24616B30" w14:textId="77777777" w:rsidR="007779E7" w:rsidRPr="005A2DFB" w:rsidRDefault="007779E7" w:rsidP="00A743EC">
      <w:pPr>
        <w:keepNext/>
        <w:spacing w:before="100" w:beforeAutospacing="1" w:after="100" w:afterAutospacing="1" w:line="240" w:lineRule="auto"/>
        <w:ind w:left="851"/>
        <w:jc w:val="both"/>
        <w:rPr>
          <w:rFonts w:ascii="Helvetica" w:eastAsia="Times New Roman" w:hAnsi="Helvetica" w:cs="Helvetica"/>
          <w:b/>
          <w:lang w:eastAsia="es-ES"/>
        </w:rPr>
      </w:pPr>
      <w:r w:rsidRPr="005A2DFB">
        <w:rPr>
          <w:rFonts w:ascii="Helvetica" w:eastAsia="Times New Roman" w:hAnsi="Helvetica" w:cs="Helvetica"/>
          <w:b/>
          <w:lang w:eastAsia="es-ES"/>
        </w:rPr>
        <w:t xml:space="preserve">Información considerada. </w:t>
      </w:r>
    </w:p>
    <w:p w14:paraId="4859C5DC" w14:textId="3C6BE248" w:rsidR="007779E7" w:rsidRPr="005A2DFB" w:rsidRDefault="007779E7" w:rsidP="00A743EC">
      <w:pPr>
        <w:pStyle w:val="Prrafodelista"/>
        <w:numPr>
          <w:ilvl w:val="0"/>
          <w:numId w:val="8"/>
        </w:numPr>
        <w:spacing w:after="100" w:afterAutospacing="1" w:line="240" w:lineRule="auto"/>
        <w:contextualSpacing w:val="0"/>
        <w:jc w:val="both"/>
        <w:rPr>
          <w:rFonts w:ascii="Helvetica" w:eastAsia="Times New Roman" w:hAnsi="Helvetica" w:cs="Helvetica"/>
          <w:bCs/>
          <w:lang w:eastAsia="es-ES"/>
        </w:rPr>
      </w:pPr>
      <w:r w:rsidRPr="005A2DFB">
        <w:rPr>
          <w:rFonts w:ascii="Helvetica" w:eastAsia="Times New Roman" w:hAnsi="Helvetica" w:cs="Helvetica"/>
          <w:bCs/>
          <w:lang w:eastAsia="es-ES"/>
        </w:rPr>
        <w:t xml:space="preserve">Indicadores </w:t>
      </w:r>
      <w:proofErr w:type="spellStart"/>
      <w:proofErr w:type="gramStart"/>
      <w:r w:rsidRPr="005A2DFB">
        <w:rPr>
          <w:rFonts w:ascii="Helvetica" w:eastAsia="Times New Roman" w:hAnsi="Helvetica" w:cs="Helvetica"/>
          <w:bCs/>
          <w:i/>
          <w:iCs/>
          <w:lang w:eastAsia="es-ES"/>
        </w:rPr>
        <w:t>SAIDI</w:t>
      </w:r>
      <w:r w:rsidR="009D05B0" w:rsidRPr="005A2DFB">
        <w:rPr>
          <w:rFonts w:ascii="Helvetica" w:eastAsia="Times New Roman" w:hAnsi="Helvetica" w:cs="Helvetica"/>
          <w:bCs/>
          <w:i/>
          <w:iCs/>
          <w:vertAlign w:val="subscript"/>
          <w:lang w:eastAsia="es-ES"/>
        </w:rPr>
        <w:t>j,t</w:t>
      </w:r>
      <w:proofErr w:type="spellEnd"/>
      <w:proofErr w:type="gramEnd"/>
      <w:r w:rsidRPr="005A2DFB">
        <w:rPr>
          <w:rFonts w:ascii="Helvetica" w:eastAsia="Times New Roman" w:hAnsi="Helvetica" w:cs="Helvetica"/>
          <w:bCs/>
          <w:lang w:eastAsia="es-ES"/>
        </w:rPr>
        <w:t xml:space="preserve"> y </w:t>
      </w:r>
      <w:proofErr w:type="spellStart"/>
      <w:r w:rsidRPr="005A2DFB">
        <w:rPr>
          <w:rFonts w:ascii="Helvetica" w:eastAsia="Times New Roman" w:hAnsi="Helvetica" w:cs="Helvetica"/>
          <w:bCs/>
          <w:i/>
          <w:iCs/>
          <w:lang w:eastAsia="es-ES"/>
        </w:rPr>
        <w:t>SAIFI</w:t>
      </w:r>
      <w:r w:rsidR="009D05B0" w:rsidRPr="005A2DFB">
        <w:rPr>
          <w:rFonts w:ascii="Helvetica" w:eastAsia="Times New Roman" w:hAnsi="Helvetica" w:cs="Helvetica"/>
          <w:bCs/>
          <w:i/>
          <w:iCs/>
          <w:vertAlign w:val="subscript"/>
          <w:lang w:eastAsia="es-ES"/>
        </w:rPr>
        <w:t>j,t</w:t>
      </w:r>
      <w:proofErr w:type="spellEnd"/>
      <w:r w:rsidRPr="005A2DFB">
        <w:rPr>
          <w:rFonts w:ascii="Helvetica" w:eastAsia="Times New Roman" w:hAnsi="Helvetica" w:cs="Helvetica"/>
          <w:bCs/>
          <w:lang w:eastAsia="es-ES"/>
        </w:rPr>
        <w:t xml:space="preserve"> reportados por el OR al SUI, para los primeros cinco años de aplicación de la Resolución CREG 015 de 2018. </w:t>
      </w:r>
    </w:p>
    <w:p w14:paraId="37087651" w14:textId="7FEF5D53" w:rsidR="007779E7" w:rsidRPr="005A2DFB" w:rsidRDefault="007779E7" w:rsidP="00A743EC">
      <w:pPr>
        <w:pStyle w:val="Prrafodelista"/>
        <w:numPr>
          <w:ilvl w:val="0"/>
          <w:numId w:val="8"/>
        </w:numPr>
        <w:spacing w:after="100" w:afterAutospacing="1" w:line="240" w:lineRule="auto"/>
        <w:contextualSpacing w:val="0"/>
        <w:jc w:val="both"/>
        <w:rPr>
          <w:rFonts w:ascii="Helvetica" w:eastAsia="Times New Roman" w:hAnsi="Helvetica" w:cs="Helvetica"/>
          <w:bCs/>
          <w:lang w:eastAsia="es-ES"/>
        </w:rPr>
      </w:pPr>
      <w:r w:rsidRPr="005A2DFB">
        <w:rPr>
          <w:rFonts w:ascii="Helvetica" w:eastAsia="Times New Roman" w:hAnsi="Helvetica" w:cs="Helvetica"/>
          <w:bCs/>
          <w:lang w:eastAsia="es-ES"/>
        </w:rPr>
        <w:lastRenderedPageBreak/>
        <w:t xml:space="preserve">Metas de los indicadores </w:t>
      </w:r>
      <w:proofErr w:type="spellStart"/>
      <w:r w:rsidRPr="005A2DFB">
        <w:rPr>
          <w:rFonts w:ascii="Helvetica" w:eastAsia="Times New Roman" w:hAnsi="Helvetica" w:cs="Helvetica"/>
          <w:bCs/>
          <w:i/>
          <w:iCs/>
          <w:lang w:eastAsia="es-ES"/>
        </w:rPr>
        <w:t>SAIDI</w:t>
      </w:r>
      <w:r w:rsidR="009D05B0" w:rsidRPr="005A2DFB">
        <w:rPr>
          <w:rFonts w:ascii="Helvetica" w:eastAsia="Times New Roman" w:hAnsi="Helvetica" w:cs="Helvetica"/>
          <w:bCs/>
          <w:i/>
          <w:iCs/>
          <w:lang w:eastAsia="es-ES"/>
        </w:rPr>
        <w:t>_</w:t>
      </w:r>
      <w:proofErr w:type="gramStart"/>
      <w:r w:rsidR="009D05B0" w:rsidRPr="005A2DFB">
        <w:rPr>
          <w:rFonts w:ascii="Helvetica" w:eastAsia="Times New Roman" w:hAnsi="Helvetica" w:cs="Helvetica"/>
          <w:bCs/>
          <w:i/>
          <w:iCs/>
          <w:lang w:eastAsia="es-ES"/>
        </w:rPr>
        <w:t>M</w:t>
      </w:r>
      <w:r w:rsidR="00D3785B" w:rsidRPr="005A2DFB">
        <w:rPr>
          <w:rFonts w:ascii="Helvetica" w:eastAsia="Times New Roman" w:hAnsi="Helvetica" w:cs="Helvetica"/>
          <w:bCs/>
          <w:i/>
          <w:iCs/>
          <w:vertAlign w:val="subscript"/>
          <w:lang w:eastAsia="es-ES"/>
        </w:rPr>
        <w:t>j,t</w:t>
      </w:r>
      <w:proofErr w:type="spellEnd"/>
      <w:proofErr w:type="gramEnd"/>
      <w:r w:rsidRPr="005A2DFB">
        <w:rPr>
          <w:rFonts w:ascii="Helvetica" w:eastAsia="Times New Roman" w:hAnsi="Helvetica" w:cs="Helvetica"/>
          <w:bCs/>
          <w:lang w:eastAsia="es-ES"/>
        </w:rPr>
        <w:t xml:space="preserve"> y </w:t>
      </w:r>
      <w:proofErr w:type="spellStart"/>
      <w:r w:rsidRPr="005A2DFB">
        <w:rPr>
          <w:rFonts w:ascii="Helvetica" w:eastAsia="Times New Roman" w:hAnsi="Helvetica" w:cs="Helvetica"/>
          <w:bCs/>
          <w:i/>
          <w:iCs/>
          <w:lang w:eastAsia="es-ES"/>
        </w:rPr>
        <w:t>SAIFI</w:t>
      </w:r>
      <w:r w:rsidR="00D3785B" w:rsidRPr="005A2DFB">
        <w:rPr>
          <w:rFonts w:ascii="Helvetica" w:eastAsia="Times New Roman" w:hAnsi="Helvetica" w:cs="Helvetica"/>
          <w:bCs/>
          <w:i/>
          <w:iCs/>
          <w:lang w:eastAsia="es-ES"/>
        </w:rPr>
        <w:t>_M</w:t>
      </w:r>
      <w:r w:rsidR="00D3785B" w:rsidRPr="005A2DFB">
        <w:rPr>
          <w:rFonts w:ascii="Helvetica" w:eastAsia="Times New Roman" w:hAnsi="Helvetica" w:cs="Helvetica"/>
          <w:bCs/>
          <w:i/>
          <w:iCs/>
          <w:vertAlign w:val="subscript"/>
          <w:lang w:eastAsia="es-ES"/>
        </w:rPr>
        <w:t>j,t</w:t>
      </w:r>
      <w:proofErr w:type="spellEnd"/>
      <w:r w:rsidRPr="005A2DFB">
        <w:rPr>
          <w:rFonts w:ascii="Helvetica" w:eastAsia="Times New Roman" w:hAnsi="Helvetica" w:cs="Helvetica"/>
          <w:bCs/>
          <w:lang w:eastAsia="es-ES"/>
        </w:rPr>
        <w:t xml:space="preserve"> establecidas para los primeros cinco años de aplicación de la Resolución CREG 015 de 2018, mediante las resoluciones particulares de cada OR. </w:t>
      </w:r>
    </w:p>
    <w:p w14:paraId="5AAFE2C2" w14:textId="77777777" w:rsidR="007779E7" w:rsidRPr="005A2DFB" w:rsidRDefault="007779E7" w:rsidP="00A743EC">
      <w:pPr>
        <w:keepNext/>
        <w:spacing w:before="100" w:beforeAutospacing="1" w:after="100" w:afterAutospacing="1" w:line="240" w:lineRule="auto"/>
        <w:ind w:left="851"/>
        <w:jc w:val="both"/>
        <w:rPr>
          <w:rFonts w:ascii="Helvetica" w:eastAsia="Times New Roman" w:hAnsi="Helvetica" w:cs="Helvetica"/>
          <w:b/>
          <w:lang w:eastAsia="es-ES"/>
        </w:rPr>
      </w:pPr>
      <w:r w:rsidRPr="005A2DFB">
        <w:rPr>
          <w:rFonts w:ascii="Helvetica" w:eastAsia="Times New Roman" w:hAnsi="Helvetica" w:cs="Helvetica"/>
          <w:b/>
          <w:lang w:eastAsia="es-ES"/>
        </w:rPr>
        <w:t xml:space="preserve"> Criterios para el cálculo de metas. </w:t>
      </w:r>
    </w:p>
    <w:p w14:paraId="289B0472" w14:textId="77777777" w:rsidR="007779E7" w:rsidRPr="005A2DFB" w:rsidRDefault="007779E7" w:rsidP="00A743EC">
      <w:pPr>
        <w:spacing w:before="100" w:beforeAutospacing="1" w:after="100" w:afterAutospacing="1" w:line="240" w:lineRule="auto"/>
        <w:ind w:left="708" w:firstLine="296"/>
        <w:jc w:val="both"/>
        <w:rPr>
          <w:rFonts w:ascii="Helvetica" w:eastAsia="Times New Roman" w:hAnsi="Helvetica" w:cs="Helvetica"/>
          <w:bCs/>
          <w:lang w:val="es-ES" w:eastAsia="es-ES"/>
        </w:rPr>
      </w:pPr>
      <w:r w:rsidRPr="005A2DFB">
        <w:rPr>
          <w:rFonts w:ascii="Helvetica" w:eastAsia="Times New Roman" w:hAnsi="Helvetica" w:cs="Helvetica"/>
          <w:bCs/>
          <w:lang w:val="es-ES" w:eastAsia="es-ES"/>
        </w:rPr>
        <w:t xml:space="preserve">Se considerarán las siguientes condiciones de desempeño: </w:t>
      </w:r>
    </w:p>
    <w:p w14:paraId="5E064654" w14:textId="77777777" w:rsidR="007779E7" w:rsidRPr="005A2DFB" w:rsidRDefault="007779E7" w:rsidP="00A743EC">
      <w:pPr>
        <w:numPr>
          <w:ilvl w:val="0"/>
          <w:numId w:val="6"/>
        </w:numPr>
        <w:spacing w:before="100" w:beforeAutospacing="1" w:after="100" w:afterAutospacing="1" w:line="240" w:lineRule="auto"/>
        <w:ind w:left="1843"/>
        <w:jc w:val="both"/>
        <w:rPr>
          <w:rFonts w:ascii="Helvetica" w:eastAsia="Times New Roman" w:hAnsi="Helvetica" w:cs="Helvetica"/>
          <w:bCs/>
          <w:lang w:eastAsia="es-ES"/>
        </w:rPr>
      </w:pPr>
      <w:r w:rsidRPr="005A2DFB">
        <w:rPr>
          <w:rFonts w:ascii="Helvetica" w:eastAsia="Times New Roman" w:hAnsi="Helvetica" w:cs="Helvetica"/>
          <w:bCs/>
          <w:lang w:eastAsia="es-ES"/>
        </w:rPr>
        <w:t xml:space="preserve">Mejora en el periodo: Calculada como el promedio de los valores reportados por el OR al SUI del indicador respectivo, para los primeros 5 años del periodo tarifario, comparada con el valor del primer año del periodo tarifario. Si el valor del promedio es menor que el valor del primer año del periodo tarifario, se considera que hubo mejora. </w:t>
      </w:r>
    </w:p>
    <w:p w14:paraId="31C4F835" w14:textId="77777777" w:rsidR="007779E7" w:rsidRPr="005A2DFB" w:rsidRDefault="007779E7" w:rsidP="00A743EC">
      <w:pPr>
        <w:numPr>
          <w:ilvl w:val="0"/>
          <w:numId w:val="6"/>
        </w:numPr>
        <w:spacing w:after="100" w:afterAutospacing="1" w:line="240" w:lineRule="auto"/>
        <w:ind w:left="1843" w:hanging="357"/>
        <w:jc w:val="both"/>
        <w:rPr>
          <w:rFonts w:ascii="Helvetica" w:eastAsia="Times New Roman" w:hAnsi="Helvetica" w:cs="Helvetica"/>
          <w:bCs/>
          <w:lang w:eastAsia="es-ES"/>
        </w:rPr>
      </w:pPr>
      <w:r w:rsidRPr="005A2DFB">
        <w:rPr>
          <w:rFonts w:ascii="Helvetica" w:eastAsia="Times New Roman" w:hAnsi="Helvetica" w:cs="Helvetica"/>
          <w:bCs/>
          <w:lang w:eastAsia="es-ES"/>
        </w:rPr>
        <w:t>Mejora frente a metas: Calculada como el promedio de los valores reportados por el OR al SUI entre los primeros 5 años del periodo tarifario del indicador respectivo, comparada con el promedio de las metas anuales del indicador para el mismo periodo. Si el valor resultante del promedio de los valores reportados es menor que el promedio de los valores anuales de las metas, se considera que hubo mejora frente a las metas.</w:t>
      </w:r>
    </w:p>
    <w:p w14:paraId="6C72CE1C" w14:textId="25BFBDB0" w:rsidR="007779E7" w:rsidRPr="005A2DFB" w:rsidRDefault="007779E7" w:rsidP="00A743EC">
      <w:pPr>
        <w:spacing w:before="100" w:beforeAutospacing="1" w:after="100" w:afterAutospacing="1" w:line="240" w:lineRule="auto"/>
        <w:ind w:left="1006"/>
        <w:jc w:val="both"/>
        <w:rPr>
          <w:rFonts w:ascii="Helvetica" w:eastAsia="Times New Roman" w:hAnsi="Helvetica" w:cs="Helvetica"/>
          <w:bCs/>
          <w:lang w:val="es-ES" w:eastAsia="es-ES"/>
        </w:rPr>
      </w:pPr>
      <w:r w:rsidRPr="005A2DFB">
        <w:rPr>
          <w:rFonts w:ascii="Helvetica" w:eastAsia="Times New Roman" w:hAnsi="Helvetica" w:cs="Helvetica"/>
          <w:bCs/>
          <w:lang w:val="es-ES" w:eastAsia="es-ES"/>
        </w:rPr>
        <w:t>Con base en estas condiciones de desempeño, la meta de calidad media de cada OR para el año sexto o</w:t>
      </w:r>
      <w:r w:rsidRPr="005A2DFB">
        <w:rPr>
          <w:rFonts w:ascii="Helvetica" w:eastAsia="Times New Roman" w:hAnsi="Helvetica" w:cs="Helvetica"/>
          <w:bCs/>
          <w:i/>
          <w:iCs/>
          <w:lang w:val="es-ES" w:eastAsia="es-ES"/>
        </w:rPr>
        <w:t xml:space="preserve"> </w:t>
      </w:r>
      <w:r w:rsidR="00BC2FD2" w:rsidRPr="005A2DFB">
        <w:rPr>
          <w:rFonts w:ascii="Helvetica" w:eastAsia="Times New Roman" w:hAnsi="Helvetica" w:cs="Helvetica"/>
          <w:bCs/>
          <w:lang w:val="es-ES" w:eastAsia="es-ES"/>
        </w:rPr>
        <w:t xml:space="preserve">para el año </w:t>
      </w:r>
      <w:r w:rsidRPr="005A2DFB">
        <w:rPr>
          <w:rFonts w:ascii="Helvetica" w:eastAsia="Times New Roman" w:hAnsi="Helvetica" w:cs="Helvetica"/>
          <w:bCs/>
          <w:lang w:val="es-ES" w:eastAsia="es-ES"/>
        </w:rPr>
        <w:t xml:space="preserve">séptimo se obtendrá dependiendo de la clasificación que le corresponda en los siguientes casos: </w:t>
      </w:r>
    </w:p>
    <w:p w14:paraId="0B5A059B" w14:textId="49FDB8E2" w:rsidR="007779E7" w:rsidRPr="005A2DFB" w:rsidRDefault="007779E7" w:rsidP="00A743EC">
      <w:pPr>
        <w:keepNext/>
        <w:numPr>
          <w:ilvl w:val="0"/>
          <w:numId w:val="3"/>
        </w:numPr>
        <w:spacing w:after="100" w:afterAutospacing="1" w:line="240" w:lineRule="auto"/>
        <w:ind w:left="1366" w:hanging="357"/>
        <w:jc w:val="both"/>
        <w:rPr>
          <w:rFonts w:ascii="Helvetica" w:eastAsia="Times New Roman" w:hAnsi="Helvetica" w:cs="Helvetica"/>
          <w:bCs/>
          <w:lang w:eastAsia="es-ES"/>
        </w:rPr>
      </w:pPr>
      <w:r w:rsidRPr="005A2DFB">
        <w:rPr>
          <w:rFonts w:ascii="Helvetica" w:eastAsia="Times New Roman" w:hAnsi="Helvetica" w:cs="Helvetica"/>
          <w:bCs/>
          <w:lang w:eastAsia="es-ES"/>
        </w:rPr>
        <w:t xml:space="preserve">Si el OR tuvo mejora en el periodo o mejora frente a las metas, pero el percentil 10 de los indicadores </w:t>
      </w:r>
      <w:r w:rsidR="00294514" w:rsidRPr="003D0D07">
        <w:rPr>
          <w:rFonts w:ascii="Helvetica" w:eastAsia="Times New Roman" w:hAnsi="Helvetica" w:cs="Helvetica"/>
          <w:bCs/>
          <w:lang w:eastAsia="es-ES"/>
        </w:rPr>
        <w:t>reportados para los primeros cinco años de periodo tarifario</w:t>
      </w:r>
      <w:r w:rsidR="00294514" w:rsidRPr="00294514" w:rsidDel="00294514">
        <w:rPr>
          <w:rFonts w:ascii="Helvetica" w:eastAsia="Times New Roman" w:hAnsi="Helvetica" w:cs="Helvetica"/>
          <w:bCs/>
          <w:lang w:eastAsia="es-ES"/>
        </w:rPr>
        <w:t xml:space="preserve"> </w:t>
      </w:r>
      <w:r w:rsidRPr="005A2DFB">
        <w:rPr>
          <w:rFonts w:ascii="Helvetica" w:eastAsia="Times New Roman" w:hAnsi="Helvetica" w:cs="Helvetica"/>
          <w:bCs/>
          <w:lang w:eastAsia="es-ES"/>
        </w:rPr>
        <w:t xml:space="preserve">es mayor que el valor de la variable </w:t>
      </w:r>
      <w:r w:rsidRPr="005A2DFB">
        <w:rPr>
          <w:rFonts w:ascii="Helvetica" w:eastAsia="Times New Roman" w:hAnsi="Helvetica" w:cs="Helvetica"/>
          <w:bCs/>
          <w:i/>
          <w:iCs/>
          <w:lang w:eastAsia="es-ES"/>
        </w:rPr>
        <w:t>SAIDI_LP</w:t>
      </w:r>
      <w:r w:rsidRPr="005A2DFB">
        <w:rPr>
          <w:rFonts w:ascii="Helvetica" w:eastAsia="Times New Roman" w:hAnsi="Helvetica" w:cs="Helvetica"/>
          <w:bCs/>
          <w:lang w:eastAsia="es-ES"/>
        </w:rPr>
        <w:t xml:space="preserve"> o </w:t>
      </w:r>
      <w:r w:rsidRPr="005A2DFB">
        <w:rPr>
          <w:rFonts w:ascii="Helvetica" w:eastAsia="Times New Roman" w:hAnsi="Helvetica" w:cs="Helvetica"/>
          <w:bCs/>
          <w:i/>
          <w:iCs/>
          <w:lang w:eastAsia="es-ES"/>
        </w:rPr>
        <w:t>SAIFI_LP</w:t>
      </w:r>
      <w:r w:rsidRPr="005A2DFB">
        <w:rPr>
          <w:rFonts w:ascii="Helvetica" w:eastAsia="Times New Roman" w:hAnsi="Helvetica" w:cs="Helvetica"/>
          <w:bCs/>
          <w:lang w:eastAsia="es-ES"/>
        </w:rPr>
        <w:t>, según corresponda, definida en el numeral 5.2.3.2.2</w:t>
      </w:r>
      <w:r w:rsidR="00E3253E">
        <w:rPr>
          <w:rFonts w:ascii="Helvetica" w:eastAsia="Times New Roman" w:hAnsi="Helvetica" w:cs="Helvetica"/>
          <w:bCs/>
          <w:lang w:eastAsia="es-ES"/>
        </w:rPr>
        <w:t xml:space="preserve"> del anexo general de la Resolución CREG 015 de 2018</w:t>
      </w:r>
      <w:r w:rsidRPr="005A2DFB">
        <w:rPr>
          <w:rFonts w:ascii="Helvetica" w:eastAsia="Times New Roman" w:hAnsi="Helvetica" w:cs="Helvetica"/>
          <w:bCs/>
          <w:lang w:eastAsia="es-ES"/>
        </w:rPr>
        <w:t xml:space="preserve">, la meta será igual al valor resultante de reducir en un 8% el valor </w:t>
      </w:r>
      <w:r w:rsidR="00380C1F">
        <w:rPr>
          <w:rFonts w:ascii="Helvetica" w:eastAsia="Times New Roman" w:hAnsi="Helvetica" w:cs="Helvetica"/>
          <w:bCs/>
          <w:lang w:eastAsia="es-ES"/>
        </w:rPr>
        <w:t>del</w:t>
      </w:r>
      <w:r w:rsidRPr="00AF4A97">
        <w:rPr>
          <w:rFonts w:ascii="Helvetica" w:eastAsia="Times New Roman" w:hAnsi="Helvetica" w:cs="Helvetica"/>
          <w:bCs/>
          <w:lang w:eastAsia="es-ES"/>
        </w:rPr>
        <w:t xml:space="preserve"> percentil </w:t>
      </w:r>
      <w:r w:rsidRPr="005A2DFB">
        <w:rPr>
          <w:rFonts w:ascii="Helvetica" w:eastAsia="Times New Roman" w:hAnsi="Helvetica" w:cs="Helvetica"/>
          <w:bCs/>
          <w:lang w:eastAsia="es-ES"/>
        </w:rPr>
        <w:t xml:space="preserve">10 de los indicadores reportados para los primeros cinco años de periodo tarifario. </w:t>
      </w:r>
    </w:p>
    <w:p w14:paraId="1795C17C" w14:textId="25AA9F61" w:rsidR="007779E7" w:rsidRPr="005A2DFB" w:rsidRDefault="007779E7" w:rsidP="00A743EC">
      <w:pPr>
        <w:keepNext/>
        <w:numPr>
          <w:ilvl w:val="0"/>
          <w:numId w:val="3"/>
        </w:numPr>
        <w:spacing w:after="100" w:afterAutospacing="1" w:line="240" w:lineRule="auto"/>
        <w:ind w:left="1366" w:hanging="357"/>
        <w:jc w:val="both"/>
        <w:rPr>
          <w:rFonts w:ascii="Helvetica" w:eastAsia="Times New Roman" w:hAnsi="Helvetica" w:cs="Helvetica"/>
          <w:bCs/>
          <w:lang w:eastAsia="es-ES"/>
        </w:rPr>
      </w:pPr>
      <w:r w:rsidRPr="005A2DFB">
        <w:rPr>
          <w:rFonts w:ascii="Helvetica" w:eastAsia="Times New Roman" w:hAnsi="Helvetica" w:cs="Helvetica"/>
          <w:bCs/>
          <w:lang w:eastAsia="es-ES"/>
        </w:rPr>
        <w:t xml:space="preserve">Si el OR tuvo mejora en el periodo o mejora frente a las metas y el percentil 10 de los indicadores </w:t>
      </w:r>
      <w:r w:rsidR="000238FF" w:rsidRPr="003D0D07">
        <w:rPr>
          <w:rFonts w:ascii="Helvetica" w:eastAsia="Times New Roman" w:hAnsi="Helvetica" w:cs="Helvetica"/>
          <w:bCs/>
          <w:lang w:eastAsia="es-ES"/>
        </w:rPr>
        <w:t>reportados para los primeros cinco años de periodo tarifario</w:t>
      </w:r>
      <w:r w:rsidR="000238FF" w:rsidRPr="000238FF" w:rsidDel="000238FF">
        <w:rPr>
          <w:rFonts w:ascii="Helvetica" w:eastAsia="Times New Roman" w:hAnsi="Helvetica" w:cs="Helvetica"/>
          <w:bCs/>
          <w:lang w:eastAsia="es-ES"/>
        </w:rPr>
        <w:t xml:space="preserve"> </w:t>
      </w:r>
      <w:r w:rsidRPr="005A2DFB">
        <w:rPr>
          <w:rFonts w:ascii="Helvetica" w:eastAsia="Times New Roman" w:hAnsi="Helvetica" w:cs="Helvetica"/>
          <w:bCs/>
          <w:lang w:eastAsia="es-ES"/>
        </w:rPr>
        <w:t xml:space="preserve">es menor </w:t>
      </w:r>
      <w:r w:rsidR="003D30CD" w:rsidRPr="005A2DFB">
        <w:rPr>
          <w:rFonts w:ascii="Helvetica" w:eastAsia="Times New Roman" w:hAnsi="Helvetica" w:cs="Helvetica"/>
          <w:bCs/>
          <w:lang w:eastAsia="es-ES"/>
        </w:rPr>
        <w:t xml:space="preserve">o igual </w:t>
      </w:r>
      <w:r w:rsidRPr="005A2DFB">
        <w:rPr>
          <w:rFonts w:ascii="Helvetica" w:eastAsia="Times New Roman" w:hAnsi="Helvetica" w:cs="Helvetica"/>
          <w:bCs/>
          <w:lang w:eastAsia="es-ES"/>
        </w:rPr>
        <w:t xml:space="preserve">que el valor de la variable SAIDI_LP o SAIFI_LP, según corresponda, </w:t>
      </w:r>
      <w:r w:rsidR="005D50CF" w:rsidRPr="005A2DFB">
        <w:rPr>
          <w:rFonts w:ascii="Helvetica" w:eastAsia="Times New Roman" w:hAnsi="Helvetica" w:cs="Helvetica"/>
          <w:bCs/>
          <w:lang w:eastAsia="es-ES"/>
        </w:rPr>
        <w:t>definida en el numeral 5.2.3.2.2, la meta será igual al valor del percentil 10 antes mencionado.</w:t>
      </w:r>
    </w:p>
    <w:p w14:paraId="3E56561C" w14:textId="64DD1B7B" w:rsidR="006E60EE" w:rsidRPr="005A2DFB" w:rsidRDefault="007779E7" w:rsidP="00A743EC">
      <w:pPr>
        <w:keepNext/>
        <w:numPr>
          <w:ilvl w:val="0"/>
          <w:numId w:val="3"/>
        </w:numPr>
        <w:spacing w:after="100" w:afterAutospacing="1" w:line="240" w:lineRule="auto"/>
        <w:ind w:hanging="357"/>
        <w:jc w:val="both"/>
        <w:rPr>
          <w:rFonts w:ascii="Helvetica" w:eastAsia="Times New Roman" w:hAnsi="Helvetica" w:cs="Helvetica"/>
          <w:bCs/>
          <w:lang w:eastAsia="es-ES"/>
        </w:rPr>
      </w:pPr>
      <w:r w:rsidRPr="005A2DFB">
        <w:rPr>
          <w:rFonts w:ascii="Helvetica" w:eastAsia="Times New Roman" w:hAnsi="Helvetica" w:cs="Helvetica"/>
          <w:bCs/>
          <w:lang w:eastAsia="es-ES"/>
        </w:rPr>
        <w:t xml:space="preserve">Si el OR no tuvo mejora en el periodo y no tuvo mejora frente a metas, su meta </w:t>
      </w:r>
      <w:r w:rsidR="00D227A2" w:rsidRPr="005A2DFB">
        <w:rPr>
          <w:rFonts w:ascii="Helvetica" w:eastAsia="Times New Roman" w:hAnsi="Helvetica" w:cs="Helvetica"/>
          <w:bCs/>
          <w:lang w:eastAsia="es-ES"/>
        </w:rPr>
        <w:t xml:space="preserve">se calculará </w:t>
      </w:r>
      <w:r w:rsidR="00C37147" w:rsidRPr="005A2DFB">
        <w:rPr>
          <w:rFonts w:ascii="Helvetica" w:eastAsia="Times New Roman" w:hAnsi="Helvetica" w:cs="Helvetica"/>
          <w:bCs/>
          <w:lang w:eastAsia="es-ES"/>
        </w:rPr>
        <w:t>como el</w:t>
      </w:r>
      <w:r w:rsidR="000C083A" w:rsidRPr="005A2DFB">
        <w:rPr>
          <w:rFonts w:ascii="Helvetica" w:eastAsia="Times New Roman" w:hAnsi="Helvetica" w:cs="Helvetica"/>
          <w:bCs/>
          <w:lang w:eastAsia="es-ES"/>
        </w:rPr>
        <w:t xml:space="preserve"> valor resultante </w:t>
      </w:r>
      <w:r w:rsidR="009D5A4C" w:rsidRPr="005A2DFB">
        <w:rPr>
          <w:rFonts w:ascii="Helvetica" w:eastAsia="Times New Roman" w:hAnsi="Helvetica" w:cs="Helvetica"/>
          <w:bCs/>
          <w:lang w:eastAsia="es-ES"/>
        </w:rPr>
        <w:t xml:space="preserve">de reducir en un 8% la meta </w:t>
      </w:r>
      <w:r w:rsidR="00340631" w:rsidRPr="005A2DFB">
        <w:rPr>
          <w:rFonts w:ascii="Helvetica" w:eastAsia="Times New Roman" w:hAnsi="Helvetica" w:cs="Helvetica"/>
          <w:bCs/>
          <w:lang w:eastAsia="es-ES"/>
        </w:rPr>
        <w:t>establecida</w:t>
      </w:r>
      <w:r w:rsidR="00A85111" w:rsidRPr="005A2DFB">
        <w:rPr>
          <w:rFonts w:ascii="Helvetica" w:eastAsia="Times New Roman" w:hAnsi="Helvetica" w:cs="Helvetica"/>
          <w:bCs/>
          <w:lang w:eastAsia="es-ES"/>
        </w:rPr>
        <w:t>,</w:t>
      </w:r>
      <w:r w:rsidR="00340631" w:rsidRPr="005A2DFB">
        <w:rPr>
          <w:rFonts w:ascii="Helvetica" w:eastAsia="Times New Roman" w:hAnsi="Helvetica" w:cs="Helvetica"/>
          <w:bCs/>
          <w:lang w:eastAsia="es-ES"/>
        </w:rPr>
        <w:t xml:space="preserve"> </w:t>
      </w:r>
      <w:r w:rsidR="0037088A" w:rsidRPr="005A2DFB">
        <w:rPr>
          <w:rFonts w:ascii="Helvetica" w:eastAsia="Times New Roman" w:hAnsi="Helvetica" w:cs="Helvetica"/>
          <w:bCs/>
          <w:lang w:eastAsia="es-ES"/>
        </w:rPr>
        <w:t>en su resolución particular</w:t>
      </w:r>
      <w:r w:rsidR="00A85111" w:rsidRPr="005A2DFB">
        <w:rPr>
          <w:rFonts w:ascii="Helvetica" w:eastAsia="Times New Roman" w:hAnsi="Helvetica" w:cs="Helvetica"/>
          <w:bCs/>
          <w:lang w:eastAsia="es-ES"/>
        </w:rPr>
        <w:t>,</w:t>
      </w:r>
      <w:r w:rsidR="0037088A" w:rsidRPr="005A2DFB">
        <w:rPr>
          <w:rFonts w:ascii="Helvetica" w:eastAsia="Times New Roman" w:hAnsi="Helvetica" w:cs="Helvetica"/>
          <w:bCs/>
          <w:lang w:eastAsia="es-ES"/>
        </w:rPr>
        <w:t xml:space="preserve"> </w:t>
      </w:r>
      <w:r w:rsidR="009D5A4C" w:rsidRPr="005A2DFB">
        <w:rPr>
          <w:rFonts w:ascii="Helvetica" w:eastAsia="Times New Roman" w:hAnsi="Helvetica" w:cs="Helvetica"/>
          <w:bCs/>
          <w:lang w:eastAsia="es-ES"/>
        </w:rPr>
        <w:t xml:space="preserve">para el año </w:t>
      </w:r>
      <w:r w:rsidR="00C37147" w:rsidRPr="005A2DFB">
        <w:rPr>
          <w:rFonts w:ascii="Helvetica" w:eastAsia="Times New Roman" w:hAnsi="Helvetica" w:cs="Helvetica"/>
          <w:bCs/>
          <w:lang w:eastAsia="es-ES"/>
        </w:rPr>
        <w:t>anterior</w:t>
      </w:r>
      <w:r w:rsidR="009D5A4C" w:rsidRPr="005A2DFB">
        <w:rPr>
          <w:rFonts w:ascii="Helvetica" w:eastAsia="Times New Roman" w:hAnsi="Helvetica" w:cs="Helvetica"/>
          <w:bCs/>
          <w:lang w:eastAsia="es-ES"/>
        </w:rPr>
        <w:t xml:space="preserve"> del periodo tarifario</w:t>
      </w:r>
      <w:r w:rsidRPr="005A2DFB">
        <w:rPr>
          <w:rFonts w:ascii="Helvetica" w:eastAsia="Times New Roman" w:hAnsi="Helvetica" w:cs="Helvetica"/>
          <w:bCs/>
          <w:lang w:eastAsia="es-ES"/>
        </w:rPr>
        <w:t xml:space="preserve">. </w:t>
      </w:r>
    </w:p>
    <w:p w14:paraId="2C658757" w14:textId="284E4CEF" w:rsidR="007779E7" w:rsidRPr="005A2DFB" w:rsidRDefault="00AF174B" w:rsidP="00A743EC">
      <w:pPr>
        <w:spacing w:before="100" w:beforeAutospacing="1" w:after="100" w:afterAutospacing="1" w:line="240" w:lineRule="auto"/>
        <w:ind w:left="993" w:firstLine="1"/>
        <w:jc w:val="both"/>
        <w:rPr>
          <w:rFonts w:ascii="Helvetica" w:hAnsi="Helvetica" w:cs="Helvetica"/>
          <w:bCs/>
          <w:lang w:val="es-ES" w:eastAsia="es-ES"/>
        </w:rPr>
      </w:pPr>
      <w:r w:rsidRPr="005A2DFB">
        <w:rPr>
          <w:rFonts w:ascii="Helvetica" w:eastAsia="Times New Roman" w:hAnsi="Helvetica" w:cs="Helvetica"/>
          <w:bCs/>
          <w:lang w:val="es-ES" w:eastAsia="es-ES"/>
        </w:rPr>
        <w:t xml:space="preserve">Para el caso de las empresas que hayan decidido solicitar que la meta del año sexto se calcule con los criterios establecidos en los anteriores literales, la meta para el </w:t>
      </w:r>
      <w:r w:rsidRPr="005A2DFB">
        <w:rPr>
          <w:rFonts w:ascii="Helvetica" w:eastAsia="Times New Roman" w:hAnsi="Helvetica" w:cs="Helvetica"/>
          <w:bCs/>
          <w:lang w:val="es-ES" w:eastAsia="es-ES"/>
        </w:rPr>
        <w:lastRenderedPageBreak/>
        <w:t>séptimo año se calculará como el valor resultante de reducir en un 8% la meta que se establezca para el año sexto del periodo tarifario</w:t>
      </w:r>
      <w:r w:rsidR="009F6DBD">
        <w:rPr>
          <w:rFonts w:ascii="Helvetica" w:eastAsia="Times New Roman" w:hAnsi="Helvetica" w:cs="Helvetica"/>
          <w:bCs/>
          <w:lang w:val="es-ES" w:eastAsia="es-ES"/>
        </w:rPr>
        <w:t>.</w:t>
      </w:r>
    </w:p>
    <w:sectPr w:rsidR="007779E7" w:rsidRPr="005A2DFB" w:rsidSect="00AF4A97">
      <w:headerReference w:type="even" r:id="rId8"/>
      <w:headerReference w:type="default" r:id="rId9"/>
      <w:footerReference w:type="even" r:id="rId10"/>
      <w:footerReference w:type="default" r:id="rId11"/>
      <w:headerReference w:type="first" r:id="rId12"/>
      <w:footerReference w:type="first" r:id="rId13"/>
      <w:pgSz w:w="12240" w:h="15840" w:code="1"/>
      <w:pgMar w:top="624" w:right="616" w:bottom="851"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EA566" w14:textId="77777777" w:rsidR="00A51696" w:rsidRDefault="00A51696" w:rsidP="00AA0519">
      <w:r>
        <w:separator/>
      </w:r>
    </w:p>
  </w:endnote>
  <w:endnote w:type="continuationSeparator" w:id="0">
    <w:p w14:paraId="3E1C5EC2" w14:textId="77777777" w:rsidR="00A51696" w:rsidRDefault="00A51696" w:rsidP="00A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1093C" w14:textId="77777777" w:rsidR="00956BB0" w:rsidRDefault="00956BB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9832" w14:textId="7FD73F48" w:rsidR="00956BB0" w:rsidRDefault="00956BB0" w:rsidP="00366827">
    <w:pPr>
      <w:pBdr>
        <w:bottom w:val="single" w:sz="12" w:space="1" w:color="auto"/>
      </w:pBdr>
      <w:spacing w:before="0" w:after="0" w:line="276" w:lineRule="auto"/>
      <w:jc w:val="both"/>
      <w:rPr>
        <w:rFonts w:ascii="Helvetica" w:hAnsi="Helvetica"/>
        <w:b/>
        <w:bCs/>
        <w:sz w:val="20"/>
        <w:szCs w:val="20"/>
      </w:rPr>
    </w:pPr>
  </w:p>
  <w:p w14:paraId="13EF0FB3" w14:textId="6A9E078D" w:rsidR="00E84722" w:rsidRPr="000774A9" w:rsidRDefault="00E84722" w:rsidP="00366827">
    <w:pPr>
      <w:spacing w:before="0" w:after="0" w:line="276" w:lineRule="auto"/>
      <w:jc w:val="both"/>
      <w:rPr>
        <w:rFonts w:ascii="Helvetica" w:hAnsi="Helvetica"/>
        <w:b/>
        <w:bCs/>
        <w:sz w:val="20"/>
        <w:szCs w:val="20"/>
      </w:rPr>
    </w:pPr>
    <w:r w:rsidRPr="000774A9">
      <w:rPr>
        <w:rFonts w:ascii="Helvetica" w:hAnsi="Helvetica"/>
        <w:b/>
        <w:bCs/>
        <w:sz w:val="20"/>
        <w:szCs w:val="20"/>
      </w:rPr>
      <w:t>Comisión de Regulación de Energía y Gas</w:t>
    </w:r>
  </w:p>
  <w:p w14:paraId="5539FADA" w14:textId="7323974E" w:rsidR="00E84722" w:rsidRPr="000774A9" w:rsidRDefault="00E84722" w:rsidP="00366827">
    <w:pPr>
      <w:spacing w:before="0" w:after="0" w:line="276" w:lineRule="auto"/>
      <w:jc w:val="both"/>
      <w:rPr>
        <w:rFonts w:ascii="Helvetica" w:hAnsi="Helvetica"/>
        <w:b/>
        <w:bCs/>
        <w:sz w:val="20"/>
        <w:szCs w:val="20"/>
      </w:rPr>
    </w:pPr>
    <w:r w:rsidRPr="000774A9">
      <w:rPr>
        <w:rFonts w:ascii="Helvetica" w:hAnsi="Helvetica"/>
        <w:b/>
        <w:bCs/>
        <w:sz w:val="20"/>
        <w:szCs w:val="20"/>
      </w:rPr>
      <w:t>Dirección: Calle 116 No.</w:t>
    </w:r>
    <w:r w:rsidR="00366827">
      <w:rPr>
        <w:rFonts w:ascii="Helvetica" w:hAnsi="Helvetica"/>
        <w:b/>
        <w:bCs/>
        <w:sz w:val="20"/>
        <w:szCs w:val="20"/>
      </w:rPr>
      <w:t xml:space="preserve"> </w:t>
    </w:r>
    <w:r w:rsidRPr="000774A9">
      <w:rPr>
        <w:rFonts w:ascii="Helvetica" w:hAnsi="Helvetica"/>
        <w:b/>
        <w:bCs/>
        <w:sz w:val="20"/>
        <w:szCs w:val="20"/>
      </w:rPr>
      <w:t>7 - 15, Bogotá D.C., Colombia</w:t>
    </w:r>
  </w:p>
  <w:p w14:paraId="2C595935" w14:textId="77777777" w:rsidR="00E84722" w:rsidRPr="000774A9" w:rsidRDefault="00E84722" w:rsidP="00366827">
    <w:pPr>
      <w:spacing w:before="0"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2EB656D" w14:textId="22A007B6" w:rsidR="00735E1F" w:rsidRPr="00366827" w:rsidRDefault="00E84722" w:rsidP="00366827">
    <w:pPr>
      <w:spacing w:before="0" w:after="0" w:line="276" w:lineRule="auto"/>
      <w:jc w:val="both"/>
      <w:rPr>
        <w:rFonts w:ascii="Helvetica" w:hAnsi="Helvetica"/>
        <w:sz w:val="20"/>
        <w:szCs w:val="20"/>
      </w:rPr>
    </w:pPr>
    <w:r w:rsidRPr="000774A9">
      <w:rPr>
        <w:rFonts w:ascii="Helvetica" w:hAnsi="Helvetica"/>
        <w:b/>
        <w:bCs/>
        <w:sz w:val="20"/>
        <w:szCs w:val="20"/>
      </w:rPr>
      <w:t>Línea Gratuita: (+57) 01 8000 512734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A889B" w14:textId="1ED06985" w:rsidR="003F2F4B" w:rsidRDefault="003B1FEC" w:rsidP="003F2F4B">
    <w:pPr>
      <w:jc w:val="center"/>
    </w:pPr>
    <w:r>
      <w:rPr>
        <w:noProof/>
      </w:rPr>
      <w:drawing>
        <wp:anchor distT="0" distB="0" distL="114300" distR="114300" simplePos="0" relativeHeight="251664384" behindDoc="1" locked="0" layoutInCell="1" allowOverlap="1" wp14:anchorId="7CCCAF8A" wp14:editId="5E0A0A50">
          <wp:simplePos x="0" y="0"/>
          <wp:positionH relativeFrom="page">
            <wp:align>right</wp:align>
          </wp:positionH>
          <wp:positionV relativeFrom="paragraph">
            <wp:posOffset>-401247</wp:posOffset>
          </wp:positionV>
          <wp:extent cx="7750098" cy="1248555"/>
          <wp:effectExtent l="0" t="0" r="3810" b="8890"/>
          <wp:wrapNone/>
          <wp:docPr id="698052286" name="Imagen 69805228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rm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50098" cy="12485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2A6DB" w14:textId="77777777" w:rsidR="00A51696" w:rsidRDefault="00A51696" w:rsidP="00AA0519">
      <w:r>
        <w:separator/>
      </w:r>
    </w:p>
  </w:footnote>
  <w:footnote w:type="continuationSeparator" w:id="0">
    <w:p w14:paraId="7DACD316" w14:textId="77777777" w:rsidR="00A51696" w:rsidRDefault="00A51696" w:rsidP="00AA0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BD17B" w14:textId="77777777" w:rsidR="00956BB0" w:rsidRDefault="00956B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D7B44" w14:textId="77777777" w:rsidR="00B04D19" w:rsidRDefault="00B04D19" w:rsidP="00B04D19">
    <w:pPr>
      <w:pStyle w:val="Encabezado"/>
    </w:pPr>
    <w:r>
      <w:rPr>
        <w:noProof/>
        <w14:ligatures w14:val="standardContextual"/>
      </w:rPr>
      <w:drawing>
        <wp:anchor distT="0" distB="0" distL="114300" distR="114300" simplePos="0" relativeHeight="251676672" behindDoc="0" locked="0" layoutInCell="1" allowOverlap="1" wp14:anchorId="49294945" wp14:editId="4FECAD70">
          <wp:simplePos x="0" y="0"/>
          <wp:positionH relativeFrom="margin">
            <wp:align>center</wp:align>
          </wp:positionH>
          <wp:positionV relativeFrom="paragraph">
            <wp:posOffset>-331157</wp:posOffset>
          </wp:positionV>
          <wp:extent cx="1543685" cy="704215"/>
          <wp:effectExtent l="0" t="0" r="0" b="635"/>
          <wp:wrapThrough wrapText="bothSides">
            <wp:wrapPolygon edited="0">
              <wp:start x="8796" y="0"/>
              <wp:lineTo x="8263" y="2337"/>
              <wp:lineTo x="8530" y="7012"/>
              <wp:lineTo x="9863" y="9349"/>
              <wp:lineTo x="0" y="9933"/>
              <wp:lineTo x="0" y="18698"/>
              <wp:lineTo x="9329" y="18698"/>
              <wp:lineTo x="7997" y="21035"/>
              <wp:lineTo x="13328" y="21035"/>
              <wp:lineTo x="14128" y="18698"/>
              <wp:lineTo x="21325" y="18698"/>
              <wp:lineTo x="21325" y="9933"/>
              <wp:lineTo x="11462" y="9349"/>
              <wp:lineTo x="12795" y="7012"/>
              <wp:lineTo x="13328" y="2922"/>
              <wp:lineTo x="12528" y="0"/>
              <wp:lineTo x="8796" y="0"/>
            </wp:wrapPolygon>
          </wp:wrapThrough>
          <wp:docPr id="80263090"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348868"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43685" cy="704215"/>
                  </a:xfrm>
                  <a:prstGeom prst="rect">
                    <a:avLst/>
                  </a:prstGeom>
                </pic:spPr>
              </pic:pic>
            </a:graphicData>
          </a:graphic>
          <wp14:sizeRelH relativeFrom="margin">
            <wp14:pctWidth>0</wp14:pctWidth>
          </wp14:sizeRelH>
          <wp14:sizeRelV relativeFrom="margin">
            <wp14:pctHeight>0</wp14:pctHeight>
          </wp14:sizeRelV>
        </wp:anchor>
      </w:drawing>
    </w:r>
  </w:p>
  <w:p w14:paraId="4B188324" w14:textId="5C4C8D58" w:rsidR="003F2F4B" w:rsidRPr="009F0E7C" w:rsidRDefault="003F2F4B" w:rsidP="009F0E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9F6BF" w14:textId="1C306618" w:rsidR="009F0E7C" w:rsidRDefault="009F0E7C" w:rsidP="009F0E7C">
    <w:pPr>
      <w:pStyle w:val="Encabezado"/>
    </w:pPr>
    <w:r>
      <w:rPr>
        <w:noProof/>
        <w14:ligatures w14:val="standardContextual"/>
      </w:rPr>
      <w:drawing>
        <wp:anchor distT="0" distB="0" distL="114300" distR="114300" simplePos="0" relativeHeight="251668480" behindDoc="0" locked="0" layoutInCell="1" allowOverlap="1" wp14:anchorId="2873A3E6" wp14:editId="33BDCB1E">
          <wp:simplePos x="0" y="0"/>
          <wp:positionH relativeFrom="margin">
            <wp:posOffset>5428615</wp:posOffset>
          </wp:positionH>
          <wp:positionV relativeFrom="margin">
            <wp:posOffset>-1143000</wp:posOffset>
          </wp:positionV>
          <wp:extent cx="644525" cy="360045"/>
          <wp:effectExtent l="0" t="0" r="3175" b="1905"/>
          <wp:wrapSquare wrapText="bothSides"/>
          <wp:docPr id="1026916256"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525" cy="360045"/>
                  </a:xfrm>
                  <a:prstGeom prst="rect">
                    <a:avLst/>
                  </a:prstGeom>
                  <a:noFill/>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9504" behindDoc="0" locked="0" layoutInCell="1" allowOverlap="1" wp14:anchorId="776CEAAB" wp14:editId="03369204">
          <wp:simplePos x="0" y="0"/>
          <wp:positionH relativeFrom="margin">
            <wp:posOffset>0</wp:posOffset>
          </wp:positionH>
          <wp:positionV relativeFrom="margin">
            <wp:posOffset>-1066800</wp:posOffset>
          </wp:positionV>
          <wp:extent cx="1033145" cy="359410"/>
          <wp:effectExtent l="0" t="0" r="0" b="2540"/>
          <wp:wrapSquare wrapText="bothSides"/>
          <wp:docPr id="1509921280" name="Imagen 2"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 dibujo de una cara feliz&#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3145" cy="359410"/>
                  </a:xfrm>
                  <a:prstGeom prst="rect">
                    <a:avLst/>
                  </a:prstGeom>
                  <a:noFill/>
                </pic:spPr>
              </pic:pic>
            </a:graphicData>
          </a:graphic>
          <wp14:sizeRelH relativeFrom="page">
            <wp14:pctWidth>0</wp14:pctWidth>
          </wp14:sizeRelH>
          <wp14:sizeRelV relativeFrom="page">
            <wp14:pctHeight>0</wp14:pctHeight>
          </wp14:sizeRelV>
        </wp:anchor>
      </w:drawing>
    </w:r>
  </w:p>
  <w:p w14:paraId="2DEC63DE" w14:textId="0BF95635" w:rsidR="00F82573" w:rsidRPr="009F0E7C" w:rsidRDefault="00F82573" w:rsidP="009F0E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00058"/>
    <w:multiLevelType w:val="hybridMultilevel"/>
    <w:tmpl w:val="9D9A942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E585871"/>
    <w:multiLevelType w:val="hybridMultilevel"/>
    <w:tmpl w:val="58181212"/>
    <w:lvl w:ilvl="0" w:tplc="240A0017">
      <w:start w:val="1"/>
      <w:numFmt w:val="lowerLetter"/>
      <w:lvlText w:val="%1)"/>
      <w:lvlJc w:val="left"/>
      <w:pPr>
        <w:ind w:left="1778" w:hanging="360"/>
      </w:pPr>
    </w:lvl>
    <w:lvl w:ilvl="1" w:tplc="240A0019">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 w15:restartNumberingAfterBreak="0">
    <w:nsid w:val="32E244BF"/>
    <w:multiLevelType w:val="hybridMultilevel"/>
    <w:tmpl w:val="C0B2E2E6"/>
    <w:lvl w:ilvl="0" w:tplc="240A001B">
      <w:start w:val="1"/>
      <w:numFmt w:val="lowerRoman"/>
      <w:lvlText w:val="%1."/>
      <w:lvlJc w:val="right"/>
      <w:pPr>
        <w:ind w:left="1364" w:hanging="360"/>
      </w:p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 w15:restartNumberingAfterBreak="0">
    <w:nsid w:val="3DA46EAF"/>
    <w:multiLevelType w:val="multilevel"/>
    <w:tmpl w:val="1D3CCE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EA01E8B"/>
    <w:multiLevelType w:val="multilevel"/>
    <w:tmpl w:val="D376D022"/>
    <w:lvl w:ilvl="0">
      <w:start w:val="1"/>
      <w:numFmt w:val="decimal"/>
      <w:pStyle w:val="Estilo1"/>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7893339"/>
    <w:multiLevelType w:val="hybridMultilevel"/>
    <w:tmpl w:val="88464EFA"/>
    <w:lvl w:ilvl="0" w:tplc="7298A494">
      <w:start w:val="1"/>
      <w:numFmt w:val="lowerLetter"/>
      <w:lvlText w:val="%1)"/>
      <w:lvlJc w:val="left"/>
      <w:pPr>
        <w:ind w:left="1364" w:hanging="360"/>
      </w:pPr>
      <w:rPr>
        <w:lang w:val="es-ES"/>
      </w:rPr>
    </w:lvl>
    <w:lvl w:ilvl="1" w:tplc="240A0019">
      <w:start w:val="1"/>
      <w:numFmt w:val="lowerLetter"/>
      <w:lvlText w:val="%2."/>
      <w:lvlJc w:val="left"/>
      <w:pPr>
        <w:ind w:left="1440" w:hanging="360"/>
      </w:pPr>
    </w:lvl>
    <w:lvl w:ilvl="2" w:tplc="240A0001">
      <w:start w:val="1"/>
      <w:numFmt w:val="bullet"/>
      <w:lvlText w:val=""/>
      <w:lvlJc w:val="left"/>
      <w:pPr>
        <w:ind w:left="1778" w:hanging="360"/>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16613E2"/>
    <w:multiLevelType w:val="hybridMultilevel"/>
    <w:tmpl w:val="16CCF9C4"/>
    <w:lvl w:ilvl="0" w:tplc="240A0001">
      <w:start w:val="1"/>
      <w:numFmt w:val="bullet"/>
      <w:lvlText w:val=""/>
      <w:lvlJc w:val="left"/>
      <w:pPr>
        <w:ind w:left="1778" w:hanging="360"/>
      </w:pPr>
      <w:rPr>
        <w:rFonts w:ascii="Symbol" w:hAnsi="Symbol" w:hint="default"/>
      </w:rPr>
    </w:lvl>
    <w:lvl w:ilvl="1" w:tplc="FFFFFFFF">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7" w15:restartNumberingAfterBreak="0">
    <w:nsid w:val="76351AC8"/>
    <w:multiLevelType w:val="hybridMultilevel"/>
    <w:tmpl w:val="363CECBA"/>
    <w:lvl w:ilvl="0" w:tplc="FBCEDBE2">
      <w:start w:val="3"/>
      <w:numFmt w:val="decimal"/>
      <w:lvlText w:val="%1."/>
      <w:lvlJc w:val="left"/>
      <w:pPr>
        <w:ind w:left="720" w:hanging="360"/>
      </w:pPr>
      <w:rPr>
        <w:rFonts w:hint="default"/>
      </w:rPr>
    </w:lvl>
    <w:lvl w:ilvl="1" w:tplc="5D2CBFE0">
      <w:numFmt w:val="bullet"/>
      <w:lvlText w:val="•"/>
      <w:lvlJc w:val="left"/>
      <w:pPr>
        <w:ind w:left="1440" w:hanging="360"/>
      </w:pPr>
      <w:rPr>
        <w:rFonts w:ascii="Bookman Old Style" w:eastAsia="Times New Roman" w:hAnsi="Bookman Old Style"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10052163">
    <w:abstractNumId w:val="0"/>
  </w:num>
  <w:num w:numId="2" w16cid:durableId="615992480">
    <w:abstractNumId w:val="4"/>
  </w:num>
  <w:num w:numId="3" w16cid:durableId="1485273532">
    <w:abstractNumId w:val="5"/>
  </w:num>
  <w:num w:numId="4" w16cid:durableId="921449776">
    <w:abstractNumId w:val="3"/>
  </w:num>
  <w:num w:numId="5" w16cid:durableId="1544902341">
    <w:abstractNumId w:val="7"/>
  </w:num>
  <w:num w:numId="6" w16cid:durableId="222181418">
    <w:abstractNumId w:val="2"/>
  </w:num>
  <w:num w:numId="7" w16cid:durableId="230585205">
    <w:abstractNumId w:val="1"/>
  </w:num>
  <w:num w:numId="8" w16cid:durableId="1793933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00F4F"/>
    <w:rsid w:val="00011EC2"/>
    <w:rsid w:val="000238FF"/>
    <w:rsid w:val="0002670A"/>
    <w:rsid w:val="00032271"/>
    <w:rsid w:val="00042CD1"/>
    <w:rsid w:val="00046551"/>
    <w:rsid w:val="00046BDF"/>
    <w:rsid w:val="00047A0A"/>
    <w:rsid w:val="00071BA7"/>
    <w:rsid w:val="00074D17"/>
    <w:rsid w:val="000775AF"/>
    <w:rsid w:val="00090F6C"/>
    <w:rsid w:val="00092EA6"/>
    <w:rsid w:val="00096E63"/>
    <w:rsid w:val="000B439A"/>
    <w:rsid w:val="000C083A"/>
    <w:rsid w:val="000C5F72"/>
    <w:rsid w:val="000F11F6"/>
    <w:rsid w:val="000F3075"/>
    <w:rsid w:val="000F38B4"/>
    <w:rsid w:val="00105436"/>
    <w:rsid w:val="00114DC1"/>
    <w:rsid w:val="001215BB"/>
    <w:rsid w:val="00124C31"/>
    <w:rsid w:val="0014353D"/>
    <w:rsid w:val="00153BE7"/>
    <w:rsid w:val="00182FB4"/>
    <w:rsid w:val="001C1104"/>
    <w:rsid w:val="001C2001"/>
    <w:rsid w:val="001E2DD2"/>
    <w:rsid w:val="001F303A"/>
    <w:rsid w:val="001F47AB"/>
    <w:rsid w:val="0020683A"/>
    <w:rsid w:val="00214005"/>
    <w:rsid w:val="002203A4"/>
    <w:rsid w:val="0023289E"/>
    <w:rsid w:val="002356BF"/>
    <w:rsid w:val="0024085D"/>
    <w:rsid w:val="00245C1B"/>
    <w:rsid w:val="00246910"/>
    <w:rsid w:val="00273F2C"/>
    <w:rsid w:val="00294514"/>
    <w:rsid w:val="00296823"/>
    <w:rsid w:val="002C26C3"/>
    <w:rsid w:val="002D1494"/>
    <w:rsid w:val="00303FA6"/>
    <w:rsid w:val="00324760"/>
    <w:rsid w:val="00340631"/>
    <w:rsid w:val="003508EC"/>
    <w:rsid w:val="00351F72"/>
    <w:rsid w:val="00353D1D"/>
    <w:rsid w:val="00361DFF"/>
    <w:rsid w:val="0036473E"/>
    <w:rsid w:val="00366827"/>
    <w:rsid w:val="0037088A"/>
    <w:rsid w:val="00376EDA"/>
    <w:rsid w:val="0038014E"/>
    <w:rsid w:val="00380C1F"/>
    <w:rsid w:val="00381A52"/>
    <w:rsid w:val="00397E52"/>
    <w:rsid w:val="003A7FC9"/>
    <w:rsid w:val="003B1FEC"/>
    <w:rsid w:val="003B3FF1"/>
    <w:rsid w:val="003C5A40"/>
    <w:rsid w:val="003C69BC"/>
    <w:rsid w:val="003C7E1C"/>
    <w:rsid w:val="003D0CFF"/>
    <w:rsid w:val="003D30CD"/>
    <w:rsid w:val="003E07F0"/>
    <w:rsid w:val="003E2D41"/>
    <w:rsid w:val="003E3D65"/>
    <w:rsid w:val="003F189A"/>
    <w:rsid w:val="003F2F4B"/>
    <w:rsid w:val="003F7762"/>
    <w:rsid w:val="00413A70"/>
    <w:rsid w:val="004170AF"/>
    <w:rsid w:val="00420370"/>
    <w:rsid w:val="00421E0F"/>
    <w:rsid w:val="004317F1"/>
    <w:rsid w:val="00456720"/>
    <w:rsid w:val="00457CC2"/>
    <w:rsid w:val="004608D5"/>
    <w:rsid w:val="00461012"/>
    <w:rsid w:val="0046515C"/>
    <w:rsid w:val="00483D6B"/>
    <w:rsid w:val="004862C0"/>
    <w:rsid w:val="00486572"/>
    <w:rsid w:val="004869CD"/>
    <w:rsid w:val="004A34AF"/>
    <w:rsid w:val="004A5EFA"/>
    <w:rsid w:val="004A6CAB"/>
    <w:rsid w:val="004C0855"/>
    <w:rsid w:val="004C69B7"/>
    <w:rsid w:val="004C6A63"/>
    <w:rsid w:val="004D287D"/>
    <w:rsid w:val="004E1042"/>
    <w:rsid w:val="004E2ED6"/>
    <w:rsid w:val="004F43F7"/>
    <w:rsid w:val="00515BEF"/>
    <w:rsid w:val="00521B69"/>
    <w:rsid w:val="00542B8B"/>
    <w:rsid w:val="00551769"/>
    <w:rsid w:val="0055198E"/>
    <w:rsid w:val="00566280"/>
    <w:rsid w:val="005723D7"/>
    <w:rsid w:val="00574D1D"/>
    <w:rsid w:val="00577F52"/>
    <w:rsid w:val="00587F12"/>
    <w:rsid w:val="005A1BB2"/>
    <w:rsid w:val="005A2DFB"/>
    <w:rsid w:val="005A4453"/>
    <w:rsid w:val="005B4F83"/>
    <w:rsid w:val="005B53D9"/>
    <w:rsid w:val="005B5736"/>
    <w:rsid w:val="005C287A"/>
    <w:rsid w:val="005C42EC"/>
    <w:rsid w:val="005D370E"/>
    <w:rsid w:val="005D50CF"/>
    <w:rsid w:val="005D76EB"/>
    <w:rsid w:val="005D7D66"/>
    <w:rsid w:val="005E366C"/>
    <w:rsid w:val="005F0821"/>
    <w:rsid w:val="005F6877"/>
    <w:rsid w:val="00602072"/>
    <w:rsid w:val="00602D63"/>
    <w:rsid w:val="0060502E"/>
    <w:rsid w:val="006209E7"/>
    <w:rsid w:val="00624EF4"/>
    <w:rsid w:val="00645788"/>
    <w:rsid w:val="006468E0"/>
    <w:rsid w:val="00651863"/>
    <w:rsid w:val="006629AD"/>
    <w:rsid w:val="006A3A2D"/>
    <w:rsid w:val="006B601F"/>
    <w:rsid w:val="006C603F"/>
    <w:rsid w:val="006E0FDB"/>
    <w:rsid w:val="006E60EE"/>
    <w:rsid w:val="00717096"/>
    <w:rsid w:val="0072636E"/>
    <w:rsid w:val="00735E1F"/>
    <w:rsid w:val="0074199A"/>
    <w:rsid w:val="007446C5"/>
    <w:rsid w:val="00752DEC"/>
    <w:rsid w:val="00762CBD"/>
    <w:rsid w:val="00771BCD"/>
    <w:rsid w:val="007726D2"/>
    <w:rsid w:val="00777062"/>
    <w:rsid w:val="007779E7"/>
    <w:rsid w:val="00777D34"/>
    <w:rsid w:val="00780E53"/>
    <w:rsid w:val="007818AC"/>
    <w:rsid w:val="007839E5"/>
    <w:rsid w:val="0078631A"/>
    <w:rsid w:val="0079734E"/>
    <w:rsid w:val="00797BAC"/>
    <w:rsid w:val="007A259E"/>
    <w:rsid w:val="007A7C1D"/>
    <w:rsid w:val="007B655E"/>
    <w:rsid w:val="007D28CF"/>
    <w:rsid w:val="007E5743"/>
    <w:rsid w:val="007F42E3"/>
    <w:rsid w:val="007F4E31"/>
    <w:rsid w:val="00823401"/>
    <w:rsid w:val="00826A06"/>
    <w:rsid w:val="00832E37"/>
    <w:rsid w:val="00846241"/>
    <w:rsid w:val="00847FE4"/>
    <w:rsid w:val="00873A75"/>
    <w:rsid w:val="00875673"/>
    <w:rsid w:val="008776E3"/>
    <w:rsid w:val="00880882"/>
    <w:rsid w:val="00882132"/>
    <w:rsid w:val="008A235E"/>
    <w:rsid w:val="008A50F3"/>
    <w:rsid w:val="008B0943"/>
    <w:rsid w:val="008B554F"/>
    <w:rsid w:val="008C4B81"/>
    <w:rsid w:val="00902303"/>
    <w:rsid w:val="00904EAB"/>
    <w:rsid w:val="0092421A"/>
    <w:rsid w:val="00930F73"/>
    <w:rsid w:val="00943E3F"/>
    <w:rsid w:val="00944934"/>
    <w:rsid w:val="0095227E"/>
    <w:rsid w:val="00956BB0"/>
    <w:rsid w:val="00957BE3"/>
    <w:rsid w:val="00966126"/>
    <w:rsid w:val="00970373"/>
    <w:rsid w:val="00976702"/>
    <w:rsid w:val="009772D5"/>
    <w:rsid w:val="00984308"/>
    <w:rsid w:val="009A3312"/>
    <w:rsid w:val="009D05B0"/>
    <w:rsid w:val="009D5A4C"/>
    <w:rsid w:val="009E7865"/>
    <w:rsid w:val="009F0E7C"/>
    <w:rsid w:val="009F220F"/>
    <w:rsid w:val="009F3478"/>
    <w:rsid w:val="009F5428"/>
    <w:rsid w:val="009F6DBD"/>
    <w:rsid w:val="009F6F29"/>
    <w:rsid w:val="00A014C9"/>
    <w:rsid w:val="00A15CDD"/>
    <w:rsid w:val="00A15D55"/>
    <w:rsid w:val="00A2602E"/>
    <w:rsid w:val="00A31234"/>
    <w:rsid w:val="00A51696"/>
    <w:rsid w:val="00A743EC"/>
    <w:rsid w:val="00A75A0A"/>
    <w:rsid w:val="00A84924"/>
    <w:rsid w:val="00A85111"/>
    <w:rsid w:val="00A90A86"/>
    <w:rsid w:val="00A92B44"/>
    <w:rsid w:val="00A93B9E"/>
    <w:rsid w:val="00AA0519"/>
    <w:rsid w:val="00AA7A5F"/>
    <w:rsid w:val="00AB4BFD"/>
    <w:rsid w:val="00AB7C96"/>
    <w:rsid w:val="00AC3543"/>
    <w:rsid w:val="00AD3718"/>
    <w:rsid w:val="00AE497F"/>
    <w:rsid w:val="00AE49A1"/>
    <w:rsid w:val="00AF174B"/>
    <w:rsid w:val="00AF4A97"/>
    <w:rsid w:val="00B018D6"/>
    <w:rsid w:val="00B04D19"/>
    <w:rsid w:val="00B13A29"/>
    <w:rsid w:val="00B164A7"/>
    <w:rsid w:val="00B1692D"/>
    <w:rsid w:val="00B22BF9"/>
    <w:rsid w:val="00B242AB"/>
    <w:rsid w:val="00B302BF"/>
    <w:rsid w:val="00B50AA1"/>
    <w:rsid w:val="00B52ECE"/>
    <w:rsid w:val="00B60896"/>
    <w:rsid w:val="00B74DFE"/>
    <w:rsid w:val="00B775C2"/>
    <w:rsid w:val="00B8099A"/>
    <w:rsid w:val="00B868DC"/>
    <w:rsid w:val="00B901AA"/>
    <w:rsid w:val="00BA0BE0"/>
    <w:rsid w:val="00BA4044"/>
    <w:rsid w:val="00BA556F"/>
    <w:rsid w:val="00BB1AA8"/>
    <w:rsid w:val="00BB3F92"/>
    <w:rsid w:val="00BC2FD2"/>
    <w:rsid w:val="00BF0BF5"/>
    <w:rsid w:val="00C053FB"/>
    <w:rsid w:val="00C13F51"/>
    <w:rsid w:val="00C32BD5"/>
    <w:rsid w:val="00C3569D"/>
    <w:rsid w:val="00C37147"/>
    <w:rsid w:val="00C501D1"/>
    <w:rsid w:val="00C6374B"/>
    <w:rsid w:val="00C63B62"/>
    <w:rsid w:val="00C65506"/>
    <w:rsid w:val="00C67B33"/>
    <w:rsid w:val="00C81E1F"/>
    <w:rsid w:val="00C8578B"/>
    <w:rsid w:val="00C90E85"/>
    <w:rsid w:val="00C9169C"/>
    <w:rsid w:val="00CA71BC"/>
    <w:rsid w:val="00CA734B"/>
    <w:rsid w:val="00CB3666"/>
    <w:rsid w:val="00CB3E8B"/>
    <w:rsid w:val="00CD06B6"/>
    <w:rsid w:val="00CD570B"/>
    <w:rsid w:val="00CD6394"/>
    <w:rsid w:val="00CE66F4"/>
    <w:rsid w:val="00CF2614"/>
    <w:rsid w:val="00D10532"/>
    <w:rsid w:val="00D15C04"/>
    <w:rsid w:val="00D17370"/>
    <w:rsid w:val="00D227A2"/>
    <w:rsid w:val="00D312FC"/>
    <w:rsid w:val="00D31768"/>
    <w:rsid w:val="00D3785B"/>
    <w:rsid w:val="00D410FE"/>
    <w:rsid w:val="00D456E0"/>
    <w:rsid w:val="00D71FC4"/>
    <w:rsid w:val="00D754A1"/>
    <w:rsid w:val="00D915DC"/>
    <w:rsid w:val="00D974E7"/>
    <w:rsid w:val="00DA7890"/>
    <w:rsid w:val="00DB4C80"/>
    <w:rsid w:val="00DD0986"/>
    <w:rsid w:val="00DE4A9C"/>
    <w:rsid w:val="00DF79E2"/>
    <w:rsid w:val="00E035CC"/>
    <w:rsid w:val="00E045CF"/>
    <w:rsid w:val="00E1270F"/>
    <w:rsid w:val="00E27BFC"/>
    <w:rsid w:val="00E3253E"/>
    <w:rsid w:val="00E34C27"/>
    <w:rsid w:val="00E5580D"/>
    <w:rsid w:val="00E56853"/>
    <w:rsid w:val="00E77923"/>
    <w:rsid w:val="00E84722"/>
    <w:rsid w:val="00EB24A2"/>
    <w:rsid w:val="00EC5291"/>
    <w:rsid w:val="00ED385E"/>
    <w:rsid w:val="00ED6495"/>
    <w:rsid w:val="00EE1F2D"/>
    <w:rsid w:val="00EF7D29"/>
    <w:rsid w:val="00F02D43"/>
    <w:rsid w:val="00F13D47"/>
    <w:rsid w:val="00F26418"/>
    <w:rsid w:val="00F35EFC"/>
    <w:rsid w:val="00F518C6"/>
    <w:rsid w:val="00F63670"/>
    <w:rsid w:val="00F66BF3"/>
    <w:rsid w:val="00F70199"/>
    <w:rsid w:val="00F80B1D"/>
    <w:rsid w:val="00F82573"/>
    <w:rsid w:val="00F96F94"/>
    <w:rsid w:val="00FA0C37"/>
    <w:rsid w:val="00FA6661"/>
    <w:rsid w:val="00FB07C1"/>
    <w:rsid w:val="00FB2CA9"/>
    <w:rsid w:val="00FB459B"/>
    <w:rsid w:val="00FC1AA4"/>
    <w:rsid w:val="00FC39E9"/>
    <w:rsid w:val="00FC3CE5"/>
    <w:rsid w:val="00FC759B"/>
    <w:rsid w:val="00FD2A8B"/>
    <w:rsid w:val="00FE5BDC"/>
    <w:rsid w:val="688B04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iPriority w:val="9"/>
    <w:semiHidden/>
    <w:unhideWhenUsed/>
    <w:qFormat/>
    <w:rsid w:val="0048657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uiPriority w:val="9"/>
    <w:semiHidden/>
    <w:rsid w:val="00486572"/>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semiHidden/>
    <w:unhideWhenUsed/>
    <w:rsid w:val="00486572"/>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486572"/>
    <w:rPr>
      <w:rFonts w:eastAsiaTheme="minorEastAsia"/>
      <w:lang w:val="es-ES_tradnl"/>
    </w:rPr>
  </w:style>
  <w:style w:type="paragraph" w:styleId="NormalWeb">
    <w:name w:val="Normal (Web)"/>
    <w:basedOn w:val="Normal"/>
    <w:uiPriority w:val="99"/>
    <w:semiHidden/>
    <w:unhideWhenUsed/>
    <w:rsid w:val="00846241"/>
    <w:pPr>
      <w:spacing w:before="100" w:beforeAutospacing="1" w:after="100" w:afterAutospacing="1" w:line="240" w:lineRule="auto"/>
    </w:pPr>
    <w:rPr>
      <w:rFonts w:ascii="Times New Roman" w:eastAsia="Times New Roman" w:hAnsi="Times New Roman" w:cs="Times New Roman"/>
      <w:lang w:eastAsia="es-CO"/>
    </w:rPr>
  </w:style>
  <w:style w:type="character" w:customStyle="1" w:styleId="baj">
    <w:name w:val="b_aj"/>
    <w:basedOn w:val="Fuentedeprrafopredeter"/>
    <w:rsid w:val="00846241"/>
  </w:style>
  <w:style w:type="character" w:styleId="Hipervnculo">
    <w:name w:val="Hyperlink"/>
    <w:basedOn w:val="Fuentedeprrafopredeter"/>
    <w:uiPriority w:val="99"/>
    <w:unhideWhenUsed/>
    <w:rsid w:val="00846241"/>
    <w:rPr>
      <w:color w:val="0000FF"/>
      <w:u w:val="single"/>
    </w:rPr>
  </w:style>
  <w:style w:type="paragraph" w:customStyle="1" w:styleId="centrado">
    <w:name w:val="centrado"/>
    <w:basedOn w:val="Normal"/>
    <w:rsid w:val="00846241"/>
    <w:pPr>
      <w:spacing w:before="100" w:beforeAutospacing="1" w:after="100" w:afterAutospacing="1" w:line="240" w:lineRule="auto"/>
    </w:pPr>
    <w:rPr>
      <w:rFonts w:ascii="Times New Roman" w:eastAsia="Times New Roman" w:hAnsi="Times New Roman" w:cs="Times New Roman"/>
      <w:lang w:eastAsia="es-CO"/>
    </w:rPr>
  </w:style>
  <w:style w:type="character" w:customStyle="1" w:styleId="iaj">
    <w:name w:val="i_aj"/>
    <w:basedOn w:val="Fuentedeprrafopredeter"/>
    <w:rsid w:val="00846241"/>
  </w:style>
  <w:style w:type="character" w:styleId="Refdecomentario">
    <w:name w:val="annotation reference"/>
    <w:basedOn w:val="Fuentedeprrafopredeter"/>
    <w:uiPriority w:val="99"/>
    <w:semiHidden/>
    <w:unhideWhenUsed/>
    <w:rsid w:val="00602D63"/>
    <w:rPr>
      <w:sz w:val="16"/>
      <w:szCs w:val="16"/>
    </w:rPr>
  </w:style>
  <w:style w:type="paragraph" w:styleId="Textocomentario">
    <w:name w:val="annotation text"/>
    <w:basedOn w:val="Normal"/>
    <w:link w:val="TextocomentarioCar"/>
    <w:uiPriority w:val="99"/>
    <w:unhideWhenUsed/>
    <w:rsid w:val="00602D63"/>
    <w:pPr>
      <w:spacing w:line="240" w:lineRule="auto"/>
    </w:pPr>
    <w:rPr>
      <w:sz w:val="20"/>
      <w:szCs w:val="20"/>
    </w:rPr>
  </w:style>
  <w:style w:type="character" w:customStyle="1" w:styleId="TextocomentarioCar">
    <w:name w:val="Texto comentario Car"/>
    <w:basedOn w:val="Fuentedeprrafopredeter"/>
    <w:link w:val="Textocomentario"/>
    <w:uiPriority w:val="99"/>
    <w:rsid w:val="00602D63"/>
    <w:rPr>
      <w:sz w:val="20"/>
      <w:szCs w:val="20"/>
    </w:rPr>
  </w:style>
  <w:style w:type="paragraph" w:styleId="Asuntodelcomentario">
    <w:name w:val="annotation subject"/>
    <w:basedOn w:val="Textocomentario"/>
    <w:next w:val="Textocomentario"/>
    <w:link w:val="AsuntodelcomentarioCar"/>
    <w:uiPriority w:val="99"/>
    <w:semiHidden/>
    <w:unhideWhenUsed/>
    <w:rsid w:val="00602D63"/>
    <w:rPr>
      <w:b/>
      <w:bCs/>
    </w:rPr>
  </w:style>
  <w:style w:type="character" w:customStyle="1" w:styleId="AsuntodelcomentarioCar">
    <w:name w:val="Asunto del comentario Car"/>
    <w:basedOn w:val="TextocomentarioCar"/>
    <w:link w:val="Asuntodelcomentario"/>
    <w:uiPriority w:val="99"/>
    <w:semiHidden/>
    <w:rsid w:val="00602D63"/>
    <w:rPr>
      <w:b/>
      <w:bCs/>
      <w:sz w:val="20"/>
      <w:szCs w:val="20"/>
    </w:rPr>
  </w:style>
  <w:style w:type="table" w:styleId="Tablaconcuadrcula">
    <w:name w:val="Table Grid"/>
    <w:basedOn w:val="Tablanormal"/>
    <w:uiPriority w:val="39"/>
    <w:rsid w:val="005517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862C0"/>
    <w:pPr>
      <w:spacing w:line="240" w:lineRule="auto"/>
    </w:pPr>
  </w:style>
  <w:style w:type="paragraph" w:styleId="Prrafodelista">
    <w:name w:val="List Paragraph"/>
    <w:basedOn w:val="Normal"/>
    <w:link w:val="PrrafodelistaCar"/>
    <w:uiPriority w:val="34"/>
    <w:rsid w:val="007779E7"/>
    <w:pPr>
      <w:ind w:left="720"/>
      <w:contextualSpacing/>
    </w:pPr>
  </w:style>
  <w:style w:type="paragraph" w:customStyle="1" w:styleId="Estilo1">
    <w:name w:val="Estilo1"/>
    <w:basedOn w:val="Prrafodelista"/>
    <w:link w:val="Estilo1Car"/>
    <w:qFormat/>
    <w:rsid w:val="007779E7"/>
    <w:pPr>
      <w:keepNext/>
      <w:numPr>
        <w:numId w:val="2"/>
      </w:numPr>
      <w:spacing w:after="240"/>
      <w:jc w:val="both"/>
      <w:outlineLvl w:val="0"/>
    </w:pPr>
    <w:rPr>
      <w:rFonts w:ascii="Calibri" w:hAnsi="Calibri" w:cs="Calibri"/>
      <w:b/>
    </w:rPr>
  </w:style>
  <w:style w:type="character" w:customStyle="1" w:styleId="PrrafodelistaCar">
    <w:name w:val="Párrafo de lista Car"/>
    <w:basedOn w:val="Fuentedeprrafopredeter"/>
    <w:link w:val="Prrafodelista"/>
    <w:uiPriority w:val="34"/>
    <w:rsid w:val="007779E7"/>
  </w:style>
  <w:style w:type="character" w:customStyle="1" w:styleId="Estilo1Car">
    <w:name w:val="Estilo1 Car"/>
    <w:basedOn w:val="PrrafodelistaCar"/>
    <w:link w:val="Estilo1"/>
    <w:rsid w:val="007779E7"/>
    <w:rPr>
      <w:rFonts w:ascii="Calibri" w:hAnsi="Calibri" w:cs="Calibri"/>
      <w:b/>
    </w:rPr>
  </w:style>
  <w:style w:type="paragraph" w:styleId="Textonotapie">
    <w:name w:val="footnote text"/>
    <w:basedOn w:val="Normal"/>
    <w:link w:val="TextonotapieCar"/>
    <w:uiPriority w:val="99"/>
    <w:unhideWhenUsed/>
    <w:rsid w:val="007779E7"/>
    <w:pPr>
      <w:spacing w:before="0" w:after="0" w:line="240" w:lineRule="auto"/>
    </w:pPr>
    <w:rPr>
      <w:sz w:val="20"/>
      <w:szCs w:val="20"/>
    </w:rPr>
  </w:style>
  <w:style w:type="character" w:customStyle="1" w:styleId="TextonotapieCar">
    <w:name w:val="Texto nota pie Car"/>
    <w:basedOn w:val="Fuentedeprrafopredeter"/>
    <w:link w:val="Textonotapie"/>
    <w:uiPriority w:val="99"/>
    <w:rsid w:val="007779E7"/>
    <w:rPr>
      <w:sz w:val="20"/>
      <w:szCs w:val="20"/>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
    <w:basedOn w:val="Fuentedeprrafopredeter"/>
    <w:unhideWhenUsed/>
    <w:rsid w:val="007779E7"/>
    <w:rPr>
      <w:vertAlign w:val="superscript"/>
    </w:rPr>
  </w:style>
  <w:style w:type="character" w:styleId="Mencinsinresolver">
    <w:name w:val="Unresolved Mention"/>
    <w:basedOn w:val="Fuentedeprrafopredeter"/>
    <w:uiPriority w:val="99"/>
    <w:semiHidden/>
    <w:unhideWhenUsed/>
    <w:rsid w:val="004F43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69170">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1058438791">
      <w:bodyDiv w:val="1"/>
      <w:marLeft w:val="0"/>
      <w:marRight w:val="0"/>
      <w:marTop w:val="0"/>
      <w:marBottom w:val="0"/>
      <w:divBdr>
        <w:top w:val="none" w:sz="0" w:space="0" w:color="auto"/>
        <w:left w:val="none" w:sz="0" w:space="0" w:color="auto"/>
        <w:bottom w:val="none" w:sz="0" w:space="0" w:color="auto"/>
        <w:right w:val="none" w:sz="0" w:space="0" w:color="auto"/>
      </w:divBdr>
      <w:divsChild>
        <w:div w:id="1937054071">
          <w:marLeft w:val="446"/>
          <w:marRight w:val="0"/>
          <w:marTop w:val="0"/>
          <w:marBottom w:val="0"/>
          <w:divBdr>
            <w:top w:val="none" w:sz="0" w:space="0" w:color="auto"/>
            <w:left w:val="none" w:sz="0" w:space="0" w:color="auto"/>
            <w:bottom w:val="none" w:sz="0" w:space="0" w:color="auto"/>
            <w:right w:val="none" w:sz="0" w:space="0" w:color="auto"/>
          </w:divBdr>
        </w:div>
        <w:div w:id="103112432">
          <w:marLeft w:val="446"/>
          <w:marRight w:val="0"/>
          <w:marTop w:val="0"/>
          <w:marBottom w:val="0"/>
          <w:divBdr>
            <w:top w:val="none" w:sz="0" w:space="0" w:color="auto"/>
            <w:left w:val="none" w:sz="0" w:space="0" w:color="auto"/>
            <w:bottom w:val="none" w:sz="0" w:space="0" w:color="auto"/>
            <w:right w:val="none" w:sz="0" w:space="0" w:color="auto"/>
          </w:divBdr>
        </w:div>
      </w:divsChild>
    </w:div>
    <w:div w:id="1126391127">
      <w:bodyDiv w:val="1"/>
      <w:marLeft w:val="0"/>
      <w:marRight w:val="0"/>
      <w:marTop w:val="0"/>
      <w:marBottom w:val="0"/>
      <w:divBdr>
        <w:top w:val="none" w:sz="0" w:space="0" w:color="auto"/>
        <w:left w:val="none" w:sz="0" w:space="0" w:color="auto"/>
        <w:bottom w:val="none" w:sz="0" w:space="0" w:color="auto"/>
        <w:right w:val="none" w:sz="0" w:space="0" w:color="auto"/>
      </w:divBdr>
    </w:div>
    <w:div w:id="200003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1028</Words>
  <Characters>5655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Jonathan Ramirez Ochoa</cp:lastModifiedBy>
  <cp:revision>6</cp:revision>
  <cp:lastPrinted>2025-01-24T16:54:00Z</cp:lastPrinted>
  <dcterms:created xsi:type="dcterms:W3CDTF">2025-01-23T20:48:00Z</dcterms:created>
  <dcterms:modified xsi:type="dcterms:W3CDTF">2025-01-24T17:19:00Z</dcterms:modified>
</cp:coreProperties>
</file>