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77777777" w:rsidR="00625DC6" w:rsidRPr="00CC2B13" w:rsidRDefault="00000000" w:rsidP="50B9089E">
      <w:pPr>
        <w:pStyle w:val="Encabezado"/>
        <w:tabs>
          <w:tab w:val="clear" w:pos="8504"/>
          <w:tab w:val="right" w:pos="9356"/>
        </w:tabs>
        <w:spacing w:line="276" w:lineRule="auto"/>
        <w:ind w:left="0"/>
        <w:jc w:val="center"/>
        <w:rPr>
          <w:rFonts w:ascii="Bookman Old Style" w:hAnsi="Bookman Old Style"/>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4pt;margin-top:-53.35pt;width:52.5pt;height:48.75pt;z-index:251658240" fillcolor="#0c9">
            <v:imagedata r:id="rId10" o:title=""/>
          </v:shape>
          <o:OLEObject Type="Embed" ProgID="PBrush" ShapeID="_x0000_s2050" DrawAspect="Content" ObjectID="_1797005819" r:id="rId11"/>
        </w:object>
      </w:r>
    </w:p>
    <w:p w14:paraId="67770A74" w14:textId="77777777" w:rsidR="00625DC6" w:rsidRPr="00CC2B13" w:rsidRDefault="00625DC6" w:rsidP="006D2598">
      <w:pPr>
        <w:pStyle w:val="Encabezado"/>
        <w:tabs>
          <w:tab w:val="clear" w:pos="8504"/>
          <w:tab w:val="left" w:pos="0"/>
          <w:tab w:val="right" w:pos="9356"/>
        </w:tabs>
        <w:spacing w:line="276" w:lineRule="auto"/>
        <w:ind w:left="0"/>
        <w:jc w:val="both"/>
        <w:rPr>
          <w:rFonts w:ascii="Bookman Old Style" w:hAnsi="Bookman Old Style"/>
          <w:szCs w:val="24"/>
        </w:rPr>
      </w:pPr>
    </w:p>
    <w:p w14:paraId="5CD8FDD3" w14:textId="77777777" w:rsidR="00CA77FB" w:rsidRPr="00CC2B13" w:rsidRDefault="00CA77FB" w:rsidP="006D2598">
      <w:pPr>
        <w:pStyle w:val="Ttulo4"/>
        <w:tabs>
          <w:tab w:val="left" w:pos="0"/>
          <w:tab w:val="right" w:pos="9356"/>
        </w:tabs>
        <w:spacing w:line="276" w:lineRule="auto"/>
        <w:ind w:left="0"/>
        <w:rPr>
          <w:rFonts w:ascii="Bookman Old Style" w:hAnsi="Bookman Old Style"/>
          <w:b w:val="0"/>
          <w:bCs/>
          <w:noProof/>
          <w:sz w:val="24"/>
          <w:szCs w:val="24"/>
          <w:lang w:val="es-ES"/>
        </w:rPr>
      </w:pPr>
      <w:r w:rsidRPr="00CC2B13">
        <w:rPr>
          <w:rFonts w:ascii="Bookman Old Style" w:hAnsi="Bookman Old Style"/>
          <w:b w:val="0"/>
          <w:bCs/>
          <w:sz w:val="24"/>
          <w:szCs w:val="24"/>
        </w:rPr>
        <w:t>Ministerio de Minas y Energía</w:t>
      </w:r>
    </w:p>
    <w:p w14:paraId="0B8E60E5" w14:textId="77777777" w:rsidR="00CA77FB" w:rsidRPr="00CC2B13" w:rsidRDefault="00CA77FB" w:rsidP="006D2598">
      <w:pPr>
        <w:pStyle w:val="Ttulo4"/>
        <w:tabs>
          <w:tab w:val="left" w:pos="0"/>
          <w:tab w:val="right" w:pos="9356"/>
        </w:tabs>
        <w:spacing w:line="276" w:lineRule="auto"/>
        <w:ind w:left="0"/>
        <w:rPr>
          <w:rFonts w:ascii="Bookman Old Style" w:hAnsi="Bookman Old Style"/>
          <w:b w:val="0"/>
          <w:bCs/>
          <w:sz w:val="24"/>
          <w:szCs w:val="24"/>
        </w:rPr>
      </w:pPr>
    </w:p>
    <w:p w14:paraId="7027F17A" w14:textId="77777777" w:rsidR="00CA77FB" w:rsidRPr="00CC2B13" w:rsidRDefault="00CA77FB" w:rsidP="006D2598">
      <w:pPr>
        <w:pStyle w:val="Ttulo3"/>
        <w:tabs>
          <w:tab w:val="left" w:pos="0"/>
          <w:tab w:val="right" w:pos="9356"/>
        </w:tabs>
        <w:spacing w:line="276" w:lineRule="auto"/>
        <w:ind w:left="0"/>
        <w:rPr>
          <w:rFonts w:ascii="Bookman Old Style" w:hAnsi="Bookman Old Style" w:cs="Arial"/>
          <w:spacing w:val="20"/>
          <w:szCs w:val="24"/>
        </w:rPr>
      </w:pPr>
      <w:r w:rsidRPr="00CC2B13">
        <w:rPr>
          <w:rFonts w:ascii="Bookman Old Style" w:hAnsi="Bookman Old Style" w:cs="Arial"/>
          <w:spacing w:val="20"/>
          <w:szCs w:val="24"/>
        </w:rPr>
        <w:t>COMISIÓN DE REGULACIÓN DE ENERGÍA Y GAS</w:t>
      </w:r>
    </w:p>
    <w:p w14:paraId="4767CFAE" w14:textId="77777777" w:rsidR="00CA77FB" w:rsidRPr="00CC2B13" w:rsidRDefault="00CA77FB" w:rsidP="006D2598">
      <w:pPr>
        <w:pStyle w:val="Ttulo5"/>
        <w:tabs>
          <w:tab w:val="left" w:pos="0"/>
          <w:tab w:val="right" w:pos="9356"/>
        </w:tabs>
        <w:spacing w:line="276" w:lineRule="auto"/>
        <w:ind w:left="0"/>
        <w:rPr>
          <w:rFonts w:ascii="Bookman Old Style" w:hAnsi="Bookman Old Style"/>
          <w:sz w:val="24"/>
          <w:szCs w:val="24"/>
        </w:rPr>
      </w:pPr>
    </w:p>
    <w:p w14:paraId="74971183" w14:textId="77777777" w:rsidR="00CA77FB" w:rsidRPr="00CC2B13" w:rsidRDefault="00CA77FB" w:rsidP="006D2598">
      <w:pPr>
        <w:pStyle w:val="Ttulo5"/>
        <w:tabs>
          <w:tab w:val="left" w:pos="0"/>
          <w:tab w:val="right" w:pos="9356"/>
        </w:tabs>
        <w:spacing w:line="276" w:lineRule="auto"/>
        <w:ind w:left="0"/>
        <w:rPr>
          <w:rFonts w:ascii="Bookman Old Style" w:hAnsi="Bookman Old Style"/>
          <w:sz w:val="24"/>
          <w:szCs w:val="24"/>
        </w:rPr>
      </w:pPr>
    </w:p>
    <w:p w14:paraId="67AC44F2" w14:textId="5393B3C0" w:rsidR="00A06511" w:rsidRPr="00A377EF" w:rsidRDefault="00A06511" w:rsidP="11B838AA">
      <w:pPr>
        <w:pStyle w:val="Ttulo5"/>
        <w:tabs>
          <w:tab w:val="right" w:pos="9356"/>
        </w:tabs>
        <w:spacing w:line="276" w:lineRule="auto"/>
        <w:ind w:left="0"/>
        <w:rPr>
          <w:rFonts w:ascii="Bookman Old Style" w:hAnsi="Bookman Old Style"/>
          <w:sz w:val="32"/>
          <w:szCs w:val="32"/>
          <w:lang w:val="es-ES"/>
        </w:rPr>
      </w:pPr>
      <w:r w:rsidRPr="11B838AA">
        <w:rPr>
          <w:rFonts w:ascii="Bookman Old Style" w:hAnsi="Bookman Old Style"/>
          <w:sz w:val="24"/>
          <w:szCs w:val="24"/>
          <w:lang w:val="es-ES"/>
        </w:rPr>
        <w:t>RESOLUCIÓN</w:t>
      </w:r>
      <w:r w:rsidRPr="11B838AA">
        <w:rPr>
          <w:rFonts w:ascii="Bookman Old Style" w:hAnsi="Bookman Old Style"/>
          <w:sz w:val="32"/>
          <w:szCs w:val="32"/>
          <w:lang w:val="es-ES"/>
        </w:rPr>
        <w:t xml:space="preserve"> No</w:t>
      </w:r>
      <w:r w:rsidRPr="00A377EF">
        <w:rPr>
          <w:rFonts w:ascii="Bookman Old Style" w:hAnsi="Bookman Old Style"/>
          <w:sz w:val="32"/>
          <w:szCs w:val="32"/>
          <w:lang w:val="es-ES"/>
        </w:rPr>
        <w:t>.</w:t>
      </w:r>
      <w:r w:rsidR="1BCFC80C" w:rsidRPr="00A377EF">
        <w:rPr>
          <w:rFonts w:ascii="Bookman Old Style" w:hAnsi="Bookman Old Style"/>
          <w:sz w:val="32"/>
          <w:szCs w:val="32"/>
          <w:lang w:val="es-ES"/>
        </w:rPr>
        <w:t xml:space="preserve"> </w:t>
      </w:r>
      <w:r w:rsidR="00897B1B" w:rsidRPr="00A377EF">
        <w:rPr>
          <w:rFonts w:ascii="Bookman Old Style" w:hAnsi="Bookman Old Style"/>
          <w:sz w:val="32"/>
          <w:szCs w:val="32"/>
          <w:lang w:val="es-ES"/>
        </w:rPr>
        <w:t>101</w:t>
      </w:r>
      <w:r w:rsidR="00A935D6" w:rsidRPr="00A377EF">
        <w:rPr>
          <w:rFonts w:ascii="Bookman Old Style" w:hAnsi="Bookman Old Style"/>
          <w:sz w:val="32"/>
          <w:szCs w:val="32"/>
          <w:lang w:val="es-ES"/>
        </w:rPr>
        <w:t xml:space="preserve"> </w:t>
      </w:r>
      <w:r w:rsidR="00A377EF" w:rsidRPr="00A377EF">
        <w:rPr>
          <w:rFonts w:ascii="Bookman Old Style" w:hAnsi="Bookman Old Style"/>
          <w:sz w:val="32"/>
          <w:szCs w:val="32"/>
          <w:lang w:val="es-ES"/>
        </w:rPr>
        <w:t>067</w:t>
      </w:r>
      <w:r w:rsidR="00A935D6" w:rsidRPr="00A377EF">
        <w:rPr>
          <w:rFonts w:ascii="Bookman Old Style" w:hAnsi="Bookman Old Style"/>
          <w:sz w:val="32"/>
          <w:szCs w:val="32"/>
          <w:lang w:val="es-ES"/>
        </w:rPr>
        <w:t xml:space="preserve"> </w:t>
      </w:r>
      <w:r w:rsidRPr="00A377EF">
        <w:rPr>
          <w:rFonts w:ascii="Bookman Old Style" w:hAnsi="Bookman Old Style"/>
          <w:sz w:val="32"/>
          <w:szCs w:val="32"/>
          <w:lang w:val="es-ES"/>
        </w:rPr>
        <w:t>DE</w:t>
      </w:r>
      <w:r w:rsidR="00A935D6" w:rsidRPr="00A377EF">
        <w:rPr>
          <w:rFonts w:ascii="Bookman Old Style" w:hAnsi="Bookman Old Style"/>
          <w:sz w:val="32"/>
          <w:szCs w:val="32"/>
          <w:lang w:val="es-ES"/>
        </w:rPr>
        <w:t xml:space="preserve"> 2024</w:t>
      </w:r>
    </w:p>
    <w:p w14:paraId="0C7D114C" w14:textId="77777777" w:rsidR="00CA77FB" w:rsidRPr="00A377EF" w:rsidRDefault="00CA77FB" w:rsidP="006D2598">
      <w:pPr>
        <w:tabs>
          <w:tab w:val="left" w:pos="0"/>
          <w:tab w:val="right" w:pos="9356"/>
        </w:tabs>
        <w:spacing w:line="276" w:lineRule="auto"/>
        <w:ind w:left="0"/>
        <w:jc w:val="center"/>
        <w:rPr>
          <w:rFonts w:ascii="Bookman Old Style" w:hAnsi="Bookman Old Style" w:cs="Arial"/>
          <w:b/>
          <w:snapToGrid w:val="0"/>
          <w:color w:val="000000"/>
          <w:lang w:val="es-ES_tradnl"/>
        </w:rPr>
      </w:pPr>
    </w:p>
    <w:p w14:paraId="350D3C85" w14:textId="32CF169E" w:rsidR="00CA77FB" w:rsidRPr="00CC2B13" w:rsidRDefault="00CA77FB" w:rsidP="11B838AA">
      <w:pPr>
        <w:pStyle w:val="Ttulo3"/>
        <w:tabs>
          <w:tab w:val="right" w:pos="9356"/>
        </w:tabs>
        <w:spacing w:line="276" w:lineRule="auto"/>
        <w:ind w:left="0"/>
        <w:rPr>
          <w:rFonts w:ascii="Bookman Old Style" w:hAnsi="Bookman Old Style" w:cs="Arial"/>
          <w:spacing w:val="20"/>
        </w:rPr>
      </w:pPr>
      <w:r w:rsidRPr="00A377EF">
        <w:rPr>
          <w:rFonts w:ascii="Bookman Old Style" w:hAnsi="Bookman Old Style" w:cs="Arial"/>
          <w:spacing w:val="20"/>
        </w:rPr>
        <w:t>(</w:t>
      </w:r>
      <w:r w:rsidR="00A377EF" w:rsidRPr="00A377EF">
        <w:rPr>
          <w:rFonts w:ascii="Bookman Old Style" w:hAnsi="Bookman Old Style" w:cs="Arial"/>
          <w:spacing w:val="20"/>
        </w:rPr>
        <w:t>28</w:t>
      </w:r>
      <w:r w:rsidR="003F2D4E" w:rsidRPr="00A377EF">
        <w:rPr>
          <w:rFonts w:ascii="Bookman Old Style" w:hAnsi="Bookman Old Style" w:cs="Arial"/>
          <w:spacing w:val="20"/>
        </w:rPr>
        <w:t xml:space="preserve"> DIC</w:t>
      </w:r>
      <w:r w:rsidR="00A935D6" w:rsidRPr="00A377EF">
        <w:rPr>
          <w:rFonts w:ascii="Bookman Old Style" w:hAnsi="Bookman Old Style" w:cs="Arial"/>
          <w:spacing w:val="20"/>
        </w:rPr>
        <w:t>.2024</w:t>
      </w:r>
      <w:r w:rsidRPr="00A377EF">
        <w:rPr>
          <w:rFonts w:ascii="Bookman Old Style" w:hAnsi="Bookman Old Style" w:cs="Arial"/>
          <w:spacing w:val="20"/>
        </w:rPr>
        <w:t>)</w:t>
      </w:r>
    </w:p>
    <w:p w14:paraId="489B308D" w14:textId="7D781610" w:rsidR="00F34DEA" w:rsidRPr="00CC2B13" w:rsidRDefault="00F34DEA" w:rsidP="11B838AA">
      <w:pPr>
        <w:spacing w:line="276" w:lineRule="auto"/>
        <w:ind w:left="0"/>
        <w:rPr>
          <w:rFonts w:ascii="Bookman Old Style" w:hAnsi="Bookman Old Style"/>
          <w:lang w:val="es-CO"/>
        </w:rPr>
      </w:pPr>
    </w:p>
    <w:p w14:paraId="46D8C664" w14:textId="0BA6FDAD" w:rsidR="00045D3D" w:rsidRPr="00CC2B13" w:rsidRDefault="00907DF5" w:rsidP="006D2598">
      <w:pPr>
        <w:spacing w:line="276" w:lineRule="auto"/>
        <w:ind w:left="0"/>
        <w:jc w:val="center"/>
        <w:rPr>
          <w:rFonts w:ascii="Bookman Old Style" w:hAnsi="Bookman Old Style"/>
        </w:rPr>
      </w:pPr>
      <w:bookmarkStart w:id="0" w:name="_Hlk186375726"/>
      <w:r w:rsidRPr="00907DF5">
        <w:rPr>
          <w:rFonts w:ascii="Bookman Old Style" w:hAnsi="Bookman Old Style"/>
        </w:rPr>
        <w:t>Por la cual se dictan disposiciones para las compras de energía eléctrica con destino al mercado regulado</w:t>
      </w:r>
      <w:r w:rsidR="00912DC4">
        <w:rPr>
          <w:rFonts w:ascii="Bookman Old Style" w:hAnsi="Bookman Old Style"/>
        </w:rPr>
        <w:t xml:space="preserve"> por parte de</w:t>
      </w:r>
      <w:r w:rsidRPr="00907DF5">
        <w:rPr>
          <w:rFonts w:ascii="Bookman Old Style" w:hAnsi="Bookman Old Style"/>
        </w:rPr>
        <w:t xml:space="preserve"> prestadores sobre los cuales se </w:t>
      </w:r>
      <w:r w:rsidR="009275EA">
        <w:rPr>
          <w:rFonts w:ascii="Bookman Old Style" w:hAnsi="Bookman Old Style"/>
        </w:rPr>
        <w:t>ha ordenado</w:t>
      </w:r>
      <w:r w:rsidRPr="00907DF5">
        <w:rPr>
          <w:rFonts w:ascii="Bookman Old Style" w:hAnsi="Bookman Old Style"/>
        </w:rPr>
        <w:t xml:space="preserve"> la toma de posesión por la Superintendencia de Servicios Públicos Domiciliarios, motivada en el artículo 59.7 de la Ley 142 de 1994</w:t>
      </w:r>
    </w:p>
    <w:bookmarkEnd w:id="0"/>
    <w:p w14:paraId="053FCB54" w14:textId="77777777" w:rsidR="00045D3D" w:rsidRDefault="00045D3D" w:rsidP="006D2598">
      <w:pPr>
        <w:spacing w:line="276" w:lineRule="auto"/>
        <w:ind w:right="51"/>
        <w:rPr>
          <w:rFonts w:ascii="Bookman Old Style" w:hAnsi="Bookman Old Style"/>
        </w:rPr>
      </w:pPr>
    </w:p>
    <w:p w14:paraId="1A92C879" w14:textId="77777777" w:rsidR="00907DF5" w:rsidRPr="00CC2B13" w:rsidRDefault="00907DF5" w:rsidP="006D2598">
      <w:pPr>
        <w:spacing w:line="276" w:lineRule="auto"/>
        <w:ind w:right="51"/>
        <w:rPr>
          <w:rFonts w:ascii="Bookman Old Style" w:hAnsi="Bookman Old Style"/>
        </w:rPr>
      </w:pPr>
    </w:p>
    <w:p w14:paraId="7B67FAFA" w14:textId="77777777" w:rsidR="00045D3D" w:rsidRPr="00CC2B13" w:rsidRDefault="00045D3D" w:rsidP="006D2598">
      <w:pPr>
        <w:spacing w:line="276" w:lineRule="auto"/>
        <w:ind w:right="51"/>
        <w:jc w:val="center"/>
        <w:rPr>
          <w:rFonts w:ascii="Bookman Old Style" w:hAnsi="Bookman Old Style"/>
          <w:b/>
        </w:rPr>
      </w:pPr>
      <w:r w:rsidRPr="00CC2B13">
        <w:rPr>
          <w:rFonts w:ascii="Bookman Old Style" w:hAnsi="Bookman Old Style"/>
          <w:b/>
        </w:rPr>
        <w:t xml:space="preserve">LA COMISIÓN DE REGULACIÓN </w:t>
      </w:r>
      <w:r w:rsidR="007B5A60" w:rsidRPr="00CC2B13">
        <w:rPr>
          <w:rFonts w:ascii="Bookman Old Style" w:hAnsi="Bookman Old Style"/>
          <w:b/>
        </w:rPr>
        <w:t>DE ENERGÍA</w:t>
      </w:r>
      <w:r w:rsidRPr="00CC2B13">
        <w:rPr>
          <w:rFonts w:ascii="Bookman Old Style" w:hAnsi="Bookman Old Style"/>
          <w:b/>
        </w:rPr>
        <w:t xml:space="preserve"> Y GAS</w:t>
      </w:r>
    </w:p>
    <w:p w14:paraId="2739C8D4" w14:textId="77777777" w:rsidR="00045D3D" w:rsidRPr="00CC2B13" w:rsidRDefault="00045D3D" w:rsidP="006D2598">
      <w:pPr>
        <w:spacing w:line="276" w:lineRule="auto"/>
        <w:ind w:left="0" w:right="51"/>
        <w:rPr>
          <w:rFonts w:ascii="Bookman Old Style" w:hAnsi="Bookman Old Style"/>
        </w:rPr>
      </w:pPr>
    </w:p>
    <w:p w14:paraId="6EDA2283" w14:textId="3DEECD44" w:rsidR="00045D3D" w:rsidRPr="00CC2B13" w:rsidRDefault="00045D3D" w:rsidP="006D2598">
      <w:pPr>
        <w:pStyle w:val="Textoindependiente3"/>
        <w:spacing w:line="276" w:lineRule="auto"/>
        <w:ind w:left="0"/>
        <w:rPr>
          <w:rFonts w:ascii="Bookman Old Style" w:hAnsi="Bookman Old Style"/>
          <w:b w:val="0"/>
        </w:rPr>
      </w:pPr>
      <w:r w:rsidRPr="00CC2B13">
        <w:rPr>
          <w:rFonts w:ascii="Bookman Old Style" w:hAnsi="Bookman Old Style"/>
          <w:b w:val="0"/>
        </w:rPr>
        <w:t xml:space="preserve">En ejercicio de sus atribuciones constitucionales y legales, en especial las conferidas por las </w:t>
      </w:r>
      <w:r w:rsidR="002352B9" w:rsidRPr="00CC2B13">
        <w:rPr>
          <w:rFonts w:ascii="Bookman Old Style" w:hAnsi="Bookman Old Style"/>
          <w:b w:val="0"/>
        </w:rPr>
        <w:t>l</w:t>
      </w:r>
      <w:r w:rsidRPr="00CC2B13">
        <w:rPr>
          <w:rFonts w:ascii="Bookman Old Style" w:hAnsi="Bookman Old Style"/>
          <w:b w:val="0"/>
        </w:rPr>
        <w:t xml:space="preserve">eyes 142 y 143 de 1994, y en desarrollo de los </w:t>
      </w:r>
      <w:r w:rsidR="1D692FDA" w:rsidRPr="00CC2B13">
        <w:rPr>
          <w:rFonts w:ascii="Bookman Old Style" w:hAnsi="Bookman Old Style"/>
          <w:b w:val="0"/>
          <w:bCs w:val="0"/>
        </w:rPr>
        <w:t>D</w:t>
      </w:r>
      <w:r w:rsidRPr="00CC2B13">
        <w:rPr>
          <w:rFonts w:ascii="Bookman Old Style" w:hAnsi="Bookman Old Style"/>
          <w:b w:val="0"/>
          <w:bCs w:val="0"/>
        </w:rPr>
        <w:t>ecretos</w:t>
      </w:r>
      <w:r w:rsidRPr="00CC2B13">
        <w:rPr>
          <w:rFonts w:ascii="Bookman Old Style" w:hAnsi="Bookman Old Style"/>
          <w:b w:val="0"/>
        </w:rPr>
        <w:t xml:space="preserve"> 1524 y 2253 de 1994</w:t>
      </w:r>
      <w:r w:rsidR="61AC27D7" w:rsidRPr="00CC2B13">
        <w:rPr>
          <w:rFonts w:ascii="Bookman Old Style" w:hAnsi="Bookman Old Style"/>
          <w:b w:val="0"/>
          <w:bCs w:val="0"/>
        </w:rPr>
        <w:t xml:space="preserve"> y 1260 de 2013</w:t>
      </w:r>
      <w:r w:rsidRPr="00CC2B13">
        <w:rPr>
          <w:rFonts w:ascii="Bookman Old Style" w:hAnsi="Bookman Old Style"/>
          <w:b w:val="0"/>
        </w:rPr>
        <w:t>.</w:t>
      </w:r>
    </w:p>
    <w:p w14:paraId="3E8440ED" w14:textId="77777777" w:rsidR="00045D3D" w:rsidRPr="00CC2B13" w:rsidRDefault="00045D3D" w:rsidP="006D2598">
      <w:pPr>
        <w:spacing w:line="276" w:lineRule="auto"/>
        <w:ind w:right="51"/>
        <w:rPr>
          <w:rFonts w:ascii="Bookman Old Style" w:hAnsi="Bookman Old Style"/>
        </w:rPr>
      </w:pPr>
    </w:p>
    <w:p w14:paraId="74A6E490" w14:textId="77777777" w:rsidR="00C2701B" w:rsidRPr="00906BCC" w:rsidRDefault="00C2701B" w:rsidP="00D70D55">
      <w:pPr>
        <w:spacing w:line="276" w:lineRule="auto"/>
        <w:ind w:left="0" w:right="51"/>
        <w:jc w:val="center"/>
        <w:rPr>
          <w:rFonts w:ascii="Bookman Old Style" w:hAnsi="Bookman Old Style"/>
          <w:b/>
          <w:lang w:val="es-CO"/>
        </w:rPr>
      </w:pPr>
    </w:p>
    <w:p w14:paraId="72BBA367" w14:textId="1D377C43" w:rsidR="00045D3D" w:rsidRPr="00CC2B13" w:rsidRDefault="00045D3D" w:rsidP="00D70D55">
      <w:pPr>
        <w:spacing w:line="276" w:lineRule="auto"/>
        <w:ind w:left="0" w:right="51"/>
        <w:jc w:val="center"/>
        <w:rPr>
          <w:rFonts w:ascii="Bookman Old Style" w:hAnsi="Bookman Old Style"/>
          <w:b/>
          <w:lang w:val="pt-PT"/>
        </w:rPr>
      </w:pPr>
      <w:r w:rsidRPr="00CC2B13">
        <w:rPr>
          <w:rFonts w:ascii="Bookman Old Style" w:hAnsi="Bookman Old Style"/>
          <w:b/>
          <w:lang w:val="pt-PT"/>
        </w:rPr>
        <w:t xml:space="preserve">C O N S I D E R A N D </w:t>
      </w:r>
      <w:r w:rsidR="007B5A60" w:rsidRPr="00CC2B13">
        <w:rPr>
          <w:rFonts w:ascii="Bookman Old Style" w:hAnsi="Bookman Old Style"/>
          <w:b/>
          <w:lang w:val="pt-PT"/>
        </w:rPr>
        <w:t xml:space="preserve">O </w:t>
      </w:r>
      <w:r w:rsidR="002B1E6B" w:rsidRPr="00CC2B13">
        <w:rPr>
          <w:rFonts w:ascii="Bookman Old Style" w:hAnsi="Bookman Old Style"/>
          <w:b/>
          <w:lang w:val="pt-PT"/>
        </w:rPr>
        <w:t xml:space="preserve">  </w:t>
      </w:r>
      <w:r w:rsidR="007B5A60" w:rsidRPr="00CC2B13">
        <w:rPr>
          <w:rFonts w:ascii="Bookman Old Style" w:hAnsi="Bookman Old Style"/>
          <w:b/>
          <w:lang w:val="pt-PT"/>
        </w:rPr>
        <w:t>Q</w:t>
      </w:r>
      <w:r w:rsidRPr="00CC2B13">
        <w:rPr>
          <w:rFonts w:ascii="Bookman Old Style" w:hAnsi="Bookman Old Style"/>
          <w:b/>
          <w:lang w:val="pt-PT"/>
        </w:rPr>
        <w:t xml:space="preserve"> U E:</w:t>
      </w:r>
    </w:p>
    <w:p w14:paraId="66E1F067" w14:textId="77777777" w:rsidR="00045D3D" w:rsidRPr="00CC2B13" w:rsidRDefault="00045D3D" w:rsidP="006D2598">
      <w:pPr>
        <w:spacing w:line="276" w:lineRule="auto"/>
        <w:rPr>
          <w:rFonts w:ascii="Bookman Old Style" w:hAnsi="Bookman Old Style"/>
          <w:b/>
          <w:lang w:val="pt-PT"/>
        </w:rPr>
      </w:pPr>
    </w:p>
    <w:p w14:paraId="6D6CDA7A" w14:textId="78016C9A" w:rsidR="00620FC6" w:rsidRPr="00893145" w:rsidRDefault="00620FC6" w:rsidP="006D2598">
      <w:pPr>
        <w:spacing w:line="276" w:lineRule="auto"/>
        <w:ind w:left="0"/>
        <w:jc w:val="both"/>
        <w:rPr>
          <w:rFonts w:ascii="Bookman Old Style" w:hAnsi="Bookman Old Style"/>
        </w:rPr>
      </w:pPr>
      <w:r w:rsidRPr="00CC2B13">
        <w:rPr>
          <w:rFonts w:ascii="Bookman Old Style" w:hAnsi="Bookman Old Style"/>
        </w:rPr>
        <w:t xml:space="preserve">El artículo 334 de la Constitución Política establece que corresponde al Estado la dirección general de la economía, para lo cual </w:t>
      </w:r>
      <w:r w:rsidRPr="00893145">
        <w:rPr>
          <w:rFonts w:ascii="Bookman Old Style" w:hAnsi="Bookman Old Style"/>
        </w:rPr>
        <w:t>intervendrá, entre otros asuntos, en los servicios públicos y privados, buscando el mejoramiento de la calidad de vida de los habitantes, la distribución equitativa de las oportunidades y los beneficios del desarrollo, y la preservación de un ambiente sano.</w:t>
      </w:r>
    </w:p>
    <w:p w14:paraId="5378D76F" w14:textId="77777777" w:rsidR="00612B24" w:rsidRPr="00893145" w:rsidRDefault="00612B24" w:rsidP="00612B24">
      <w:pPr>
        <w:spacing w:line="276" w:lineRule="auto"/>
        <w:ind w:left="0"/>
        <w:jc w:val="both"/>
        <w:rPr>
          <w:rFonts w:ascii="Bookman Old Style" w:hAnsi="Bookman Old Style"/>
          <w:lang w:val="es-CO"/>
        </w:rPr>
      </w:pPr>
    </w:p>
    <w:p w14:paraId="7394470C" w14:textId="3235AC39" w:rsidR="00612B24" w:rsidRPr="00893145" w:rsidRDefault="00612B24" w:rsidP="006D2598">
      <w:pPr>
        <w:spacing w:line="276" w:lineRule="auto"/>
        <w:ind w:left="0"/>
        <w:jc w:val="both"/>
        <w:rPr>
          <w:rFonts w:ascii="Bookman Old Style" w:hAnsi="Bookman Old Style"/>
          <w:lang w:val="es-CO"/>
        </w:rPr>
      </w:pPr>
      <w:r w:rsidRPr="00893145">
        <w:rPr>
          <w:rFonts w:ascii="Bookman Old Style" w:hAnsi="Bookman Old Style"/>
          <w:lang w:val="es-CO"/>
        </w:rPr>
        <w:t>La intervención del Estado en los servicios públicos se materializa, entre otros aspectos, en la toma de posesión de las empresas prestadoras de estos servicios o en la intervención del servicio cuando el Municipio es prestador directo.</w:t>
      </w:r>
    </w:p>
    <w:p w14:paraId="6698ADCC" w14:textId="77777777" w:rsidR="00620FC6" w:rsidRPr="00893145" w:rsidRDefault="00620FC6" w:rsidP="006D2598">
      <w:pPr>
        <w:spacing w:line="276" w:lineRule="auto"/>
        <w:ind w:left="0"/>
        <w:jc w:val="both"/>
        <w:rPr>
          <w:rFonts w:ascii="Bookman Old Style" w:hAnsi="Bookman Old Style"/>
        </w:rPr>
      </w:pPr>
    </w:p>
    <w:p w14:paraId="7BAFE52E" w14:textId="72182B19" w:rsidR="00AE7562" w:rsidRPr="00893145" w:rsidRDefault="00620FC6" w:rsidP="006D2598">
      <w:pPr>
        <w:spacing w:line="276" w:lineRule="auto"/>
        <w:ind w:left="0"/>
        <w:jc w:val="both"/>
        <w:rPr>
          <w:rFonts w:ascii="Bookman Old Style" w:hAnsi="Bookman Old Style"/>
        </w:rPr>
      </w:pPr>
      <w:r w:rsidRPr="00893145">
        <w:rPr>
          <w:rFonts w:ascii="Bookman Old Style" w:hAnsi="Bookman Old Style"/>
        </w:rPr>
        <w:t>El artículo 365 de la misma Carta Política establece que los servicios públicos son inherentes a la finalidad social del Estado y es deber de este asegurar su prestación eficiente a todos los habitantes del territorio nacional.</w:t>
      </w:r>
      <w:r w:rsidRPr="00893145">
        <w:rPr>
          <w:rFonts w:ascii="Bookman Old Style" w:hAnsi="Bookman Old Style"/>
        </w:rPr>
        <w:cr/>
      </w:r>
    </w:p>
    <w:p w14:paraId="01C79A83" w14:textId="14323405" w:rsidR="00A12C75" w:rsidRPr="00893145" w:rsidRDefault="00A12C75" w:rsidP="006D2598">
      <w:pPr>
        <w:spacing w:line="276" w:lineRule="auto"/>
        <w:ind w:left="0"/>
        <w:jc w:val="both"/>
        <w:rPr>
          <w:rFonts w:ascii="Bookman Old Style" w:hAnsi="Bookman Old Style"/>
        </w:rPr>
      </w:pPr>
      <w:r w:rsidRPr="00893145">
        <w:rPr>
          <w:rFonts w:ascii="Bookman Old Style" w:hAnsi="Bookman Old Style"/>
        </w:rPr>
        <w:t>Según lo dispuesto en el artículo 3 de la Ley 142 de 1994, dentro de los fines que persigue la intervención del Estado en la prestación de los servicios públicos domiciliarios se encuentran la prestación eficiente, continua e ininterrumpida, la libre competencia, y la no utilización abusiva de la posición dominante.</w:t>
      </w:r>
    </w:p>
    <w:p w14:paraId="786D933C" w14:textId="77777777" w:rsidR="00A12C75" w:rsidRPr="00893145" w:rsidRDefault="00A12C75" w:rsidP="006D2598">
      <w:pPr>
        <w:spacing w:line="276" w:lineRule="auto"/>
        <w:ind w:left="0"/>
        <w:jc w:val="both"/>
        <w:rPr>
          <w:rFonts w:ascii="Bookman Old Style" w:hAnsi="Bookman Old Style"/>
        </w:rPr>
      </w:pPr>
    </w:p>
    <w:p w14:paraId="1F1B9478" w14:textId="478EF25B" w:rsidR="00F4095E" w:rsidRPr="00893145" w:rsidRDefault="34340FFC" w:rsidP="006D2598">
      <w:pPr>
        <w:spacing w:line="276" w:lineRule="auto"/>
        <w:ind w:left="0"/>
        <w:jc w:val="both"/>
        <w:rPr>
          <w:rFonts w:ascii="Bookman Old Style" w:hAnsi="Bookman Old Style"/>
        </w:rPr>
      </w:pPr>
      <w:r w:rsidRPr="00893145">
        <w:rPr>
          <w:rFonts w:ascii="Bookman Old Style" w:hAnsi="Bookman Old Style"/>
        </w:rPr>
        <w:t xml:space="preserve">De conformidad con el artículo 20 de la Ley 143 de 1994, la función de la regulación tiene como objetivo principal asegurar una adecuada prestación del servicio, mediante el aprovechamiento eficiente de los diferentes recursos energéticos en beneficio del usuario, en términos de calidad, oportunidad y costo del servicio. </w:t>
      </w:r>
    </w:p>
    <w:p w14:paraId="2ABB2C0C" w14:textId="77777777" w:rsidR="009F3F35" w:rsidRPr="00893145" w:rsidRDefault="009F3F35" w:rsidP="006D2598">
      <w:pPr>
        <w:spacing w:line="276" w:lineRule="auto"/>
        <w:ind w:left="0"/>
        <w:jc w:val="both"/>
        <w:rPr>
          <w:rFonts w:ascii="Bookman Old Style" w:hAnsi="Bookman Old Style"/>
        </w:rPr>
      </w:pPr>
    </w:p>
    <w:p w14:paraId="1798FDFC" w14:textId="48207CE4" w:rsidR="34340FFC" w:rsidRPr="00893145" w:rsidRDefault="34340FFC" w:rsidP="006D2598">
      <w:pPr>
        <w:spacing w:line="276" w:lineRule="auto"/>
        <w:ind w:left="0"/>
        <w:jc w:val="both"/>
        <w:rPr>
          <w:rFonts w:ascii="Bookman Old Style" w:hAnsi="Bookman Old Style"/>
        </w:rPr>
      </w:pPr>
      <w:r w:rsidRPr="00893145">
        <w:rPr>
          <w:rFonts w:ascii="Bookman Old Style" w:hAnsi="Bookman Old Style"/>
        </w:rPr>
        <w:t xml:space="preserve">Para el logro del mencionado objetivo, </w:t>
      </w:r>
      <w:r w:rsidR="00536313" w:rsidRPr="00893145">
        <w:rPr>
          <w:rFonts w:ascii="Bookman Old Style" w:hAnsi="Bookman Old Style"/>
        </w:rPr>
        <w:t>la Ley 143 de 1994</w:t>
      </w:r>
      <w:r w:rsidR="007244C9" w:rsidRPr="00893145">
        <w:rPr>
          <w:rFonts w:ascii="Bookman Old Style" w:hAnsi="Bookman Old Style"/>
        </w:rPr>
        <w:t>,</w:t>
      </w:r>
      <w:r w:rsidR="00536313" w:rsidRPr="00893145">
        <w:rPr>
          <w:rFonts w:ascii="Bookman Old Style" w:hAnsi="Bookman Old Style"/>
        </w:rPr>
        <w:t xml:space="preserve"> </w:t>
      </w:r>
      <w:r w:rsidRPr="00893145">
        <w:rPr>
          <w:rFonts w:ascii="Bookman Old Style" w:hAnsi="Bookman Old Style"/>
        </w:rPr>
        <w:t>le asignó a la Comisión de Regulación de Energía y Gas, CREG, la función de promover la competencia, crear y preservar las condiciones que la hagan posible, así como crear las condiciones para asegurar la disponibilidad de una oferta energética eficiente capaz de abastecer la demanda bajo criterios sociales, económicos, ambientales y de viabilidad financiera.</w:t>
      </w:r>
    </w:p>
    <w:p w14:paraId="7E2B57F5" w14:textId="2B3113BD" w:rsidR="4E6125D2" w:rsidRPr="00893145" w:rsidRDefault="4E6125D2" w:rsidP="006D2598">
      <w:pPr>
        <w:spacing w:line="276" w:lineRule="auto"/>
        <w:ind w:left="0"/>
        <w:jc w:val="both"/>
        <w:rPr>
          <w:rFonts w:ascii="Bookman Old Style" w:hAnsi="Bookman Old Style"/>
        </w:rPr>
      </w:pPr>
    </w:p>
    <w:p w14:paraId="53B7C73C" w14:textId="22BB7678" w:rsidR="00A12C75" w:rsidRPr="00893145" w:rsidRDefault="00A12C75" w:rsidP="006D2598">
      <w:pPr>
        <w:spacing w:line="276" w:lineRule="auto"/>
        <w:ind w:left="0"/>
        <w:jc w:val="both"/>
        <w:rPr>
          <w:rFonts w:ascii="Bookman Old Style" w:hAnsi="Bookman Old Style"/>
        </w:rPr>
      </w:pPr>
      <w:r w:rsidRPr="00893145">
        <w:rPr>
          <w:rFonts w:ascii="Bookman Old Style" w:hAnsi="Bookman Old Style"/>
        </w:rPr>
        <w:t>De igual forma, el literal c) del artículo 74.1 de la Ley 142 de 1994 atribuyó a la</w:t>
      </w:r>
      <w:r w:rsidR="005E4E0A" w:rsidRPr="00893145">
        <w:rPr>
          <w:rFonts w:ascii="Bookman Old Style" w:hAnsi="Bookman Old Style"/>
        </w:rPr>
        <w:t xml:space="preserve"> </w:t>
      </w:r>
      <w:r w:rsidRPr="00893145">
        <w:rPr>
          <w:rFonts w:ascii="Bookman Old Style" w:hAnsi="Bookman Old Style"/>
        </w:rPr>
        <w:t>Comisión de Regulación de Energía y Gas (CREG) la facultad especial de expedir el Reglamento de Operación para regular el funcionamiento del Mercado Mayorista de Energía. Conforme a esta función y a las definiciones de Reglamento de Operación y de Mercado Mayorista contenidas en el artículo 11 de la Ley 143 de 1994, le corresponde a la CREG definir el conjunto de principios, criterios y procedimientos obligatorios que deben cumplir los generadores y comercializadores para realizar sus operaciones económicas en este Mercado.</w:t>
      </w:r>
    </w:p>
    <w:p w14:paraId="547BD7B2" w14:textId="77777777" w:rsidR="00A12C75" w:rsidRPr="00893145" w:rsidRDefault="00A12C75" w:rsidP="006D2598">
      <w:pPr>
        <w:spacing w:line="276" w:lineRule="auto"/>
        <w:ind w:left="0"/>
        <w:jc w:val="both"/>
        <w:rPr>
          <w:rFonts w:ascii="Bookman Old Style" w:hAnsi="Bookman Old Style"/>
        </w:rPr>
      </w:pPr>
    </w:p>
    <w:p w14:paraId="21BD4B2E" w14:textId="7913DFE7" w:rsidR="00A12C75" w:rsidRPr="00893145" w:rsidRDefault="00A12C75" w:rsidP="006D2598">
      <w:pPr>
        <w:spacing w:line="276" w:lineRule="auto"/>
        <w:ind w:left="0"/>
        <w:jc w:val="both"/>
        <w:rPr>
          <w:rFonts w:ascii="Bookman Old Style" w:hAnsi="Bookman Old Style"/>
        </w:rPr>
      </w:pPr>
      <w:r w:rsidRPr="00893145">
        <w:rPr>
          <w:rFonts w:ascii="Bookman Old Style" w:hAnsi="Bookman Old Style"/>
        </w:rPr>
        <w:t>Esta función comprende la regulación de todos los aspectos relativos al funcionamiento del Mercado Mayorista, incluidos los relacionados con su diseño, organización, los contratos que allí se celebran y todos los demás que sean necesarios para que se logren los fines atribuidos por la Constitución y la Ley al mercado.</w:t>
      </w:r>
    </w:p>
    <w:p w14:paraId="05A0DDA6" w14:textId="77777777" w:rsidR="00A12C75" w:rsidRPr="00893145" w:rsidRDefault="00A12C75" w:rsidP="006D2598">
      <w:pPr>
        <w:spacing w:line="276" w:lineRule="auto"/>
        <w:ind w:left="0"/>
        <w:jc w:val="both"/>
        <w:rPr>
          <w:rFonts w:ascii="Bookman Old Style" w:hAnsi="Bookman Old Style"/>
        </w:rPr>
      </w:pPr>
    </w:p>
    <w:p w14:paraId="6BDB9E10" w14:textId="103AFE51" w:rsidR="00A12C75" w:rsidRPr="00893145" w:rsidRDefault="00A12C75" w:rsidP="006D2598">
      <w:pPr>
        <w:spacing w:line="276" w:lineRule="auto"/>
        <w:ind w:left="0"/>
        <w:jc w:val="both"/>
        <w:rPr>
          <w:rFonts w:ascii="Bookman Old Style" w:hAnsi="Bookman Old Style"/>
        </w:rPr>
      </w:pPr>
      <w:r w:rsidRPr="00893145">
        <w:rPr>
          <w:rFonts w:ascii="Bookman Old Style" w:hAnsi="Bookman Old Style"/>
        </w:rPr>
        <w:t>El artículo 168 de la Ley 142 de 1994, establece la obligatoriedad del Reglamento de Operación, por lo que las empresas que hagan parte del Sistema Interconectado Nacional (SIN) deberán cumplir con este y con los acuerdos adoptados para la operación del sistema.</w:t>
      </w:r>
    </w:p>
    <w:p w14:paraId="1A4DF688" w14:textId="77777777" w:rsidR="00A12C75" w:rsidRPr="00893145" w:rsidRDefault="00A12C75" w:rsidP="006D2598">
      <w:pPr>
        <w:spacing w:line="276" w:lineRule="auto"/>
        <w:ind w:left="0"/>
        <w:jc w:val="both"/>
        <w:rPr>
          <w:rFonts w:ascii="Bookman Old Style" w:hAnsi="Bookman Old Style"/>
        </w:rPr>
      </w:pPr>
    </w:p>
    <w:p w14:paraId="09999CED" w14:textId="6A03A5A8" w:rsidR="00A12C75" w:rsidRPr="00893145" w:rsidRDefault="00A12C75" w:rsidP="006D2598">
      <w:pPr>
        <w:spacing w:line="276" w:lineRule="auto"/>
        <w:ind w:left="0"/>
        <w:jc w:val="both"/>
        <w:rPr>
          <w:rFonts w:ascii="Bookman Old Style" w:hAnsi="Bookman Old Style"/>
        </w:rPr>
      </w:pPr>
      <w:r w:rsidRPr="00893145">
        <w:rPr>
          <w:rFonts w:ascii="Bookman Old Style" w:hAnsi="Bookman Old Style"/>
        </w:rPr>
        <w:t>El artículo 1 de la Ley 143 de 1994, establece que la generación, interconexión, transmisión, distribución y comercialización de electricidad, son actividades del sector eléctrico, por lo que le corresponde a la CREG regularlas para asegurar la disponibilidad de una oferta energética eficiente.</w:t>
      </w:r>
    </w:p>
    <w:p w14:paraId="233AC905" w14:textId="77777777" w:rsidR="00A12C75" w:rsidRPr="00893145" w:rsidRDefault="00A12C75" w:rsidP="006D2598">
      <w:pPr>
        <w:spacing w:line="276" w:lineRule="auto"/>
        <w:ind w:left="0"/>
        <w:jc w:val="both"/>
        <w:rPr>
          <w:rFonts w:ascii="Bookman Old Style" w:hAnsi="Bookman Old Style"/>
        </w:rPr>
      </w:pPr>
    </w:p>
    <w:p w14:paraId="0EAB205F" w14:textId="563AEF14" w:rsidR="00A12C75" w:rsidRPr="00893145" w:rsidRDefault="00A12C75" w:rsidP="006D2598">
      <w:pPr>
        <w:spacing w:line="276" w:lineRule="auto"/>
        <w:ind w:left="0"/>
        <w:jc w:val="both"/>
        <w:rPr>
          <w:rFonts w:ascii="Bookman Old Style" w:hAnsi="Bookman Old Style"/>
        </w:rPr>
      </w:pPr>
      <w:r w:rsidRPr="00893145">
        <w:rPr>
          <w:rFonts w:ascii="Bookman Old Style" w:hAnsi="Bookman Old Style"/>
        </w:rPr>
        <w:t>El artículo 23 de la Ley 143 de 1994 define dentro de las funciones de la CREG la de establecer condiciones para una oferta energética eficiente, capaz de abastecer la demanda bajo criterios sociales, económicos, ambientales y de viabilidad financiera; así como la de promover y preservar la competencia.</w:t>
      </w:r>
    </w:p>
    <w:p w14:paraId="776B2674" w14:textId="77777777" w:rsidR="00A12C75" w:rsidRPr="00893145" w:rsidRDefault="00A12C75" w:rsidP="006D2598">
      <w:pPr>
        <w:spacing w:line="276" w:lineRule="auto"/>
        <w:ind w:left="0"/>
        <w:jc w:val="both"/>
        <w:rPr>
          <w:rFonts w:ascii="Bookman Old Style" w:hAnsi="Bookman Old Style"/>
        </w:rPr>
      </w:pPr>
    </w:p>
    <w:p w14:paraId="36B11A32" w14:textId="79274C80" w:rsidR="00A12C75" w:rsidRPr="00893145" w:rsidRDefault="00A12C75" w:rsidP="006D2598">
      <w:pPr>
        <w:spacing w:line="276" w:lineRule="auto"/>
        <w:ind w:left="0"/>
        <w:jc w:val="both"/>
        <w:rPr>
          <w:rFonts w:ascii="Bookman Old Style" w:hAnsi="Bookman Old Style"/>
        </w:rPr>
      </w:pPr>
      <w:r w:rsidRPr="00893145">
        <w:rPr>
          <w:rFonts w:ascii="Bookman Old Style" w:hAnsi="Bookman Old Style"/>
        </w:rPr>
        <w:lastRenderedPageBreak/>
        <w:t>El artículo 25 de la Ley 143 de 1994, establece que los agentes económicos privados o públicos que hagan parte del SIN deberán cumplir con el Reglamento de Operación y con los acuerdos adoptados para su operación.</w:t>
      </w:r>
    </w:p>
    <w:p w14:paraId="3003CFF6" w14:textId="77777777" w:rsidR="00A12C75" w:rsidRPr="00893145" w:rsidRDefault="00A12C75" w:rsidP="006D2598">
      <w:pPr>
        <w:spacing w:line="276" w:lineRule="auto"/>
        <w:ind w:left="0"/>
        <w:jc w:val="both"/>
        <w:rPr>
          <w:rFonts w:ascii="Bookman Old Style" w:hAnsi="Bookman Old Style"/>
        </w:rPr>
      </w:pPr>
    </w:p>
    <w:p w14:paraId="6398F0D5" w14:textId="77777777" w:rsidR="009F3F35" w:rsidRPr="00893145" w:rsidRDefault="00A12C75" w:rsidP="006D2598">
      <w:pPr>
        <w:spacing w:line="276" w:lineRule="auto"/>
        <w:ind w:left="0"/>
        <w:jc w:val="both"/>
        <w:rPr>
          <w:rFonts w:ascii="Bookman Old Style" w:hAnsi="Bookman Old Style"/>
        </w:rPr>
      </w:pPr>
      <w:r w:rsidRPr="00893145">
        <w:rPr>
          <w:rFonts w:ascii="Bookman Old Style" w:hAnsi="Bookman Old Style"/>
        </w:rPr>
        <w:t xml:space="preserve">El artículo 26 de la Ley 143 de 1994, establece que las entidades públicas y privadas con energía eléctrica disponible podrán venderla, sujetas al Reglamento </w:t>
      </w:r>
    </w:p>
    <w:p w14:paraId="383AF24D" w14:textId="1B925FF2" w:rsidR="00A12C75" w:rsidRPr="00893145" w:rsidRDefault="00A12C75" w:rsidP="006D2598">
      <w:pPr>
        <w:spacing w:line="276" w:lineRule="auto"/>
        <w:ind w:left="0"/>
        <w:jc w:val="both"/>
        <w:rPr>
          <w:rFonts w:ascii="Bookman Old Style" w:hAnsi="Bookman Old Style"/>
        </w:rPr>
      </w:pPr>
      <w:r w:rsidRPr="00893145">
        <w:rPr>
          <w:rFonts w:ascii="Bookman Old Style" w:hAnsi="Bookman Old Style"/>
        </w:rPr>
        <w:t>de Operación, a las empresas generadoras, a las distribuidoras o a grandes consumidores a tarifas acordadas libremente entre las partes.</w:t>
      </w:r>
    </w:p>
    <w:p w14:paraId="4EC5FFF4" w14:textId="77777777" w:rsidR="00A12C75" w:rsidRPr="00893145" w:rsidRDefault="00A12C75" w:rsidP="006D2598">
      <w:pPr>
        <w:spacing w:line="276" w:lineRule="auto"/>
        <w:ind w:left="0"/>
        <w:jc w:val="both"/>
        <w:rPr>
          <w:rFonts w:ascii="Bookman Old Style" w:hAnsi="Bookman Old Style"/>
        </w:rPr>
      </w:pPr>
    </w:p>
    <w:p w14:paraId="00979DA1" w14:textId="1DDD9A2C" w:rsidR="00D70D55" w:rsidRPr="00893145" w:rsidRDefault="00A12C75" w:rsidP="006D2598">
      <w:pPr>
        <w:spacing w:line="276" w:lineRule="auto"/>
        <w:ind w:left="0"/>
        <w:jc w:val="both"/>
        <w:rPr>
          <w:rFonts w:ascii="Bookman Old Style" w:hAnsi="Bookman Old Style"/>
        </w:rPr>
      </w:pPr>
      <w:r w:rsidRPr="00893145">
        <w:rPr>
          <w:rFonts w:ascii="Bookman Old Style" w:hAnsi="Bookman Old Style"/>
        </w:rPr>
        <w:t>El artículo 42 de la Ley 143 de 1994, obliga a las empresas de servicios públicos a comprar la energía para atender a sus usuarios, mediante mecanismos que estimulen la libre competencia. Establece igualmente, que dichas compras de electricidad deberán garantizar, mediante contratos de suministro, el servicio a los usuarios atendidos directamente por ellas, por el término que establezca la CREG.</w:t>
      </w:r>
      <w:r w:rsidRPr="00893145">
        <w:rPr>
          <w:rFonts w:ascii="Bookman Old Style" w:hAnsi="Bookman Old Style"/>
        </w:rPr>
        <w:cr/>
      </w:r>
    </w:p>
    <w:p w14:paraId="1C4036CF" w14:textId="761FC0DA" w:rsidR="00712036" w:rsidRPr="00893145" w:rsidRDefault="00712036" w:rsidP="006D2598">
      <w:pPr>
        <w:spacing w:line="276" w:lineRule="auto"/>
        <w:ind w:left="0"/>
        <w:jc w:val="both"/>
        <w:rPr>
          <w:rFonts w:ascii="Bookman Old Style" w:hAnsi="Bookman Old Style"/>
        </w:rPr>
      </w:pPr>
      <w:r w:rsidRPr="00893145">
        <w:rPr>
          <w:rFonts w:ascii="Bookman Old Style" w:hAnsi="Bookman Old Style"/>
        </w:rPr>
        <w:t>En la Resolución CREG 080 de 2019 se dictan normas generales de comportamiento concordantes con un buen funcionamiento del mercado, el libre acceso a los bienes esenciales, la transparencia, la neutralidad, la eficiencia, la libre competencia, la gestión de los intereses de los usuarios y la no utilización abusiva de la posición dominante.</w:t>
      </w:r>
    </w:p>
    <w:p w14:paraId="3155BEB8" w14:textId="77777777" w:rsidR="00712036" w:rsidRPr="00893145" w:rsidRDefault="00712036" w:rsidP="006D2598">
      <w:pPr>
        <w:spacing w:line="276" w:lineRule="auto"/>
        <w:ind w:left="0"/>
        <w:jc w:val="both"/>
        <w:rPr>
          <w:rFonts w:ascii="Bookman Old Style" w:hAnsi="Bookman Old Style"/>
        </w:rPr>
      </w:pPr>
    </w:p>
    <w:p w14:paraId="703289E3" w14:textId="761FE30C" w:rsidR="00712036" w:rsidRPr="00893145" w:rsidRDefault="00712036" w:rsidP="006D2598">
      <w:pPr>
        <w:spacing w:line="276" w:lineRule="auto"/>
        <w:ind w:left="0"/>
        <w:jc w:val="both"/>
        <w:rPr>
          <w:rFonts w:ascii="Bookman Old Style" w:hAnsi="Bookman Old Style"/>
        </w:rPr>
      </w:pPr>
      <w:r w:rsidRPr="00893145">
        <w:rPr>
          <w:rFonts w:ascii="Bookman Old Style" w:hAnsi="Bookman Old Style"/>
        </w:rPr>
        <w:t xml:space="preserve">Mediante la Resolución CREG 130 de 2019 se definen las reglas que deben cumplir los comercializadores en la celebración de contratos de energía destinados al mercado regulado, creando un nuevo procedimiento de convocatoria pública, así como un Sistema Centralizado de Información de Convocatorias Públicas (SICEP), con el propósito de brindar información sobre la contratación del mercado regulado a todos los agentes, usuarios y entidades de inspección, control y vigilancia. </w:t>
      </w:r>
    </w:p>
    <w:p w14:paraId="485F3D94" w14:textId="77777777" w:rsidR="00712036" w:rsidRPr="00893145" w:rsidRDefault="00712036" w:rsidP="006D2598">
      <w:pPr>
        <w:spacing w:line="276" w:lineRule="auto"/>
        <w:ind w:left="0"/>
        <w:jc w:val="both"/>
        <w:rPr>
          <w:rFonts w:ascii="Bookman Old Style" w:hAnsi="Bookman Old Style"/>
        </w:rPr>
      </w:pPr>
    </w:p>
    <w:p w14:paraId="41443C24" w14:textId="405BA96D" w:rsidR="00712036" w:rsidRPr="00893145" w:rsidRDefault="00712036" w:rsidP="006D2598">
      <w:pPr>
        <w:spacing w:line="276" w:lineRule="auto"/>
        <w:ind w:left="0"/>
        <w:jc w:val="both"/>
        <w:rPr>
          <w:rFonts w:ascii="Bookman Old Style" w:hAnsi="Bookman Old Style"/>
        </w:rPr>
      </w:pPr>
      <w:r w:rsidRPr="00893145">
        <w:rPr>
          <w:rFonts w:ascii="Bookman Old Style" w:hAnsi="Bookman Old Style"/>
        </w:rPr>
        <w:t xml:space="preserve">Mediante la Resolución CREG 101 002 de 2022 se define la fórmula para el traslado de los costos de las compras de energía que realicen los comercializadores en los diferentes mecanismos aprobados por la CREG (componente G del Costo Unitario de Prestación de Servicio de energía eléctrica para los usuarios regulados, CU). </w:t>
      </w:r>
    </w:p>
    <w:p w14:paraId="2173C76A" w14:textId="77777777" w:rsidR="00D70D55" w:rsidRPr="00893145" w:rsidRDefault="00D70D55" w:rsidP="00D70D55">
      <w:pPr>
        <w:spacing w:line="276" w:lineRule="auto"/>
        <w:ind w:left="0"/>
        <w:jc w:val="both"/>
        <w:rPr>
          <w:rFonts w:ascii="Bookman Old Style" w:hAnsi="Bookman Old Style"/>
        </w:rPr>
      </w:pPr>
    </w:p>
    <w:p w14:paraId="792C3C0B" w14:textId="7FE64547" w:rsidR="007147AF" w:rsidRPr="00893145" w:rsidRDefault="004262BE" w:rsidP="00D70D55">
      <w:pPr>
        <w:spacing w:line="276" w:lineRule="auto"/>
        <w:ind w:left="0"/>
        <w:jc w:val="both"/>
        <w:rPr>
          <w:rFonts w:ascii="Bookman Old Style" w:hAnsi="Bookman Old Style"/>
        </w:rPr>
      </w:pPr>
      <w:r w:rsidRPr="00893145">
        <w:rPr>
          <w:rFonts w:ascii="Bookman Old Style" w:hAnsi="Bookman Old Style"/>
        </w:rPr>
        <w:t xml:space="preserve">La Superintendencia de Servicios Públicos Domiciliarios </w:t>
      </w:r>
      <w:r w:rsidR="0096650D" w:rsidRPr="00893145">
        <w:rPr>
          <w:rFonts w:ascii="Bookman Old Style" w:hAnsi="Bookman Old Style"/>
        </w:rPr>
        <w:t>(</w:t>
      </w:r>
      <w:r w:rsidR="00252B6E" w:rsidRPr="00893145">
        <w:rPr>
          <w:rFonts w:ascii="Bookman Old Style" w:hAnsi="Bookman Old Style"/>
        </w:rPr>
        <w:t>SSPD</w:t>
      </w:r>
      <w:r w:rsidR="0096650D" w:rsidRPr="00893145">
        <w:rPr>
          <w:rFonts w:ascii="Bookman Old Style" w:hAnsi="Bookman Old Style"/>
        </w:rPr>
        <w:t>)</w:t>
      </w:r>
      <w:r w:rsidR="00252B6E" w:rsidRPr="00893145">
        <w:rPr>
          <w:rFonts w:ascii="Bookman Old Style" w:hAnsi="Bookman Old Style"/>
        </w:rPr>
        <w:t xml:space="preserve"> </w:t>
      </w:r>
      <w:r w:rsidRPr="00893145">
        <w:rPr>
          <w:rFonts w:ascii="Bookman Old Style" w:hAnsi="Bookman Old Style"/>
        </w:rPr>
        <w:t xml:space="preserve">a través del radicado </w:t>
      </w:r>
      <w:r w:rsidR="00755212" w:rsidRPr="00893145">
        <w:rPr>
          <w:rFonts w:ascii="Bookman Old Style" w:hAnsi="Bookman Old Style"/>
        </w:rPr>
        <w:t xml:space="preserve">E2024018252 </w:t>
      </w:r>
      <w:r w:rsidRPr="00893145">
        <w:rPr>
          <w:rFonts w:ascii="Bookman Old Style" w:hAnsi="Bookman Old Style"/>
        </w:rPr>
        <w:t xml:space="preserve">del </w:t>
      </w:r>
      <w:r w:rsidR="00755212" w:rsidRPr="00893145">
        <w:rPr>
          <w:rFonts w:ascii="Bookman Old Style" w:hAnsi="Bookman Old Style"/>
        </w:rPr>
        <w:t>27</w:t>
      </w:r>
      <w:r w:rsidRPr="00893145">
        <w:rPr>
          <w:rFonts w:ascii="Bookman Old Style" w:hAnsi="Bookman Old Style"/>
        </w:rPr>
        <w:t xml:space="preserve"> de </w:t>
      </w:r>
      <w:r w:rsidR="00755212" w:rsidRPr="00893145">
        <w:rPr>
          <w:rFonts w:ascii="Bookman Old Style" w:hAnsi="Bookman Old Style"/>
        </w:rPr>
        <w:t>novi</w:t>
      </w:r>
      <w:r w:rsidRPr="00893145">
        <w:rPr>
          <w:rFonts w:ascii="Bookman Old Style" w:hAnsi="Bookman Old Style"/>
        </w:rPr>
        <w:t xml:space="preserve">embre de 2024, le solicitó a la Comisión de Regulación de Energía y Gas </w:t>
      </w:r>
      <w:r w:rsidR="009333D2" w:rsidRPr="00893145">
        <w:rPr>
          <w:rFonts w:ascii="Bookman Old Style" w:hAnsi="Bookman Old Style"/>
          <w:i/>
          <w:iCs/>
        </w:rPr>
        <w:t xml:space="preserve">“(…) </w:t>
      </w:r>
      <w:r w:rsidR="00F51CBA" w:rsidRPr="00893145">
        <w:rPr>
          <w:rFonts w:ascii="Bookman Old Style" w:hAnsi="Bookman Old Style"/>
          <w:i/>
          <w:iCs/>
        </w:rPr>
        <w:t>consideraci</w:t>
      </w:r>
      <w:r w:rsidR="009333D2" w:rsidRPr="00893145">
        <w:rPr>
          <w:rFonts w:ascii="Bookman Old Style" w:hAnsi="Bookman Old Style"/>
          <w:i/>
          <w:iCs/>
        </w:rPr>
        <w:t>ó</w:t>
      </w:r>
      <w:r w:rsidR="00F51CBA" w:rsidRPr="00893145">
        <w:rPr>
          <w:rFonts w:ascii="Bookman Old Style" w:hAnsi="Bookman Old Style"/>
          <w:i/>
          <w:iCs/>
        </w:rPr>
        <w:t>n de regulaci</w:t>
      </w:r>
      <w:r w:rsidR="009333D2" w:rsidRPr="00893145">
        <w:rPr>
          <w:rFonts w:ascii="Bookman Old Style" w:hAnsi="Bookman Old Style"/>
          <w:i/>
          <w:iCs/>
        </w:rPr>
        <w:t>ó</w:t>
      </w:r>
      <w:r w:rsidR="00F51CBA" w:rsidRPr="00893145">
        <w:rPr>
          <w:rFonts w:ascii="Bookman Old Style" w:hAnsi="Bookman Old Style"/>
          <w:i/>
          <w:iCs/>
        </w:rPr>
        <w:t>n diferencial para las empresas prestadoras del se</w:t>
      </w:r>
      <w:r w:rsidR="00633DD6" w:rsidRPr="00893145">
        <w:rPr>
          <w:rFonts w:ascii="Bookman Old Style" w:hAnsi="Bookman Old Style"/>
          <w:i/>
          <w:iCs/>
        </w:rPr>
        <w:t>r</w:t>
      </w:r>
      <w:r w:rsidR="00F51CBA" w:rsidRPr="00893145">
        <w:rPr>
          <w:rFonts w:ascii="Bookman Old Style" w:hAnsi="Bookman Old Style"/>
          <w:i/>
          <w:iCs/>
        </w:rPr>
        <w:t>vicio de energ</w:t>
      </w:r>
      <w:r w:rsidR="00633DD6" w:rsidRPr="00893145">
        <w:rPr>
          <w:rFonts w:ascii="Bookman Old Style" w:hAnsi="Bookman Old Style"/>
          <w:i/>
          <w:iCs/>
        </w:rPr>
        <w:t>í</w:t>
      </w:r>
      <w:r w:rsidR="00F51CBA" w:rsidRPr="00893145">
        <w:rPr>
          <w:rFonts w:ascii="Bookman Old Style" w:hAnsi="Bookman Old Style"/>
          <w:i/>
          <w:iCs/>
        </w:rPr>
        <w:t xml:space="preserve">a eléctrica, sobre las cuales se ordena </w:t>
      </w:r>
      <w:r w:rsidR="003161B2" w:rsidRPr="00893145">
        <w:rPr>
          <w:rFonts w:ascii="Bookman Old Style" w:hAnsi="Bookman Old Style"/>
          <w:i/>
          <w:iCs/>
        </w:rPr>
        <w:t>l</w:t>
      </w:r>
      <w:r w:rsidR="00F51CBA" w:rsidRPr="00893145">
        <w:rPr>
          <w:rFonts w:ascii="Bookman Old Style" w:hAnsi="Bookman Old Style"/>
          <w:i/>
          <w:iCs/>
        </w:rPr>
        <w:t>a toma de posesi</w:t>
      </w:r>
      <w:r w:rsidR="003161B2" w:rsidRPr="00893145">
        <w:rPr>
          <w:rFonts w:ascii="Bookman Old Style" w:hAnsi="Bookman Old Style"/>
          <w:i/>
          <w:iCs/>
        </w:rPr>
        <w:t>ó</w:t>
      </w:r>
      <w:r w:rsidR="00F51CBA" w:rsidRPr="00893145">
        <w:rPr>
          <w:rFonts w:ascii="Bookman Old Style" w:hAnsi="Bookman Old Style"/>
          <w:i/>
          <w:iCs/>
        </w:rPr>
        <w:t xml:space="preserve">n por parte de </w:t>
      </w:r>
      <w:r w:rsidR="003161B2" w:rsidRPr="00893145">
        <w:rPr>
          <w:rFonts w:ascii="Bookman Old Style" w:hAnsi="Bookman Old Style"/>
          <w:i/>
          <w:iCs/>
        </w:rPr>
        <w:t>l</w:t>
      </w:r>
      <w:r w:rsidR="00F51CBA" w:rsidRPr="00893145">
        <w:rPr>
          <w:rFonts w:ascii="Bookman Old Style" w:hAnsi="Bookman Old Style"/>
          <w:i/>
          <w:iCs/>
        </w:rPr>
        <w:t xml:space="preserve">a SSPD, respecto de </w:t>
      </w:r>
      <w:r w:rsidR="003161B2" w:rsidRPr="00893145">
        <w:rPr>
          <w:rFonts w:ascii="Bookman Old Style" w:hAnsi="Bookman Old Style"/>
          <w:i/>
          <w:iCs/>
        </w:rPr>
        <w:t>l</w:t>
      </w:r>
      <w:r w:rsidR="00F51CBA" w:rsidRPr="00893145">
        <w:rPr>
          <w:rFonts w:ascii="Bookman Old Style" w:hAnsi="Bookman Old Style"/>
          <w:i/>
          <w:iCs/>
        </w:rPr>
        <w:t>a contrataci</w:t>
      </w:r>
      <w:r w:rsidR="003161B2" w:rsidRPr="00893145">
        <w:rPr>
          <w:rFonts w:ascii="Bookman Old Style" w:hAnsi="Bookman Old Style"/>
          <w:i/>
          <w:iCs/>
        </w:rPr>
        <w:t>ó</w:t>
      </w:r>
      <w:r w:rsidR="00F51CBA" w:rsidRPr="00893145">
        <w:rPr>
          <w:rFonts w:ascii="Bookman Old Style" w:hAnsi="Bookman Old Style"/>
          <w:i/>
          <w:iCs/>
        </w:rPr>
        <w:t>n directa.</w:t>
      </w:r>
      <w:r w:rsidR="003161B2" w:rsidRPr="00893145">
        <w:rPr>
          <w:rFonts w:ascii="Bookman Old Style" w:hAnsi="Bookman Old Style"/>
          <w:i/>
          <w:iCs/>
        </w:rPr>
        <w:t>”</w:t>
      </w:r>
    </w:p>
    <w:p w14:paraId="595843DD" w14:textId="77777777" w:rsidR="00893145" w:rsidRDefault="00893145" w:rsidP="00D70D55">
      <w:pPr>
        <w:spacing w:line="276" w:lineRule="auto"/>
        <w:ind w:left="0"/>
        <w:jc w:val="both"/>
        <w:rPr>
          <w:rFonts w:ascii="Bookman Old Style" w:hAnsi="Bookman Old Style"/>
        </w:rPr>
      </w:pPr>
    </w:p>
    <w:p w14:paraId="2724D608" w14:textId="3F090D84" w:rsidR="00685A83" w:rsidRPr="00893145" w:rsidRDefault="00B03330" w:rsidP="00D70D55">
      <w:pPr>
        <w:spacing w:line="276" w:lineRule="auto"/>
        <w:ind w:left="0"/>
        <w:jc w:val="both"/>
        <w:rPr>
          <w:rFonts w:ascii="Bookman Old Style" w:hAnsi="Bookman Old Style"/>
        </w:rPr>
      </w:pPr>
      <w:r w:rsidRPr="00893145">
        <w:rPr>
          <w:rFonts w:ascii="Bookman Old Style" w:hAnsi="Bookman Old Style"/>
        </w:rPr>
        <w:lastRenderedPageBreak/>
        <w:t xml:space="preserve">Del contenido de la </w:t>
      </w:r>
      <w:r w:rsidR="00252B6E" w:rsidRPr="00893145">
        <w:rPr>
          <w:rFonts w:ascii="Bookman Old Style" w:hAnsi="Bookman Old Style"/>
        </w:rPr>
        <w:t>solicitud</w:t>
      </w:r>
      <w:r w:rsidRPr="00893145">
        <w:rPr>
          <w:rFonts w:ascii="Bookman Old Style" w:hAnsi="Bookman Old Style"/>
        </w:rPr>
        <w:t>, se destaca que</w:t>
      </w:r>
      <w:r w:rsidR="00180938" w:rsidRPr="00893145">
        <w:rPr>
          <w:rFonts w:ascii="Bookman Old Style" w:hAnsi="Bookman Old Style"/>
        </w:rPr>
        <w:t>,</w:t>
      </w:r>
      <w:r w:rsidR="00BA4D67" w:rsidRPr="00893145">
        <w:rPr>
          <w:rFonts w:ascii="Bookman Old Style" w:hAnsi="Bookman Old Style"/>
        </w:rPr>
        <w:t xml:space="preserve"> identifica</w:t>
      </w:r>
      <w:r w:rsidR="00E67370" w:rsidRPr="00893145">
        <w:rPr>
          <w:rFonts w:ascii="Bookman Old Style" w:hAnsi="Bookman Old Style"/>
        </w:rPr>
        <w:t xml:space="preserve"> </w:t>
      </w:r>
      <w:r w:rsidR="007D398B" w:rsidRPr="00893145">
        <w:rPr>
          <w:rFonts w:ascii="Bookman Old Style" w:hAnsi="Bookman Old Style"/>
        </w:rPr>
        <w:t>como</w:t>
      </w:r>
      <w:r w:rsidR="008F22D6" w:rsidRPr="00893145">
        <w:rPr>
          <w:rFonts w:ascii="Bookman Old Style" w:hAnsi="Bookman Old Style"/>
        </w:rPr>
        <w:t xml:space="preserve"> causal com</w:t>
      </w:r>
      <w:r w:rsidR="006E3699" w:rsidRPr="00893145">
        <w:rPr>
          <w:rFonts w:ascii="Bookman Old Style" w:hAnsi="Bookman Old Style"/>
        </w:rPr>
        <w:t>ú</w:t>
      </w:r>
      <w:r w:rsidR="008F22D6" w:rsidRPr="00893145">
        <w:rPr>
          <w:rFonts w:ascii="Bookman Old Style" w:hAnsi="Bookman Old Style"/>
        </w:rPr>
        <w:t>n de toma de posesi</w:t>
      </w:r>
      <w:r w:rsidR="00584FEE" w:rsidRPr="00893145">
        <w:rPr>
          <w:rFonts w:ascii="Bookman Old Style" w:hAnsi="Bookman Old Style"/>
        </w:rPr>
        <w:t>ó</w:t>
      </w:r>
      <w:r w:rsidR="008F22D6" w:rsidRPr="00893145">
        <w:rPr>
          <w:rFonts w:ascii="Bookman Old Style" w:hAnsi="Bookman Old Style"/>
        </w:rPr>
        <w:t xml:space="preserve">n, </w:t>
      </w:r>
      <w:r w:rsidR="007974F5" w:rsidRPr="00893145">
        <w:rPr>
          <w:rFonts w:ascii="Bookman Old Style" w:hAnsi="Bookman Old Style"/>
        </w:rPr>
        <w:t>el numeral</w:t>
      </w:r>
      <w:r w:rsidR="008F22D6" w:rsidRPr="00893145">
        <w:rPr>
          <w:rFonts w:ascii="Bookman Old Style" w:hAnsi="Bookman Old Style"/>
        </w:rPr>
        <w:t xml:space="preserve"> 59.7 del art</w:t>
      </w:r>
      <w:r w:rsidR="007974F5" w:rsidRPr="00893145">
        <w:rPr>
          <w:rFonts w:ascii="Bookman Old Style" w:hAnsi="Bookman Old Style"/>
        </w:rPr>
        <w:t>í</w:t>
      </w:r>
      <w:r w:rsidR="008F22D6" w:rsidRPr="00893145">
        <w:rPr>
          <w:rFonts w:ascii="Bookman Old Style" w:hAnsi="Bookman Old Style"/>
        </w:rPr>
        <w:t xml:space="preserve">culo 59 de </w:t>
      </w:r>
      <w:r w:rsidR="007974F5" w:rsidRPr="00893145">
        <w:rPr>
          <w:rFonts w:ascii="Bookman Old Style" w:hAnsi="Bookman Old Style"/>
        </w:rPr>
        <w:t>l</w:t>
      </w:r>
      <w:r w:rsidR="008F22D6" w:rsidRPr="00893145">
        <w:rPr>
          <w:rFonts w:ascii="Bookman Old Style" w:hAnsi="Bookman Old Style"/>
        </w:rPr>
        <w:t xml:space="preserve">a Ley 142 de 1994, esto es "si en forma grave, </w:t>
      </w:r>
      <w:r w:rsidR="003221E9" w:rsidRPr="00893145">
        <w:rPr>
          <w:rFonts w:ascii="Bookman Old Style" w:hAnsi="Bookman Old Style"/>
        </w:rPr>
        <w:t>l</w:t>
      </w:r>
      <w:r w:rsidR="008F22D6" w:rsidRPr="00893145">
        <w:rPr>
          <w:rFonts w:ascii="Bookman Old Style" w:hAnsi="Bookman Old Style"/>
        </w:rPr>
        <w:t>a empresa ha suspendido o se teme que pueda suspender el pago de sus obligaciones mercantiles"</w:t>
      </w:r>
      <w:r w:rsidR="005E1824" w:rsidRPr="00893145">
        <w:rPr>
          <w:rFonts w:ascii="Bookman Old Style" w:hAnsi="Bookman Old Style"/>
        </w:rPr>
        <w:t xml:space="preserve">, precisando que </w:t>
      </w:r>
      <w:r w:rsidR="000B122E" w:rsidRPr="00893145">
        <w:rPr>
          <w:rFonts w:ascii="Bookman Old Style" w:hAnsi="Bookman Old Style"/>
        </w:rPr>
        <w:t xml:space="preserve">históricamente </w:t>
      </w:r>
      <w:r w:rsidR="006B7239" w:rsidRPr="00893145">
        <w:rPr>
          <w:rFonts w:ascii="Bookman Old Style" w:hAnsi="Bookman Old Style"/>
        </w:rPr>
        <w:t>las empresas intervenidas</w:t>
      </w:r>
      <w:r w:rsidR="008D5298" w:rsidRPr="00893145">
        <w:rPr>
          <w:rFonts w:ascii="Bookman Old Style" w:hAnsi="Bookman Old Style"/>
        </w:rPr>
        <w:t>,</w:t>
      </w:r>
      <w:r w:rsidR="006B7239" w:rsidRPr="00893145">
        <w:rPr>
          <w:rFonts w:ascii="Bookman Old Style" w:hAnsi="Bookman Old Style"/>
        </w:rPr>
        <w:t xml:space="preserve"> </w:t>
      </w:r>
      <w:r w:rsidR="004064E2" w:rsidRPr="00893145">
        <w:rPr>
          <w:rFonts w:ascii="Bookman Old Style" w:hAnsi="Bookman Old Style"/>
        </w:rPr>
        <w:t>por esa causa</w:t>
      </w:r>
      <w:r w:rsidR="008D5298" w:rsidRPr="00893145">
        <w:rPr>
          <w:rFonts w:ascii="Bookman Old Style" w:hAnsi="Bookman Old Style"/>
        </w:rPr>
        <w:t>,</w:t>
      </w:r>
      <w:r w:rsidR="008F22D6" w:rsidRPr="00893145">
        <w:rPr>
          <w:rFonts w:ascii="Bookman Old Style" w:hAnsi="Bookman Old Style"/>
        </w:rPr>
        <w:t xml:space="preserve"> han incumplido obligaciones con el Mercado de Ener</w:t>
      </w:r>
      <w:r w:rsidR="004064E2" w:rsidRPr="00893145">
        <w:rPr>
          <w:rFonts w:ascii="Bookman Old Style" w:hAnsi="Bookman Old Style"/>
        </w:rPr>
        <w:t>gí</w:t>
      </w:r>
      <w:r w:rsidR="008F22D6" w:rsidRPr="00893145">
        <w:rPr>
          <w:rFonts w:ascii="Bookman Old Style" w:hAnsi="Bookman Old Style"/>
        </w:rPr>
        <w:t>a Mayorista -contratos y bolsa- y</w:t>
      </w:r>
      <w:r w:rsidR="00C306F1" w:rsidRPr="00893145">
        <w:rPr>
          <w:rFonts w:ascii="Bookman Old Style" w:hAnsi="Bookman Old Style"/>
        </w:rPr>
        <w:t xml:space="preserve"> </w:t>
      </w:r>
      <w:r w:rsidR="00766197" w:rsidRPr="00893145">
        <w:rPr>
          <w:rFonts w:ascii="Bookman Old Style" w:hAnsi="Bookman Old Style"/>
        </w:rPr>
        <w:t xml:space="preserve">en tal virtud, </w:t>
      </w:r>
      <w:r w:rsidR="008F22D6" w:rsidRPr="00893145">
        <w:rPr>
          <w:rFonts w:ascii="Bookman Old Style" w:hAnsi="Bookman Old Style"/>
        </w:rPr>
        <w:t xml:space="preserve">previo a </w:t>
      </w:r>
      <w:r w:rsidR="00766197" w:rsidRPr="00893145">
        <w:rPr>
          <w:rFonts w:ascii="Bookman Old Style" w:hAnsi="Bookman Old Style"/>
        </w:rPr>
        <w:t>l</w:t>
      </w:r>
      <w:r w:rsidR="008F22D6" w:rsidRPr="00893145">
        <w:rPr>
          <w:rFonts w:ascii="Bookman Old Style" w:hAnsi="Bookman Old Style"/>
        </w:rPr>
        <w:t>a orden de toma de posesi</w:t>
      </w:r>
      <w:r w:rsidR="00766197" w:rsidRPr="00893145">
        <w:rPr>
          <w:rFonts w:ascii="Bookman Old Style" w:hAnsi="Bookman Old Style"/>
        </w:rPr>
        <w:t>ó</w:t>
      </w:r>
      <w:r w:rsidR="008F22D6" w:rsidRPr="00893145">
        <w:rPr>
          <w:rFonts w:ascii="Bookman Old Style" w:hAnsi="Bookman Old Style"/>
        </w:rPr>
        <w:t xml:space="preserve">n, hayan visto incrementada su exposición en bolsa. </w:t>
      </w:r>
    </w:p>
    <w:p w14:paraId="19DF56A0" w14:textId="77777777" w:rsidR="00685A83" w:rsidRPr="00893145" w:rsidRDefault="00685A83" w:rsidP="00D70D55">
      <w:pPr>
        <w:spacing w:line="276" w:lineRule="auto"/>
        <w:ind w:left="0"/>
        <w:jc w:val="both"/>
        <w:rPr>
          <w:rFonts w:ascii="Bookman Old Style" w:hAnsi="Bookman Old Style"/>
        </w:rPr>
      </w:pPr>
    </w:p>
    <w:p w14:paraId="5550A256" w14:textId="1013768E" w:rsidR="00F00196" w:rsidRPr="00893145" w:rsidRDefault="00C12437" w:rsidP="00C12437">
      <w:pPr>
        <w:spacing w:line="276" w:lineRule="auto"/>
        <w:ind w:left="0"/>
        <w:jc w:val="both"/>
        <w:rPr>
          <w:rFonts w:ascii="Bookman Old Style" w:hAnsi="Bookman Old Style"/>
        </w:rPr>
      </w:pPr>
      <w:r w:rsidRPr="00893145">
        <w:rPr>
          <w:rFonts w:ascii="Bookman Old Style" w:hAnsi="Bookman Old Style"/>
        </w:rPr>
        <w:t>Menciona además que, l</w:t>
      </w:r>
      <w:r w:rsidR="008F22D6" w:rsidRPr="00893145">
        <w:rPr>
          <w:rFonts w:ascii="Bookman Old Style" w:hAnsi="Bookman Old Style"/>
        </w:rPr>
        <w:t>a condici</w:t>
      </w:r>
      <w:r w:rsidRPr="00893145">
        <w:rPr>
          <w:rFonts w:ascii="Bookman Old Style" w:hAnsi="Bookman Old Style"/>
        </w:rPr>
        <w:t>ó</w:t>
      </w:r>
      <w:r w:rsidR="008F22D6" w:rsidRPr="00893145">
        <w:rPr>
          <w:rFonts w:ascii="Bookman Old Style" w:hAnsi="Bookman Old Style"/>
        </w:rPr>
        <w:t xml:space="preserve">n de empresa intervenida conlleva dificultades para </w:t>
      </w:r>
      <w:r w:rsidR="005D08B0" w:rsidRPr="00893145">
        <w:rPr>
          <w:rFonts w:ascii="Bookman Old Style" w:hAnsi="Bookman Old Style"/>
        </w:rPr>
        <w:t>l</w:t>
      </w:r>
      <w:r w:rsidR="008F22D6" w:rsidRPr="00893145">
        <w:rPr>
          <w:rFonts w:ascii="Bookman Old Style" w:hAnsi="Bookman Old Style"/>
        </w:rPr>
        <w:t>a adquisici</w:t>
      </w:r>
      <w:r w:rsidR="005D08B0" w:rsidRPr="00893145">
        <w:rPr>
          <w:rFonts w:ascii="Bookman Old Style" w:hAnsi="Bookman Old Style"/>
        </w:rPr>
        <w:t>ó</w:t>
      </w:r>
      <w:r w:rsidR="008F22D6" w:rsidRPr="00893145">
        <w:rPr>
          <w:rFonts w:ascii="Bookman Old Style" w:hAnsi="Bookman Old Style"/>
        </w:rPr>
        <w:t>n de garant</w:t>
      </w:r>
      <w:r w:rsidR="005D08B0" w:rsidRPr="00893145">
        <w:rPr>
          <w:rFonts w:ascii="Bookman Old Style" w:hAnsi="Bookman Old Style"/>
        </w:rPr>
        <w:t>í</w:t>
      </w:r>
      <w:r w:rsidR="008F22D6" w:rsidRPr="00893145">
        <w:rPr>
          <w:rFonts w:ascii="Bookman Old Style" w:hAnsi="Bookman Old Style"/>
        </w:rPr>
        <w:t>as, situaci</w:t>
      </w:r>
      <w:r w:rsidR="00364E39" w:rsidRPr="00893145">
        <w:rPr>
          <w:rFonts w:ascii="Bookman Old Style" w:hAnsi="Bookman Old Style"/>
        </w:rPr>
        <w:t>ó</w:t>
      </w:r>
      <w:r w:rsidR="008F22D6" w:rsidRPr="00893145">
        <w:rPr>
          <w:rFonts w:ascii="Bookman Old Style" w:hAnsi="Bookman Old Style"/>
        </w:rPr>
        <w:t xml:space="preserve">n que hace más compleja </w:t>
      </w:r>
      <w:r w:rsidR="002A2B88" w:rsidRPr="00893145">
        <w:rPr>
          <w:rFonts w:ascii="Bookman Old Style" w:hAnsi="Bookman Old Style"/>
        </w:rPr>
        <w:t>l</w:t>
      </w:r>
      <w:r w:rsidR="008F22D6" w:rsidRPr="00893145">
        <w:rPr>
          <w:rFonts w:ascii="Bookman Old Style" w:hAnsi="Bookman Old Style"/>
        </w:rPr>
        <w:t>a posibilidad de suscribir contratos con condiciones que puedan ser favorables al proceso de intervenci</w:t>
      </w:r>
      <w:r w:rsidR="002A2B88" w:rsidRPr="00893145">
        <w:rPr>
          <w:rFonts w:ascii="Bookman Old Style" w:hAnsi="Bookman Old Style"/>
        </w:rPr>
        <w:t>ó</w:t>
      </w:r>
      <w:r w:rsidR="008F22D6" w:rsidRPr="00893145">
        <w:rPr>
          <w:rFonts w:ascii="Bookman Old Style" w:hAnsi="Bookman Old Style"/>
        </w:rPr>
        <w:t xml:space="preserve">n, cuyo fin principal es </w:t>
      </w:r>
      <w:r w:rsidR="002A2B88" w:rsidRPr="00893145">
        <w:rPr>
          <w:rFonts w:ascii="Bookman Old Style" w:hAnsi="Bookman Old Style"/>
        </w:rPr>
        <w:t>l</w:t>
      </w:r>
      <w:r w:rsidR="008F22D6" w:rsidRPr="00893145">
        <w:rPr>
          <w:rFonts w:ascii="Bookman Old Style" w:hAnsi="Bookman Old Style"/>
        </w:rPr>
        <w:t>a protecci</w:t>
      </w:r>
      <w:r w:rsidR="002A2B88" w:rsidRPr="00893145">
        <w:rPr>
          <w:rFonts w:ascii="Bookman Old Style" w:hAnsi="Bookman Old Style"/>
        </w:rPr>
        <w:t>ó</w:t>
      </w:r>
      <w:r w:rsidR="008F22D6" w:rsidRPr="00893145">
        <w:rPr>
          <w:rFonts w:ascii="Bookman Old Style" w:hAnsi="Bookman Old Style"/>
        </w:rPr>
        <w:t>n de los usuarios</w:t>
      </w:r>
      <w:r w:rsidR="00927AE9" w:rsidRPr="00893145">
        <w:rPr>
          <w:rFonts w:ascii="Bookman Old Style" w:hAnsi="Bookman Old Style"/>
        </w:rPr>
        <w:t xml:space="preserve">. </w:t>
      </w:r>
    </w:p>
    <w:p w14:paraId="4C5C3588" w14:textId="77777777" w:rsidR="003161B2" w:rsidRPr="00893145" w:rsidRDefault="003161B2" w:rsidP="00D70D55">
      <w:pPr>
        <w:spacing w:line="276" w:lineRule="auto"/>
        <w:ind w:left="0"/>
        <w:jc w:val="both"/>
        <w:rPr>
          <w:rFonts w:ascii="Bookman Old Style" w:hAnsi="Bookman Old Style"/>
        </w:rPr>
      </w:pPr>
    </w:p>
    <w:p w14:paraId="2C502C93" w14:textId="090A1A40" w:rsidR="005909AB" w:rsidRPr="00893145" w:rsidRDefault="00A42E07" w:rsidP="00D70D55">
      <w:pPr>
        <w:spacing w:line="276" w:lineRule="auto"/>
        <w:ind w:left="0"/>
        <w:jc w:val="both"/>
        <w:rPr>
          <w:rFonts w:ascii="Bookman Old Style" w:hAnsi="Bookman Old Style"/>
        </w:rPr>
      </w:pPr>
      <w:r w:rsidRPr="00893145">
        <w:rPr>
          <w:rFonts w:ascii="Bookman Old Style" w:hAnsi="Bookman Old Style"/>
        </w:rPr>
        <w:t>S</w:t>
      </w:r>
      <w:r w:rsidR="00393F73" w:rsidRPr="00893145">
        <w:rPr>
          <w:rFonts w:ascii="Bookman Old Style" w:hAnsi="Bookman Old Style"/>
        </w:rPr>
        <w:t xml:space="preserve">eñala que parte de </w:t>
      </w:r>
      <w:r w:rsidR="00BF0063" w:rsidRPr="00893145">
        <w:rPr>
          <w:rFonts w:ascii="Bookman Old Style" w:hAnsi="Bookman Old Style"/>
        </w:rPr>
        <w:t>l</w:t>
      </w:r>
      <w:r w:rsidR="00393F73" w:rsidRPr="00893145">
        <w:rPr>
          <w:rFonts w:ascii="Bookman Old Style" w:hAnsi="Bookman Old Style"/>
        </w:rPr>
        <w:t xml:space="preserve">a dificultad para concretar nuevos contratos, para las modalidades pague </w:t>
      </w:r>
      <w:r w:rsidR="00BF0063" w:rsidRPr="00893145">
        <w:rPr>
          <w:rFonts w:ascii="Bookman Old Style" w:hAnsi="Bookman Old Style"/>
        </w:rPr>
        <w:t>lo</w:t>
      </w:r>
      <w:r w:rsidR="00393F73" w:rsidRPr="00893145">
        <w:rPr>
          <w:rFonts w:ascii="Bookman Old Style" w:hAnsi="Bookman Old Style"/>
        </w:rPr>
        <w:t xml:space="preserve"> generado o pague </w:t>
      </w:r>
      <w:r w:rsidR="00C36CB2" w:rsidRPr="00893145">
        <w:rPr>
          <w:rFonts w:ascii="Bookman Old Style" w:hAnsi="Bookman Old Style"/>
        </w:rPr>
        <w:t>l</w:t>
      </w:r>
      <w:r w:rsidR="00393F73" w:rsidRPr="00893145">
        <w:rPr>
          <w:rFonts w:ascii="Bookman Old Style" w:hAnsi="Bookman Old Style"/>
        </w:rPr>
        <w:t xml:space="preserve">o contratado, tras </w:t>
      </w:r>
      <w:r w:rsidR="00FE6789" w:rsidRPr="00893145">
        <w:rPr>
          <w:rFonts w:ascii="Bookman Old Style" w:hAnsi="Bookman Old Style"/>
        </w:rPr>
        <w:t>l</w:t>
      </w:r>
      <w:r w:rsidR="00393F73" w:rsidRPr="00893145">
        <w:rPr>
          <w:rFonts w:ascii="Bookman Old Style" w:hAnsi="Bookman Old Style"/>
        </w:rPr>
        <w:t>a orden de toma de posesi</w:t>
      </w:r>
      <w:r w:rsidR="00FE6789" w:rsidRPr="00893145">
        <w:rPr>
          <w:rFonts w:ascii="Bookman Old Style" w:hAnsi="Bookman Old Style"/>
        </w:rPr>
        <w:t>ó</w:t>
      </w:r>
      <w:r w:rsidR="00393F73" w:rsidRPr="00893145">
        <w:rPr>
          <w:rFonts w:ascii="Bookman Old Style" w:hAnsi="Bookman Old Style"/>
        </w:rPr>
        <w:t xml:space="preserve">n, radica en </w:t>
      </w:r>
      <w:r w:rsidR="00AE7D94" w:rsidRPr="00893145">
        <w:rPr>
          <w:rFonts w:ascii="Bookman Old Style" w:hAnsi="Bookman Old Style"/>
        </w:rPr>
        <w:t>l</w:t>
      </w:r>
      <w:r w:rsidR="00393F73" w:rsidRPr="00893145">
        <w:rPr>
          <w:rFonts w:ascii="Bookman Old Style" w:hAnsi="Bookman Old Style"/>
        </w:rPr>
        <w:t xml:space="preserve">a imposibilidad de gestionar los mismos en un plazo corto o inmediato, debido a </w:t>
      </w:r>
      <w:r w:rsidR="00C12D57" w:rsidRPr="00893145">
        <w:rPr>
          <w:rFonts w:ascii="Bookman Old Style" w:hAnsi="Bookman Old Style"/>
        </w:rPr>
        <w:t>l</w:t>
      </w:r>
      <w:r w:rsidR="00393F73" w:rsidRPr="00893145">
        <w:rPr>
          <w:rFonts w:ascii="Bookman Old Style" w:hAnsi="Bookman Old Style"/>
        </w:rPr>
        <w:t>a necesidad de dar cumplimiento a los procedimientos establecidos para celebraci</w:t>
      </w:r>
      <w:r w:rsidR="00AE7D94" w:rsidRPr="00893145">
        <w:rPr>
          <w:rFonts w:ascii="Bookman Old Style" w:hAnsi="Bookman Old Style"/>
        </w:rPr>
        <w:t>ó</w:t>
      </w:r>
      <w:r w:rsidR="00393F73" w:rsidRPr="00893145">
        <w:rPr>
          <w:rFonts w:ascii="Bookman Old Style" w:hAnsi="Bookman Old Style"/>
        </w:rPr>
        <w:t>n de contratos de energ</w:t>
      </w:r>
      <w:r w:rsidR="00CD3294" w:rsidRPr="00893145">
        <w:rPr>
          <w:rFonts w:ascii="Bookman Old Style" w:hAnsi="Bookman Old Style"/>
        </w:rPr>
        <w:t>í</w:t>
      </w:r>
      <w:r w:rsidR="00393F73" w:rsidRPr="00893145">
        <w:rPr>
          <w:rFonts w:ascii="Bookman Old Style" w:hAnsi="Bookman Old Style"/>
        </w:rPr>
        <w:t>a destinados al mercado regulado, seg</w:t>
      </w:r>
      <w:r w:rsidR="0029738A" w:rsidRPr="00893145">
        <w:rPr>
          <w:rFonts w:ascii="Bookman Old Style" w:hAnsi="Bookman Old Style"/>
        </w:rPr>
        <w:t>ú</w:t>
      </w:r>
      <w:r w:rsidR="00393F73" w:rsidRPr="00893145">
        <w:rPr>
          <w:rFonts w:ascii="Bookman Old Style" w:hAnsi="Bookman Old Style"/>
        </w:rPr>
        <w:t>n lo dispuesto en el Cap</w:t>
      </w:r>
      <w:r w:rsidR="0029738A" w:rsidRPr="00893145">
        <w:rPr>
          <w:rFonts w:ascii="Bookman Old Style" w:hAnsi="Bookman Old Style"/>
        </w:rPr>
        <w:t>í</w:t>
      </w:r>
      <w:r w:rsidR="00393F73" w:rsidRPr="00893145">
        <w:rPr>
          <w:rFonts w:ascii="Bookman Old Style" w:hAnsi="Bookman Old Style"/>
        </w:rPr>
        <w:t>tulo I</w:t>
      </w:r>
      <w:r w:rsidR="0029738A" w:rsidRPr="00893145">
        <w:rPr>
          <w:rFonts w:ascii="Bookman Old Style" w:hAnsi="Bookman Old Style"/>
        </w:rPr>
        <w:t>II</w:t>
      </w:r>
      <w:r w:rsidR="00393F73" w:rsidRPr="00893145">
        <w:rPr>
          <w:rFonts w:ascii="Bookman Old Style" w:hAnsi="Bookman Old Style"/>
        </w:rPr>
        <w:t xml:space="preserve"> de </w:t>
      </w:r>
      <w:r w:rsidR="0029738A" w:rsidRPr="00893145">
        <w:rPr>
          <w:rFonts w:ascii="Bookman Old Style" w:hAnsi="Bookman Old Style"/>
        </w:rPr>
        <w:t>l</w:t>
      </w:r>
      <w:r w:rsidR="00393F73" w:rsidRPr="00893145">
        <w:rPr>
          <w:rFonts w:ascii="Bookman Old Style" w:hAnsi="Bookman Old Style"/>
        </w:rPr>
        <w:t>a Resoluci</w:t>
      </w:r>
      <w:r w:rsidR="0029738A" w:rsidRPr="00893145">
        <w:rPr>
          <w:rFonts w:ascii="Bookman Old Style" w:hAnsi="Bookman Old Style"/>
        </w:rPr>
        <w:t>ó</w:t>
      </w:r>
      <w:r w:rsidR="00393F73" w:rsidRPr="00893145">
        <w:rPr>
          <w:rFonts w:ascii="Bookman Old Style" w:hAnsi="Bookman Old Style"/>
        </w:rPr>
        <w:t xml:space="preserve">n CREG 130 de 2019, lo cual no permite </w:t>
      </w:r>
      <w:r w:rsidR="0029738A" w:rsidRPr="00893145">
        <w:rPr>
          <w:rFonts w:ascii="Bookman Old Style" w:hAnsi="Bookman Old Style"/>
        </w:rPr>
        <w:t>l</w:t>
      </w:r>
      <w:r w:rsidR="00393F73" w:rsidRPr="00893145">
        <w:rPr>
          <w:rFonts w:ascii="Bookman Old Style" w:hAnsi="Bookman Old Style"/>
        </w:rPr>
        <w:t>a contrataci</w:t>
      </w:r>
      <w:r w:rsidR="002319A3" w:rsidRPr="00893145">
        <w:rPr>
          <w:rFonts w:ascii="Bookman Old Style" w:hAnsi="Bookman Old Style"/>
        </w:rPr>
        <w:t>ó</w:t>
      </w:r>
      <w:r w:rsidR="00393F73" w:rsidRPr="00893145">
        <w:rPr>
          <w:rFonts w:ascii="Bookman Old Style" w:hAnsi="Bookman Old Style"/>
        </w:rPr>
        <w:t>n directa.</w:t>
      </w:r>
    </w:p>
    <w:p w14:paraId="19810751" w14:textId="77777777" w:rsidR="007C3082" w:rsidRPr="00893145" w:rsidRDefault="007C3082" w:rsidP="006D2598">
      <w:pPr>
        <w:spacing w:line="276" w:lineRule="auto"/>
        <w:ind w:left="0"/>
        <w:jc w:val="both"/>
        <w:rPr>
          <w:rFonts w:ascii="Bookman Old Style" w:hAnsi="Bookman Old Style"/>
        </w:rPr>
      </w:pPr>
    </w:p>
    <w:p w14:paraId="2186E3C7" w14:textId="2496A334" w:rsidR="00A11994" w:rsidRPr="00893145" w:rsidRDefault="00460109" w:rsidP="00A11994">
      <w:pPr>
        <w:spacing w:line="276" w:lineRule="auto"/>
        <w:ind w:left="0"/>
        <w:jc w:val="both"/>
        <w:rPr>
          <w:rFonts w:ascii="Bookman Old Style" w:hAnsi="Bookman Old Style"/>
        </w:rPr>
      </w:pPr>
      <w:r w:rsidRPr="00893145">
        <w:rPr>
          <w:rFonts w:ascii="Bookman Old Style" w:hAnsi="Bookman Old Style"/>
        </w:rPr>
        <w:t xml:space="preserve">Para ilustrar </w:t>
      </w:r>
      <w:r w:rsidR="008705F6" w:rsidRPr="00893145">
        <w:rPr>
          <w:rFonts w:ascii="Bookman Old Style" w:hAnsi="Bookman Old Style"/>
        </w:rPr>
        <w:t>lo anterior</w:t>
      </w:r>
      <w:r w:rsidRPr="00893145">
        <w:rPr>
          <w:rFonts w:ascii="Bookman Old Style" w:hAnsi="Bookman Old Style"/>
        </w:rPr>
        <w:t xml:space="preserve">, la SSPD presenta como ejemplos, </w:t>
      </w:r>
      <w:r w:rsidR="008705F6" w:rsidRPr="00893145">
        <w:rPr>
          <w:rFonts w:ascii="Bookman Old Style" w:hAnsi="Bookman Old Style"/>
        </w:rPr>
        <w:t>en los últimos diez años</w:t>
      </w:r>
      <w:r w:rsidRPr="00893145">
        <w:rPr>
          <w:rFonts w:ascii="Bookman Old Style" w:hAnsi="Bookman Old Style"/>
        </w:rPr>
        <w:t>,</w:t>
      </w:r>
      <w:r w:rsidR="007D18F1" w:rsidRPr="00893145">
        <w:rPr>
          <w:rFonts w:ascii="Bookman Old Style" w:hAnsi="Bookman Old Style"/>
        </w:rPr>
        <w:t xml:space="preserve"> </w:t>
      </w:r>
      <w:r w:rsidR="00A11994" w:rsidRPr="00893145">
        <w:rPr>
          <w:rFonts w:ascii="Bookman Old Style" w:hAnsi="Bookman Old Style"/>
        </w:rPr>
        <w:t>los</w:t>
      </w:r>
      <w:r w:rsidR="007D18F1" w:rsidRPr="00893145">
        <w:rPr>
          <w:rFonts w:ascii="Bookman Old Style" w:hAnsi="Bookman Old Style"/>
        </w:rPr>
        <w:t xml:space="preserve"> caso</w:t>
      </w:r>
      <w:r w:rsidR="00A11994" w:rsidRPr="00893145">
        <w:rPr>
          <w:rFonts w:ascii="Bookman Old Style" w:hAnsi="Bookman Old Style"/>
        </w:rPr>
        <w:t>s</w:t>
      </w:r>
      <w:r w:rsidR="007D18F1" w:rsidRPr="00893145">
        <w:rPr>
          <w:rFonts w:ascii="Bookman Old Style" w:hAnsi="Bookman Old Style"/>
        </w:rPr>
        <w:t xml:space="preserve"> de Empresas Municipales de Cartago S.A. E.S.P., </w:t>
      </w:r>
      <w:r w:rsidR="00A11994" w:rsidRPr="00893145">
        <w:rPr>
          <w:rFonts w:ascii="Bookman Old Style" w:hAnsi="Bookman Old Style"/>
        </w:rPr>
        <w:t xml:space="preserve">Electrificadora del Caribe S.A. E.S.P. y </w:t>
      </w:r>
      <w:r w:rsidR="009C00AC" w:rsidRPr="00893145">
        <w:rPr>
          <w:rFonts w:ascii="Bookman Old Style" w:hAnsi="Bookman Old Style"/>
        </w:rPr>
        <w:t>AIR-E S.A.S. E.S.P., que llegaron a estar expuestas</w:t>
      </w:r>
      <w:r w:rsidR="00BE7C77" w:rsidRPr="00893145">
        <w:rPr>
          <w:rFonts w:ascii="Bookman Old Style" w:hAnsi="Bookman Old Style"/>
        </w:rPr>
        <w:t xml:space="preserve"> hasta el 100%, 63% y 51%</w:t>
      </w:r>
      <w:r w:rsidR="00D85DCC" w:rsidRPr="00893145">
        <w:rPr>
          <w:rFonts w:ascii="Bookman Old Style" w:hAnsi="Bookman Old Style"/>
        </w:rPr>
        <w:t>, respectivamente,</w:t>
      </w:r>
      <w:r w:rsidR="00BE7C77" w:rsidRPr="00893145">
        <w:rPr>
          <w:rFonts w:ascii="Bookman Old Style" w:hAnsi="Bookman Old Style"/>
        </w:rPr>
        <w:t xml:space="preserve"> a compras de energía en bolsa para cubrir </w:t>
      </w:r>
      <w:r w:rsidR="00D85DCC" w:rsidRPr="00893145">
        <w:rPr>
          <w:rFonts w:ascii="Bookman Old Style" w:hAnsi="Bookman Old Style"/>
        </w:rPr>
        <w:t>la demanda por parte de sus usuarios</w:t>
      </w:r>
      <w:r w:rsidR="00BE7C77" w:rsidRPr="00893145">
        <w:rPr>
          <w:rFonts w:ascii="Bookman Old Style" w:hAnsi="Bookman Old Style"/>
        </w:rPr>
        <w:t>.</w:t>
      </w:r>
    </w:p>
    <w:p w14:paraId="46BBC914" w14:textId="77777777" w:rsidR="00A42E07" w:rsidRPr="00893145" w:rsidRDefault="00A42E07" w:rsidP="006D2598">
      <w:pPr>
        <w:spacing w:line="276" w:lineRule="auto"/>
        <w:ind w:left="0"/>
        <w:jc w:val="both"/>
        <w:rPr>
          <w:rFonts w:ascii="Bookman Old Style" w:hAnsi="Bookman Old Style"/>
        </w:rPr>
      </w:pPr>
    </w:p>
    <w:p w14:paraId="65B6C8A7" w14:textId="4DF5C6D9" w:rsidR="001C736B" w:rsidRPr="00893145" w:rsidRDefault="00A4526B" w:rsidP="006D2598">
      <w:pPr>
        <w:spacing w:line="276" w:lineRule="auto"/>
        <w:ind w:left="0"/>
        <w:jc w:val="both"/>
        <w:rPr>
          <w:rFonts w:ascii="Bookman Old Style" w:hAnsi="Bookman Old Style"/>
        </w:rPr>
      </w:pPr>
      <w:r w:rsidRPr="00893145">
        <w:rPr>
          <w:rFonts w:ascii="Bookman Old Style" w:hAnsi="Bookman Old Style"/>
        </w:rPr>
        <w:t>Así, se observa que e</w:t>
      </w:r>
      <w:r w:rsidR="007255DE" w:rsidRPr="00893145">
        <w:rPr>
          <w:rFonts w:ascii="Bookman Old Style" w:hAnsi="Bookman Old Style"/>
        </w:rPr>
        <w:t>l incumplimiento de obligaciones mercantiles,</w:t>
      </w:r>
      <w:r w:rsidR="00EA1324" w:rsidRPr="00893145">
        <w:rPr>
          <w:rFonts w:ascii="Bookman Old Style" w:hAnsi="Bookman Old Style"/>
        </w:rPr>
        <w:t xml:space="preserve"> que motiva</w:t>
      </w:r>
      <w:r w:rsidR="007255DE" w:rsidRPr="00893145">
        <w:rPr>
          <w:rFonts w:ascii="Bookman Old Style" w:hAnsi="Bookman Old Style"/>
        </w:rPr>
        <w:t>n</w:t>
      </w:r>
      <w:r w:rsidR="00EA1324" w:rsidRPr="00893145">
        <w:rPr>
          <w:rFonts w:ascii="Bookman Old Style" w:hAnsi="Bookman Old Style"/>
        </w:rPr>
        <w:t xml:space="preserve"> la toma de posesión por parte de la SSPD</w:t>
      </w:r>
      <w:r w:rsidR="007255DE" w:rsidRPr="00893145">
        <w:rPr>
          <w:rFonts w:ascii="Bookman Old Style" w:hAnsi="Bookman Old Style"/>
        </w:rPr>
        <w:t xml:space="preserve">, </w:t>
      </w:r>
      <w:r w:rsidRPr="00893145">
        <w:rPr>
          <w:rFonts w:ascii="Bookman Old Style" w:hAnsi="Bookman Old Style"/>
        </w:rPr>
        <w:t>ha derivado en una sobreexposición a compras en la bolsa de energía</w:t>
      </w:r>
      <w:r w:rsidR="00EF2279" w:rsidRPr="00893145">
        <w:rPr>
          <w:rFonts w:ascii="Bookman Old Style" w:hAnsi="Bookman Old Style"/>
        </w:rPr>
        <w:t xml:space="preserve"> para la atención de sus usuarios</w:t>
      </w:r>
      <w:r w:rsidRPr="00893145">
        <w:rPr>
          <w:rFonts w:ascii="Bookman Old Style" w:hAnsi="Bookman Old Style"/>
        </w:rPr>
        <w:t>.</w:t>
      </w:r>
      <w:r w:rsidR="00042DBA" w:rsidRPr="00893145">
        <w:rPr>
          <w:rFonts w:ascii="Bookman Old Style" w:hAnsi="Bookman Old Style"/>
        </w:rPr>
        <w:t xml:space="preserve"> Esta situación </w:t>
      </w:r>
      <w:r w:rsidR="000B51B7" w:rsidRPr="00893145">
        <w:rPr>
          <w:rFonts w:ascii="Bookman Old Style" w:hAnsi="Bookman Old Style"/>
        </w:rPr>
        <w:t>lleva</w:t>
      </w:r>
      <w:r w:rsidR="000F1FB2" w:rsidRPr="00893145">
        <w:rPr>
          <w:rFonts w:ascii="Bookman Old Style" w:hAnsi="Bookman Old Style"/>
        </w:rPr>
        <w:t xml:space="preserve"> </w:t>
      </w:r>
      <w:r w:rsidR="000B51B7" w:rsidRPr="00893145">
        <w:rPr>
          <w:rFonts w:ascii="Bookman Old Style" w:hAnsi="Bookman Old Style"/>
        </w:rPr>
        <w:t>al</w:t>
      </w:r>
      <w:r w:rsidR="000F1FB2" w:rsidRPr="00893145">
        <w:rPr>
          <w:rFonts w:ascii="Bookman Old Style" w:hAnsi="Bookman Old Style"/>
        </w:rPr>
        <w:t xml:space="preserve"> agente intervenido</w:t>
      </w:r>
      <w:r w:rsidR="000B51B7" w:rsidRPr="00893145">
        <w:rPr>
          <w:rFonts w:ascii="Bookman Old Style" w:hAnsi="Bookman Old Style"/>
        </w:rPr>
        <w:t xml:space="preserve"> </w:t>
      </w:r>
      <w:r w:rsidR="000F1FB2" w:rsidRPr="00893145">
        <w:rPr>
          <w:rFonts w:ascii="Bookman Old Style" w:hAnsi="Bookman Old Style"/>
        </w:rPr>
        <w:t>enfrentar</w:t>
      </w:r>
      <w:r w:rsidR="00F02765" w:rsidRPr="00893145">
        <w:rPr>
          <w:rFonts w:ascii="Bookman Old Style" w:hAnsi="Bookman Old Style"/>
        </w:rPr>
        <w:t xml:space="preserve"> </w:t>
      </w:r>
      <w:r w:rsidR="000F1FB2" w:rsidRPr="00893145">
        <w:rPr>
          <w:rFonts w:ascii="Bookman Old Style" w:hAnsi="Bookman Old Style"/>
        </w:rPr>
        <w:t xml:space="preserve">mayores exigencias </w:t>
      </w:r>
      <w:r w:rsidR="00F02765" w:rsidRPr="00893145">
        <w:rPr>
          <w:rFonts w:ascii="Bookman Old Style" w:hAnsi="Bookman Old Style"/>
        </w:rPr>
        <w:t>de liquidez</w:t>
      </w:r>
      <w:r w:rsidR="000F1FB2" w:rsidRPr="00893145">
        <w:rPr>
          <w:rFonts w:ascii="Bookman Old Style" w:hAnsi="Bookman Old Style"/>
        </w:rPr>
        <w:t xml:space="preserve"> para cubrir </w:t>
      </w:r>
      <w:r w:rsidR="00F02765" w:rsidRPr="00893145">
        <w:rPr>
          <w:rFonts w:ascii="Bookman Old Style" w:hAnsi="Bookman Old Style"/>
        </w:rPr>
        <w:t>estas</w:t>
      </w:r>
      <w:r w:rsidR="000F1FB2" w:rsidRPr="00893145">
        <w:rPr>
          <w:rFonts w:ascii="Bookman Old Style" w:hAnsi="Bookman Old Style"/>
        </w:rPr>
        <w:t xml:space="preserve"> obligaciones</w:t>
      </w:r>
      <w:r w:rsidR="00F02765" w:rsidRPr="00893145">
        <w:rPr>
          <w:rFonts w:ascii="Bookman Old Style" w:hAnsi="Bookman Old Style"/>
        </w:rPr>
        <w:t xml:space="preserve"> de corto plazo</w:t>
      </w:r>
      <w:r w:rsidR="000F1FB2" w:rsidRPr="00893145">
        <w:rPr>
          <w:rFonts w:ascii="Bookman Old Style" w:hAnsi="Bookman Old Style"/>
        </w:rPr>
        <w:t xml:space="preserve"> con el Mercado de Energía Mayorista</w:t>
      </w:r>
      <w:r w:rsidR="008F38A9" w:rsidRPr="00893145">
        <w:rPr>
          <w:rFonts w:ascii="Bookman Old Style" w:hAnsi="Bookman Old Style"/>
        </w:rPr>
        <w:t>, poniendo en riesgo la continuidad</w:t>
      </w:r>
      <w:r w:rsidR="00B712CF" w:rsidRPr="00893145">
        <w:rPr>
          <w:rFonts w:ascii="Bookman Old Style" w:hAnsi="Bookman Old Style"/>
        </w:rPr>
        <w:t xml:space="preserve"> y confiabilidad en el servicio que prestan.</w:t>
      </w:r>
    </w:p>
    <w:p w14:paraId="19DD6E8F" w14:textId="77777777" w:rsidR="00C41C65" w:rsidRPr="00893145" w:rsidRDefault="00C41C65" w:rsidP="006D2598">
      <w:pPr>
        <w:spacing w:line="276" w:lineRule="auto"/>
        <w:ind w:left="0"/>
        <w:jc w:val="both"/>
        <w:rPr>
          <w:rFonts w:ascii="Bookman Old Style" w:hAnsi="Bookman Old Style"/>
        </w:rPr>
      </w:pPr>
    </w:p>
    <w:p w14:paraId="067F7CF1" w14:textId="39F65C54" w:rsidR="007C3082" w:rsidRPr="00893145" w:rsidRDefault="00B712CF" w:rsidP="007C3082">
      <w:pPr>
        <w:spacing w:line="276" w:lineRule="auto"/>
        <w:ind w:left="0"/>
        <w:jc w:val="both"/>
        <w:rPr>
          <w:rFonts w:ascii="Bookman Old Style" w:hAnsi="Bookman Old Style"/>
        </w:rPr>
      </w:pPr>
      <w:r w:rsidRPr="00893145">
        <w:rPr>
          <w:rFonts w:ascii="Bookman Old Style" w:hAnsi="Bookman Old Style"/>
        </w:rPr>
        <w:t>De otra parte, u</w:t>
      </w:r>
      <w:r w:rsidR="007C3082" w:rsidRPr="00893145">
        <w:rPr>
          <w:rFonts w:ascii="Bookman Old Style" w:hAnsi="Bookman Old Style"/>
        </w:rPr>
        <w:t>n</w:t>
      </w:r>
      <w:r w:rsidR="00C8621C" w:rsidRPr="00893145">
        <w:rPr>
          <w:rFonts w:ascii="Bookman Old Style" w:hAnsi="Bookman Old Style"/>
        </w:rPr>
        <w:t xml:space="preserve"> alto volumen de</w:t>
      </w:r>
      <w:r w:rsidR="002D07E6" w:rsidRPr="00893145">
        <w:rPr>
          <w:rFonts w:ascii="Bookman Old Style" w:hAnsi="Bookman Old Style"/>
        </w:rPr>
        <w:t xml:space="preserve"> compras en</w:t>
      </w:r>
      <w:r w:rsidR="007C3082" w:rsidRPr="00893145">
        <w:rPr>
          <w:rFonts w:ascii="Bookman Old Style" w:hAnsi="Bookman Old Style"/>
        </w:rPr>
        <w:t xml:space="preserve"> la bolsa de energía</w:t>
      </w:r>
      <w:r w:rsidR="00C8621C" w:rsidRPr="00893145">
        <w:rPr>
          <w:rFonts w:ascii="Bookman Old Style" w:hAnsi="Bookman Old Style"/>
        </w:rPr>
        <w:t xml:space="preserve"> por parte del comercializador</w:t>
      </w:r>
      <w:r w:rsidR="002D07E6" w:rsidRPr="00893145">
        <w:rPr>
          <w:rFonts w:ascii="Bookman Old Style" w:hAnsi="Bookman Old Style"/>
        </w:rPr>
        <w:t xml:space="preserve"> conlleva a que</w:t>
      </w:r>
      <w:r w:rsidR="00305463" w:rsidRPr="00893145">
        <w:rPr>
          <w:rFonts w:ascii="Bookman Old Style" w:hAnsi="Bookman Old Style"/>
        </w:rPr>
        <w:t xml:space="preserve"> </w:t>
      </w:r>
      <w:r w:rsidR="00C8621C" w:rsidRPr="00893145">
        <w:rPr>
          <w:rFonts w:ascii="Bookman Old Style" w:hAnsi="Bookman Old Style"/>
        </w:rPr>
        <w:t>los usuarios queden expuestos a la volatilidad característica de este mercado de corto plazo</w:t>
      </w:r>
      <w:r w:rsidR="00237AFC" w:rsidRPr="00893145">
        <w:rPr>
          <w:rFonts w:ascii="Bookman Old Style" w:hAnsi="Bookman Old Style"/>
        </w:rPr>
        <w:t>, con</w:t>
      </w:r>
      <w:r w:rsidR="007C3082" w:rsidRPr="00893145">
        <w:rPr>
          <w:rFonts w:ascii="Bookman Old Style" w:hAnsi="Bookman Old Style"/>
        </w:rPr>
        <w:t xml:space="preserve"> incrementos</w:t>
      </w:r>
      <w:r w:rsidR="00237AFC" w:rsidRPr="00893145">
        <w:rPr>
          <w:rFonts w:ascii="Bookman Old Style" w:hAnsi="Bookman Old Style"/>
        </w:rPr>
        <w:t xml:space="preserve"> particularmente</w:t>
      </w:r>
      <w:r w:rsidR="007C3082" w:rsidRPr="00893145">
        <w:rPr>
          <w:rFonts w:ascii="Bookman Old Style" w:hAnsi="Bookman Old Style"/>
        </w:rPr>
        <w:t xml:space="preserve"> fuertes </w:t>
      </w:r>
      <w:r w:rsidR="00237AFC" w:rsidRPr="00893145">
        <w:rPr>
          <w:rFonts w:ascii="Bookman Old Style" w:hAnsi="Bookman Old Style"/>
        </w:rPr>
        <w:t>durante los periodos de baja hidrología en el país</w:t>
      </w:r>
      <w:r w:rsidR="007C3082" w:rsidRPr="00893145">
        <w:rPr>
          <w:rFonts w:ascii="Bookman Old Style" w:hAnsi="Bookman Old Style"/>
        </w:rPr>
        <w:t>.</w:t>
      </w:r>
    </w:p>
    <w:p w14:paraId="28E223AD" w14:textId="77777777" w:rsidR="007C3082" w:rsidRPr="00893145" w:rsidRDefault="007C3082" w:rsidP="006D2598">
      <w:pPr>
        <w:spacing w:line="276" w:lineRule="auto"/>
        <w:ind w:left="0"/>
        <w:jc w:val="both"/>
        <w:rPr>
          <w:rFonts w:ascii="Bookman Old Style" w:hAnsi="Bookman Old Style"/>
        </w:rPr>
      </w:pPr>
    </w:p>
    <w:p w14:paraId="70E2561E" w14:textId="45C239BB" w:rsidR="00233275" w:rsidRPr="00893145" w:rsidRDefault="00441A41" w:rsidP="006D2598">
      <w:pPr>
        <w:spacing w:line="276" w:lineRule="auto"/>
        <w:ind w:left="0"/>
        <w:jc w:val="both"/>
        <w:rPr>
          <w:rFonts w:ascii="Bookman Old Style" w:hAnsi="Bookman Old Style"/>
        </w:rPr>
      </w:pPr>
      <w:r w:rsidRPr="00893145">
        <w:rPr>
          <w:rFonts w:ascii="Bookman Old Style" w:hAnsi="Bookman Old Style"/>
        </w:rPr>
        <w:t xml:space="preserve">Al respecto, se ha observado que </w:t>
      </w:r>
      <w:r w:rsidR="00402D7F" w:rsidRPr="00893145">
        <w:rPr>
          <w:rFonts w:ascii="Bookman Old Style" w:hAnsi="Bookman Old Style"/>
        </w:rPr>
        <w:t>el traslado de estas volatilidades a través de la tari</w:t>
      </w:r>
      <w:r w:rsidR="001217A3" w:rsidRPr="00893145">
        <w:rPr>
          <w:rFonts w:ascii="Bookman Old Style" w:hAnsi="Bookman Old Style"/>
        </w:rPr>
        <w:t>fa</w:t>
      </w:r>
      <w:r w:rsidR="00402D7F" w:rsidRPr="00893145">
        <w:rPr>
          <w:rFonts w:ascii="Bookman Old Style" w:hAnsi="Bookman Old Style"/>
        </w:rPr>
        <w:t xml:space="preserve"> </w:t>
      </w:r>
      <w:r w:rsidR="001217A3" w:rsidRPr="00893145">
        <w:rPr>
          <w:rFonts w:ascii="Bookman Old Style" w:hAnsi="Bookman Old Style"/>
        </w:rPr>
        <w:t>de</w:t>
      </w:r>
      <w:r w:rsidR="00402D7F" w:rsidRPr="00893145">
        <w:rPr>
          <w:rFonts w:ascii="Bookman Old Style" w:hAnsi="Bookman Old Style"/>
        </w:rPr>
        <w:t xml:space="preserve"> los usuarios</w:t>
      </w:r>
      <w:r w:rsidR="001217A3" w:rsidRPr="00893145">
        <w:rPr>
          <w:rFonts w:ascii="Bookman Old Style" w:hAnsi="Bookman Old Style"/>
        </w:rPr>
        <w:t xml:space="preserve"> </w:t>
      </w:r>
      <w:r w:rsidR="003105D8" w:rsidRPr="00893145">
        <w:rPr>
          <w:rFonts w:ascii="Bookman Old Style" w:hAnsi="Bookman Old Style"/>
        </w:rPr>
        <w:t>regulados</w:t>
      </w:r>
      <w:r w:rsidR="001217A3" w:rsidRPr="00893145">
        <w:rPr>
          <w:rFonts w:ascii="Bookman Old Style" w:hAnsi="Bookman Old Style"/>
        </w:rPr>
        <w:t xml:space="preserve"> ha llegado a </w:t>
      </w:r>
      <w:r w:rsidR="003105D8" w:rsidRPr="00893145">
        <w:rPr>
          <w:rFonts w:ascii="Bookman Old Style" w:hAnsi="Bookman Old Style"/>
        </w:rPr>
        <w:t>derivar en</w:t>
      </w:r>
      <w:r w:rsidR="0014479A" w:rsidRPr="00893145">
        <w:rPr>
          <w:rFonts w:ascii="Bookman Old Style" w:hAnsi="Bookman Old Style"/>
        </w:rPr>
        <w:t xml:space="preserve"> situaciones </w:t>
      </w:r>
      <w:r w:rsidR="003105D8" w:rsidRPr="00893145">
        <w:rPr>
          <w:rFonts w:ascii="Bookman Old Style" w:hAnsi="Bookman Old Style"/>
        </w:rPr>
        <w:t>económicas y sociales que afectan de manera grave la prestación</w:t>
      </w:r>
      <w:r w:rsidR="00A46FF1" w:rsidRPr="00893145">
        <w:rPr>
          <w:rFonts w:ascii="Bookman Old Style" w:hAnsi="Bookman Old Style"/>
        </w:rPr>
        <w:t xml:space="preserve"> continua</w:t>
      </w:r>
      <w:r w:rsidR="003105D8" w:rsidRPr="00893145">
        <w:rPr>
          <w:rFonts w:ascii="Bookman Old Style" w:hAnsi="Bookman Old Style"/>
        </w:rPr>
        <w:t xml:space="preserve"> del servicio</w:t>
      </w:r>
      <w:r w:rsidR="001217A3" w:rsidRPr="00893145">
        <w:rPr>
          <w:rFonts w:ascii="Bookman Old Style" w:hAnsi="Bookman Old Style"/>
        </w:rPr>
        <w:t xml:space="preserve">. </w:t>
      </w:r>
      <w:r w:rsidR="00A46FF1" w:rsidRPr="00893145">
        <w:rPr>
          <w:rFonts w:ascii="Bookman Old Style" w:hAnsi="Bookman Old Style"/>
        </w:rPr>
        <w:t>Este</w:t>
      </w:r>
      <w:r w:rsidR="001217A3" w:rsidRPr="00893145">
        <w:rPr>
          <w:rFonts w:ascii="Bookman Old Style" w:hAnsi="Bookman Old Style"/>
        </w:rPr>
        <w:t xml:space="preserve"> es el caso</w:t>
      </w:r>
      <w:r w:rsidR="003105D8" w:rsidRPr="00893145">
        <w:rPr>
          <w:rFonts w:ascii="Bookman Old Style" w:hAnsi="Bookman Old Style"/>
        </w:rPr>
        <w:t xml:space="preserve"> actual de </w:t>
      </w:r>
      <w:r w:rsidR="00A46FF1" w:rsidRPr="00893145">
        <w:rPr>
          <w:rFonts w:ascii="Bookman Old Style" w:hAnsi="Bookman Old Style"/>
        </w:rPr>
        <w:t>la Región Caribe</w:t>
      </w:r>
      <w:r w:rsidR="00180422" w:rsidRPr="00893145">
        <w:rPr>
          <w:rFonts w:ascii="Bookman Old Style" w:hAnsi="Bookman Old Style"/>
        </w:rPr>
        <w:t xml:space="preserve">, problemática que se detalla en el </w:t>
      </w:r>
      <w:r w:rsidR="000B6F4D" w:rsidRPr="00893145">
        <w:rPr>
          <w:rFonts w:ascii="Bookman Old Style" w:hAnsi="Bookman Old Style"/>
        </w:rPr>
        <w:t>informe temático</w:t>
      </w:r>
      <w:r w:rsidR="000B6F4D" w:rsidRPr="00893145">
        <w:rPr>
          <w:rFonts w:ascii="Bookman Old Style" w:hAnsi="Bookman Old Style"/>
          <w:i/>
          <w:iCs/>
        </w:rPr>
        <w:t xml:space="preserve"> “</w:t>
      </w:r>
      <w:r w:rsidR="0029349B" w:rsidRPr="00893145">
        <w:rPr>
          <w:rFonts w:ascii="Bookman Old Style" w:hAnsi="Bookman Old Style"/>
          <w:i/>
          <w:iCs/>
        </w:rPr>
        <w:t xml:space="preserve">Conflictividad Social en la Prestación de los Servicios Públicos </w:t>
      </w:r>
      <w:r w:rsidR="0029349B" w:rsidRPr="00893145">
        <w:rPr>
          <w:rFonts w:ascii="Bookman Old Style" w:hAnsi="Bookman Old Style"/>
          <w:i/>
          <w:iCs/>
        </w:rPr>
        <w:lastRenderedPageBreak/>
        <w:t>Domiciliarios – Caso Bolívar, Sucre y Córdoba 2024”</w:t>
      </w:r>
      <w:r w:rsidR="004F5C49" w:rsidRPr="00893145">
        <w:rPr>
          <w:rFonts w:ascii="Bookman Old Style" w:hAnsi="Bookman Old Style"/>
        </w:rPr>
        <w:t>, elaborado por la Defensoría del Pueblo.</w:t>
      </w:r>
    </w:p>
    <w:p w14:paraId="380AE020" w14:textId="77777777" w:rsidR="009F4527" w:rsidRPr="00893145" w:rsidRDefault="009F4527" w:rsidP="006D2598">
      <w:pPr>
        <w:spacing w:line="276" w:lineRule="auto"/>
        <w:ind w:left="0"/>
        <w:jc w:val="both"/>
        <w:rPr>
          <w:rFonts w:ascii="Bookman Old Style" w:hAnsi="Bookman Old Style"/>
        </w:rPr>
      </w:pPr>
    </w:p>
    <w:p w14:paraId="4D2409EE" w14:textId="383C1F8E" w:rsidR="00D55AFE" w:rsidRPr="00893145" w:rsidRDefault="00D55AFE" w:rsidP="006D2598">
      <w:pPr>
        <w:spacing w:line="276" w:lineRule="auto"/>
        <w:ind w:left="0"/>
        <w:jc w:val="both"/>
        <w:rPr>
          <w:rFonts w:ascii="Bookman Old Style" w:hAnsi="Bookman Old Style"/>
        </w:rPr>
      </w:pPr>
      <w:r w:rsidRPr="00893145">
        <w:rPr>
          <w:rFonts w:ascii="Bookman Old Style" w:hAnsi="Bookman Old Style"/>
        </w:rPr>
        <w:t xml:space="preserve">En particular, el mencionado documento señala que, </w:t>
      </w:r>
      <w:r w:rsidR="009F4527" w:rsidRPr="00893145">
        <w:rPr>
          <w:rFonts w:ascii="Bookman Old Style" w:hAnsi="Bookman Old Style"/>
        </w:rPr>
        <w:t xml:space="preserve">del total de eventos de conflictos sociales manifiestos, el </w:t>
      </w:r>
      <w:r w:rsidR="00A65143" w:rsidRPr="00893145">
        <w:rPr>
          <w:rFonts w:ascii="Bookman Old Style" w:hAnsi="Bookman Old Style"/>
        </w:rPr>
        <w:t>51</w:t>
      </w:r>
      <w:r w:rsidR="009F4527" w:rsidRPr="00893145">
        <w:rPr>
          <w:rFonts w:ascii="Bookman Old Style" w:hAnsi="Bookman Old Style"/>
        </w:rPr>
        <w:t>% (</w:t>
      </w:r>
      <w:r w:rsidR="00A65143" w:rsidRPr="00893145">
        <w:rPr>
          <w:rFonts w:ascii="Bookman Old Style" w:hAnsi="Bookman Old Style"/>
        </w:rPr>
        <w:t>366</w:t>
      </w:r>
      <w:r w:rsidR="009F4527" w:rsidRPr="00893145">
        <w:rPr>
          <w:rFonts w:ascii="Bookman Old Style" w:hAnsi="Bookman Old Style"/>
        </w:rPr>
        <w:t>) correspondió a</w:t>
      </w:r>
      <w:r w:rsidR="00A65143" w:rsidRPr="00893145">
        <w:rPr>
          <w:rFonts w:ascii="Bookman Old Style" w:hAnsi="Bookman Old Style"/>
        </w:rPr>
        <w:t>l</w:t>
      </w:r>
      <w:r w:rsidR="009F4527" w:rsidRPr="00893145">
        <w:rPr>
          <w:rFonts w:ascii="Bookman Old Style" w:hAnsi="Bookman Old Style"/>
        </w:rPr>
        <w:t xml:space="preserve"> se</w:t>
      </w:r>
      <w:r w:rsidR="00A65143" w:rsidRPr="00893145">
        <w:rPr>
          <w:rFonts w:ascii="Bookman Old Style" w:hAnsi="Bookman Old Style"/>
        </w:rPr>
        <w:t>rvicio público</w:t>
      </w:r>
      <w:r w:rsidR="009F4527" w:rsidRPr="00893145">
        <w:rPr>
          <w:rFonts w:ascii="Bookman Old Style" w:hAnsi="Bookman Old Style"/>
        </w:rPr>
        <w:t xml:space="preserve"> de energía</w:t>
      </w:r>
      <w:r w:rsidR="00A65143" w:rsidRPr="00893145">
        <w:rPr>
          <w:rFonts w:ascii="Bookman Old Style" w:hAnsi="Bookman Old Style"/>
        </w:rPr>
        <w:t xml:space="preserve"> eléctrica</w:t>
      </w:r>
      <w:r w:rsidR="009F4527" w:rsidRPr="00893145">
        <w:rPr>
          <w:rFonts w:ascii="Bookman Old Style" w:hAnsi="Bookman Old Style"/>
        </w:rPr>
        <w:t>.</w:t>
      </w:r>
    </w:p>
    <w:p w14:paraId="12689ED6" w14:textId="77777777" w:rsidR="00D55AFE" w:rsidRPr="00893145" w:rsidRDefault="00D55AFE" w:rsidP="006D2598">
      <w:pPr>
        <w:spacing w:line="276" w:lineRule="auto"/>
        <w:ind w:left="0"/>
        <w:jc w:val="both"/>
        <w:rPr>
          <w:rFonts w:ascii="Bookman Old Style" w:hAnsi="Bookman Old Style"/>
        </w:rPr>
      </w:pPr>
    </w:p>
    <w:p w14:paraId="17020FC5" w14:textId="62EFABB0" w:rsidR="00D70D55" w:rsidRPr="00893145" w:rsidRDefault="006A51E6" w:rsidP="006D2598">
      <w:pPr>
        <w:spacing w:line="276" w:lineRule="auto"/>
        <w:ind w:left="0"/>
        <w:jc w:val="both"/>
        <w:rPr>
          <w:rFonts w:ascii="Bookman Old Style" w:hAnsi="Bookman Old Style"/>
        </w:rPr>
      </w:pPr>
      <w:r w:rsidRPr="00893145">
        <w:rPr>
          <w:rFonts w:ascii="Bookman Old Style" w:hAnsi="Bookman Old Style"/>
        </w:rPr>
        <w:t>Las situaciones descritas</w:t>
      </w:r>
      <w:r w:rsidR="00D70D55" w:rsidRPr="00893145">
        <w:rPr>
          <w:rFonts w:ascii="Bookman Old Style" w:hAnsi="Bookman Old Style"/>
        </w:rPr>
        <w:t xml:space="preserve"> hacen necesario que se implemente</w:t>
      </w:r>
      <w:r w:rsidR="000D58C9" w:rsidRPr="00893145">
        <w:rPr>
          <w:rFonts w:ascii="Bookman Old Style" w:hAnsi="Bookman Old Style"/>
        </w:rPr>
        <w:t>n</w:t>
      </w:r>
      <w:r w:rsidR="00860700" w:rsidRPr="00893145">
        <w:rPr>
          <w:rFonts w:ascii="Bookman Old Style" w:hAnsi="Bookman Old Style"/>
        </w:rPr>
        <w:t xml:space="preserve"> </w:t>
      </w:r>
      <w:r w:rsidR="000D58C9" w:rsidRPr="00893145">
        <w:rPr>
          <w:rFonts w:ascii="Bookman Old Style" w:hAnsi="Bookman Old Style"/>
        </w:rPr>
        <w:t>disposiciones regulatorias</w:t>
      </w:r>
      <w:r w:rsidR="00D70D55" w:rsidRPr="00893145">
        <w:rPr>
          <w:rFonts w:ascii="Bookman Old Style" w:hAnsi="Bookman Old Style"/>
        </w:rPr>
        <w:t xml:space="preserve"> que permita</w:t>
      </w:r>
      <w:r w:rsidR="000D58C9" w:rsidRPr="00893145">
        <w:rPr>
          <w:rFonts w:ascii="Bookman Old Style" w:hAnsi="Bookman Old Style"/>
        </w:rPr>
        <w:t>n</w:t>
      </w:r>
      <w:r w:rsidR="00D70D55" w:rsidRPr="00893145">
        <w:rPr>
          <w:rFonts w:ascii="Bookman Old Style" w:hAnsi="Bookman Old Style"/>
        </w:rPr>
        <w:t xml:space="preserve"> </w:t>
      </w:r>
      <w:r w:rsidR="00860700" w:rsidRPr="00893145">
        <w:rPr>
          <w:rFonts w:ascii="Bookman Old Style" w:hAnsi="Bookman Old Style"/>
        </w:rPr>
        <w:t xml:space="preserve">adelantar la suscripción directa de contratos </w:t>
      </w:r>
      <w:r w:rsidR="00C208B4" w:rsidRPr="00893145">
        <w:rPr>
          <w:rFonts w:ascii="Bookman Old Style" w:hAnsi="Bookman Old Style"/>
        </w:rPr>
        <w:t xml:space="preserve">por parte de </w:t>
      </w:r>
      <w:r w:rsidR="00860700" w:rsidRPr="00893145">
        <w:rPr>
          <w:rFonts w:ascii="Bookman Old Style" w:hAnsi="Bookman Old Style"/>
        </w:rPr>
        <w:t>comercializadores</w:t>
      </w:r>
      <w:r w:rsidR="00C208B4" w:rsidRPr="00893145">
        <w:rPr>
          <w:rFonts w:ascii="Bookman Old Style" w:hAnsi="Bookman Old Style"/>
        </w:rPr>
        <w:t xml:space="preserve"> </w:t>
      </w:r>
      <w:r w:rsidR="003F009E" w:rsidRPr="00893145">
        <w:rPr>
          <w:rFonts w:ascii="Bookman Old Style" w:hAnsi="Bookman Old Style"/>
        </w:rPr>
        <w:t>sobre los cuales se ordena la toma de posesión por parte de la SSPD</w:t>
      </w:r>
      <w:r w:rsidR="002E50D6" w:rsidRPr="00893145">
        <w:rPr>
          <w:rFonts w:ascii="Bookman Old Style" w:hAnsi="Bookman Old Style"/>
        </w:rPr>
        <w:t xml:space="preserve">, </w:t>
      </w:r>
      <w:r w:rsidR="00210072" w:rsidRPr="00893145">
        <w:rPr>
          <w:rFonts w:ascii="Bookman Old Style" w:hAnsi="Bookman Old Style"/>
        </w:rPr>
        <w:t>motivada en lo dispuesto en el numeral 7 del artículo 59 de la Ley 142 de 1994,</w:t>
      </w:r>
      <w:r w:rsidR="00860700" w:rsidRPr="00893145">
        <w:rPr>
          <w:rFonts w:ascii="Bookman Old Style" w:hAnsi="Bookman Old Style"/>
        </w:rPr>
        <w:t xml:space="preserve"> para</w:t>
      </w:r>
      <w:r w:rsidR="004D5CE4" w:rsidRPr="00893145">
        <w:rPr>
          <w:rFonts w:ascii="Bookman Old Style" w:hAnsi="Bookman Old Style"/>
        </w:rPr>
        <w:t xml:space="preserve"> </w:t>
      </w:r>
      <w:r w:rsidR="00244584" w:rsidRPr="00893145">
        <w:rPr>
          <w:rFonts w:ascii="Bookman Old Style" w:hAnsi="Bookman Old Style"/>
        </w:rPr>
        <w:t>salvaguardar la</w:t>
      </w:r>
      <w:r w:rsidR="002D5219" w:rsidRPr="00893145">
        <w:rPr>
          <w:rFonts w:ascii="Bookman Old Style" w:hAnsi="Bookman Old Style"/>
        </w:rPr>
        <w:t xml:space="preserve"> adecuada</w:t>
      </w:r>
      <w:r w:rsidR="00244584" w:rsidRPr="00893145">
        <w:rPr>
          <w:rFonts w:ascii="Bookman Old Style" w:hAnsi="Bookman Old Style"/>
        </w:rPr>
        <w:t xml:space="preserve"> prestación</w:t>
      </w:r>
      <w:r w:rsidR="002D5219" w:rsidRPr="00893145">
        <w:rPr>
          <w:rFonts w:ascii="Bookman Old Style" w:hAnsi="Bookman Old Style"/>
        </w:rPr>
        <w:t xml:space="preserve"> del</w:t>
      </w:r>
      <w:r w:rsidR="00244584" w:rsidRPr="00893145">
        <w:rPr>
          <w:rFonts w:ascii="Bookman Old Style" w:hAnsi="Bookman Old Style"/>
        </w:rPr>
        <w:t xml:space="preserve"> servicio</w:t>
      </w:r>
      <w:r w:rsidR="002D5219" w:rsidRPr="00893145">
        <w:rPr>
          <w:rFonts w:ascii="Bookman Old Style" w:hAnsi="Bookman Old Style"/>
        </w:rPr>
        <w:t xml:space="preserve"> </w:t>
      </w:r>
      <w:r w:rsidR="00244584" w:rsidRPr="00893145">
        <w:rPr>
          <w:rFonts w:ascii="Bookman Old Style" w:hAnsi="Bookman Old Style"/>
        </w:rPr>
        <w:t>y proteger los derechos de los usuarios</w:t>
      </w:r>
      <w:r w:rsidR="00860700" w:rsidRPr="00893145">
        <w:rPr>
          <w:rFonts w:ascii="Bookman Old Style" w:hAnsi="Bookman Old Style"/>
        </w:rPr>
        <w:t>.</w:t>
      </w:r>
    </w:p>
    <w:p w14:paraId="171B17E3" w14:textId="15030650" w:rsidR="11B838AA" w:rsidRPr="00893145" w:rsidRDefault="11B838AA" w:rsidP="11B838AA">
      <w:pPr>
        <w:spacing w:line="276" w:lineRule="auto"/>
        <w:ind w:left="0"/>
        <w:jc w:val="both"/>
        <w:rPr>
          <w:rFonts w:ascii="Bookman Old Style" w:hAnsi="Bookman Old Style"/>
        </w:rPr>
      </w:pPr>
    </w:p>
    <w:p w14:paraId="642CFD73" w14:textId="250311BD" w:rsidR="7DBCE4F6" w:rsidRPr="00893145" w:rsidRDefault="7DBCE4F6" w:rsidP="11B838AA">
      <w:pPr>
        <w:spacing w:line="276" w:lineRule="auto"/>
        <w:ind w:left="0"/>
        <w:jc w:val="both"/>
        <w:rPr>
          <w:rFonts w:ascii="Bookman Old Style" w:hAnsi="Bookman Old Style"/>
        </w:rPr>
      </w:pPr>
      <w:r w:rsidRPr="00893145">
        <w:rPr>
          <w:rFonts w:ascii="Bookman Old Style" w:hAnsi="Bookman Old Style"/>
        </w:rPr>
        <w:t>Mediante la Resolución CREG 701-0</w:t>
      </w:r>
      <w:r w:rsidR="49071B67" w:rsidRPr="00893145">
        <w:rPr>
          <w:rFonts w:ascii="Bookman Old Style" w:hAnsi="Bookman Old Style"/>
        </w:rPr>
        <w:t>76</w:t>
      </w:r>
      <w:r w:rsidRPr="00893145">
        <w:rPr>
          <w:rFonts w:ascii="Bookman Old Style" w:hAnsi="Bookman Old Style"/>
        </w:rPr>
        <w:t xml:space="preserve"> de 2024, la Comisión publicó el proyecto de resolución “</w:t>
      </w:r>
      <w:r w:rsidR="658FEDE4" w:rsidRPr="00893145">
        <w:rPr>
          <w:rFonts w:ascii="Bookman Old Style" w:hAnsi="Bookman Old Style"/>
        </w:rPr>
        <w:t>Por la cual se dictan disposiciones para las compras de energía eléctrica con destino al mercado regulado por parte de comercializadores sobre los cuales se ordena la toma de posesión por parte de la Superintendencia de Servicios Públicos Domiciliarios motivada en lo dispuesto en el artículo 59.7 de la Ley 142 de 1994</w:t>
      </w:r>
      <w:r w:rsidRPr="00893145">
        <w:rPr>
          <w:rFonts w:ascii="Bookman Old Style" w:hAnsi="Bookman Old Style"/>
        </w:rPr>
        <w:t>”.</w:t>
      </w:r>
    </w:p>
    <w:p w14:paraId="7AAF76C9" w14:textId="2A1992C1" w:rsidR="11B838AA" w:rsidRPr="00893145" w:rsidRDefault="11B838AA" w:rsidP="11B838AA">
      <w:pPr>
        <w:spacing w:line="276" w:lineRule="auto"/>
        <w:ind w:left="0"/>
        <w:jc w:val="both"/>
        <w:rPr>
          <w:rFonts w:ascii="Bookman Old Style" w:hAnsi="Bookman Old Style"/>
        </w:rPr>
      </w:pPr>
    </w:p>
    <w:p w14:paraId="6C1729D9" w14:textId="79129AAC" w:rsidR="7DBCE4F6" w:rsidRPr="00893145" w:rsidRDefault="7DBCE4F6" w:rsidP="11B838AA">
      <w:pPr>
        <w:spacing w:after="240"/>
        <w:ind w:left="0"/>
        <w:jc w:val="both"/>
        <w:rPr>
          <w:rFonts w:ascii="Bookman Old Style" w:hAnsi="Bookman Old Style"/>
        </w:rPr>
      </w:pPr>
      <w:r w:rsidRPr="00893145">
        <w:rPr>
          <w:rFonts w:ascii="Bookman Old Style" w:hAnsi="Bookman Old Style"/>
        </w:rPr>
        <w:t xml:space="preserve">En el plazo establecido para la consulta, se recibieron comentarios de: </w:t>
      </w:r>
      <w:r w:rsidR="1D59E82B" w:rsidRPr="00893145">
        <w:rPr>
          <w:rFonts w:ascii="Bookman Old Style" w:hAnsi="Bookman Old Style"/>
        </w:rPr>
        <w:t>NITRO ENERGY</w:t>
      </w:r>
      <w:r w:rsidRPr="00893145">
        <w:rPr>
          <w:rFonts w:ascii="Bookman Old Style" w:hAnsi="Bookman Old Style"/>
        </w:rPr>
        <w:t xml:space="preserve"> E20240</w:t>
      </w:r>
      <w:r w:rsidR="012E5C4A" w:rsidRPr="00893145">
        <w:rPr>
          <w:rFonts w:ascii="Bookman Old Style" w:hAnsi="Bookman Old Style"/>
        </w:rPr>
        <w:t>19046</w:t>
      </w:r>
      <w:r w:rsidRPr="00893145">
        <w:rPr>
          <w:rFonts w:ascii="Bookman Old Style" w:hAnsi="Bookman Old Style"/>
        </w:rPr>
        <w:t xml:space="preserve">; </w:t>
      </w:r>
      <w:r w:rsidR="222207DA" w:rsidRPr="00893145">
        <w:rPr>
          <w:rFonts w:ascii="Bookman Old Style" w:hAnsi="Bookman Old Style"/>
        </w:rPr>
        <w:t xml:space="preserve">ASOCIACIÓN NACIONAL DE EMPRESAS GENERADORAS (ANDEG) </w:t>
      </w:r>
      <w:r w:rsidR="67E767C6" w:rsidRPr="00893145">
        <w:rPr>
          <w:rFonts w:ascii="Bookman Old Style" w:hAnsi="Bookman Old Style"/>
        </w:rPr>
        <w:t xml:space="preserve">E2024019062; </w:t>
      </w:r>
      <w:r w:rsidR="4F4EA61A" w:rsidRPr="00893145">
        <w:rPr>
          <w:rFonts w:ascii="Bookman Old Style" w:hAnsi="Bookman Old Style"/>
        </w:rPr>
        <w:t>EMPRESAS PÚBLICAS DE MEDELLÍN E.S.P</w:t>
      </w:r>
      <w:r w:rsidR="06EE9290" w:rsidRPr="00893145">
        <w:rPr>
          <w:rFonts w:ascii="Bookman Old Style" w:hAnsi="Bookman Old Style"/>
        </w:rPr>
        <w:t xml:space="preserve"> </w:t>
      </w:r>
      <w:r w:rsidR="4F4EA61A" w:rsidRPr="00893145">
        <w:rPr>
          <w:rFonts w:ascii="Bookman Old Style" w:hAnsi="Bookman Old Style"/>
        </w:rPr>
        <w:t xml:space="preserve">E2024019078; </w:t>
      </w:r>
      <w:r w:rsidR="5B28D5DA" w:rsidRPr="00893145">
        <w:rPr>
          <w:rFonts w:ascii="Bookman Old Style" w:hAnsi="Bookman Old Style"/>
        </w:rPr>
        <w:t xml:space="preserve">COMPAÑÍA DE EXPERTOS EN MERCADOS S.A E.S.P. </w:t>
      </w:r>
      <w:r w:rsidR="0661EF94" w:rsidRPr="00893145">
        <w:rPr>
          <w:rFonts w:ascii="Bookman Old Style" w:hAnsi="Bookman Old Style"/>
        </w:rPr>
        <w:t>E2024019097; CONEXIÓN ENERGÉTICA SAS E</w:t>
      </w:r>
      <w:r w:rsidR="580AF0FB" w:rsidRPr="00893145">
        <w:rPr>
          <w:rFonts w:ascii="Bookman Old Style" w:hAnsi="Bookman Old Style"/>
        </w:rPr>
        <w:t xml:space="preserve">.S.P. E2024019104; GECELCA </w:t>
      </w:r>
      <w:r w:rsidR="7098531E" w:rsidRPr="00893145">
        <w:rPr>
          <w:rFonts w:ascii="Bookman Old Style" w:hAnsi="Bookman Old Style"/>
        </w:rPr>
        <w:t>E2024019105; AIR-E</w:t>
      </w:r>
      <w:r w:rsidR="39B0BB37" w:rsidRPr="00893145">
        <w:rPr>
          <w:rFonts w:ascii="Bookman Old Style" w:hAnsi="Bookman Old Style"/>
        </w:rPr>
        <w:t xml:space="preserve"> S.A.S. E.S.P. E2024019106; </w:t>
      </w:r>
      <w:r w:rsidR="5AF7E7EA" w:rsidRPr="00893145">
        <w:rPr>
          <w:rFonts w:ascii="Bookman Old Style" w:hAnsi="Bookman Old Style"/>
        </w:rPr>
        <w:t xml:space="preserve">ASOCIACIÓN COLOMBIANA DE GENERADORES DE ENERGÍA ELÉCTRICA (ACOLGEN) </w:t>
      </w:r>
      <w:r w:rsidR="0870AF74" w:rsidRPr="00893145">
        <w:rPr>
          <w:rFonts w:ascii="Bookman Old Style" w:hAnsi="Bookman Old Style"/>
        </w:rPr>
        <w:t xml:space="preserve">E2024019108; </w:t>
      </w:r>
      <w:r w:rsidR="6E5CB351" w:rsidRPr="00893145">
        <w:rPr>
          <w:rFonts w:ascii="Bookman Old Style" w:hAnsi="Bookman Old Style"/>
        </w:rPr>
        <w:t>ENEL COLOMBIA S.A E.S.P. E2024019</w:t>
      </w:r>
      <w:r w:rsidR="4986E073" w:rsidRPr="00893145">
        <w:rPr>
          <w:rFonts w:ascii="Bookman Old Style" w:hAnsi="Bookman Old Style"/>
        </w:rPr>
        <w:t xml:space="preserve">132; ASOCIACIÓN </w:t>
      </w:r>
      <w:r w:rsidR="5041C725" w:rsidRPr="00893145">
        <w:rPr>
          <w:rFonts w:ascii="Bookman Old Style" w:hAnsi="Bookman Old Style"/>
        </w:rPr>
        <w:t>NACIONAL DE EMPRESAS DE SERVICIOS PÚBLICOS Y COMUNICACIONES (ANDESCO) E202401913</w:t>
      </w:r>
      <w:r w:rsidR="42CB4A2A" w:rsidRPr="00893145">
        <w:rPr>
          <w:rFonts w:ascii="Bookman Old Style" w:hAnsi="Bookman Old Style"/>
        </w:rPr>
        <w:t>6; DEPI ENERGY SAS E.S.P E2024019141</w:t>
      </w:r>
      <w:r w:rsidR="22870870" w:rsidRPr="00893145">
        <w:rPr>
          <w:rFonts w:ascii="Bookman Old Style" w:hAnsi="Bookman Old Style"/>
        </w:rPr>
        <w:t xml:space="preserve">; </w:t>
      </w:r>
      <w:r w:rsidR="19EE1DF0" w:rsidRPr="00893145">
        <w:rPr>
          <w:rFonts w:ascii="Bookman Old Style" w:hAnsi="Bookman Old Style"/>
        </w:rPr>
        <w:t>ASOCIACIÓN COLOMBIANA DE DISTRIBUIDORES DE ENERGÍA ELÉCTRICA (ASOCODIS) E2024019142</w:t>
      </w:r>
      <w:r w:rsidR="3D6A418F" w:rsidRPr="00893145">
        <w:rPr>
          <w:rFonts w:ascii="Bookman Old Style" w:hAnsi="Bookman Old Style"/>
        </w:rPr>
        <w:t>; SER COLOMBIA ASOCIACIÓN ENERGÍAS REN</w:t>
      </w:r>
      <w:r w:rsidR="755F3665" w:rsidRPr="00893145">
        <w:rPr>
          <w:rFonts w:ascii="Bookman Old Style" w:hAnsi="Bookman Old Style"/>
        </w:rPr>
        <w:t xml:space="preserve">OVABLES </w:t>
      </w:r>
      <w:r w:rsidR="3D6A418F" w:rsidRPr="00893145">
        <w:rPr>
          <w:rFonts w:ascii="Bookman Old Style" w:hAnsi="Bookman Old Style"/>
        </w:rPr>
        <w:t>E2024019143</w:t>
      </w:r>
      <w:r w:rsidR="6A040609" w:rsidRPr="00893145">
        <w:rPr>
          <w:rFonts w:ascii="Bookman Old Style" w:hAnsi="Bookman Old Style"/>
        </w:rPr>
        <w:t xml:space="preserve"> y SUPERINTENDENCIA DE SERVICIOS PÚBLICOS DOMICILIARIOS E2024019204, E2024019263</w:t>
      </w:r>
      <w:r w:rsidR="4E23C23F" w:rsidRPr="00893145">
        <w:rPr>
          <w:rFonts w:ascii="Bookman Old Style" w:hAnsi="Bookman Old Style"/>
        </w:rPr>
        <w:t>.</w:t>
      </w:r>
      <w:r w:rsidRPr="00893145">
        <w:tab/>
      </w:r>
    </w:p>
    <w:p w14:paraId="65A3C281" w14:textId="629F5F0F" w:rsidR="7DBCE4F6" w:rsidRPr="00893145" w:rsidRDefault="7DBCE4F6" w:rsidP="11B838AA">
      <w:pPr>
        <w:spacing w:after="240"/>
        <w:ind w:left="0"/>
        <w:jc w:val="both"/>
        <w:rPr>
          <w:rFonts w:ascii="Bookman Old Style" w:hAnsi="Bookman Old Style"/>
        </w:rPr>
      </w:pPr>
      <w:r w:rsidRPr="00893145">
        <w:rPr>
          <w:rFonts w:ascii="Bookman Old Style" w:hAnsi="Bookman Old Style"/>
        </w:rPr>
        <w:t>El análisis de las observaciones y sugerencias recibidas en la consulta, se encuentran en el documento soporte que acompaña esta resolución.</w:t>
      </w:r>
    </w:p>
    <w:p w14:paraId="3F61450D" w14:textId="4C788669" w:rsidR="2539471A" w:rsidRPr="00893145" w:rsidRDefault="2539471A" w:rsidP="11B838AA">
      <w:pPr>
        <w:spacing w:after="240"/>
        <w:ind w:left="0"/>
        <w:jc w:val="both"/>
        <w:rPr>
          <w:rFonts w:ascii="Bookman Old Style" w:hAnsi="Bookman Old Style"/>
        </w:rPr>
      </w:pPr>
      <w:r w:rsidRPr="00893145">
        <w:rPr>
          <w:rFonts w:ascii="Bookman Old Style" w:hAnsi="Bookman Old Style"/>
        </w:rPr>
        <w:t xml:space="preserve">Mediante radicado </w:t>
      </w:r>
      <w:r w:rsidR="000E1436" w:rsidRPr="00893145">
        <w:rPr>
          <w:rFonts w:ascii="Bookman Old Style" w:hAnsi="Bookman Old Style"/>
        </w:rPr>
        <w:t>SIC</w:t>
      </w:r>
      <w:r w:rsidRPr="00893145">
        <w:rPr>
          <w:rFonts w:ascii="Bookman Old Style" w:hAnsi="Bookman Old Style"/>
        </w:rPr>
        <w:t xml:space="preserve"> </w:t>
      </w:r>
      <w:r w:rsidR="004C373D" w:rsidRPr="00893145">
        <w:rPr>
          <w:rFonts w:ascii="Bookman Old Style" w:hAnsi="Bookman Old Style"/>
        </w:rPr>
        <w:t>24-547923</w:t>
      </w:r>
      <w:r w:rsidR="00642266" w:rsidRPr="00893145">
        <w:rPr>
          <w:rFonts w:ascii="Bookman Old Style" w:hAnsi="Bookman Old Style"/>
        </w:rPr>
        <w:t>-0</w:t>
      </w:r>
      <w:r w:rsidR="004C373D" w:rsidRPr="00893145">
        <w:rPr>
          <w:rFonts w:ascii="Bookman Old Style" w:hAnsi="Bookman Old Style"/>
        </w:rPr>
        <w:t xml:space="preserve"> </w:t>
      </w:r>
      <w:r w:rsidRPr="00893145">
        <w:rPr>
          <w:rFonts w:ascii="Bookman Old Style" w:hAnsi="Bookman Old Style"/>
        </w:rPr>
        <w:t xml:space="preserve">del </w:t>
      </w:r>
      <w:r w:rsidR="004B0B5D" w:rsidRPr="00893145">
        <w:rPr>
          <w:rFonts w:ascii="Bookman Old Style" w:hAnsi="Bookman Old Style"/>
        </w:rPr>
        <w:t>20</w:t>
      </w:r>
      <w:r w:rsidRPr="00893145">
        <w:rPr>
          <w:rFonts w:ascii="Bookman Old Style" w:hAnsi="Bookman Old Style"/>
        </w:rPr>
        <w:t xml:space="preserve"> de </w:t>
      </w:r>
      <w:r w:rsidR="7358A1B4" w:rsidRPr="00893145">
        <w:rPr>
          <w:rFonts w:ascii="Bookman Old Style" w:hAnsi="Bookman Old Style"/>
        </w:rPr>
        <w:t>diciembre</w:t>
      </w:r>
      <w:r w:rsidRPr="00893145">
        <w:rPr>
          <w:rFonts w:ascii="Bookman Old Style" w:hAnsi="Bookman Old Style"/>
        </w:rPr>
        <w:t xml:space="preserve"> de 2024, esta Comisión remitió la presente resolución a la Superintendencia de Industria y Comercio (SIC), para concepto previo de abogacía de la competencia, junto con el documento de soporte y los comentarios recibidos en el marco de la consulta pública del proyecto de resolución 701-0</w:t>
      </w:r>
      <w:r w:rsidR="7A041719" w:rsidRPr="00893145">
        <w:rPr>
          <w:rFonts w:ascii="Bookman Old Style" w:hAnsi="Bookman Old Style"/>
        </w:rPr>
        <w:t>76</w:t>
      </w:r>
      <w:r w:rsidRPr="00893145">
        <w:rPr>
          <w:rFonts w:ascii="Bookman Old Style" w:hAnsi="Bookman Old Style"/>
        </w:rPr>
        <w:t xml:space="preserve"> de 202</w:t>
      </w:r>
      <w:r w:rsidR="30B780BA" w:rsidRPr="00893145">
        <w:rPr>
          <w:rFonts w:ascii="Bookman Old Style" w:hAnsi="Bookman Old Style"/>
        </w:rPr>
        <w:t>4</w:t>
      </w:r>
      <w:r w:rsidRPr="00893145">
        <w:rPr>
          <w:rFonts w:ascii="Bookman Old Style" w:hAnsi="Bookman Old Style"/>
        </w:rPr>
        <w:t>.</w:t>
      </w:r>
    </w:p>
    <w:p w14:paraId="4F0FA9D5" w14:textId="611D131E" w:rsidR="2539471A" w:rsidRPr="00893145" w:rsidRDefault="004F3B1A" w:rsidP="00F657B7">
      <w:pPr>
        <w:spacing w:after="240"/>
        <w:ind w:left="0"/>
        <w:jc w:val="both"/>
        <w:rPr>
          <w:rFonts w:ascii="Bookman Old Style" w:hAnsi="Bookman Old Style"/>
        </w:rPr>
      </w:pPr>
      <w:r w:rsidRPr="00893145">
        <w:rPr>
          <w:rFonts w:ascii="Bookman Old Style" w:hAnsi="Bookman Old Style"/>
        </w:rPr>
        <w:t>Mediante radicado SIC 24-547923-2 del 27 de diciembre de 2024 l</w:t>
      </w:r>
      <w:r w:rsidR="2539471A" w:rsidRPr="00893145">
        <w:rPr>
          <w:rFonts w:ascii="Bookman Old Style" w:hAnsi="Bookman Old Style"/>
        </w:rPr>
        <w:t xml:space="preserve">a </w:t>
      </w:r>
      <w:r w:rsidRPr="00893145">
        <w:rPr>
          <w:rFonts w:ascii="Bookman Old Style" w:hAnsi="Bookman Old Style"/>
        </w:rPr>
        <w:t>Autoridad de Competencia</w:t>
      </w:r>
      <w:r w:rsidR="2539471A" w:rsidRPr="00893145">
        <w:rPr>
          <w:rFonts w:ascii="Bookman Old Style" w:hAnsi="Bookman Old Style"/>
        </w:rPr>
        <w:t xml:space="preserve"> remitió a esta Comisión el respectivo concepto, concluyendo que</w:t>
      </w:r>
      <w:r w:rsidR="00F657B7" w:rsidRPr="00893145">
        <w:rPr>
          <w:rFonts w:ascii="Bookman Old Style" w:hAnsi="Bookman Old Style"/>
        </w:rPr>
        <w:t xml:space="preserve"> </w:t>
      </w:r>
      <w:r w:rsidR="000B7A82" w:rsidRPr="00893145">
        <w:rPr>
          <w:rFonts w:ascii="Bookman Old Style" w:hAnsi="Bookman Old Style"/>
          <w:i/>
          <w:iCs/>
        </w:rPr>
        <w:lastRenderedPageBreak/>
        <w:t>“la regulación propuesta logra alinear los</w:t>
      </w:r>
      <w:r w:rsidR="00F657B7" w:rsidRPr="00893145">
        <w:rPr>
          <w:rFonts w:ascii="Bookman Old Style" w:hAnsi="Bookman Old Style"/>
          <w:i/>
          <w:iCs/>
        </w:rPr>
        <w:t xml:space="preserve"> </w:t>
      </w:r>
      <w:r w:rsidR="000B7A82" w:rsidRPr="00893145">
        <w:rPr>
          <w:rFonts w:ascii="Bookman Old Style" w:hAnsi="Bookman Old Style"/>
          <w:i/>
          <w:iCs/>
        </w:rPr>
        <w:t>incentivos de los generadores, la estabilidad financiera de los comercializadores</w:t>
      </w:r>
      <w:r w:rsidR="00F657B7" w:rsidRPr="00893145">
        <w:rPr>
          <w:rFonts w:ascii="Bookman Old Style" w:hAnsi="Bookman Old Style"/>
          <w:i/>
          <w:iCs/>
        </w:rPr>
        <w:t xml:space="preserve"> </w:t>
      </w:r>
      <w:r w:rsidR="000B7A82" w:rsidRPr="00893145">
        <w:rPr>
          <w:rFonts w:ascii="Bookman Old Style" w:hAnsi="Bookman Old Style"/>
          <w:i/>
          <w:iCs/>
        </w:rPr>
        <w:t>intervenidos y la protección tarifaria de los usuarios regulados</w:t>
      </w:r>
      <w:r w:rsidR="00475103" w:rsidRPr="00893145">
        <w:rPr>
          <w:rFonts w:ascii="Bookman Old Style" w:hAnsi="Bookman Old Style"/>
          <w:i/>
          <w:iCs/>
        </w:rPr>
        <w:t>”</w:t>
      </w:r>
      <w:r w:rsidR="2539471A" w:rsidRPr="00893145">
        <w:rPr>
          <w:rFonts w:ascii="Bookman Old Style" w:hAnsi="Bookman Old Style"/>
        </w:rPr>
        <w:t>.</w:t>
      </w:r>
    </w:p>
    <w:p w14:paraId="1A234F45" w14:textId="77777777" w:rsidR="00AA3708" w:rsidRPr="00893145" w:rsidRDefault="00E95464" w:rsidP="00E95464">
      <w:pPr>
        <w:spacing w:after="240"/>
        <w:ind w:left="0"/>
        <w:jc w:val="both"/>
        <w:rPr>
          <w:rFonts w:ascii="Bookman Old Style" w:hAnsi="Bookman Old Style"/>
        </w:rPr>
      </w:pPr>
      <w:r w:rsidRPr="00893145">
        <w:rPr>
          <w:rFonts w:ascii="Bookman Old Style" w:hAnsi="Bookman Old Style"/>
        </w:rPr>
        <w:t xml:space="preserve">En relación con el uso de la variable Mc como referencia para establecer el precio máximo de traslado, la SIC considera </w:t>
      </w:r>
      <w:r w:rsidR="00AA3708" w:rsidRPr="00893145">
        <w:rPr>
          <w:rFonts w:ascii="Bookman Old Style" w:hAnsi="Bookman Old Style"/>
        </w:rPr>
        <w:t>lo siguiente:</w:t>
      </w:r>
    </w:p>
    <w:p w14:paraId="5CF4F32A" w14:textId="57A4BF90" w:rsidR="00E95464" w:rsidRPr="00893145" w:rsidRDefault="00E95464" w:rsidP="00AA3708">
      <w:pPr>
        <w:spacing w:after="240"/>
        <w:ind w:left="708" w:right="567"/>
        <w:jc w:val="both"/>
        <w:rPr>
          <w:rFonts w:ascii="Bookman Old Style" w:hAnsi="Bookman Old Style"/>
        </w:rPr>
      </w:pPr>
      <w:r w:rsidRPr="00893145">
        <w:rPr>
          <w:rFonts w:ascii="Bookman Old Style" w:hAnsi="Bookman Old Style"/>
          <w:i/>
          <w:iCs/>
        </w:rPr>
        <w:t>“usar este indicador como límite regulatorio del precio a trasladar al usuario regulado, plantea varias ventajas. De un lado, el actúa como un estabilizador que amortigua eventuales impactos derivados de los cambios abruptos en los factores de corto plazo que tienen incidencia sobre los precios de la energía. Al reflejar el precio de comercialización de energía a largo plazo, esta variable no está influenciada por la volatilidad inherente al mercado de corto plazo, atribuible a factores estacionales, cíclicos o eventos imprevistos. Por esta razón, resulta idónea para proteger a los usuarios regulados frente a variaciones no previstas en los costos de generación de energía eléctrica”</w:t>
      </w:r>
      <w:r w:rsidRPr="00893145">
        <w:rPr>
          <w:rFonts w:ascii="Bookman Old Style" w:hAnsi="Bookman Old Style"/>
        </w:rPr>
        <w:t>.</w:t>
      </w:r>
    </w:p>
    <w:p w14:paraId="11620088" w14:textId="23A8BF58" w:rsidR="00E26B95" w:rsidRPr="00893145" w:rsidRDefault="00E26B95" w:rsidP="00E26B95">
      <w:pPr>
        <w:spacing w:after="240"/>
        <w:ind w:left="0"/>
        <w:jc w:val="both"/>
        <w:rPr>
          <w:rFonts w:ascii="Bookman Old Style" w:hAnsi="Bookman Old Style"/>
        </w:rPr>
      </w:pPr>
      <w:r w:rsidRPr="00893145">
        <w:rPr>
          <w:rFonts w:ascii="Bookman Old Style" w:hAnsi="Bookman Old Style"/>
        </w:rPr>
        <w:t>Señala</w:t>
      </w:r>
      <w:r w:rsidR="00CC1EF5" w:rsidRPr="00893145">
        <w:rPr>
          <w:rFonts w:ascii="Bookman Old Style" w:hAnsi="Bookman Old Style"/>
        </w:rPr>
        <w:t xml:space="preserve"> además la SIC</w:t>
      </w:r>
      <w:r w:rsidRPr="00893145">
        <w:rPr>
          <w:rFonts w:ascii="Bookman Old Style" w:hAnsi="Bookman Old Style"/>
        </w:rPr>
        <w:t xml:space="preserve"> en su concepto</w:t>
      </w:r>
      <w:r w:rsidR="00CC1EF5" w:rsidRPr="00893145">
        <w:rPr>
          <w:rFonts w:ascii="Bookman Old Style" w:hAnsi="Bookman Old Style"/>
        </w:rPr>
        <w:t xml:space="preserve"> que</w:t>
      </w:r>
      <w:r w:rsidRPr="00893145">
        <w:rPr>
          <w:rFonts w:ascii="Bookman Old Style" w:hAnsi="Bookman Old Style"/>
        </w:rPr>
        <w:t>:</w:t>
      </w:r>
    </w:p>
    <w:p w14:paraId="39520B40" w14:textId="7BCA8EA8" w:rsidR="00CC1EF5" w:rsidRPr="00893145" w:rsidRDefault="00CC1EF5" w:rsidP="00E26B95">
      <w:pPr>
        <w:spacing w:after="240"/>
        <w:ind w:left="708" w:right="567"/>
        <w:jc w:val="both"/>
        <w:rPr>
          <w:rFonts w:ascii="Bookman Old Style" w:hAnsi="Bookman Old Style"/>
        </w:rPr>
      </w:pPr>
      <w:r w:rsidRPr="00893145">
        <w:rPr>
          <w:rFonts w:ascii="Bookman Old Style" w:hAnsi="Bookman Old Style"/>
          <w:i/>
          <w:iCs/>
        </w:rPr>
        <w:t>“</w:t>
      </w:r>
      <w:r w:rsidR="00E26B95" w:rsidRPr="00893145">
        <w:rPr>
          <w:rFonts w:ascii="Bookman Old Style" w:hAnsi="Bookman Old Style"/>
          <w:i/>
          <w:iCs/>
        </w:rPr>
        <w:t xml:space="preserve">(…) </w:t>
      </w:r>
      <w:r w:rsidRPr="00893145">
        <w:rPr>
          <w:rFonts w:ascii="Bookman Old Style" w:hAnsi="Bookman Old Style"/>
          <w:i/>
          <w:iCs/>
        </w:rPr>
        <w:t>la medida propuesta fomenta una mayor rigurosidad y racionalidad en las estrategias de contratación, obligando a los agentes a negociar un precio de suministro igual o inferior a para evitar incurrir en costos adicionales. En suma, considera que la introducción del señalado límite regulatorio alinea los incentivos de los comercializadores y los usuarios finales</w:t>
      </w:r>
      <w:r w:rsidR="00E26B95" w:rsidRPr="00893145">
        <w:rPr>
          <w:rFonts w:ascii="Bookman Old Style" w:hAnsi="Bookman Old Style"/>
          <w:i/>
          <w:iCs/>
        </w:rPr>
        <w:t>. De un lado, crea un incentivo claro para negociar contratos a precios competitivos y sostenibles fomentando una planificación más rigurosa en la adquisición de energía, obligándolos a evitar prácticas especulativas o negligentes en su gestión contractual. De otro lado, los usuarios finales se benefician de este límite regulatorio en la medida en que protege sus tarifas frente a incrementos desproporcionados derivados de fluctuaciones en los precios pactados o de ineficiencias en la gestión de los comercializadores. En conjunto, la regla descrita crea un marco en el que los comercializadores están incentivados a actuar de modo eficiente, mientras los usuarios finales perciben tarifas más estables</w:t>
      </w:r>
      <w:r w:rsidRPr="00893145">
        <w:rPr>
          <w:rFonts w:ascii="Bookman Old Style" w:hAnsi="Bookman Old Style"/>
          <w:i/>
          <w:iCs/>
        </w:rPr>
        <w:t>”</w:t>
      </w:r>
      <w:r w:rsidRPr="00893145">
        <w:rPr>
          <w:rFonts w:ascii="Bookman Old Style" w:hAnsi="Bookman Old Style"/>
        </w:rPr>
        <w:t>.</w:t>
      </w:r>
    </w:p>
    <w:p w14:paraId="7A84D527" w14:textId="3652A3FF" w:rsidR="002C066E" w:rsidRPr="00893145" w:rsidRDefault="008B07A8" w:rsidP="00CC1EF5">
      <w:pPr>
        <w:spacing w:after="240"/>
        <w:ind w:left="0"/>
        <w:jc w:val="both"/>
        <w:rPr>
          <w:rFonts w:ascii="Bookman Old Style" w:hAnsi="Bookman Old Style"/>
        </w:rPr>
      </w:pPr>
      <w:r w:rsidRPr="00893145">
        <w:rPr>
          <w:rFonts w:ascii="Bookman Old Style" w:hAnsi="Bookman Old Style"/>
        </w:rPr>
        <w:t xml:space="preserve">Por último, </w:t>
      </w:r>
      <w:r w:rsidR="009565B0" w:rsidRPr="00893145">
        <w:rPr>
          <w:rFonts w:ascii="Bookman Old Style" w:hAnsi="Bookman Old Style"/>
        </w:rPr>
        <w:t>resaltó</w:t>
      </w:r>
      <w:r w:rsidRPr="00893145">
        <w:rPr>
          <w:rFonts w:ascii="Bookman Old Style" w:hAnsi="Bookman Old Style"/>
        </w:rPr>
        <w:t xml:space="preserve"> </w:t>
      </w:r>
      <w:r w:rsidR="009565B0" w:rsidRPr="00893145">
        <w:rPr>
          <w:rFonts w:ascii="Bookman Old Style" w:hAnsi="Bookman Old Style"/>
        </w:rPr>
        <w:t>diversas</w:t>
      </w:r>
      <w:r w:rsidRPr="00893145">
        <w:rPr>
          <w:rFonts w:ascii="Bookman Old Style" w:hAnsi="Bookman Old Style"/>
        </w:rPr>
        <w:t xml:space="preserve"> ventajas respecto de los valores definidos para el precio máximo de traslado en cada vigencia de</w:t>
      </w:r>
      <w:r w:rsidR="00BF332D" w:rsidRPr="00893145">
        <w:rPr>
          <w:rFonts w:ascii="Bookman Old Style" w:hAnsi="Bookman Old Style"/>
        </w:rPr>
        <w:t xml:space="preserve"> los contratos resultantes de esta resolución:</w:t>
      </w:r>
    </w:p>
    <w:p w14:paraId="347865DD" w14:textId="26FA244C" w:rsidR="00BF332D" w:rsidRPr="00893145" w:rsidRDefault="009565B0" w:rsidP="000B7A82">
      <w:pPr>
        <w:spacing w:after="240"/>
        <w:ind w:right="567"/>
        <w:jc w:val="both"/>
        <w:rPr>
          <w:rFonts w:ascii="Bookman Old Style" w:hAnsi="Bookman Old Style"/>
          <w:i/>
          <w:iCs/>
        </w:rPr>
      </w:pPr>
      <w:r w:rsidRPr="00893145">
        <w:rPr>
          <w:rFonts w:ascii="Bookman Old Style" w:hAnsi="Bookman Old Style"/>
          <w:i/>
          <w:iCs/>
        </w:rPr>
        <w:t xml:space="preserve">“En primera medida, téngase en cuenta que la participación de los generadores en la suscripción de los contratos habilitados en el proyecto resulta crucial para reducir la sobreexposición de los comercializadores al mercado de corto plazo, caracterizado por su alta volatilidad. En ese sentido, la regla descrita genera incentivos para que los generadores participen en la suscripción de contratos bajo las modalidades habilitadas en el proyecto, en la medida en que asegura que estos perciban ingresos equiparables a los proyectados en el mercado de corto plazo. De este modo, los ingresos proyectados en la suscripción de contratos son competitivos con otras alternativas disponibles. En </w:t>
      </w:r>
      <w:r w:rsidRPr="00893145">
        <w:rPr>
          <w:rFonts w:ascii="Bookman Old Style" w:hAnsi="Bookman Old Style"/>
          <w:i/>
          <w:iCs/>
        </w:rPr>
        <w:lastRenderedPageBreak/>
        <w:t>segunda medida, esta circunstancia implica que, una vez culminado el periodo de vigencia del contrato, el usuario regulado asumirá un precio promedio (imputable a la cantidad contrata mediante las modalidades habilitadas) equiparable al que hubiera percibido si el comercializador hubiera adquirido la energía en el mercado de corto plazo, pero de manera estabilizada y previsible. Ello se atribuye a que el precio a transferir a los usuarios, bajo el esquema propuesto, será estabilizado durante las dos fracciones de la vigencia del contrato, eliminando su exposición a la volatilidad de precios característica del mercado de corto plazo”.</w:t>
      </w:r>
    </w:p>
    <w:p w14:paraId="3DC40143" w14:textId="063C88C3" w:rsidR="00BF332D" w:rsidRPr="00893145" w:rsidRDefault="00815CF8" w:rsidP="00A714DF">
      <w:pPr>
        <w:spacing w:after="240"/>
        <w:ind w:left="0"/>
        <w:jc w:val="both"/>
        <w:rPr>
          <w:rFonts w:ascii="Bookman Old Style" w:hAnsi="Bookman Old Style"/>
        </w:rPr>
      </w:pPr>
      <w:proofErr w:type="gramStart"/>
      <w:r w:rsidRPr="00893145">
        <w:rPr>
          <w:rFonts w:ascii="Bookman Old Style" w:hAnsi="Bookman Old Style"/>
        </w:rPr>
        <w:t>L</w:t>
      </w:r>
      <w:r w:rsidR="00A714DF" w:rsidRPr="00893145">
        <w:rPr>
          <w:rFonts w:ascii="Bookman Old Style" w:hAnsi="Bookman Old Style"/>
        </w:rPr>
        <w:t>a</w:t>
      </w:r>
      <w:proofErr w:type="gramEnd"/>
      <w:r w:rsidR="00A714DF" w:rsidRPr="00893145">
        <w:rPr>
          <w:rFonts w:ascii="Bookman Old Style" w:hAnsi="Bookman Old Style"/>
        </w:rPr>
        <w:t xml:space="preserve"> SIC da cierre a su concepto señalando que </w:t>
      </w:r>
      <w:r w:rsidR="00A714DF" w:rsidRPr="00893145">
        <w:rPr>
          <w:rFonts w:ascii="Bookman Old Style" w:hAnsi="Bookman Old Style"/>
          <w:i/>
          <w:iCs/>
        </w:rPr>
        <w:t>“Por las razones expuestas, esta</w:t>
      </w:r>
      <w:r w:rsidRPr="00893145">
        <w:rPr>
          <w:rFonts w:ascii="Bookman Old Style" w:hAnsi="Bookman Old Style"/>
          <w:i/>
          <w:iCs/>
        </w:rPr>
        <w:t xml:space="preserve"> </w:t>
      </w:r>
      <w:r w:rsidR="00A714DF" w:rsidRPr="00893145">
        <w:rPr>
          <w:rFonts w:ascii="Bookman Old Style" w:hAnsi="Bookman Old Style"/>
          <w:i/>
          <w:iCs/>
        </w:rPr>
        <w:t>Superintendencia no emitirá recomendaciones a la CREG respecto del proyecto</w:t>
      </w:r>
      <w:r w:rsidR="00CD3D1B" w:rsidRPr="00893145">
        <w:rPr>
          <w:rFonts w:ascii="Bookman Old Style" w:hAnsi="Bookman Old Style"/>
          <w:i/>
          <w:iCs/>
        </w:rPr>
        <w:t>”</w:t>
      </w:r>
      <w:r w:rsidR="00A714DF" w:rsidRPr="00893145">
        <w:rPr>
          <w:rFonts w:ascii="Bookman Old Style" w:hAnsi="Bookman Old Style"/>
        </w:rPr>
        <w:t>.</w:t>
      </w:r>
    </w:p>
    <w:p w14:paraId="15DC891E" w14:textId="092BF153" w:rsidR="005C77FE" w:rsidRPr="00893145" w:rsidRDefault="005C77FE" w:rsidP="00A714DF">
      <w:pPr>
        <w:spacing w:after="240"/>
        <w:ind w:left="0"/>
        <w:jc w:val="both"/>
        <w:rPr>
          <w:rFonts w:ascii="Bookman Old Style" w:hAnsi="Bookman Old Style"/>
        </w:rPr>
      </w:pPr>
      <w:r w:rsidRPr="00893145">
        <w:rPr>
          <w:rFonts w:ascii="Bookman Old Style" w:hAnsi="Bookman Old Style"/>
        </w:rPr>
        <w:t xml:space="preserve">La Comisión de Regulación de Energía y Gas, en su Sesión </w:t>
      </w:r>
      <w:r w:rsidR="00A377EF" w:rsidRPr="00A377EF">
        <w:rPr>
          <w:rFonts w:ascii="Bookman Old Style" w:hAnsi="Bookman Old Style"/>
        </w:rPr>
        <w:t>1366</w:t>
      </w:r>
      <w:r w:rsidRPr="00A377EF">
        <w:rPr>
          <w:rFonts w:ascii="Bookman Old Style" w:hAnsi="Bookman Old Style"/>
        </w:rPr>
        <w:t xml:space="preserve"> del </w:t>
      </w:r>
      <w:r w:rsidR="00A377EF" w:rsidRPr="00A377EF">
        <w:rPr>
          <w:rFonts w:ascii="Bookman Old Style" w:hAnsi="Bookman Old Style"/>
        </w:rPr>
        <w:t>28</w:t>
      </w:r>
      <w:r w:rsidRPr="00A377EF">
        <w:rPr>
          <w:rFonts w:ascii="Bookman Old Style" w:hAnsi="Bookman Old Style"/>
        </w:rPr>
        <w:t xml:space="preserve"> de diciembre de 2024, acordó expedir esta resolución.</w:t>
      </w:r>
    </w:p>
    <w:p w14:paraId="36F9FCD0" w14:textId="77777777" w:rsidR="00D70D55" w:rsidRPr="00893145" w:rsidRDefault="00D70D55" w:rsidP="006D2598">
      <w:pPr>
        <w:spacing w:line="276" w:lineRule="auto"/>
        <w:ind w:left="0"/>
        <w:jc w:val="both"/>
        <w:rPr>
          <w:rFonts w:ascii="Bookman Old Style" w:hAnsi="Bookman Old Style"/>
        </w:rPr>
      </w:pPr>
    </w:p>
    <w:p w14:paraId="40EFC463" w14:textId="77777777" w:rsidR="00045D3D" w:rsidRPr="00893145" w:rsidRDefault="00045D3D" w:rsidP="001B188C">
      <w:pPr>
        <w:suppressAutoHyphens/>
        <w:spacing w:line="276" w:lineRule="auto"/>
        <w:ind w:left="0"/>
        <w:jc w:val="center"/>
        <w:rPr>
          <w:rFonts w:ascii="Bookman Old Style" w:hAnsi="Bookman Old Style"/>
          <w:spacing w:val="-3"/>
          <w:lang w:val="pt-PT"/>
        </w:rPr>
      </w:pPr>
      <w:r w:rsidRPr="00893145">
        <w:rPr>
          <w:rFonts w:ascii="Bookman Old Style" w:hAnsi="Bookman Old Style"/>
          <w:b/>
          <w:spacing w:val="-3"/>
          <w:lang w:val="pt-PT"/>
        </w:rPr>
        <w:t>R E S U E L V E:</w:t>
      </w:r>
    </w:p>
    <w:p w14:paraId="494DDFC2" w14:textId="77777777" w:rsidR="00045D3D" w:rsidRPr="00893145" w:rsidRDefault="00045D3D" w:rsidP="006D2598">
      <w:pPr>
        <w:spacing w:line="276" w:lineRule="auto"/>
        <w:jc w:val="center"/>
        <w:rPr>
          <w:rFonts w:ascii="Bookman Old Style" w:hAnsi="Bookman Old Style"/>
          <w:lang w:val="pt-PT"/>
        </w:rPr>
      </w:pPr>
    </w:p>
    <w:p w14:paraId="32D92D07" w14:textId="694F0160" w:rsidR="00CE09AF" w:rsidRPr="00893145" w:rsidRDefault="00CE09AF" w:rsidP="00CE09AF">
      <w:pPr>
        <w:spacing w:line="276" w:lineRule="auto"/>
        <w:ind w:left="0"/>
        <w:jc w:val="both"/>
        <w:rPr>
          <w:rFonts w:ascii="Bookman Old Style" w:hAnsi="Bookman Old Style"/>
          <w:bCs/>
        </w:rPr>
      </w:pPr>
      <w:r w:rsidRPr="00893145">
        <w:rPr>
          <w:rFonts w:ascii="Bookman Old Style" w:hAnsi="Bookman Old Style"/>
          <w:b/>
          <w:lang w:val="pt-PT"/>
        </w:rPr>
        <w:t xml:space="preserve">ARTÍCULO 1. </w:t>
      </w:r>
      <w:r w:rsidRPr="00893145">
        <w:rPr>
          <w:rFonts w:ascii="Bookman Old Style" w:hAnsi="Bookman Old Style"/>
          <w:b/>
        </w:rPr>
        <w:t xml:space="preserve">Objeto. </w:t>
      </w:r>
      <w:r w:rsidRPr="00893145">
        <w:rPr>
          <w:rFonts w:ascii="Bookman Old Style" w:hAnsi="Bookman Old Style"/>
          <w:bCs/>
        </w:rPr>
        <w:t>Habilitar la contratación directa de energía por parte de</w:t>
      </w:r>
      <w:r w:rsidR="00386D59" w:rsidRPr="00893145">
        <w:rPr>
          <w:rFonts w:ascii="Bookman Old Style" w:hAnsi="Bookman Old Style"/>
          <w:bCs/>
        </w:rPr>
        <w:t xml:space="preserve"> prestadores </w:t>
      </w:r>
      <w:bookmarkStart w:id="1" w:name="_Hlk184193138"/>
      <w:r w:rsidR="00386D59" w:rsidRPr="00893145">
        <w:rPr>
          <w:rFonts w:ascii="Bookman Old Style" w:hAnsi="Bookman Old Style"/>
          <w:bCs/>
        </w:rPr>
        <w:t xml:space="preserve">sobre los cuales se </w:t>
      </w:r>
      <w:r w:rsidR="00A70254" w:rsidRPr="00893145">
        <w:rPr>
          <w:rFonts w:ascii="Bookman Old Style" w:hAnsi="Bookman Old Style"/>
          <w:bCs/>
        </w:rPr>
        <w:t>ha ordenado</w:t>
      </w:r>
      <w:r w:rsidR="00386D59" w:rsidRPr="00893145">
        <w:rPr>
          <w:rFonts w:ascii="Bookman Old Style" w:hAnsi="Bookman Old Style"/>
          <w:bCs/>
        </w:rPr>
        <w:t xml:space="preserve"> la toma de posesión por la Superintendencia de Servicios Públicos Domiciliarios (SSPD)</w:t>
      </w:r>
      <w:bookmarkEnd w:id="1"/>
      <w:r w:rsidR="00386D59" w:rsidRPr="00893145">
        <w:rPr>
          <w:rFonts w:ascii="Bookman Old Style" w:hAnsi="Bookman Old Style"/>
          <w:bCs/>
        </w:rPr>
        <w:t xml:space="preserve">, </w:t>
      </w:r>
      <w:r w:rsidR="00386D59" w:rsidRPr="00893145">
        <w:rPr>
          <w:rFonts w:ascii="Bookman Old Style" w:hAnsi="Bookman Old Style"/>
        </w:rPr>
        <w:t xml:space="preserve">motivada en lo dispuesto en el </w:t>
      </w:r>
      <w:r w:rsidR="00D86E6F" w:rsidRPr="00893145">
        <w:rPr>
          <w:rFonts w:ascii="Bookman Old Style" w:hAnsi="Bookman Old Style"/>
        </w:rPr>
        <w:t xml:space="preserve">artículo </w:t>
      </w:r>
      <w:r w:rsidR="00386D59" w:rsidRPr="00893145">
        <w:rPr>
          <w:rFonts w:ascii="Bookman Old Style" w:hAnsi="Bookman Old Style"/>
        </w:rPr>
        <w:t>59</w:t>
      </w:r>
      <w:r w:rsidR="00D86E6F" w:rsidRPr="00893145">
        <w:rPr>
          <w:rFonts w:ascii="Bookman Old Style" w:hAnsi="Bookman Old Style"/>
        </w:rPr>
        <w:t>.7</w:t>
      </w:r>
      <w:r w:rsidR="00386D59" w:rsidRPr="00893145">
        <w:rPr>
          <w:rFonts w:ascii="Bookman Old Style" w:hAnsi="Bookman Old Style"/>
        </w:rPr>
        <w:t xml:space="preserve"> de la Ley 142 de 1994,</w:t>
      </w:r>
      <w:r w:rsidRPr="00893145">
        <w:rPr>
          <w:rFonts w:ascii="Bookman Old Style" w:hAnsi="Bookman Old Style"/>
          <w:bCs/>
        </w:rPr>
        <w:t xml:space="preserve"> </w:t>
      </w:r>
      <w:r w:rsidR="00386D59" w:rsidRPr="00893145">
        <w:rPr>
          <w:rFonts w:ascii="Bookman Old Style" w:hAnsi="Bookman Old Style"/>
          <w:bCs/>
        </w:rPr>
        <w:t xml:space="preserve">que desarrollan la actividad de </w:t>
      </w:r>
      <w:r w:rsidRPr="00893145">
        <w:rPr>
          <w:rFonts w:ascii="Bookman Old Style" w:hAnsi="Bookman Old Style"/>
          <w:bCs/>
        </w:rPr>
        <w:t>comercializa</w:t>
      </w:r>
      <w:r w:rsidR="00386D59" w:rsidRPr="00893145">
        <w:rPr>
          <w:rFonts w:ascii="Bookman Old Style" w:hAnsi="Bookman Old Style"/>
          <w:bCs/>
        </w:rPr>
        <w:t>ción de energía eléctrica a usuarios regulados</w:t>
      </w:r>
      <w:r w:rsidRPr="00893145">
        <w:rPr>
          <w:rFonts w:ascii="Bookman Old Style" w:hAnsi="Bookman Old Style"/>
          <w:bCs/>
        </w:rPr>
        <w:t>.</w:t>
      </w:r>
    </w:p>
    <w:p w14:paraId="46F4EC47" w14:textId="77777777" w:rsidR="007A205A" w:rsidRPr="00893145" w:rsidRDefault="007A205A" w:rsidP="00CE09AF">
      <w:pPr>
        <w:spacing w:line="276" w:lineRule="auto"/>
        <w:ind w:left="0"/>
        <w:jc w:val="both"/>
        <w:rPr>
          <w:rFonts w:ascii="Bookman Old Style" w:hAnsi="Bookman Old Style"/>
          <w:bCs/>
        </w:rPr>
      </w:pPr>
    </w:p>
    <w:p w14:paraId="0ADBF801" w14:textId="206148FB" w:rsidR="007A205A" w:rsidRPr="00893145" w:rsidRDefault="007A205A" w:rsidP="00CE09AF">
      <w:pPr>
        <w:spacing w:line="276" w:lineRule="auto"/>
        <w:ind w:left="0"/>
        <w:jc w:val="both"/>
        <w:rPr>
          <w:rFonts w:ascii="Bookman Old Style" w:hAnsi="Bookman Old Style"/>
          <w:bCs/>
          <w:i/>
        </w:rPr>
      </w:pPr>
      <w:r w:rsidRPr="00893145">
        <w:rPr>
          <w:rFonts w:ascii="Bookman Old Style" w:hAnsi="Bookman Old Style"/>
          <w:b/>
        </w:rPr>
        <w:t>ARTÍCULO 2. Alcance.</w:t>
      </w:r>
      <w:r w:rsidRPr="00893145">
        <w:rPr>
          <w:rFonts w:ascii="Bookman Old Style" w:hAnsi="Bookman Old Style"/>
          <w:bCs/>
        </w:rPr>
        <w:t xml:space="preserve"> La presente resolución aplica exclusivamente para prestadores sobre los cuales se </w:t>
      </w:r>
      <w:r w:rsidR="00A70254" w:rsidRPr="00893145">
        <w:rPr>
          <w:rFonts w:ascii="Bookman Old Style" w:hAnsi="Bookman Old Style"/>
          <w:bCs/>
        </w:rPr>
        <w:t>ha ordenado</w:t>
      </w:r>
      <w:r w:rsidRPr="00893145">
        <w:rPr>
          <w:rFonts w:ascii="Bookman Old Style" w:hAnsi="Bookman Old Style"/>
          <w:bCs/>
        </w:rPr>
        <w:t xml:space="preserve"> la toma de posesión por parte de la Superintendencia de Servicios Públicos Domiciliarios (SSPD), motivada en lo dispuesto en el artículo 59.7 de la Ley 142 de 1994, que desarrollan la actividad de comercialización de energía eléctrica a usuarios regulados</w:t>
      </w:r>
      <w:r w:rsidR="00A70254" w:rsidRPr="00893145">
        <w:rPr>
          <w:rFonts w:ascii="Bookman Old Style" w:hAnsi="Bookman Old Style"/>
          <w:bCs/>
        </w:rPr>
        <w:t>.</w:t>
      </w:r>
    </w:p>
    <w:p w14:paraId="50A13A83" w14:textId="77777777" w:rsidR="00CE09AF" w:rsidRPr="00893145" w:rsidRDefault="00CE09AF" w:rsidP="00CE09AF">
      <w:pPr>
        <w:spacing w:line="276" w:lineRule="auto"/>
        <w:rPr>
          <w:rFonts w:ascii="Bookman Old Style" w:hAnsi="Bookman Old Style"/>
        </w:rPr>
      </w:pPr>
    </w:p>
    <w:p w14:paraId="72E2CCB8" w14:textId="6A4E3DD4" w:rsidR="00CE09AF" w:rsidRPr="00893145" w:rsidRDefault="00CE09AF" w:rsidP="00CE09AF">
      <w:pPr>
        <w:spacing w:line="276" w:lineRule="auto"/>
        <w:ind w:left="0"/>
        <w:jc w:val="both"/>
        <w:rPr>
          <w:rFonts w:ascii="Bookman Old Style" w:hAnsi="Bookman Old Style"/>
        </w:rPr>
      </w:pPr>
      <w:r w:rsidRPr="00893145">
        <w:rPr>
          <w:rFonts w:ascii="Bookman Old Style" w:hAnsi="Bookman Old Style"/>
          <w:b/>
        </w:rPr>
        <w:t xml:space="preserve">ARTÍCULO </w:t>
      </w:r>
      <w:r w:rsidR="007A205A" w:rsidRPr="00893145">
        <w:rPr>
          <w:rFonts w:ascii="Bookman Old Style" w:hAnsi="Bookman Old Style"/>
          <w:b/>
        </w:rPr>
        <w:t>3</w:t>
      </w:r>
      <w:r w:rsidRPr="00893145">
        <w:rPr>
          <w:rFonts w:ascii="Bookman Old Style" w:hAnsi="Bookman Old Style"/>
          <w:b/>
        </w:rPr>
        <w:t xml:space="preserve">. Definiciones. </w:t>
      </w:r>
      <w:r w:rsidRPr="00893145">
        <w:rPr>
          <w:rFonts w:ascii="Bookman Old Style" w:hAnsi="Bookman Old Style"/>
        </w:rPr>
        <w:t xml:space="preserve">Para la interpretación y aplicación de esta </w:t>
      </w:r>
      <w:r w:rsidR="008F66CE" w:rsidRPr="00893145">
        <w:rPr>
          <w:rFonts w:ascii="Bookman Old Style" w:hAnsi="Bookman Old Style"/>
        </w:rPr>
        <w:t>r</w:t>
      </w:r>
      <w:r w:rsidRPr="00893145">
        <w:rPr>
          <w:rFonts w:ascii="Bookman Old Style" w:hAnsi="Bookman Old Style"/>
        </w:rPr>
        <w:t>esolución se tendrán en cuenta las siguientes definiciones:</w:t>
      </w:r>
    </w:p>
    <w:p w14:paraId="01D49DD1" w14:textId="77777777" w:rsidR="00CE09AF" w:rsidRPr="00893145" w:rsidRDefault="00CE09AF" w:rsidP="00CE09AF">
      <w:pPr>
        <w:spacing w:line="276" w:lineRule="auto"/>
        <w:ind w:left="0"/>
        <w:jc w:val="both"/>
        <w:rPr>
          <w:rFonts w:ascii="Bookman Old Style" w:hAnsi="Bookman Old Style"/>
        </w:rPr>
      </w:pPr>
    </w:p>
    <w:p w14:paraId="54B70EDA" w14:textId="7DFCF903" w:rsidR="00CE09AF" w:rsidRPr="00893145" w:rsidRDefault="00CE09AF" w:rsidP="00CE09AF">
      <w:pPr>
        <w:spacing w:line="276" w:lineRule="auto"/>
        <w:jc w:val="both"/>
        <w:rPr>
          <w:rFonts w:ascii="Bookman Old Style" w:hAnsi="Bookman Old Style"/>
        </w:rPr>
      </w:pPr>
      <w:r w:rsidRPr="00893145">
        <w:rPr>
          <w:rFonts w:ascii="Bookman Old Style" w:hAnsi="Bookman Old Style"/>
          <w:b/>
        </w:rPr>
        <w:t xml:space="preserve">Contrato </w:t>
      </w:r>
      <w:r w:rsidR="00386D59" w:rsidRPr="00893145">
        <w:rPr>
          <w:rFonts w:ascii="Bookman Old Style" w:hAnsi="Bookman Old Style"/>
          <w:b/>
        </w:rPr>
        <w:t xml:space="preserve">Pague </w:t>
      </w:r>
      <w:r w:rsidRPr="00893145">
        <w:rPr>
          <w:rFonts w:ascii="Bookman Old Style" w:hAnsi="Bookman Old Style"/>
          <w:b/>
        </w:rPr>
        <w:t xml:space="preserve">lo </w:t>
      </w:r>
      <w:r w:rsidR="00386D59" w:rsidRPr="00893145">
        <w:rPr>
          <w:rFonts w:ascii="Bookman Old Style" w:hAnsi="Bookman Old Style"/>
          <w:b/>
        </w:rPr>
        <w:t xml:space="preserve">Contratado Condicionado </w:t>
      </w:r>
      <w:r w:rsidRPr="00893145">
        <w:rPr>
          <w:rFonts w:ascii="Bookman Old Style" w:hAnsi="Bookman Old Style"/>
          <w:b/>
        </w:rPr>
        <w:t xml:space="preserve">a la </w:t>
      </w:r>
      <w:r w:rsidR="00386D59" w:rsidRPr="00893145">
        <w:rPr>
          <w:rFonts w:ascii="Bookman Old Style" w:hAnsi="Bookman Old Style"/>
          <w:b/>
        </w:rPr>
        <w:t xml:space="preserve">Energía Disponible para venta en bolsa </w:t>
      </w:r>
      <w:r w:rsidRPr="00893145">
        <w:rPr>
          <w:rFonts w:ascii="Bookman Old Style" w:hAnsi="Bookman Old Style"/>
          <w:b/>
        </w:rPr>
        <w:t>(PC</w:t>
      </w:r>
      <w:r w:rsidR="00386D59" w:rsidRPr="00893145">
        <w:rPr>
          <w:rFonts w:ascii="Bookman Old Style" w:hAnsi="Bookman Old Style"/>
          <w:b/>
        </w:rPr>
        <w:t>ED</w:t>
      </w:r>
      <w:r w:rsidRPr="00893145">
        <w:rPr>
          <w:rFonts w:ascii="Bookman Old Style" w:hAnsi="Bookman Old Style"/>
          <w:b/>
        </w:rPr>
        <w:t>):</w:t>
      </w:r>
      <w:r w:rsidRPr="00893145">
        <w:rPr>
          <w:rFonts w:ascii="Bookman Old Style" w:hAnsi="Bookman Old Style"/>
        </w:rPr>
        <w:t xml:space="preserve"> Modalidad de contrato de suministro de energía eléctrica en la que el vendedor se obliga a la entrega de la cantidad mínima entre su </w:t>
      </w:r>
      <w:r w:rsidR="00CD61EC" w:rsidRPr="00893145">
        <w:rPr>
          <w:rFonts w:ascii="Bookman Old Style" w:hAnsi="Bookman Old Style"/>
          <w:bCs/>
        </w:rPr>
        <w:t>Energía Disponible para venta en bolsa</w:t>
      </w:r>
      <w:r w:rsidR="00CD61EC" w:rsidRPr="00893145">
        <w:rPr>
          <w:rFonts w:ascii="Bookman Old Style" w:hAnsi="Bookman Old Style"/>
        </w:rPr>
        <w:t xml:space="preserve">, calculada por el </w:t>
      </w:r>
      <w:r w:rsidR="007A116C" w:rsidRPr="00893145">
        <w:rPr>
          <w:rFonts w:ascii="Bookman Old Style" w:hAnsi="Bookman Old Style"/>
          <w:bCs/>
        </w:rPr>
        <w:t>Administrador del Sistema de Intercambios Comerciales (ASIC)</w:t>
      </w:r>
      <w:r w:rsidR="00E12292" w:rsidRPr="00893145">
        <w:rPr>
          <w:rFonts w:ascii="Bookman Old Style" w:hAnsi="Bookman Old Style"/>
          <w:bCs/>
        </w:rPr>
        <w:t>,</w:t>
      </w:r>
      <w:r w:rsidR="00970BF8" w:rsidRPr="00893145">
        <w:rPr>
          <w:rFonts w:ascii="Bookman Old Style" w:hAnsi="Bookman Old Style"/>
        </w:rPr>
        <w:t xml:space="preserve"> </w:t>
      </w:r>
      <w:r w:rsidRPr="00893145">
        <w:rPr>
          <w:rFonts w:ascii="Bookman Old Style" w:hAnsi="Bookman Old Style"/>
        </w:rPr>
        <w:t xml:space="preserve">y la cantidad de energía </w:t>
      </w:r>
      <w:r w:rsidR="005F7B7F" w:rsidRPr="00893145">
        <w:rPr>
          <w:rFonts w:ascii="Bookman Old Style" w:hAnsi="Bookman Old Style"/>
        </w:rPr>
        <w:t>requerida</w:t>
      </w:r>
      <w:r w:rsidRPr="00893145">
        <w:rPr>
          <w:rFonts w:ascii="Bookman Old Style" w:hAnsi="Bookman Old Style"/>
        </w:rPr>
        <w:t xml:space="preserve"> por el comercializador para cubrir su demanda comercial regulada expuesta a compras en la bolsa de energía.</w:t>
      </w:r>
    </w:p>
    <w:p w14:paraId="0DC19652" w14:textId="77777777" w:rsidR="00CE09AF" w:rsidRPr="00893145" w:rsidRDefault="00CE09AF" w:rsidP="00CE09AF">
      <w:pPr>
        <w:spacing w:line="276" w:lineRule="auto"/>
        <w:ind w:hanging="708"/>
        <w:jc w:val="both"/>
        <w:rPr>
          <w:rFonts w:ascii="Bookman Old Style" w:hAnsi="Bookman Old Style"/>
        </w:rPr>
      </w:pPr>
    </w:p>
    <w:p w14:paraId="56B07917" w14:textId="61522798" w:rsidR="00CE09AF" w:rsidRPr="00893145" w:rsidRDefault="007A116C" w:rsidP="00CE09AF">
      <w:pPr>
        <w:spacing w:line="276" w:lineRule="auto"/>
        <w:jc w:val="both"/>
        <w:rPr>
          <w:rFonts w:ascii="Bookman Old Style" w:hAnsi="Bookman Old Style"/>
          <w:bCs/>
        </w:rPr>
      </w:pPr>
      <w:bookmarkStart w:id="2" w:name="_Int_AcETbWwo"/>
      <w:r w:rsidRPr="00893145">
        <w:rPr>
          <w:rFonts w:ascii="Bookman Old Style" w:hAnsi="Bookman Old Style"/>
          <w:b/>
        </w:rPr>
        <w:t>Energía Disponible para venta en bolsa</w:t>
      </w:r>
      <w:r w:rsidR="00CE09AF" w:rsidRPr="00893145">
        <w:rPr>
          <w:rFonts w:ascii="Bookman Old Style" w:hAnsi="Bookman Old Style"/>
          <w:b/>
        </w:rPr>
        <w:t>:</w:t>
      </w:r>
      <w:r w:rsidR="00CE09AF" w:rsidRPr="00893145">
        <w:rPr>
          <w:rFonts w:ascii="Bookman Old Style" w:hAnsi="Bookman Old Style"/>
        </w:rPr>
        <w:t xml:space="preserve"> </w:t>
      </w:r>
      <w:r w:rsidRPr="00893145">
        <w:rPr>
          <w:rFonts w:ascii="Bookman Old Style" w:hAnsi="Bookman Old Style"/>
        </w:rPr>
        <w:t>Cantidad de energía disponible por parte de</w:t>
      </w:r>
      <w:r w:rsidR="005A24DE" w:rsidRPr="00893145">
        <w:rPr>
          <w:rFonts w:ascii="Bookman Old Style" w:hAnsi="Bookman Old Style"/>
        </w:rPr>
        <w:t xml:space="preserve"> </w:t>
      </w:r>
      <w:r w:rsidR="00B5771E" w:rsidRPr="00893145">
        <w:rPr>
          <w:rFonts w:ascii="Bookman Old Style" w:hAnsi="Bookman Old Style"/>
        </w:rPr>
        <w:t>un agente, calculada por el ASIC, para ser vendida en bolsa</w:t>
      </w:r>
      <w:r w:rsidR="00CE09AF" w:rsidRPr="00893145">
        <w:rPr>
          <w:rFonts w:ascii="Bookman Old Style" w:hAnsi="Bookman Old Style"/>
          <w:bCs/>
        </w:rPr>
        <w:t xml:space="preserve">, </w:t>
      </w:r>
      <w:r w:rsidR="006D4EBC" w:rsidRPr="00893145">
        <w:rPr>
          <w:rFonts w:ascii="Bookman Old Style" w:hAnsi="Bookman Old Style"/>
        </w:rPr>
        <w:t>después de haber descontado toda su</w:t>
      </w:r>
      <w:r w:rsidR="00CE09AF" w:rsidRPr="00893145">
        <w:rPr>
          <w:rFonts w:ascii="Bookman Old Style" w:hAnsi="Bookman Old Style"/>
        </w:rPr>
        <w:t xml:space="preserve"> energía comprometida a través de los </w:t>
      </w:r>
      <w:r w:rsidR="00CE09AF" w:rsidRPr="00893145">
        <w:rPr>
          <w:rFonts w:ascii="Bookman Old Style" w:hAnsi="Bookman Old Style"/>
        </w:rPr>
        <w:lastRenderedPageBreak/>
        <w:t xml:space="preserve">contratos que liquida el </w:t>
      </w:r>
      <w:r w:rsidR="00CE09AF" w:rsidRPr="00893145">
        <w:rPr>
          <w:rFonts w:ascii="Bookman Old Style" w:hAnsi="Bookman Old Style"/>
          <w:bCs/>
        </w:rPr>
        <w:t xml:space="preserve">ASIC </w:t>
      </w:r>
      <w:r w:rsidR="00CE09AF" w:rsidRPr="00893145">
        <w:rPr>
          <w:rFonts w:ascii="Bookman Old Style" w:hAnsi="Bookman Old Style"/>
        </w:rPr>
        <w:t xml:space="preserve">distintos a los contratos </w:t>
      </w:r>
      <w:r w:rsidR="00CE09AF" w:rsidRPr="00893145">
        <w:rPr>
          <w:rFonts w:ascii="Bookman Old Style" w:hAnsi="Bookman Old Style"/>
          <w:bCs/>
        </w:rPr>
        <w:t>P</w:t>
      </w:r>
      <w:r w:rsidR="00500D27" w:rsidRPr="00893145">
        <w:rPr>
          <w:rFonts w:ascii="Bookman Old Style" w:hAnsi="Bookman Old Style"/>
          <w:bCs/>
        </w:rPr>
        <w:t>CED</w:t>
      </w:r>
      <w:r w:rsidR="00CE09AF" w:rsidRPr="00893145">
        <w:rPr>
          <w:rFonts w:ascii="Bookman Old Style" w:hAnsi="Bookman Old Style"/>
          <w:bCs/>
        </w:rPr>
        <w:t xml:space="preserve"> </w:t>
      </w:r>
      <w:r w:rsidR="00707BBB" w:rsidRPr="00893145">
        <w:rPr>
          <w:rFonts w:ascii="Bookman Old Style" w:hAnsi="Bookman Old Style"/>
        </w:rPr>
        <w:t>resultantes de lo dispuesto en la presente resolución</w:t>
      </w:r>
      <w:r w:rsidR="00CE09AF" w:rsidRPr="00893145">
        <w:rPr>
          <w:rFonts w:ascii="Bookman Old Style" w:hAnsi="Bookman Old Style"/>
        </w:rPr>
        <w:t>, para cada hora, de cada día del mes.</w:t>
      </w:r>
      <w:bookmarkEnd w:id="2"/>
      <w:r w:rsidR="00CE09AF" w:rsidRPr="00893145">
        <w:rPr>
          <w:rFonts w:ascii="Bookman Old Style" w:hAnsi="Bookman Old Style"/>
          <w:bCs/>
        </w:rPr>
        <w:t xml:space="preserve"> </w:t>
      </w:r>
    </w:p>
    <w:p w14:paraId="4B225520" w14:textId="77777777" w:rsidR="00CE09AF" w:rsidRPr="00893145" w:rsidRDefault="00CE09AF" w:rsidP="00CE09AF">
      <w:pPr>
        <w:spacing w:line="276" w:lineRule="auto"/>
        <w:ind w:left="0"/>
        <w:jc w:val="both"/>
        <w:rPr>
          <w:rFonts w:ascii="Bookman Old Style" w:hAnsi="Bookman Old Style"/>
        </w:rPr>
      </w:pPr>
    </w:p>
    <w:p w14:paraId="50BD0E66" w14:textId="67401DFB" w:rsidR="00A1597C" w:rsidRPr="00893145" w:rsidRDefault="00CE09AF" w:rsidP="00CE09AF">
      <w:pPr>
        <w:spacing w:line="276" w:lineRule="auto"/>
        <w:ind w:left="0"/>
        <w:jc w:val="both"/>
        <w:rPr>
          <w:rFonts w:ascii="Bookman Old Style" w:hAnsi="Bookman Old Style" w:cs="Arial"/>
        </w:rPr>
      </w:pPr>
      <w:r w:rsidRPr="00893145">
        <w:rPr>
          <w:rFonts w:ascii="Bookman Old Style" w:hAnsi="Bookman Old Style"/>
          <w:b/>
        </w:rPr>
        <w:t xml:space="preserve">ARTÍCULO </w:t>
      </w:r>
      <w:r w:rsidR="007A205A" w:rsidRPr="00893145">
        <w:rPr>
          <w:rFonts w:ascii="Bookman Old Style" w:hAnsi="Bookman Old Style"/>
          <w:b/>
        </w:rPr>
        <w:t>4</w:t>
      </w:r>
      <w:r w:rsidRPr="00893145">
        <w:rPr>
          <w:rFonts w:ascii="Bookman Old Style" w:hAnsi="Bookman Old Style"/>
          <w:b/>
        </w:rPr>
        <w:t xml:space="preserve">. </w:t>
      </w:r>
      <w:r w:rsidRPr="00893145">
        <w:rPr>
          <w:rFonts w:ascii="Bookman Old Style" w:hAnsi="Bookman Old Style" w:cs="Arial"/>
          <w:b/>
          <w:bCs/>
        </w:rPr>
        <w:t xml:space="preserve">Contratación directa. </w:t>
      </w:r>
      <w:r w:rsidR="00401424" w:rsidRPr="00893145">
        <w:rPr>
          <w:rFonts w:ascii="Bookman Old Style" w:hAnsi="Bookman Old Style" w:cs="Arial"/>
        </w:rPr>
        <w:t>L</w:t>
      </w:r>
      <w:r w:rsidR="00C3091F" w:rsidRPr="00893145">
        <w:rPr>
          <w:rFonts w:ascii="Bookman Old Style" w:hAnsi="Bookman Old Style" w:cs="Arial"/>
        </w:rPr>
        <w:t xml:space="preserve">os </w:t>
      </w:r>
      <w:r w:rsidR="007A205A" w:rsidRPr="00893145">
        <w:rPr>
          <w:rFonts w:ascii="Bookman Old Style" w:hAnsi="Bookman Old Style"/>
          <w:bCs/>
        </w:rPr>
        <w:t>prestadores señalados en el artículo 2</w:t>
      </w:r>
      <w:r w:rsidR="00401424" w:rsidRPr="00893145">
        <w:rPr>
          <w:rFonts w:ascii="Bookman Old Style" w:hAnsi="Bookman Old Style"/>
          <w:bCs/>
        </w:rPr>
        <w:t xml:space="preserve"> </w:t>
      </w:r>
      <w:r w:rsidR="00401424" w:rsidRPr="00893145">
        <w:rPr>
          <w:rFonts w:ascii="Bookman Old Style" w:hAnsi="Bookman Old Style" w:cs="Arial"/>
        </w:rPr>
        <w:t>t</w:t>
      </w:r>
      <w:r w:rsidR="00401424" w:rsidRPr="00893145">
        <w:rPr>
          <w:rFonts w:ascii="Bookman Old Style" w:hAnsi="Bookman Old Style"/>
          <w:bCs/>
        </w:rPr>
        <w:t xml:space="preserve">endrán un periodo de </w:t>
      </w:r>
      <w:r w:rsidR="00401424" w:rsidRPr="00893145">
        <w:rPr>
          <w:rFonts w:ascii="Bookman Old Style" w:hAnsi="Bookman Old Style" w:cs="Arial"/>
        </w:rPr>
        <w:t>seis (6) meses contados a partir de la fecha de inicio de la intervención por parte de la SSPD</w:t>
      </w:r>
      <w:r w:rsidR="00E83C54" w:rsidRPr="00893145">
        <w:rPr>
          <w:rFonts w:ascii="Bookman Old Style" w:hAnsi="Bookman Old Style"/>
        </w:rPr>
        <w:t>,</w:t>
      </w:r>
      <w:r w:rsidR="00401424" w:rsidRPr="00893145">
        <w:rPr>
          <w:rFonts w:ascii="Bookman Old Style" w:hAnsi="Bookman Old Style"/>
        </w:rPr>
        <w:t xml:space="preserve"> </w:t>
      </w:r>
      <w:r w:rsidR="00401424" w:rsidRPr="00893145">
        <w:rPr>
          <w:rFonts w:ascii="Bookman Old Style" w:hAnsi="Bookman Old Style" w:cs="Arial"/>
        </w:rPr>
        <w:t xml:space="preserve">para realizar la negociación directa, suscripción, registro e inicio de </w:t>
      </w:r>
      <w:r w:rsidRPr="00893145">
        <w:rPr>
          <w:rFonts w:ascii="Bookman Old Style" w:hAnsi="Bookman Old Style" w:cs="Arial"/>
        </w:rPr>
        <w:t xml:space="preserve">contratos bajo las modalidades i) pague lo contratado; o </w:t>
      </w:r>
      <w:proofErr w:type="spellStart"/>
      <w:r w:rsidRPr="00893145">
        <w:rPr>
          <w:rFonts w:ascii="Bookman Old Style" w:hAnsi="Bookman Old Style" w:cs="Arial"/>
        </w:rPr>
        <w:t>ii</w:t>
      </w:r>
      <w:proofErr w:type="spellEnd"/>
      <w:r w:rsidRPr="00893145">
        <w:rPr>
          <w:rFonts w:ascii="Bookman Old Style" w:hAnsi="Bookman Old Style" w:cs="Arial"/>
        </w:rPr>
        <w:t>) PC</w:t>
      </w:r>
      <w:r w:rsidR="008A6A48" w:rsidRPr="00893145">
        <w:rPr>
          <w:rFonts w:ascii="Bookman Old Style" w:hAnsi="Bookman Old Style" w:cs="Arial"/>
        </w:rPr>
        <w:t>ED</w:t>
      </w:r>
      <w:r w:rsidR="0064201C" w:rsidRPr="00893145">
        <w:rPr>
          <w:rFonts w:ascii="Bookman Old Style" w:hAnsi="Bookman Old Style" w:cs="Arial"/>
        </w:rPr>
        <w:t>.</w:t>
      </w:r>
      <w:r w:rsidR="00401424" w:rsidRPr="00893145">
        <w:rPr>
          <w:rFonts w:ascii="Bookman Old Style" w:hAnsi="Bookman Old Style" w:cs="Arial"/>
        </w:rPr>
        <w:t xml:space="preserve"> </w:t>
      </w:r>
    </w:p>
    <w:p w14:paraId="1135233D" w14:textId="77777777" w:rsidR="00E93529" w:rsidRPr="00893145" w:rsidRDefault="00E93529" w:rsidP="00CE09AF">
      <w:pPr>
        <w:spacing w:line="276" w:lineRule="auto"/>
        <w:ind w:left="0"/>
        <w:jc w:val="both"/>
        <w:rPr>
          <w:rFonts w:ascii="Bookman Old Style" w:hAnsi="Bookman Old Style" w:cs="Arial"/>
        </w:rPr>
      </w:pPr>
    </w:p>
    <w:p w14:paraId="7F288A6F" w14:textId="78A8C4C5" w:rsidR="00CE09AF" w:rsidRPr="00CC2B13" w:rsidRDefault="00945393" w:rsidP="00CE09AF">
      <w:pPr>
        <w:spacing w:line="276" w:lineRule="auto"/>
        <w:ind w:left="0"/>
        <w:jc w:val="both"/>
        <w:rPr>
          <w:rFonts w:ascii="Bookman Old Style" w:hAnsi="Bookman Old Style" w:cs="Arial"/>
        </w:rPr>
      </w:pPr>
      <w:r w:rsidRPr="00893145">
        <w:rPr>
          <w:rFonts w:ascii="Bookman Old Style" w:hAnsi="Bookman Old Style" w:cs="Arial"/>
        </w:rPr>
        <w:t>Durante toda la vigencia del contrato la cantidad de energía debe ser</w:t>
      </w:r>
      <w:r w:rsidR="00671A72" w:rsidRPr="00893145">
        <w:rPr>
          <w:rFonts w:ascii="Bookman Old Style" w:hAnsi="Bookman Old Style" w:cs="Arial"/>
        </w:rPr>
        <w:t xml:space="preserve"> expresada en kilovatios-hora (kWh) y</w:t>
      </w:r>
      <w:r w:rsidRPr="00893145">
        <w:rPr>
          <w:rFonts w:ascii="Bookman Old Style" w:hAnsi="Bookman Old Style" w:cs="Arial"/>
        </w:rPr>
        <w:t xml:space="preserve"> determinada o determinable en función de </w:t>
      </w:r>
      <w:r w:rsidR="00671A72" w:rsidRPr="00893145">
        <w:rPr>
          <w:rFonts w:ascii="Bookman Old Style" w:hAnsi="Bookman Old Style" w:cs="Arial"/>
        </w:rPr>
        <w:t xml:space="preserve">lo dispuesto en </w:t>
      </w:r>
      <w:r w:rsidR="00EC0FEE" w:rsidRPr="00893145">
        <w:rPr>
          <w:rFonts w:ascii="Bookman Old Style" w:hAnsi="Bookman Old Style" w:cs="Arial"/>
        </w:rPr>
        <w:t>el artículo 2 de la presente resolución</w:t>
      </w:r>
      <w:r w:rsidR="003E55FB" w:rsidRPr="00893145">
        <w:rPr>
          <w:rFonts w:ascii="Bookman Old Style" w:hAnsi="Bookman Old Style" w:cs="Arial"/>
        </w:rPr>
        <w:t xml:space="preserve">. Asimismo, </w:t>
      </w:r>
      <w:r w:rsidR="00A9721D" w:rsidRPr="00893145">
        <w:rPr>
          <w:rFonts w:ascii="Bookman Old Style" w:hAnsi="Bookman Old Style" w:cs="Arial"/>
        </w:rPr>
        <w:t>debe cumplir con lo dispuesto en el</w:t>
      </w:r>
      <w:r w:rsidR="002F335B" w:rsidRPr="00893145">
        <w:rPr>
          <w:rFonts w:ascii="Bookman Old Style" w:hAnsi="Bookman Old Style" w:cs="Arial"/>
        </w:rPr>
        <w:t xml:space="preserve"> numeral 12.1</w:t>
      </w:r>
      <w:r w:rsidR="00A9721D" w:rsidRPr="00893145">
        <w:rPr>
          <w:rFonts w:ascii="Bookman Old Style" w:hAnsi="Bookman Old Style" w:cs="Arial"/>
        </w:rPr>
        <w:t xml:space="preserve"> de la Resolución CREG 130 de 2019</w:t>
      </w:r>
      <w:r w:rsidR="00121B0A" w:rsidRPr="00893145">
        <w:rPr>
          <w:rFonts w:ascii="Bookman Old Style" w:hAnsi="Bookman Old Style" w:cs="Arial"/>
        </w:rPr>
        <w:t>, o aquella que la modifique, adicione o sustituya</w:t>
      </w:r>
      <w:r w:rsidR="00CE09AF" w:rsidRPr="00CC2B13">
        <w:rPr>
          <w:rFonts w:ascii="Bookman Old Style" w:hAnsi="Bookman Old Style" w:cs="Arial"/>
        </w:rPr>
        <w:t>.</w:t>
      </w:r>
    </w:p>
    <w:p w14:paraId="74F9FF6A" w14:textId="77777777" w:rsidR="00CE09AF" w:rsidRPr="00CC2B13" w:rsidRDefault="00CE09AF" w:rsidP="00CE09AF">
      <w:pPr>
        <w:spacing w:line="276" w:lineRule="auto"/>
        <w:ind w:left="0"/>
        <w:jc w:val="both"/>
        <w:rPr>
          <w:rFonts w:ascii="Bookman Old Style" w:hAnsi="Bookman Old Style" w:cs="Arial"/>
        </w:rPr>
      </w:pPr>
    </w:p>
    <w:p w14:paraId="5BB418B2" w14:textId="49A45CDB" w:rsidR="0081061B" w:rsidRDefault="0081061B" w:rsidP="00CE09AF">
      <w:pPr>
        <w:spacing w:line="276" w:lineRule="auto"/>
        <w:ind w:left="0"/>
        <w:jc w:val="both"/>
        <w:rPr>
          <w:rFonts w:ascii="Bookman Old Style" w:hAnsi="Bookman Old Style" w:cs="Arial"/>
          <w:b/>
          <w:bCs/>
        </w:rPr>
      </w:pPr>
      <w:r w:rsidRPr="00CC2B13">
        <w:rPr>
          <w:rFonts w:ascii="Bookman Old Style" w:hAnsi="Bookman Old Style" w:cs="Arial"/>
          <w:b/>
          <w:bCs/>
        </w:rPr>
        <w:t>Parágrafo 1.</w:t>
      </w:r>
      <w:r w:rsidRPr="00CC2B13">
        <w:rPr>
          <w:rFonts w:ascii="Bookman Old Style" w:hAnsi="Bookman Old Style" w:cs="Arial"/>
        </w:rPr>
        <w:t xml:space="preserve"> </w:t>
      </w:r>
      <w:r w:rsidR="00B676DA">
        <w:rPr>
          <w:rFonts w:ascii="Bookman Old Style" w:hAnsi="Bookman Old Style" w:cs="Arial"/>
        </w:rPr>
        <w:t>L</w:t>
      </w:r>
      <w:r w:rsidR="009275EA">
        <w:rPr>
          <w:rFonts w:ascii="Bookman Old Style" w:hAnsi="Bookman Old Style" w:cs="Arial"/>
        </w:rPr>
        <w:t xml:space="preserve">os </w:t>
      </w:r>
      <w:r w:rsidR="009275EA">
        <w:rPr>
          <w:rFonts w:ascii="Bookman Old Style" w:hAnsi="Bookman Old Style"/>
          <w:bCs/>
        </w:rPr>
        <w:t xml:space="preserve">prestadores señalados en el artículo 2 </w:t>
      </w:r>
      <w:r w:rsidR="00D360E9">
        <w:rPr>
          <w:rFonts w:ascii="Bookman Old Style" w:hAnsi="Bookman Old Style" w:cs="Arial"/>
        </w:rPr>
        <w:t>cuya toma de posesión por parte de la SSPD</w:t>
      </w:r>
      <w:r w:rsidR="00D360E9">
        <w:rPr>
          <w:rFonts w:ascii="Bookman Old Style" w:hAnsi="Bookman Old Style"/>
        </w:rPr>
        <w:t xml:space="preserve"> haya iniciado de manera previa a la </w:t>
      </w:r>
      <w:proofErr w:type="gramStart"/>
      <w:r w:rsidR="00B8678D">
        <w:rPr>
          <w:rFonts w:ascii="Bookman Old Style" w:hAnsi="Bookman Old Style"/>
        </w:rPr>
        <w:t>entrada en vigencia</w:t>
      </w:r>
      <w:proofErr w:type="gramEnd"/>
      <w:r w:rsidR="00B8678D">
        <w:rPr>
          <w:rFonts w:ascii="Bookman Old Style" w:hAnsi="Bookman Old Style"/>
        </w:rPr>
        <w:t xml:space="preserve"> de la presente resolución</w:t>
      </w:r>
      <w:r w:rsidR="00D360E9">
        <w:rPr>
          <w:rFonts w:ascii="Bookman Old Style" w:hAnsi="Bookman Old Style"/>
        </w:rPr>
        <w:t>,</w:t>
      </w:r>
      <w:r w:rsidR="006F3D53">
        <w:rPr>
          <w:rFonts w:ascii="Bookman Old Style" w:hAnsi="Bookman Old Style"/>
        </w:rPr>
        <w:t xml:space="preserve"> tendrán cuatro (4) meses contados </w:t>
      </w:r>
      <w:r w:rsidR="006F3D53" w:rsidRPr="00CC2B13">
        <w:rPr>
          <w:rFonts w:ascii="Bookman Old Style" w:hAnsi="Bookman Old Style" w:cs="Arial"/>
        </w:rPr>
        <w:t xml:space="preserve">a partir de </w:t>
      </w:r>
      <w:r w:rsidR="006F3D53">
        <w:rPr>
          <w:rFonts w:ascii="Bookman Old Style" w:hAnsi="Bookman Old Style" w:cs="Arial"/>
        </w:rPr>
        <w:t>la</w:t>
      </w:r>
      <w:r w:rsidR="006F3D53" w:rsidRPr="00CC2B13">
        <w:rPr>
          <w:rFonts w:ascii="Bookman Old Style" w:hAnsi="Bookman Old Style" w:cs="Arial"/>
        </w:rPr>
        <w:t xml:space="preserve"> </w:t>
      </w:r>
      <w:r w:rsidR="007D3FC4">
        <w:rPr>
          <w:rFonts w:ascii="Bookman Old Style" w:hAnsi="Bookman Old Style" w:cs="Arial"/>
        </w:rPr>
        <w:t>mencionada</w:t>
      </w:r>
      <w:r w:rsidR="006F3D53">
        <w:rPr>
          <w:rFonts w:ascii="Bookman Old Style" w:hAnsi="Bookman Old Style" w:cs="Arial"/>
        </w:rPr>
        <w:t xml:space="preserve"> vigencia </w:t>
      </w:r>
      <w:r w:rsidR="007D3FC4">
        <w:rPr>
          <w:rFonts w:ascii="Bookman Old Style" w:hAnsi="Bookman Old Style" w:cs="Arial"/>
        </w:rPr>
        <w:t>p</w:t>
      </w:r>
      <w:r w:rsidR="006F3D53">
        <w:rPr>
          <w:rFonts w:ascii="Bookman Old Style" w:hAnsi="Bookman Old Style"/>
        </w:rPr>
        <w:t>ara realizar</w:t>
      </w:r>
      <w:r w:rsidR="00D360E9">
        <w:rPr>
          <w:rFonts w:ascii="Bookman Old Style" w:hAnsi="Bookman Old Style"/>
        </w:rPr>
        <w:t xml:space="preserve"> </w:t>
      </w:r>
      <w:r w:rsidR="00D73840">
        <w:rPr>
          <w:rFonts w:ascii="Bookman Old Style" w:hAnsi="Bookman Old Style" w:cs="Arial"/>
        </w:rPr>
        <w:t xml:space="preserve">la negociación, suscripción, registro e inicio </w:t>
      </w:r>
      <w:r w:rsidR="00D73840" w:rsidRPr="00B05CE9">
        <w:rPr>
          <w:rFonts w:ascii="Bookman Old Style" w:hAnsi="Bookman Old Style" w:cs="Arial"/>
        </w:rPr>
        <w:t>de estos contratos</w:t>
      </w:r>
      <w:r w:rsidRPr="00CC2B13">
        <w:rPr>
          <w:rFonts w:ascii="Bookman Old Style" w:hAnsi="Bookman Old Style" w:cs="Arial"/>
        </w:rPr>
        <w:t>.</w:t>
      </w:r>
    </w:p>
    <w:p w14:paraId="375BB706" w14:textId="77777777" w:rsidR="0081061B" w:rsidRDefault="0081061B" w:rsidP="00CE09AF">
      <w:pPr>
        <w:spacing w:line="276" w:lineRule="auto"/>
        <w:ind w:left="0"/>
        <w:jc w:val="both"/>
        <w:rPr>
          <w:rFonts w:ascii="Bookman Old Style" w:hAnsi="Bookman Old Style" w:cs="Arial"/>
          <w:b/>
          <w:bCs/>
        </w:rPr>
      </w:pPr>
    </w:p>
    <w:p w14:paraId="35C8796C" w14:textId="6B00E4F6" w:rsidR="00CE09AF" w:rsidRPr="00CC2B13" w:rsidRDefault="00CE09AF" w:rsidP="00CE09AF">
      <w:pPr>
        <w:spacing w:line="276" w:lineRule="auto"/>
        <w:ind w:left="0"/>
        <w:jc w:val="both"/>
        <w:rPr>
          <w:rFonts w:ascii="Bookman Old Style" w:hAnsi="Bookman Old Style" w:cs="Arial"/>
        </w:rPr>
      </w:pPr>
      <w:r w:rsidRPr="00CC2B13">
        <w:rPr>
          <w:rFonts w:ascii="Bookman Old Style" w:hAnsi="Bookman Old Style" w:cs="Arial"/>
          <w:b/>
          <w:bCs/>
        </w:rPr>
        <w:t xml:space="preserve">Parágrafo </w:t>
      </w:r>
      <w:r w:rsidR="00D360E9">
        <w:rPr>
          <w:rFonts w:ascii="Bookman Old Style" w:hAnsi="Bookman Old Style" w:cs="Arial"/>
          <w:b/>
          <w:bCs/>
        </w:rPr>
        <w:t>2</w:t>
      </w:r>
      <w:r w:rsidRPr="00CC2B13">
        <w:rPr>
          <w:rFonts w:ascii="Bookman Old Style" w:hAnsi="Bookman Old Style" w:cs="Arial"/>
          <w:b/>
          <w:bCs/>
        </w:rPr>
        <w:t>.</w:t>
      </w:r>
      <w:r w:rsidRPr="00CC2B13">
        <w:rPr>
          <w:rFonts w:ascii="Bookman Old Style" w:hAnsi="Bookman Old Style" w:cs="Arial"/>
        </w:rPr>
        <w:t xml:space="preserve"> Para la suscripción de los contratos </w:t>
      </w:r>
      <w:r w:rsidRPr="00CC2B13">
        <w:rPr>
          <w:rFonts w:ascii="Bookman Old Style" w:hAnsi="Bookman Old Style"/>
        </w:rPr>
        <w:t>a los que se refiere el presente artículo</w:t>
      </w:r>
      <w:r w:rsidR="000F70B3">
        <w:rPr>
          <w:rFonts w:ascii="Bookman Old Style" w:hAnsi="Bookman Old Style"/>
        </w:rPr>
        <w:t xml:space="preserve">, </w:t>
      </w:r>
      <w:r w:rsidR="006B1427">
        <w:rPr>
          <w:rFonts w:ascii="Bookman Old Style" w:hAnsi="Bookman Old Style" w:cs="Arial"/>
        </w:rPr>
        <w:t>únicamente</w:t>
      </w:r>
      <w:r w:rsidR="000F70B3">
        <w:rPr>
          <w:rFonts w:ascii="Bookman Old Style" w:hAnsi="Bookman Old Style" w:cs="Arial"/>
        </w:rPr>
        <w:t xml:space="preserve"> se</w:t>
      </w:r>
      <w:r w:rsidRPr="00CC2B13">
        <w:rPr>
          <w:rFonts w:ascii="Bookman Old Style" w:hAnsi="Bookman Old Style" w:cs="Arial"/>
        </w:rPr>
        <w:t xml:space="preserve"> deberá dar cumplimiento a las disposiciones de la Resolución CREG 130 de 2019</w:t>
      </w:r>
      <w:r w:rsidR="00121B0A">
        <w:rPr>
          <w:rFonts w:ascii="Bookman Old Style" w:hAnsi="Bookman Old Style" w:cs="Arial"/>
        </w:rPr>
        <w:t xml:space="preserve"> o aquella que la modifique, adicione o sustituya,</w:t>
      </w:r>
      <w:r w:rsidRPr="00CC2B13">
        <w:rPr>
          <w:rFonts w:ascii="Bookman Old Style" w:hAnsi="Bookman Old Style" w:cs="Arial"/>
        </w:rPr>
        <w:t xml:space="preserve"> que expresamente se señalan en </w:t>
      </w:r>
      <w:r w:rsidR="003A7CB4">
        <w:rPr>
          <w:rFonts w:ascii="Bookman Old Style" w:hAnsi="Bookman Old Style" w:cs="Arial"/>
        </w:rPr>
        <w:t>esta</w:t>
      </w:r>
      <w:r w:rsidRPr="00CC2B13">
        <w:rPr>
          <w:rFonts w:ascii="Bookman Old Style" w:hAnsi="Bookman Old Style" w:cs="Arial"/>
        </w:rPr>
        <w:t xml:space="preserve"> resolución. </w:t>
      </w:r>
      <w:r w:rsidR="00790F61">
        <w:rPr>
          <w:rFonts w:ascii="Bookman Old Style" w:hAnsi="Bookman Old Style" w:cs="Arial"/>
        </w:rPr>
        <w:t>E</w:t>
      </w:r>
      <w:r w:rsidRPr="00CC2B13">
        <w:rPr>
          <w:rFonts w:ascii="Bookman Old Style" w:hAnsi="Bookman Old Style" w:cs="Arial"/>
        </w:rPr>
        <w:t>n todo caso</w:t>
      </w:r>
      <w:r w:rsidR="00790F61">
        <w:rPr>
          <w:rFonts w:ascii="Bookman Old Style" w:hAnsi="Bookman Old Style" w:cs="Arial"/>
        </w:rPr>
        <w:t>, se d</w:t>
      </w:r>
      <w:r w:rsidR="00790F61" w:rsidRPr="00CC2B13">
        <w:rPr>
          <w:rFonts w:ascii="Bookman Old Style" w:hAnsi="Bookman Old Style" w:cs="Arial"/>
        </w:rPr>
        <w:t>eberán</w:t>
      </w:r>
      <w:r w:rsidRPr="00CC2B13">
        <w:rPr>
          <w:rFonts w:ascii="Bookman Old Style" w:hAnsi="Bookman Old Style" w:cs="Arial"/>
        </w:rPr>
        <w:t xml:space="preserve"> cumplir las disposiciones generales señaladas en la Resolución CREG 080 de 2019</w:t>
      </w:r>
      <w:r w:rsidR="00121B0A">
        <w:rPr>
          <w:rFonts w:ascii="Bookman Old Style" w:hAnsi="Bookman Old Style" w:cs="Arial"/>
        </w:rPr>
        <w:t xml:space="preserve"> o aquella que la modifique, adicione o sustituya</w:t>
      </w:r>
      <w:r w:rsidRPr="00CC2B13">
        <w:rPr>
          <w:rFonts w:ascii="Bookman Old Style" w:hAnsi="Bookman Old Style" w:cs="Arial"/>
        </w:rPr>
        <w:t>.</w:t>
      </w:r>
    </w:p>
    <w:p w14:paraId="66E6FE12" w14:textId="77777777" w:rsidR="00CE09AF" w:rsidRPr="00CC2B13" w:rsidRDefault="00CE09AF" w:rsidP="00CE09AF">
      <w:pPr>
        <w:spacing w:line="276" w:lineRule="auto"/>
        <w:ind w:left="0"/>
        <w:jc w:val="both"/>
        <w:rPr>
          <w:rFonts w:ascii="Bookman Old Style" w:hAnsi="Bookman Old Style" w:cs="Arial"/>
        </w:rPr>
      </w:pPr>
    </w:p>
    <w:p w14:paraId="46ADF093" w14:textId="0D075F57" w:rsidR="00CE09AF" w:rsidRPr="00CC2B13" w:rsidRDefault="00CE09AF" w:rsidP="00CE09AF">
      <w:pPr>
        <w:spacing w:line="276" w:lineRule="auto"/>
        <w:ind w:left="0"/>
        <w:jc w:val="both"/>
        <w:rPr>
          <w:rFonts w:ascii="Bookman Old Style" w:hAnsi="Bookman Old Style" w:cs="Arial"/>
        </w:rPr>
      </w:pPr>
      <w:r w:rsidRPr="00CC2B13">
        <w:rPr>
          <w:rFonts w:ascii="Bookman Old Style" w:hAnsi="Bookman Old Style" w:cs="Arial"/>
          <w:b/>
          <w:bCs/>
        </w:rPr>
        <w:t xml:space="preserve">Parágrafo </w:t>
      </w:r>
      <w:r w:rsidR="00D360E9">
        <w:rPr>
          <w:rFonts w:ascii="Bookman Old Style" w:hAnsi="Bookman Old Style" w:cs="Arial"/>
          <w:b/>
          <w:bCs/>
        </w:rPr>
        <w:t>3</w:t>
      </w:r>
      <w:r w:rsidRPr="00CC2B13">
        <w:rPr>
          <w:rFonts w:ascii="Bookman Old Style" w:hAnsi="Bookman Old Style" w:cs="Arial"/>
          <w:b/>
          <w:bCs/>
        </w:rPr>
        <w:t>.</w:t>
      </w:r>
      <w:r w:rsidRPr="00CC2B13">
        <w:rPr>
          <w:rFonts w:ascii="Bookman Old Style" w:hAnsi="Bookman Old Style" w:cs="Arial"/>
        </w:rPr>
        <w:t xml:space="preserve"> Los contratos a los que hace referencia el presente artículo no serán considerados por el ASIC para el cálculo de la variable </w:t>
      </w:r>
      <w:r w:rsidRPr="00CC2B13">
        <w:rPr>
          <w:rFonts w:ascii="Bookman Old Style" w:hAnsi="Bookman Old Style" w:cs="Arial"/>
          <w:i/>
          <w:iCs/>
        </w:rPr>
        <w:t>Mc</w:t>
      </w:r>
      <w:r w:rsidRPr="00CC2B13">
        <w:rPr>
          <w:rFonts w:ascii="Bookman Old Style" w:hAnsi="Bookman Old Style" w:cs="Arial"/>
        </w:rPr>
        <w:t xml:space="preserve"> en la fórmula del componente G, contenida en el artículo 6 de la Resolución CREG 119 de 2007</w:t>
      </w:r>
      <w:r w:rsidR="00121B0A">
        <w:rPr>
          <w:rFonts w:ascii="Bookman Old Style" w:hAnsi="Bookman Old Style" w:cs="Arial"/>
        </w:rPr>
        <w:t xml:space="preserve"> o aquella que la modifique, adicione o sustituya</w:t>
      </w:r>
      <w:r w:rsidRPr="00CC2B13">
        <w:rPr>
          <w:rFonts w:ascii="Bookman Old Style" w:hAnsi="Bookman Old Style" w:cs="Arial"/>
        </w:rPr>
        <w:t>.</w:t>
      </w:r>
    </w:p>
    <w:p w14:paraId="19F310CB" w14:textId="77777777" w:rsidR="00CE09AF" w:rsidRPr="00CC2B13" w:rsidRDefault="00CE09AF" w:rsidP="00CE09AF">
      <w:pPr>
        <w:spacing w:line="276" w:lineRule="auto"/>
        <w:ind w:left="0"/>
        <w:jc w:val="both"/>
        <w:rPr>
          <w:rFonts w:ascii="Bookman Old Style" w:hAnsi="Bookman Old Style"/>
          <w:iCs/>
        </w:rPr>
      </w:pPr>
    </w:p>
    <w:p w14:paraId="3BE71B4A" w14:textId="7615B3FA" w:rsidR="00EF01F8" w:rsidRPr="00F157DA" w:rsidRDefault="00CE09AF" w:rsidP="004F52DE">
      <w:pPr>
        <w:spacing w:line="276" w:lineRule="auto"/>
        <w:ind w:left="0"/>
        <w:jc w:val="both"/>
        <w:rPr>
          <w:rFonts w:ascii="Bookman Old Style" w:hAnsi="Bookman Old Style" w:cs="Arial"/>
        </w:rPr>
      </w:pPr>
      <w:r w:rsidRPr="00F157DA">
        <w:rPr>
          <w:rFonts w:ascii="Bookman Old Style" w:hAnsi="Bookman Old Style"/>
          <w:b/>
        </w:rPr>
        <w:t xml:space="preserve">ARTÍCULO </w:t>
      </w:r>
      <w:r w:rsidR="006B1427" w:rsidRPr="00F157DA">
        <w:rPr>
          <w:rFonts w:ascii="Bookman Old Style" w:hAnsi="Bookman Old Style"/>
          <w:b/>
        </w:rPr>
        <w:t>5</w:t>
      </w:r>
      <w:r w:rsidRPr="00F157DA">
        <w:rPr>
          <w:rFonts w:ascii="Bookman Old Style" w:hAnsi="Bookman Old Style"/>
          <w:b/>
        </w:rPr>
        <w:t xml:space="preserve">. </w:t>
      </w:r>
      <w:r w:rsidRPr="00F157DA">
        <w:rPr>
          <w:rFonts w:ascii="Bookman Old Style" w:hAnsi="Bookman Old Style" w:cs="Arial"/>
          <w:b/>
          <w:bCs/>
        </w:rPr>
        <w:t xml:space="preserve">Registro de contratos. </w:t>
      </w:r>
      <w:r w:rsidR="00111481" w:rsidRPr="00F157DA">
        <w:rPr>
          <w:rFonts w:ascii="Bookman Old Style" w:hAnsi="Bookman Old Style" w:cs="Arial"/>
        </w:rPr>
        <w:t xml:space="preserve">La solicitud de registro de contratos resultantes de lo dispuesto en la presente resolución deberá ser presentada utilizando los medios que </w:t>
      </w:r>
      <w:r w:rsidR="008165FA" w:rsidRPr="00F157DA">
        <w:rPr>
          <w:rFonts w:ascii="Bookman Old Style" w:hAnsi="Bookman Old Style" w:cs="Arial"/>
        </w:rPr>
        <w:t>el ASIC</w:t>
      </w:r>
      <w:r w:rsidR="00111481" w:rsidRPr="00F157DA">
        <w:rPr>
          <w:rFonts w:ascii="Bookman Old Style" w:hAnsi="Bookman Old Style" w:cs="Arial"/>
        </w:rPr>
        <w:t xml:space="preserve"> disponga para ell</w:t>
      </w:r>
      <w:r w:rsidR="009943E5" w:rsidRPr="00F157DA">
        <w:rPr>
          <w:rFonts w:ascii="Bookman Old Style" w:hAnsi="Bookman Old Style" w:cs="Arial"/>
        </w:rPr>
        <w:t>o</w:t>
      </w:r>
      <w:r w:rsidR="00EF01F8" w:rsidRPr="00F157DA">
        <w:rPr>
          <w:rFonts w:ascii="Bookman Old Style" w:hAnsi="Bookman Old Style" w:cs="Arial"/>
        </w:rPr>
        <w:t>.</w:t>
      </w:r>
    </w:p>
    <w:p w14:paraId="266DBF18" w14:textId="77777777" w:rsidR="00EF01F8" w:rsidRPr="00F157DA" w:rsidRDefault="00EF01F8" w:rsidP="004F52DE">
      <w:pPr>
        <w:spacing w:line="276" w:lineRule="auto"/>
        <w:ind w:left="0"/>
        <w:jc w:val="both"/>
        <w:rPr>
          <w:rFonts w:ascii="Bookman Old Style" w:hAnsi="Bookman Old Style"/>
          <w:bCs/>
        </w:rPr>
      </w:pPr>
    </w:p>
    <w:p w14:paraId="1BA7FD4C" w14:textId="301DCDAD" w:rsidR="00FF1B4B" w:rsidRPr="00F157DA" w:rsidRDefault="002F5DC2" w:rsidP="00230EF7">
      <w:pPr>
        <w:spacing w:line="276" w:lineRule="auto"/>
        <w:ind w:left="0"/>
        <w:jc w:val="both"/>
        <w:rPr>
          <w:rFonts w:ascii="Bookman Old Style" w:hAnsi="Bookman Old Style"/>
          <w:bCs/>
        </w:rPr>
      </w:pPr>
      <w:r w:rsidRPr="00F157DA">
        <w:rPr>
          <w:rFonts w:ascii="Bookman Old Style" w:hAnsi="Bookman Old Style"/>
          <w:bCs/>
        </w:rPr>
        <w:t>El ASIC realizará el registro de</w:t>
      </w:r>
      <w:r w:rsidR="003C5C44" w:rsidRPr="00F157DA">
        <w:rPr>
          <w:rFonts w:ascii="Bookman Old Style" w:hAnsi="Bookman Old Style"/>
          <w:bCs/>
        </w:rPr>
        <w:t xml:space="preserve"> </w:t>
      </w:r>
      <w:r w:rsidR="00EF01F8" w:rsidRPr="00F157DA">
        <w:rPr>
          <w:rFonts w:ascii="Bookman Old Style" w:hAnsi="Bookman Old Style"/>
          <w:bCs/>
        </w:rPr>
        <w:t>esto</w:t>
      </w:r>
      <w:r w:rsidR="003C5C44" w:rsidRPr="00F157DA">
        <w:rPr>
          <w:rFonts w:ascii="Bookman Old Style" w:hAnsi="Bookman Old Style"/>
          <w:bCs/>
        </w:rPr>
        <w:t>s</w:t>
      </w:r>
      <w:r w:rsidRPr="00F157DA">
        <w:rPr>
          <w:rFonts w:ascii="Bookman Old Style" w:hAnsi="Bookman Old Style"/>
          <w:bCs/>
        </w:rPr>
        <w:t xml:space="preserve"> contratos dentro de los cinco (5) días calendario siguientes a la fecha de recepción de la solicitud</w:t>
      </w:r>
      <w:r w:rsidR="001B6B4B" w:rsidRPr="00F157DA">
        <w:rPr>
          <w:rFonts w:ascii="Bookman Old Style" w:hAnsi="Bookman Old Style"/>
          <w:bCs/>
        </w:rPr>
        <w:t>,</w:t>
      </w:r>
      <w:r w:rsidR="001B6B4B" w:rsidRPr="00F157DA">
        <w:rPr>
          <w:rFonts w:ascii="Bookman Old Style" w:hAnsi="Bookman Old Style" w:cs="Arial"/>
        </w:rPr>
        <w:t xml:space="preserve"> siempre que se </w:t>
      </w:r>
      <w:r w:rsidR="00686DDD" w:rsidRPr="00686DDD">
        <w:rPr>
          <w:rFonts w:ascii="Bookman Old Style" w:hAnsi="Bookman Old Style" w:cs="Arial"/>
        </w:rPr>
        <w:t>haya verificado el cumplimiento de l</w:t>
      </w:r>
      <w:r w:rsidR="00686DDD">
        <w:rPr>
          <w:rFonts w:ascii="Bookman Old Style" w:hAnsi="Bookman Old Style" w:cs="Arial"/>
        </w:rPr>
        <w:t>as disposiciones aplicables señaladas en los artículos 15, 16 y 17 de la</w:t>
      </w:r>
      <w:r w:rsidR="00686DDD" w:rsidRPr="00686DDD">
        <w:rPr>
          <w:rFonts w:ascii="Bookman Old Style" w:hAnsi="Bookman Old Style" w:cs="Arial"/>
        </w:rPr>
        <w:t xml:space="preserve"> Resolución</w:t>
      </w:r>
      <w:r w:rsidR="00686DDD">
        <w:rPr>
          <w:rFonts w:ascii="Bookman Old Style" w:hAnsi="Bookman Old Style" w:cs="Arial"/>
        </w:rPr>
        <w:t xml:space="preserve"> CREG 157 de 2011 o aquella que la modifi</w:t>
      </w:r>
      <w:r w:rsidR="00F35DC7">
        <w:rPr>
          <w:rFonts w:ascii="Bookman Old Style" w:hAnsi="Bookman Old Style" w:cs="Arial"/>
        </w:rPr>
        <w:t>que</w:t>
      </w:r>
      <w:r w:rsidR="00686DDD">
        <w:rPr>
          <w:rFonts w:ascii="Bookman Old Style" w:hAnsi="Bookman Old Style" w:cs="Arial"/>
        </w:rPr>
        <w:t>, adicione o susti</w:t>
      </w:r>
      <w:r w:rsidR="00E02E9A">
        <w:rPr>
          <w:rFonts w:ascii="Bookman Old Style" w:hAnsi="Bookman Old Style" w:cs="Arial"/>
        </w:rPr>
        <w:t xml:space="preserve">tuya, </w:t>
      </w:r>
      <w:r w:rsidR="00F81DD0">
        <w:rPr>
          <w:rFonts w:ascii="Bookman Old Style" w:hAnsi="Bookman Old Style" w:cs="Arial"/>
        </w:rPr>
        <w:t>y se haya</w:t>
      </w:r>
      <w:r w:rsidR="00A05A57">
        <w:rPr>
          <w:rFonts w:ascii="Bookman Old Style" w:hAnsi="Bookman Old Style" w:cs="Arial"/>
        </w:rPr>
        <w:t>n</w:t>
      </w:r>
      <w:r w:rsidR="00686DDD" w:rsidRPr="00686DDD">
        <w:rPr>
          <w:rFonts w:ascii="Bookman Old Style" w:hAnsi="Bookman Old Style" w:cs="Arial"/>
        </w:rPr>
        <w:t xml:space="preserve"> </w:t>
      </w:r>
      <w:r w:rsidR="001B6B4B" w:rsidRPr="00F157DA">
        <w:rPr>
          <w:rFonts w:ascii="Bookman Old Style" w:hAnsi="Bookman Old Style" w:cs="Arial"/>
        </w:rPr>
        <w:t>aprobado los respectivos mecanismos de cubrimiento</w:t>
      </w:r>
      <w:r w:rsidR="00FF1B4B" w:rsidRPr="00F157DA">
        <w:rPr>
          <w:rFonts w:ascii="Bookman Old Style" w:hAnsi="Bookman Old Style"/>
          <w:bCs/>
        </w:rPr>
        <w:t>.</w:t>
      </w:r>
    </w:p>
    <w:p w14:paraId="053405D1" w14:textId="77777777" w:rsidR="00FF1B4B" w:rsidRPr="00F157DA" w:rsidRDefault="00FF1B4B" w:rsidP="00230EF7">
      <w:pPr>
        <w:spacing w:line="276" w:lineRule="auto"/>
        <w:ind w:left="0"/>
        <w:jc w:val="both"/>
        <w:rPr>
          <w:rFonts w:ascii="Bookman Old Style" w:hAnsi="Bookman Old Style"/>
          <w:bCs/>
        </w:rPr>
      </w:pPr>
    </w:p>
    <w:p w14:paraId="47AC3CA0" w14:textId="4641558B" w:rsidR="000103FC" w:rsidRPr="000103FC" w:rsidRDefault="00FF1B4B" w:rsidP="00CE09AF">
      <w:pPr>
        <w:spacing w:line="276" w:lineRule="auto"/>
        <w:ind w:left="0"/>
        <w:jc w:val="both"/>
        <w:rPr>
          <w:rFonts w:ascii="Bookman Old Style" w:hAnsi="Bookman Old Style"/>
          <w:bCs/>
        </w:rPr>
      </w:pPr>
      <w:r w:rsidRPr="00F157DA">
        <w:rPr>
          <w:rFonts w:ascii="Bookman Old Style" w:hAnsi="Bookman Old Style"/>
          <w:bCs/>
        </w:rPr>
        <w:lastRenderedPageBreak/>
        <w:t>El ASIC</w:t>
      </w:r>
      <w:r w:rsidR="007B6BBE" w:rsidRPr="00F157DA">
        <w:rPr>
          <w:rFonts w:ascii="Bookman Old Style" w:hAnsi="Bookman Old Style"/>
          <w:bCs/>
        </w:rPr>
        <w:t xml:space="preserve"> </w:t>
      </w:r>
      <w:r w:rsidR="00A30D0D" w:rsidRPr="00F157DA">
        <w:rPr>
          <w:rFonts w:ascii="Bookman Old Style" w:hAnsi="Bookman Old Style"/>
          <w:bCs/>
        </w:rPr>
        <w:t>publicará en su página web</w:t>
      </w:r>
      <w:r w:rsidR="00734A35" w:rsidRPr="00F157DA">
        <w:rPr>
          <w:rFonts w:ascii="Bookman Old Style" w:hAnsi="Bookman Old Style"/>
          <w:bCs/>
        </w:rPr>
        <w:t>,</w:t>
      </w:r>
      <w:r w:rsidR="00A30D0D" w:rsidRPr="00F157DA">
        <w:rPr>
          <w:rFonts w:ascii="Bookman Old Style" w:hAnsi="Bookman Old Style"/>
          <w:bCs/>
        </w:rPr>
        <w:t xml:space="preserve"> dentro de los dos </w:t>
      </w:r>
      <w:r w:rsidR="00734A35" w:rsidRPr="00F157DA">
        <w:rPr>
          <w:rFonts w:ascii="Bookman Old Style" w:hAnsi="Bookman Old Style"/>
          <w:bCs/>
        </w:rPr>
        <w:t xml:space="preserve">(2) </w:t>
      </w:r>
      <w:r w:rsidR="00A30D0D" w:rsidRPr="00F157DA">
        <w:rPr>
          <w:rFonts w:ascii="Bookman Old Style" w:hAnsi="Bookman Old Style"/>
          <w:bCs/>
        </w:rPr>
        <w:t xml:space="preserve">días hábiles siguientes a la </w:t>
      </w:r>
      <w:proofErr w:type="gramStart"/>
      <w:r w:rsidR="00A30D0D" w:rsidRPr="00F157DA">
        <w:rPr>
          <w:rFonts w:ascii="Bookman Old Style" w:hAnsi="Bookman Old Style"/>
          <w:bCs/>
        </w:rPr>
        <w:t>entrada en vigencia</w:t>
      </w:r>
      <w:proofErr w:type="gramEnd"/>
      <w:r w:rsidR="00A30D0D" w:rsidRPr="00F157DA">
        <w:rPr>
          <w:rFonts w:ascii="Bookman Old Style" w:hAnsi="Bookman Old Style"/>
          <w:bCs/>
        </w:rPr>
        <w:t xml:space="preserve"> de la presente resolución</w:t>
      </w:r>
      <w:r w:rsidR="00734A35" w:rsidRPr="00F157DA">
        <w:rPr>
          <w:rFonts w:ascii="Bookman Old Style" w:hAnsi="Bookman Old Style"/>
          <w:bCs/>
        </w:rPr>
        <w:t xml:space="preserve">, el procedimiento </w:t>
      </w:r>
      <w:r w:rsidR="007C681B" w:rsidRPr="00F157DA">
        <w:rPr>
          <w:rFonts w:ascii="Bookman Old Style" w:hAnsi="Bookman Old Style"/>
          <w:bCs/>
        </w:rPr>
        <w:t xml:space="preserve">aplicable para </w:t>
      </w:r>
      <w:r w:rsidR="00594F33" w:rsidRPr="00F157DA">
        <w:rPr>
          <w:rFonts w:ascii="Bookman Old Style" w:hAnsi="Bookman Old Style"/>
          <w:bCs/>
        </w:rPr>
        <w:t xml:space="preserve">dar cumplimiento a lo dispuesto en el presente </w:t>
      </w:r>
      <w:r w:rsidR="007B6BBE" w:rsidRPr="00F157DA">
        <w:rPr>
          <w:rFonts w:ascii="Bookman Old Style" w:hAnsi="Bookman Old Style"/>
          <w:bCs/>
        </w:rPr>
        <w:t>artículo</w:t>
      </w:r>
      <w:r w:rsidR="005D194F" w:rsidRPr="00F157DA">
        <w:rPr>
          <w:rFonts w:ascii="Bookman Old Style" w:hAnsi="Bookman Old Style"/>
          <w:bCs/>
        </w:rPr>
        <w:t>.</w:t>
      </w:r>
    </w:p>
    <w:p w14:paraId="0AB0481B" w14:textId="77777777" w:rsidR="00CE09AF" w:rsidRPr="00CC2B13" w:rsidRDefault="00CE09AF" w:rsidP="00CE09AF">
      <w:pPr>
        <w:spacing w:line="276" w:lineRule="auto"/>
        <w:ind w:left="0"/>
        <w:jc w:val="both"/>
        <w:rPr>
          <w:rFonts w:ascii="Bookman Old Style" w:hAnsi="Bookman Old Style"/>
          <w:iCs/>
        </w:rPr>
      </w:pPr>
    </w:p>
    <w:p w14:paraId="27CAE1F7" w14:textId="533C84D5" w:rsidR="00CE09AF" w:rsidRDefault="00CE09AF" w:rsidP="00CE09AF">
      <w:pPr>
        <w:spacing w:line="276" w:lineRule="auto"/>
        <w:ind w:left="0"/>
        <w:jc w:val="both"/>
        <w:rPr>
          <w:rFonts w:ascii="Bookman Old Style" w:hAnsi="Bookman Old Style"/>
          <w:bCs/>
        </w:rPr>
      </w:pPr>
      <w:r w:rsidRPr="00CC2B13">
        <w:rPr>
          <w:rFonts w:ascii="Bookman Old Style" w:hAnsi="Bookman Old Style"/>
          <w:b/>
        </w:rPr>
        <w:t xml:space="preserve">ARTÍCULO </w:t>
      </w:r>
      <w:r w:rsidR="006B1427">
        <w:rPr>
          <w:rFonts w:ascii="Bookman Old Style" w:hAnsi="Bookman Old Style"/>
          <w:b/>
        </w:rPr>
        <w:t>6</w:t>
      </w:r>
      <w:r w:rsidRPr="00CC2B13">
        <w:rPr>
          <w:rFonts w:ascii="Bookman Old Style" w:hAnsi="Bookman Old Style"/>
          <w:b/>
        </w:rPr>
        <w:t xml:space="preserve">. </w:t>
      </w:r>
      <w:r w:rsidRPr="00CC2B13">
        <w:rPr>
          <w:rFonts w:ascii="Bookman Old Style" w:hAnsi="Bookman Old Style" w:cs="Arial"/>
          <w:b/>
          <w:bCs/>
        </w:rPr>
        <w:t>Despacho de contratos PC</w:t>
      </w:r>
      <w:r w:rsidR="002E6D2F">
        <w:rPr>
          <w:rFonts w:ascii="Bookman Old Style" w:hAnsi="Bookman Old Style" w:cs="Arial"/>
          <w:b/>
          <w:bCs/>
        </w:rPr>
        <w:t>ED</w:t>
      </w:r>
      <w:r w:rsidRPr="00CC2B13">
        <w:rPr>
          <w:rFonts w:ascii="Bookman Old Style" w:hAnsi="Bookman Old Style" w:cs="Arial"/>
          <w:b/>
          <w:bCs/>
        </w:rPr>
        <w:t>.</w:t>
      </w:r>
      <w:r w:rsidRPr="00CC2B13">
        <w:rPr>
          <w:rFonts w:ascii="Bookman Old Style" w:hAnsi="Bookman Old Style"/>
          <w:bCs/>
        </w:rPr>
        <w:t xml:space="preserve"> Los contratos PC</w:t>
      </w:r>
      <w:r w:rsidR="002E6D2F">
        <w:rPr>
          <w:rFonts w:ascii="Bookman Old Style" w:hAnsi="Bookman Old Style"/>
          <w:bCs/>
        </w:rPr>
        <w:t>ED</w:t>
      </w:r>
      <w:r w:rsidRPr="00CC2B13">
        <w:rPr>
          <w:rFonts w:ascii="Bookman Old Style" w:hAnsi="Bookman Old Style"/>
          <w:bCs/>
        </w:rPr>
        <w:t xml:space="preserve"> resultantes de lo dispuesto en la presente resolución serán despachados por el ASIC con posterioridad a la aplicación de las reglas del funcionamiento de la bolsa de energía definidas en la Resolución CREG 024 de 1995</w:t>
      </w:r>
      <w:r w:rsidR="00FC65D8">
        <w:rPr>
          <w:rFonts w:ascii="Bookman Old Style" w:hAnsi="Bookman Old Style"/>
          <w:bCs/>
        </w:rPr>
        <w:t xml:space="preserve"> </w:t>
      </w:r>
      <w:r w:rsidR="00FC65D8">
        <w:rPr>
          <w:rFonts w:ascii="Bookman Old Style" w:hAnsi="Bookman Old Style" w:cs="Arial"/>
        </w:rPr>
        <w:t>o aquella que la modifique, adicione o sustituya</w:t>
      </w:r>
      <w:r w:rsidR="002E6D2F">
        <w:rPr>
          <w:rFonts w:ascii="Bookman Old Style" w:hAnsi="Bookman Old Style"/>
          <w:bCs/>
        </w:rPr>
        <w:t xml:space="preserve"> y con posterioridad a</w:t>
      </w:r>
      <w:r w:rsidR="00593F39">
        <w:rPr>
          <w:rFonts w:ascii="Bookman Old Style" w:hAnsi="Bookman Old Style"/>
          <w:bCs/>
        </w:rPr>
        <w:t>l despacho de los contratos PCG resultantes de la Resolución CREG 101 036 de 2024</w:t>
      </w:r>
      <w:r w:rsidRPr="00CC2B13">
        <w:rPr>
          <w:rFonts w:ascii="Bookman Old Style" w:hAnsi="Bookman Old Style"/>
          <w:bCs/>
        </w:rPr>
        <w:t>.</w:t>
      </w:r>
    </w:p>
    <w:p w14:paraId="5B150E91" w14:textId="77777777" w:rsidR="008621F6" w:rsidRDefault="008621F6" w:rsidP="00CE09AF">
      <w:pPr>
        <w:spacing w:line="276" w:lineRule="auto"/>
        <w:ind w:left="0"/>
        <w:jc w:val="both"/>
        <w:rPr>
          <w:rFonts w:ascii="Bookman Old Style" w:hAnsi="Bookman Old Style"/>
          <w:bCs/>
        </w:rPr>
      </w:pPr>
    </w:p>
    <w:p w14:paraId="1DE76931" w14:textId="09FE9920" w:rsidR="008621F6" w:rsidRPr="00CC2B13" w:rsidRDefault="008621F6" w:rsidP="00CE09AF">
      <w:pPr>
        <w:spacing w:line="276" w:lineRule="auto"/>
        <w:ind w:left="0"/>
        <w:jc w:val="both"/>
        <w:rPr>
          <w:rFonts w:ascii="Bookman Old Style" w:hAnsi="Bookman Old Style"/>
          <w:bCs/>
        </w:rPr>
      </w:pPr>
      <w:r>
        <w:rPr>
          <w:rFonts w:ascii="Bookman Old Style" w:hAnsi="Bookman Old Style"/>
          <w:bCs/>
        </w:rPr>
        <w:t xml:space="preserve">De conformidad con lo dispuesto en el artículo </w:t>
      </w:r>
      <w:r w:rsidR="004F2A9D">
        <w:rPr>
          <w:rFonts w:ascii="Bookman Old Style" w:hAnsi="Bookman Old Style"/>
          <w:bCs/>
        </w:rPr>
        <w:t>3</w:t>
      </w:r>
      <w:r>
        <w:rPr>
          <w:rFonts w:ascii="Bookman Old Style" w:hAnsi="Bookman Old Style"/>
          <w:bCs/>
        </w:rPr>
        <w:t xml:space="preserve"> de la presente resolución, las cantidades despachadas</w:t>
      </w:r>
      <w:r w:rsidR="0049199C">
        <w:rPr>
          <w:rFonts w:ascii="Bookman Old Style" w:hAnsi="Bookman Old Style"/>
          <w:bCs/>
        </w:rPr>
        <w:t xml:space="preserve"> para el comercializador</w:t>
      </w:r>
      <w:r w:rsidR="001A6DFF">
        <w:rPr>
          <w:rFonts w:ascii="Bookman Old Style" w:hAnsi="Bookman Old Style"/>
          <w:bCs/>
        </w:rPr>
        <w:t xml:space="preserve"> no podrán superar la </w:t>
      </w:r>
      <w:r w:rsidR="001A6DFF" w:rsidRPr="00CC2B13">
        <w:rPr>
          <w:rFonts w:ascii="Bookman Old Style" w:hAnsi="Bookman Old Style"/>
        </w:rPr>
        <w:t>demanda comercial regulada expuesta a compras en la bolsa de energía</w:t>
      </w:r>
      <w:r w:rsidR="00F34690">
        <w:rPr>
          <w:rFonts w:ascii="Bookman Old Style" w:hAnsi="Bookman Old Style"/>
        </w:rPr>
        <w:t xml:space="preserve">, </w:t>
      </w:r>
      <w:r w:rsidR="00F34690">
        <w:rPr>
          <w:rFonts w:ascii="Bookman Old Style" w:hAnsi="Bookman Old Style"/>
          <w:bCs/>
        </w:rPr>
        <w:t>en cada periodo.</w:t>
      </w:r>
    </w:p>
    <w:p w14:paraId="2D4B9660" w14:textId="77777777" w:rsidR="00CE09AF" w:rsidRPr="00CC2B13" w:rsidRDefault="00CE09AF" w:rsidP="00CE09AF">
      <w:pPr>
        <w:spacing w:line="276" w:lineRule="auto"/>
        <w:ind w:left="0"/>
        <w:jc w:val="both"/>
        <w:rPr>
          <w:rFonts w:ascii="Bookman Old Style" w:hAnsi="Bookman Old Style"/>
          <w:iCs/>
        </w:rPr>
      </w:pPr>
    </w:p>
    <w:p w14:paraId="47D4ABF4" w14:textId="2770FE45" w:rsidR="00CE09AF" w:rsidRPr="00CC2B13" w:rsidRDefault="00CE09AF" w:rsidP="00CE09AF">
      <w:pPr>
        <w:spacing w:line="276" w:lineRule="auto"/>
        <w:ind w:left="0"/>
        <w:jc w:val="both"/>
        <w:rPr>
          <w:rFonts w:ascii="Bookman Old Style" w:hAnsi="Bookman Old Style"/>
          <w:bCs/>
        </w:rPr>
      </w:pPr>
      <w:r w:rsidRPr="00CC2B13">
        <w:rPr>
          <w:rFonts w:ascii="Bookman Old Style" w:hAnsi="Bookman Old Style"/>
          <w:b/>
        </w:rPr>
        <w:t xml:space="preserve">ARTÍCULO </w:t>
      </w:r>
      <w:r w:rsidR="006B1427">
        <w:rPr>
          <w:rFonts w:ascii="Bookman Old Style" w:hAnsi="Bookman Old Style"/>
          <w:b/>
        </w:rPr>
        <w:t>7</w:t>
      </w:r>
      <w:r w:rsidRPr="00CC2B13">
        <w:rPr>
          <w:rFonts w:ascii="Bookman Old Style" w:hAnsi="Bookman Old Style"/>
          <w:b/>
        </w:rPr>
        <w:t xml:space="preserve">. </w:t>
      </w:r>
      <w:r w:rsidRPr="00CC2B13">
        <w:rPr>
          <w:rFonts w:ascii="Bookman Old Style" w:hAnsi="Bookman Old Style" w:cs="Arial"/>
          <w:b/>
          <w:bCs/>
        </w:rPr>
        <w:t>Liquidación de contratos.</w:t>
      </w:r>
      <w:r w:rsidRPr="00CC2B13">
        <w:rPr>
          <w:rFonts w:ascii="Bookman Old Style" w:hAnsi="Bookman Old Style"/>
          <w:bCs/>
        </w:rPr>
        <w:t xml:space="preserve"> Los contratos resultantes de lo dispuesto en la presente resolución deberán liquidarse de acuerdo con lo establecido en la Resolución CREG 024 de 1995.</w:t>
      </w:r>
    </w:p>
    <w:p w14:paraId="44D589A1" w14:textId="77777777" w:rsidR="00CE09AF" w:rsidRPr="00CC2B13" w:rsidRDefault="00CE09AF" w:rsidP="00CE09AF">
      <w:pPr>
        <w:spacing w:line="276" w:lineRule="auto"/>
        <w:ind w:left="0"/>
        <w:jc w:val="both"/>
        <w:rPr>
          <w:rFonts w:ascii="Bookman Old Style" w:hAnsi="Bookman Old Style"/>
          <w:bCs/>
        </w:rPr>
      </w:pPr>
    </w:p>
    <w:p w14:paraId="4F0DC519" w14:textId="5E759089" w:rsidR="00CE09AF" w:rsidRPr="00CC2B13" w:rsidRDefault="00CE09AF" w:rsidP="00CE09AF">
      <w:pPr>
        <w:spacing w:line="276" w:lineRule="auto"/>
        <w:ind w:left="0"/>
        <w:jc w:val="both"/>
        <w:rPr>
          <w:rFonts w:ascii="Bookman Old Style" w:hAnsi="Bookman Old Style" w:cs="Arial"/>
          <w:b/>
          <w:bCs/>
        </w:rPr>
      </w:pPr>
      <w:r w:rsidRPr="00CC2B13">
        <w:rPr>
          <w:rFonts w:ascii="Bookman Old Style" w:hAnsi="Bookman Old Style" w:cs="Arial"/>
          <w:b/>
          <w:bCs/>
        </w:rPr>
        <w:t xml:space="preserve">ARTÍCULO </w:t>
      </w:r>
      <w:r w:rsidR="006B1427">
        <w:rPr>
          <w:rFonts w:ascii="Bookman Old Style" w:hAnsi="Bookman Old Style" w:cs="Arial"/>
          <w:b/>
        </w:rPr>
        <w:t>8</w:t>
      </w:r>
      <w:r w:rsidRPr="00CC2B13">
        <w:rPr>
          <w:rFonts w:ascii="Bookman Old Style" w:hAnsi="Bookman Old Style" w:cs="Arial"/>
          <w:b/>
          <w:bCs/>
        </w:rPr>
        <w:t xml:space="preserve">. Traslado de las compras de energía. </w:t>
      </w:r>
      <w:r w:rsidR="00A17251">
        <w:rPr>
          <w:rFonts w:ascii="Bookman Old Style" w:hAnsi="Bookman Old Style" w:cs="Arial"/>
        </w:rPr>
        <w:t xml:space="preserve">Los </w:t>
      </w:r>
      <w:r w:rsidR="00A17251">
        <w:rPr>
          <w:rFonts w:ascii="Bookman Old Style" w:hAnsi="Bookman Old Style"/>
          <w:bCs/>
        </w:rPr>
        <w:t xml:space="preserve">prestadores </w:t>
      </w:r>
      <w:r w:rsidRPr="00CC2B13">
        <w:rPr>
          <w:rFonts w:ascii="Bookman Old Style" w:hAnsi="Bookman Old Style" w:cs="Arial"/>
        </w:rPr>
        <w:t xml:space="preserve">que </w:t>
      </w:r>
      <w:r w:rsidR="004F263B" w:rsidRPr="00CC2B13">
        <w:rPr>
          <w:rFonts w:ascii="Bookman Old Style" w:hAnsi="Bookman Old Style" w:cs="Arial"/>
        </w:rPr>
        <w:t>suscriban</w:t>
      </w:r>
      <w:r w:rsidRPr="00CC2B13">
        <w:rPr>
          <w:rFonts w:ascii="Bookman Old Style" w:hAnsi="Bookman Old Style" w:cs="Arial"/>
        </w:rPr>
        <w:t xml:space="preserve"> contratos</w:t>
      </w:r>
      <w:r w:rsidR="004F263B" w:rsidRPr="00CC2B13">
        <w:rPr>
          <w:rFonts w:ascii="Bookman Old Style" w:hAnsi="Bookman Old Style" w:cs="Arial"/>
        </w:rPr>
        <w:t xml:space="preserve"> de compra de energía en </w:t>
      </w:r>
      <w:r w:rsidRPr="00CC2B13">
        <w:rPr>
          <w:rFonts w:ascii="Bookman Old Style" w:hAnsi="Bookman Old Style" w:cs="Arial"/>
        </w:rPr>
        <w:t xml:space="preserve">aplicación de lo dispuesto en la presente </w:t>
      </w:r>
      <w:proofErr w:type="gramStart"/>
      <w:r w:rsidRPr="00CC2B13">
        <w:rPr>
          <w:rFonts w:ascii="Bookman Old Style" w:hAnsi="Bookman Old Style" w:cs="Arial"/>
        </w:rPr>
        <w:t>resolución,</w:t>
      </w:r>
      <w:proofErr w:type="gramEnd"/>
      <w:r w:rsidRPr="00CC2B13">
        <w:rPr>
          <w:rFonts w:ascii="Bookman Old Style" w:hAnsi="Bookman Old Style" w:cs="Arial"/>
        </w:rPr>
        <w:t xml:space="preserve"> podrán trasladar los precios correspondientes </w:t>
      </w:r>
      <w:bookmarkStart w:id="3" w:name="_Hlk156831512"/>
      <w:r w:rsidRPr="00CC2B13">
        <w:rPr>
          <w:rFonts w:ascii="Bookman Old Style" w:hAnsi="Bookman Old Style" w:cs="Arial"/>
        </w:rPr>
        <w:t xml:space="preserve">en el componente de costo de energía (G) del costo unitario de prestación del servicio (CU), </w:t>
      </w:r>
      <w:r w:rsidR="00E757BD" w:rsidRPr="00CC2B13">
        <w:rPr>
          <w:rFonts w:ascii="Bookman Old Style" w:hAnsi="Bookman Old Style" w:cs="Arial"/>
        </w:rPr>
        <w:t>según</w:t>
      </w:r>
      <w:r w:rsidRPr="00CC2B13">
        <w:rPr>
          <w:rFonts w:ascii="Bookman Old Style" w:hAnsi="Bookman Old Style" w:cs="Arial"/>
        </w:rPr>
        <w:t xml:space="preserve"> </w:t>
      </w:r>
      <w:bookmarkEnd w:id="3"/>
      <w:r w:rsidRPr="00CC2B13">
        <w:rPr>
          <w:rFonts w:ascii="Bookman Old Style" w:hAnsi="Bookman Old Style" w:cs="Arial"/>
        </w:rPr>
        <w:t xml:space="preserve">lo establecido en el artículo 4 de la Resolución CREG 101 002 de 2022 </w:t>
      </w:r>
      <w:r w:rsidR="00E757BD" w:rsidRPr="00CC2B13">
        <w:rPr>
          <w:rFonts w:ascii="Bookman Old Style" w:hAnsi="Bookman Old Style" w:cs="Arial"/>
        </w:rPr>
        <w:t>para el</w:t>
      </w:r>
      <w:r w:rsidRPr="00CC2B13">
        <w:rPr>
          <w:rFonts w:ascii="Bookman Old Style" w:hAnsi="Bookman Old Style" w:cs="Arial"/>
        </w:rPr>
        <w:t xml:space="preserve"> ponderador de los precios de mecanismos de comercialización autorizados</w:t>
      </w:r>
      <w:r w:rsidR="00263A18" w:rsidRPr="00CC2B13">
        <w:rPr>
          <w:rFonts w:ascii="Bookman Old Style" w:hAnsi="Bookman Old Style" w:cs="Arial"/>
        </w:rPr>
        <w:t>,</w:t>
      </w:r>
      <w:r w:rsidRPr="00CC2B13">
        <w:rPr>
          <w:rFonts w:ascii="Bookman Old Style" w:hAnsi="Bookman Old Style" w:cs="Arial"/>
        </w:rPr>
        <w:t xml:space="preserve"> </w:t>
      </w:r>
      <m:oMath>
        <m:sSub>
          <m:sSubPr>
            <m:ctrlPr>
              <w:rPr>
                <w:rFonts w:ascii="Cambria Math" w:hAnsi="Cambria Math" w:cs="Arial"/>
                <w:i/>
              </w:rPr>
            </m:ctrlPr>
          </m:sSubPr>
          <m:e>
            <m:r>
              <w:rPr>
                <w:rFonts w:ascii="Cambria Math" w:hAnsi="Cambria Math" w:cs="Arial"/>
              </w:rPr>
              <m:t>ω</m:t>
            </m:r>
          </m:e>
          <m:sub>
            <m:r>
              <w:rPr>
                <w:rFonts w:ascii="Cambria Math" w:hAnsi="Cambria Math" w:cs="Arial"/>
              </w:rPr>
              <m:t>l,m-1,i</m:t>
            </m:r>
          </m:sub>
        </m:sSub>
      </m:oMath>
      <w:r w:rsidRPr="00CC2B13">
        <w:rPr>
          <w:rFonts w:ascii="Bookman Old Style" w:hAnsi="Bookman Old Style" w:cs="Arial"/>
        </w:rPr>
        <w:t>.</w:t>
      </w:r>
    </w:p>
    <w:p w14:paraId="262A012C" w14:textId="77777777" w:rsidR="00CE09AF" w:rsidRPr="00CC2B13" w:rsidRDefault="00CE09AF" w:rsidP="00CE09AF">
      <w:pPr>
        <w:spacing w:line="276" w:lineRule="auto"/>
        <w:ind w:left="0"/>
        <w:jc w:val="both"/>
        <w:rPr>
          <w:rFonts w:ascii="Bookman Old Style" w:hAnsi="Bookman Old Style"/>
          <w:iCs/>
        </w:rPr>
      </w:pPr>
    </w:p>
    <w:p w14:paraId="347BAFA7" w14:textId="2748550F" w:rsidR="00CE09AF" w:rsidRPr="00CC2B13" w:rsidRDefault="00CE09AF" w:rsidP="00CE09AF">
      <w:pPr>
        <w:spacing w:line="276" w:lineRule="auto"/>
        <w:ind w:left="0"/>
        <w:jc w:val="both"/>
        <w:rPr>
          <w:rFonts w:ascii="Bookman Old Style" w:hAnsi="Bookman Old Style" w:cs="Arial"/>
        </w:rPr>
      </w:pPr>
      <w:r w:rsidRPr="00CC2B13">
        <w:rPr>
          <w:rFonts w:ascii="Bookman Old Style" w:hAnsi="Bookman Old Style"/>
          <w:b/>
        </w:rPr>
        <w:t xml:space="preserve">ARTÍCULO </w:t>
      </w:r>
      <w:r w:rsidR="00A17251">
        <w:rPr>
          <w:rFonts w:ascii="Bookman Old Style" w:hAnsi="Bookman Old Style"/>
          <w:b/>
        </w:rPr>
        <w:t>9</w:t>
      </w:r>
      <w:r w:rsidRPr="00CC2B13">
        <w:rPr>
          <w:rFonts w:ascii="Bookman Old Style" w:hAnsi="Bookman Old Style"/>
          <w:b/>
        </w:rPr>
        <w:t>. Cantidad máxima para contratar de manera directa</w:t>
      </w:r>
      <w:r w:rsidRPr="00CC2B13">
        <w:rPr>
          <w:rFonts w:ascii="Bookman Old Style" w:hAnsi="Bookman Old Style" w:cs="Arial"/>
          <w:b/>
          <w:bCs/>
        </w:rPr>
        <w:t xml:space="preserve">. </w:t>
      </w:r>
      <w:r w:rsidRPr="00CC2B13">
        <w:rPr>
          <w:rFonts w:ascii="Bookman Old Style" w:hAnsi="Bookman Old Style" w:cs="Arial"/>
        </w:rPr>
        <w:t xml:space="preserve">La cantidad máxima que </w:t>
      </w:r>
      <w:r w:rsidR="000F3D8C" w:rsidRPr="00CC2B13">
        <w:rPr>
          <w:rFonts w:ascii="Bookman Old Style" w:hAnsi="Bookman Old Style" w:cs="Arial"/>
        </w:rPr>
        <w:t>un</w:t>
      </w:r>
      <w:r w:rsidRPr="00CC2B13">
        <w:rPr>
          <w:rFonts w:ascii="Bookman Old Style" w:hAnsi="Bookman Old Style" w:cs="Arial"/>
        </w:rPr>
        <w:t xml:space="preserve"> </w:t>
      </w:r>
      <w:r w:rsidR="00323B23">
        <w:rPr>
          <w:rFonts w:ascii="Bookman Old Style" w:hAnsi="Bookman Old Style"/>
          <w:bCs/>
        </w:rPr>
        <w:t>prestador de aquellos señalados en el artículo 2 de la presente resolución</w:t>
      </w:r>
      <w:r w:rsidR="008E4E94" w:rsidRPr="00CC2B13">
        <w:rPr>
          <w:rFonts w:ascii="Bookman Old Style" w:hAnsi="Bookman Old Style" w:cs="Arial"/>
        </w:rPr>
        <w:t xml:space="preserve">, </w:t>
      </w:r>
      <w:r w:rsidRPr="00CC2B13">
        <w:rPr>
          <w:rFonts w:ascii="Bookman Old Style" w:hAnsi="Bookman Old Style" w:cs="Arial"/>
        </w:rPr>
        <w:t>podrá contratar directamente a través de contratos pague lo contratado o PC</w:t>
      </w:r>
      <w:r w:rsidR="00AA0237">
        <w:rPr>
          <w:rFonts w:ascii="Bookman Old Style" w:hAnsi="Bookman Old Style" w:cs="Arial"/>
        </w:rPr>
        <w:t>ED</w:t>
      </w:r>
      <w:r w:rsidRPr="00CC2B13">
        <w:rPr>
          <w:rFonts w:ascii="Bookman Old Style" w:hAnsi="Bookman Old Style" w:cs="Arial"/>
        </w:rPr>
        <w:t xml:space="preserve">, corresponde a </w:t>
      </w:r>
      <w:r w:rsidR="00AA0237">
        <w:rPr>
          <w:rFonts w:ascii="Bookman Old Style" w:hAnsi="Bookman Old Style" w:cs="Arial"/>
        </w:rPr>
        <w:t>su</w:t>
      </w:r>
      <w:r w:rsidRPr="00CC2B13">
        <w:rPr>
          <w:rFonts w:ascii="Bookman Old Style" w:hAnsi="Bookman Old Style" w:cs="Arial"/>
        </w:rPr>
        <w:t xml:space="preserve"> demanda regulada mensual que no se encuentra cubierta con compras realizadas a través de alguno de los siguientes mecanismos:</w:t>
      </w:r>
    </w:p>
    <w:p w14:paraId="080E7C21" w14:textId="77777777" w:rsidR="00CE09AF" w:rsidRPr="00CC2B13" w:rsidRDefault="00CE09AF" w:rsidP="00CE09AF">
      <w:pPr>
        <w:spacing w:line="276" w:lineRule="auto"/>
        <w:ind w:left="0"/>
        <w:jc w:val="both"/>
        <w:rPr>
          <w:rFonts w:ascii="Bookman Old Style" w:hAnsi="Bookman Old Style" w:cs="Arial"/>
        </w:rPr>
      </w:pPr>
    </w:p>
    <w:p w14:paraId="2EBCA507" w14:textId="77777777" w:rsidR="00CE09AF" w:rsidRPr="00CC2B13" w:rsidRDefault="00CE09AF" w:rsidP="00163EF2">
      <w:pPr>
        <w:pStyle w:val="Prrafodelista"/>
        <w:numPr>
          <w:ilvl w:val="0"/>
          <w:numId w:val="23"/>
        </w:numPr>
        <w:spacing w:line="276" w:lineRule="auto"/>
        <w:ind w:left="284" w:hanging="284"/>
        <w:jc w:val="both"/>
        <w:rPr>
          <w:rFonts w:ascii="Bookman Old Style" w:hAnsi="Bookman Old Style" w:cs="Arial"/>
          <w:sz w:val="24"/>
          <w:szCs w:val="24"/>
        </w:rPr>
      </w:pPr>
      <w:r w:rsidRPr="00CC2B13">
        <w:rPr>
          <w:rFonts w:ascii="Bookman Old Style" w:hAnsi="Bookman Old Style" w:cs="Arial"/>
          <w:sz w:val="24"/>
          <w:szCs w:val="24"/>
        </w:rPr>
        <w:t>Convocatorias públicas a las que hace referencia la Resolución CREG 130 de 2019.</w:t>
      </w:r>
    </w:p>
    <w:p w14:paraId="1613C960" w14:textId="77777777" w:rsidR="00CE09AF" w:rsidRPr="00CC2B13" w:rsidRDefault="00CE09AF" w:rsidP="00163EF2">
      <w:pPr>
        <w:pStyle w:val="Prrafodelista"/>
        <w:spacing w:line="276" w:lineRule="auto"/>
        <w:ind w:left="284" w:hanging="284"/>
        <w:jc w:val="both"/>
        <w:rPr>
          <w:rFonts w:ascii="Bookman Old Style" w:hAnsi="Bookman Old Style" w:cs="Arial"/>
          <w:sz w:val="24"/>
          <w:szCs w:val="24"/>
        </w:rPr>
      </w:pPr>
    </w:p>
    <w:p w14:paraId="10211476" w14:textId="77777777" w:rsidR="00CE09AF" w:rsidRPr="00CC2B13" w:rsidRDefault="00CE09AF" w:rsidP="00163EF2">
      <w:pPr>
        <w:pStyle w:val="Prrafodelista"/>
        <w:numPr>
          <w:ilvl w:val="0"/>
          <w:numId w:val="23"/>
        </w:numPr>
        <w:spacing w:line="276" w:lineRule="auto"/>
        <w:ind w:left="284" w:hanging="284"/>
        <w:jc w:val="both"/>
        <w:rPr>
          <w:rFonts w:ascii="Bookman Old Style" w:hAnsi="Bookman Old Style" w:cs="Arial"/>
          <w:sz w:val="24"/>
          <w:szCs w:val="24"/>
        </w:rPr>
      </w:pPr>
      <w:r w:rsidRPr="00CC2B13">
        <w:rPr>
          <w:rFonts w:ascii="Bookman Old Style" w:hAnsi="Bookman Old Style" w:cs="Arial"/>
          <w:sz w:val="24"/>
          <w:szCs w:val="24"/>
        </w:rPr>
        <w:t>Convocatorias públicas a las que hace referencia la Resolución CREG 020 de 1996.</w:t>
      </w:r>
    </w:p>
    <w:p w14:paraId="601AA943" w14:textId="77777777" w:rsidR="00CE09AF" w:rsidRPr="00CC2B13" w:rsidRDefault="00CE09AF" w:rsidP="00163EF2">
      <w:pPr>
        <w:pStyle w:val="Prrafodelista"/>
        <w:spacing w:line="276" w:lineRule="auto"/>
        <w:ind w:left="284" w:hanging="284"/>
        <w:rPr>
          <w:rFonts w:ascii="Bookman Old Style" w:hAnsi="Bookman Old Style" w:cs="Arial"/>
          <w:sz w:val="24"/>
          <w:szCs w:val="24"/>
        </w:rPr>
      </w:pPr>
    </w:p>
    <w:p w14:paraId="79DC6A98" w14:textId="77777777" w:rsidR="00CE09AF" w:rsidRPr="00CC2B13" w:rsidRDefault="00CE09AF" w:rsidP="00163EF2">
      <w:pPr>
        <w:pStyle w:val="Prrafodelista"/>
        <w:numPr>
          <w:ilvl w:val="0"/>
          <w:numId w:val="23"/>
        </w:numPr>
        <w:spacing w:line="276" w:lineRule="auto"/>
        <w:ind w:left="284" w:hanging="284"/>
        <w:jc w:val="both"/>
        <w:rPr>
          <w:rFonts w:ascii="Bookman Old Style" w:hAnsi="Bookman Old Style" w:cs="Arial"/>
          <w:sz w:val="24"/>
          <w:szCs w:val="24"/>
        </w:rPr>
      </w:pPr>
      <w:r w:rsidRPr="00CC2B13">
        <w:rPr>
          <w:rFonts w:ascii="Bookman Old Style" w:hAnsi="Bookman Old Style" w:cs="Arial"/>
          <w:sz w:val="24"/>
          <w:szCs w:val="24"/>
        </w:rPr>
        <w:t>Subastas administradas por el Ministerio de Minas y Energía.</w:t>
      </w:r>
    </w:p>
    <w:p w14:paraId="17F241B5" w14:textId="77777777" w:rsidR="00CE09AF" w:rsidRPr="00CC2B13" w:rsidRDefault="00CE09AF" w:rsidP="00163EF2">
      <w:pPr>
        <w:pStyle w:val="Prrafodelista"/>
        <w:spacing w:line="276" w:lineRule="auto"/>
        <w:ind w:left="284" w:hanging="284"/>
        <w:rPr>
          <w:rFonts w:ascii="Bookman Old Style" w:hAnsi="Bookman Old Style" w:cs="Arial"/>
          <w:sz w:val="24"/>
          <w:szCs w:val="24"/>
        </w:rPr>
      </w:pPr>
    </w:p>
    <w:p w14:paraId="43CF733A" w14:textId="77777777" w:rsidR="00CE09AF" w:rsidRPr="00CC2B13" w:rsidRDefault="00CE09AF" w:rsidP="00163EF2">
      <w:pPr>
        <w:pStyle w:val="Prrafodelista"/>
        <w:numPr>
          <w:ilvl w:val="0"/>
          <w:numId w:val="23"/>
        </w:numPr>
        <w:spacing w:line="276" w:lineRule="auto"/>
        <w:ind w:left="284" w:hanging="284"/>
        <w:jc w:val="both"/>
        <w:rPr>
          <w:rFonts w:ascii="Bookman Old Style" w:hAnsi="Bookman Old Style" w:cs="Arial"/>
          <w:sz w:val="24"/>
          <w:szCs w:val="24"/>
        </w:rPr>
      </w:pPr>
      <w:r w:rsidRPr="00CC2B13">
        <w:rPr>
          <w:rFonts w:ascii="Bookman Old Style" w:hAnsi="Bookman Old Style" w:cs="Arial"/>
          <w:sz w:val="24"/>
          <w:szCs w:val="24"/>
        </w:rPr>
        <w:lastRenderedPageBreak/>
        <w:t>Mecanismos de comercialización cuyo traslado a usuarios regulados haya sido autorizado conforme a lo dispuesto en la Resolución CREG 114 de 2018.</w:t>
      </w:r>
    </w:p>
    <w:p w14:paraId="088453F0" w14:textId="77777777" w:rsidR="00CE09AF" w:rsidRPr="00CC2B13" w:rsidRDefault="00CE09AF" w:rsidP="00CE09AF">
      <w:pPr>
        <w:spacing w:line="276" w:lineRule="auto"/>
        <w:ind w:left="0"/>
        <w:jc w:val="both"/>
        <w:rPr>
          <w:rFonts w:ascii="Bookman Old Style" w:hAnsi="Bookman Old Style" w:cs="Arial"/>
          <w:b/>
          <w:bCs/>
        </w:rPr>
      </w:pPr>
    </w:p>
    <w:p w14:paraId="5794C5D3" w14:textId="77777777" w:rsidR="00CE09AF" w:rsidRPr="00CC2B13" w:rsidRDefault="00CE09AF" w:rsidP="00CE09AF">
      <w:pPr>
        <w:spacing w:line="276" w:lineRule="auto"/>
        <w:ind w:left="0"/>
        <w:jc w:val="both"/>
        <w:rPr>
          <w:rFonts w:ascii="Bookman Old Style" w:hAnsi="Bookman Old Style" w:cs="Arial"/>
        </w:rPr>
      </w:pPr>
      <w:r w:rsidRPr="00CC2B13">
        <w:rPr>
          <w:rFonts w:ascii="Bookman Old Style" w:hAnsi="Bookman Old Style" w:cs="Arial"/>
          <w:b/>
          <w:bCs/>
        </w:rPr>
        <w:t>Parágrafo 1.</w:t>
      </w:r>
      <w:r w:rsidRPr="00CC2B13">
        <w:rPr>
          <w:rFonts w:ascii="Bookman Old Style" w:hAnsi="Bookman Old Style" w:cs="Arial"/>
        </w:rPr>
        <w:t xml:space="preserve"> Las cantidades máximas para contratar de manera directa serán incluidas en el límite de compras propias señalado en los artículos 18 a 21 de la Resolución CREG 130 de 2019. </w:t>
      </w:r>
    </w:p>
    <w:p w14:paraId="01760CDE" w14:textId="77777777" w:rsidR="00CE09AF" w:rsidRPr="00CC2B13" w:rsidRDefault="00CE09AF" w:rsidP="00CE09AF">
      <w:pPr>
        <w:spacing w:line="276" w:lineRule="auto"/>
        <w:ind w:left="0"/>
        <w:jc w:val="both"/>
        <w:rPr>
          <w:rFonts w:ascii="Bookman Old Style" w:hAnsi="Bookman Old Style" w:cs="Arial"/>
          <w:b/>
          <w:bCs/>
        </w:rPr>
      </w:pPr>
    </w:p>
    <w:p w14:paraId="28D852A1" w14:textId="2B158177" w:rsidR="00CE09AF" w:rsidRPr="00CC2B13" w:rsidRDefault="00CE09AF" w:rsidP="00CE09AF">
      <w:pPr>
        <w:spacing w:line="276" w:lineRule="auto"/>
        <w:ind w:left="0"/>
        <w:jc w:val="both"/>
        <w:rPr>
          <w:rFonts w:ascii="Bookman Old Style" w:hAnsi="Bookman Old Style" w:cs="Arial"/>
        </w:rPr>
      </w:pPr>
      <w:r w:rsidRPr="00CC2B13">
        <w:rPr>
          <w:rFonts w:ascii="Bookman Old Style" w:hAnsi="Bookman Old Style" w:cs="Arial"/>
          <w:b/>
          <w:bCs/>
        </w:rPr>
        <w:t>Parágrafo 2.</w:t>
      </w:r>
      <w:r w:rsidRPr="00CC2B13">
        <w:rPr>
          <w:rFonts w:ascii="Bookman Old Style" w:hAnsi="Bookman Old Style" w:cs="Arial"/>
        </w:rPr>
        <w:t xml:space="preserve"> El procedimiento y metodología para la determinación de las cantidades máximas y</w:t>
      </w:r>
      <w:r w:rsidR="00495308" w:rsidRPr="00CC2B13">
        <w:rPr>
          <w:rFonts w:ascii="Bookman Old Style" w:hAnsi="Bookman Old Style" w:cs="Arial"/>
        </w:rPr>
        <w:t xml:space="preserve"> las</w:t>
      </w:r>
      <w:r w:rsidRPr="00CC2B13">
        <w:rPr>
          <w:rFonts w:ascii="Bookman Old Style" w:hAnsi="Bookman Old Style" w:cs="Arial"/>
        </w:rPr>
        <w:t xml:space="preserve"> efectivamente compradas en aplicación de lo dispuesto en la presente resolución, deben ser debidamente documentados por el </w:t>
      </w:r>
      <w:r w:rsidR="00DC1FE4">
        <w:rPr>
          <w:rFonts w:ascii="Bookman Old Style" w:hAnsi="Bookman Old Style" w:cs="Arial"/>
        </w:rPr>
        <w:t>prestador</w:t>
      </w:r>
      <w:r w:rsidRPr="00CC2B13">
        <w:rPr>
          <w:rFonts w:ascii="Bookman Old Style" w:hAnsi="Bookman Old Style" w:cs="Arial"/>
        </w:rPr>
        <w:t>. Dicha información y documentación deben ser verificables por parte de las autoridades de vigilancia y control.</w:t>
      </w:r>
    </w:p>
    <w:p w14:paraId="0DE6A3E3" w14:textId="77777777" w:rsidR="00CE09AF" w:rsidRPr="00CC2B13" w:rsidRDefault="00CE09AF" w:rsidP="00CE09AF">
      <w:pPr>
        <w:spacing w:line="276" w:lineRule="auto"/>
        <w:ind w:left="0"/>
        <w:jc w:val="both"/>
        <w:rPr>
          <w:rFonts w:ascii="Bookman Old Style" w:hAnsi="Bookman Old Style" w:cs="Arial"/>
        </w:rPr>
      </w:pPr>
    </w:p>
    <w:p w14:paraId="6429FFAF" w14:textId="2E6BB8DB" w:rsidR="00CE09AF" w:rsidRPr="00CC2B13" w:rsidRDefault="00CE09AF" w:rsidP="00CE09AF">
      <w:pPr>
        <w:spacing w:line="276" w:lineRule="auto"/>
        <w:ind w:left="0"/>
        <w:jc w:val="both"/>
        <w:rPr>
          <w:rFonts w:ascii="Bookman Old Style" w:hAnsi="Bookman Old Style" w:cs="Arial"/>
        </w:rPr>
      </w:pPr>
      <w:r w:rsidRPr="00CC2B13">
        <w:rPr>
          <w:rFonts w:ascii="Bookman Old Style" w:hAnsi="Bookman Old Style"/>
          <w:b/>
        </w:rPr>
        <w:t xml:space="preserve">ARTÍCULO </w:t>
      </w:r>
      <w:r w:rsidR="00A17251">
        <w:rPr>
          <w:rFonts w:ascii="Bookman Old Style" w:hAnsi="Bookman Old Style"/>
          <w:b/>
        </w:rPr>
        <w:t>10</w:t>
      </w:r>
      <w:r w:rsidRPr="00CC2B13">
        <w:rPr>
          <w:rFonts w:ascii="Bookman Old Style" w:hAnsi="Bookman Old Style"/>
          <w:b/>
        </w:rPr>
        <w:t xml:space="preserve">. Duración máxima de </w:t>
      </w:r>
      <w:r w:rsidRPr="00CC2B13">
        <w:rPr>
          <w:rFonts w:ascii="Bookman Old Style" w:hAnsi="Bookman Old Style" w:cs="Arial"/>
          <w:b/>
          <w:bCs/>
        </w:rPr>
        <w:t xml:space="preserve">contratos. </w:t>
      </w:r>
      <w:r w:rsidRPr="00CC2B13">
        <w:rPr>
          <w:rFonts w:ascii="Bookman Old Style" w:hAnsi="Bookman Old Style" w:cs="Arial"/>
        </w:rPr>
        <w:t xml:space="preserve">Los contratos resultantes de lo dispuesto en el artículo 4 de la presente resolución tendrán una duración máxima </w:t>
      </w:r>
      <w:r w:rsidR="00495308" w:rsidRPr="00CC2B13">
        <w:rPr>
          <w:rFonts w:ascii="Bookman Old Style" w:hAnsi="Bookman Old Style" w:cs="Arial"/>
        </w:rPr>
        <w:t>de 24 meses</w:t>
      </w:r>
      <w:r w:rsidRPr="00CC2B13">
        <w:rPr>
          <w:rFonts w:ascii="Bookman Old Style" w:hAnsi="Bookman Old Style" w:cs="Arial"/>
        </w:rPr>
        <w:t>, sin posibilidad de prórroga.</w:t>
      </w:r>
    </w:p>
    <w:p w14:paraId="6B6CC3B0" w14:textId="77777777" w:rsidR="00CE09AF" w:rsidRPr="00CC2B13" w:rsidRDefault="00CE09AF" w:rsidP="00CE09AF">
      <w:pPr>
        <w:spacing w:line="276" w:lineRule="auto"/>
        <w:ind w:left="0"/>
        <w:jc w:val="both"/>
        <w:rPr>
          <w:rFonts w:ascii="Bookman Old Style" w:hAnsi="Bookman Old Style" w:cs="Arial"/>
          <w:b/>
          <w:bCs/>
        </w:rPr>
      </w:pPr>
    </w:p>
    <w:p w14:paraId="469C2A7A" w14:textId="58DB8FC8" w:rsidR="00CE09AF" w:rsidRPr="00CC2B13" w:rsidRDefault="00CE09AF" w:rsidP="00CE09AF">
      <w:pPr>
        <w:spacing w:line="276" w:lineRule="auto"/>
        <w:ind w:left="0"/>
        <w:jc w:val="both"/>
        <w:rPr>
          <w:rFonts w:ascii="Bookman Old Style" w:hAnsi="Bookman Old Style" w:cs="Arial"/>
        </w:rPr>
      </w:pPr>
      <w:r w:rsidRPr="00CC2B13">
        <w:rPr>
          <w:rFonts w:ascii="Bookman Old Style" w:hAnsi="Bookman Old Style" w:cs="Arial"/>
          <w:b/>
          <w:bCs/>
        </w:rPr>
        <w:t>ARTÍCULO 1</w:t>
      </w:r>
      <w:r w:rsidR="00A17251">
        <w:rPr>
          <w:rFonts w:ascii="Bookman Old Style" w:hAnsi="Bookman Old Style" w:cs="Arial"/>
          <w:b/>
          <w:bCs/>
        </w:rPr>
        <w:t>1</w:t>
      </w:r>
      <w:r w:rsidRPr="00CC2B13">
        <w:rPr>
          <w:rFonts w:ascii="Bookman Old Style" w:hAnsi="Bookman Old Style" w:cs="Arial"/>
          <w:b/>
          <w:bCs/>
        </w:rPr>
        <w:t xml:space="preserve">. Cantidades de energía comprada para traslado a usuarios regulados. </w:t>
      </w:r>
      <w:r w:rsidRPr="00CC2B13">
        <w:rPr>
          <w:rFonts w:ascii="Bookman Old Style" w:hAnsi="Bookman Old Style" w:cs="Arial"/>
        </w:rPr>
        <w:t xml:space="preserve">Las cantidades de energía </w:t>
      </w:r>
      <w:r w:rsidR="00707BBB">
        <w:rPr>
          <w:rFonts w:ascii="Bookman Old Style" w:hAnsi="Bookman Old Style" w:cs="Arial"/>
        </w:rPr>
        <w:t>resultantes de lo dispuesto en la presente resolución</w:t>
      </w:r>
      <w:r w:rsidRPr="00CC2B13">
        <w:rPr>
          <w:rFonts w:ascii="Bookman Old Style" w:hAnsi="Bookman Old Style" w:cs="Arial"/>
        </w:rPr>
        <w:t xml:space="preserve"> deberán ser incorporadas por el comercializador en el componente G del CU de sus usuarios regulados utilizando la siguiente fórmula:</w:t>
      </w:r>
    </w:p>
    <w:p w14:paraId="701667C1" w14:textId="77777777" w:rsidR="00CE09AF" w:rsidRPr="00CC2B13" w:rsidRDefault="00CE09AF" w:rsidP="00CE09AF">
      <w:pPr>
        <w:spacing w:line="276" w:lineRule="auto"/>
        <w:ind w:left="0"/>
        <w:jc w:val="both"/>
        <w:rPr>
          <w:rFonts w:ascii="Bookman Old Style" w:hAnsi="Bookman Old Style" w:cs="Arial"/>
        </w:rPr>
      </w:pPr>
    </w:p>
    <w:p w14:paraId="2697445C" w14:textId="6486F90C" w:rsidR="00CE09AF" w:rsidRPr="00CC2B13" w:rsidRDefault="00000000" w:rsidP="00CE09AF">
      <w:pPr>
        <w:spacing w:line="276" w:lineRule="auto"/>
        <w:ind w:left="0"/>
        <w:jc w:val="both"/>
        <w:rPr>
          <w:rFonts w:ascii="Bookman Old Style" w:hAnsi="Bookman Old Style" w:cs="Arial"/>
          <w:b/>
          <w:bCs/>
        </w:rPr>
      </w:pPr>
      <m:oMathPara>
        <m:oMath>
          <m:sSub>
            <m:sSubPr>
              <m:ctrlPr>
                <w:rPr>
                  <w:rFonts w:ascii="Cambria Math" w:hAnsi="Cambria Math"/>
                  <w:i/>
                </w:rPr>
              </m:ctrlPr>
            </m:sSubPr>
            <m:e>
              <m:r>
                <w:rPr>
                  <w:rFonts w:ascii="Cambria Math" w:hAnsi="Cambria Math"/>
                </w:rPr>
                <m:t>C</m:t>
              </m:r>
            </m:e>
            <m:sub>
              <m:r>
                <w:rPr>
                  <w:rFonts w:ascii="Cambria Math" w:hAnsi="Cambria Math"/>
                </w:rPr>
                <m:t>6,m,i</m:t>
              </m:r>
            </m:sub>
          </m:sSub>
          <m:r>
            <w:rPr>
              <w:rFonts w:ascii="Cambria Math" w:hAnsi="Cambria Math" w:cs="Arial"/>
            </w:rPr>
            <m:t>=</m:t>
          </m:r>
          <m:nary>
            <m:naryPr>
              <m:chr m:val="∑"/>
              <m:limLoc m:val="undOvr"/>
              <m:ctrlPr>
                <w:rPr>
                  <w:rFonts w:ascii="Cambria Math" w:hAnsi="Cambria Math"/>
                  <w:i/>
                </w:rPr>
              </m:ctrlPr>
            </m:naryPr>
            <m:sub>
              <m:r>
                <w:rPr>
                  <w:rFonts w:ascii="Cambria Math" w:hAnsi="Cambria Math"/>
                </w:rPr>
                <m:t>s=1</m:t>
              </m:r>
            </m:sub>
            <m:sup>
              <m:sSub>
                <m:sSubPr>
                  <m:ctrlPr>
                    <w:rPr>
                      <w:rFonts w:ascii="Cambria Math" w:hAnsi="Cambria Math"/>
                      <w:i/>
                    </w:rPr>
                  </m:ctrlPr>
                </m:sSubPr>
                <m:e>
                  <m:r>
                    <w:rPr>
                      <w:rFonts w:ascii="Cambria Math" w:hAnsi="Cambria Math"/>
                    </w:rPr>
                    <m:t>n</m:t>
                  </m:r>
                </m:e>
                <m:sub>
                  <m:r>
                    <w:rPr>
                      <w:rFonts w:ascii="Cambria Math" w:hAnsi="Cambria Math"/>
                    </w:rPr>
                    <m:t>6</m:t>
                  </m:r>
                </m:sub>
              </m:sSub>
            </m:sup>
            <m:e>
              <m:sSub>
                <m:sSubPr>
                  <m:ctrlPr>
                    <w:rPr>
                      <w:rFonts w:ascii="Cambria Math" w:hAnsi="Cambria Math"/>
                      <w:i/>
                    </w:rPr>
                  </m:ctrlPr>
                </m:sSubPr>
                <m:e>
                  <m:r>
                    <w:rPr>
                      <w:rFonts w:ascii="Cambria Math" w:hAnsi="Cambria Math"/>
                    </w:rPr>
                    <m:t>q</m:t>
                  </m:r>
                </m:e>
                <m:sub>
                  <m:r>
                    <w:rPr>
                      <w:rFonts w:ascii="Cambria Math" w:hAnsi="Cambria Math"/>
                    </w:rPr>
                    <m:t>s6,m,i</m:t>
                  </m:r>
                </m:sub>
              </m:sSub>
            </m:e>
          </m:nary>
        </m:oMath>
      </m:oMathPara>
    </w:p>
    <w:p w14:paraId="142650F8" w14:textId="77777777" w:rsidR="00CE09AF" w:rsidRPr="00CC2B13" w:rsidRDefault="00CE09AF" w:rsidP="00CE09AF">
      <w:pPr>
        <w:spacing w:line="276" w:lineRule="auto"/>
        <w:ind w:left="0"/>
        <w:jc w:val="both"/>
        <w:rPr>
          <w:rFonts w:ascii="Bookman Old Style" w:hAnsi="Bookman Old Style" w:cs="Arial"/>
          <w:b/>
          <w:bCs/>
        </w:rPr>
      </w:pPr>
    </w:p>
    <w:p w14:paraId="1CFD01E1" w14:textId="77777777" w:rsidR="00CE09AF" w:rsidRPr="00CC2B13" w:rsidRDefault="00CE09AF" w:rsidP="00CE09AF">
      <w:pPr>
        <w:spacing w:line="276" w:lineRule="auto"/>
        <w:ind w:left="0"/>
        <w:rPr>
          <w:rFonts w:ascii="Bookman Old Style" w:hAnsi="Bookman Old Style"/>
        </w:rPr>
      </w:pPr>
      <w:r w:rsidRPr="00CC2B13">
        <w:rPr>
          <w:rFonts w:ascii="Bookman Old Style" w:hAnsi="Bookman Old Style"/>
        </w:rPr>
        <w:t>Donde,</w:t>
      </w:r>
    </w:p>
    <w:p w14:paraId="313DC8AA" w14:textId="77777777" w:rsidR="00CE09AF" w:rsidRPr="00CC2B13" w:rsidRDefault="00CE09AF" w:rsidP="00CE09AF">
      <w:pPr>
        <w:spacing w:line="276" w:lineRule="auto"/>
        <w:rPr>
          <w:rFonts w:ascii="Bookman Old Style" w:hAnsi="Bookman Old Sty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
        <w:gridCol w:w="7961"/>
      </w:tblGrid>
      <w:tr w:rsidR="00CE09AF" w:rsidRPr="00CC2B13" w14:paraId="2177F0D1" w14:textId="77777777" w:rsidTr="00B07E87">
        <w:tc>
          <w:tcPr>
            <w:tcW w:w="1378" w:type="dxa"/>
            <w:hideMark/>
          </w:tcPr>
          <w:p w14:paraId="2A47F6E1" w14:textId="7B9C0E5D" w:rsidR="00CE09AF" w:rsidRPr="00CC2B13" w:rsidRDefault="00000000" w:rsidP="00B07E87">
            <w:pPr>
              <w:tabs>
                <w:tab w:val="left" w:pos="0"/>
                <w:tab w:val="left" w:pos="284"/>
              </w:tabs>
              <w:spacing w:line="276" w:lineRule="auto"/>
              <w:jc w:val="right"/>
              <w:rPr>
                <w:rFonts w:ascii="Bookman Old Style" w:hAnsi="Bookman Old Style"/>
                <w:color w:val="000000" w:themeColor="text1"/>
                <w:lang w:val="es-CO"/>
              </w:rPr>
            </w:pPr>
            <m:oMath>
              <m:sSub>
                <m:sSubPr>
                  <m:ctrlPr>
                    <w:rPr>
                      <w:rFonts w:ascii="Cambria Math" w:hAnsi="Cambria Math"/>
                      <w:i/>
                    </w:rPr>
                  </m:ctrlPr>
                </m:sSubPr>
                <m:e>
                  <m:r>
                    <w:rPr>
                      <w:rFonts w:ascii="Cambria Math" w:hAnsi="Cambria Math"/>
                    </w:rPr>
                    <m:t>C</m:t>
                  </m:r>
                </m:e>
                <m:sub>
                  <m:r>
                    <w:rPr>
                      <w:rFonts w:ascii="Cambria Math" w:hAnsi="Cambria Math"/>
                    </w:rPr>
                    <m:t>6,m,i</m:t>
                  </m:r>
                </m:sub>
              </m:sSub>
            </m:oMath>
            <w:r w:rsidR="00CE09AF" w:rsidRPr="00CC2B13">
              <w:rPr>
                <w:rFonts w:ascii="Bookman Old Style" w:hAnsi="Bookman Old Style"/>
              </w:rPr>
              <w:t>:</w:t>
            </w:r>
          </w:p>
        </w:tc>
        <w:tc>
          <w:tcPr>
            <w:tcW w:w="7978" w:type="dxa"/>
          </w:tcPr>
          <w:p w14:paraId="25D6D667" w14:textId="62B0CC3B" w:rsidR="00CE09AF" w:rsidRPr="00CC2B13" w:rsidRDefault="00CE09AF" w:rsidP="00B07E87">
            <w:pPr>
              <w:tabs>
                <w:tab w:val="left" w:pos="0"/>
                <w:tab w:val="left" w:pos="284"/>
              </w:tabs>
              <w:spacing w:line="276" w:lineRule="auto"/>
              <w:ind w:left="0"/>
              <w:jc w:val="both"/>
              <w:rPr>
                <w:rFonts w:ascii="Bookman Old Style" w:hAnsi="Bookman Old Style"/>
              </w:rPr>
            </w:pPr>
            <w:r w:rsidRPr="00CC2B13">
              <w:rPr>
                <w:rFonts w:ascii="Bookman Old Style" w:hAnsi="Bookman Old Style"/>
              </w:rPr>
              <w:t xml:space="preserve">Energía cubierta por el comercializador </w:t>
            </w:r>
            <w:r w:rsidRPr="00CC2B13">
              <w:rPr>
                <w:rFonts w:ascii="Bookman Old Style" w:hAnsi="Bookman Old Style"/>
                <w:i/>
                <w:iCs/>
              </w:rPr>
              <w:t>i</w:t>
            </w:r>
            <w:r w:rsidRPr="00CC2B13">
              <w:rPr>
                <w:rFonts w:ascii="Bookman Old Style" w:hAnsi="Bookman Old Style"/>
              </w:rPr>
              <w:t xml:space="preserve"> mediante contratos </w:t>
            </w:r>
            <w:r w:rsidR="00707BBB">
              <w:rPr>
                <w:rFonts w:ascii="Bookman Old Style" w:hAnsi="Bookman Old Style" w:cs="Arial"/>
              </w:rPr>
              <w:t>resultantes de lo dispuesto en la presente resolución</w:t>
            </w:r>
            <w:r w:rsidRPr="00CC2B13">
              <w:rPr>
                <w:rFonts w:ascii="Bookman Old Style" w:hAnsi="Bookman Old Style"/>
              </w:rPr>
              <w:t xml:space="preserve">, con cantidades liquidadas en el mes </w:t>
            </w:r>
            <w:r w:rsidRPr="00CC2B13">
              <w:rPr>
                <w:rFonts w:ascii="Bookman Old Style" w:hAnsi="Bookman Old Style"/>
                <w:i/>
              </w:rPr>
              <w:t>m</w:t>
            </w:r>
            <w:r w:rsidRPr="00CC2B13">
              <w:rPr>
                <w:rFonts w:ascii="Bookman Old Style" w:hAnsi="Bookman Old Style"/>
              </w:rPr>
              <w:t xml:space="preserve"> y con destino al mercado regulado.</w:t>
            </w:r>
          </w:p>
          <w:p w14:paraId="3DEBFDE4" w14:textId="77777777" w:rsidR="00CE09AF" w:rsidRPr="00CC2B13" w:rsidRDefault="00CE09AF" w:rsidP="00B07E87">
            <w:pPr>
              <w:tabs>
                <w:tab w:val="left" w:pos="0"/>
                <w:tab w:val="left" w:pos="284"/>
              </w:tabs>
              <w:spacing w:line="276" w:lineRule="auto"/>
              <w:rPr>
                <w:rFonts w:ascii="Bookman Old Style" w:hAnsi="Bookman Old Style"/>
                <w:iCs/>
              </w:rPr>
            </w:pPr>
          </w:p>
        </w:tc>
      </w:tr>
      <w:tr w:rsidR="00CE09AF" w:rsidRPr="00CC2B13" w14:paraId="5D2079CD" w14:textId="77777777" w:rsidTr="00B07E87">
        <w:tc>
          <w:tcPr>
            <w:tcW w:w="1378" w:type="dxa"/>
          </w:tcPr>
          <w:p w14:paraId="115E455D" w14:textId="261C71A5" w:rsidR="00CE09AF" w:rsidRPr="00CC2B13" w:rsidRDefault="00000000" w:rsidP="00B07E87">
            <w:pPr>
              <w:tabs>
                <w:tab w:val="left" w:pos="0"/>
                <w:tab w:val="left" w:pos="284"/>
              </w:tabs>
              <w:spacing w:line="276" w:lineRule="auto"/>
              <w:rPr>
                <w:rFonts w:ascii="Bookman Old Style" w:hAnsi="Bookman Old Style"/>
                <w:color w:val="000000" w:themeColor="text1"/>
              </w:rPr>
            </w:pPr>
            <m:oMathPara>
              <m:oMathParaPr>
                <m:jc m:val="right"/>
              </m:oMathParaPr>
              <m:oMath>
                <m:sSub>
                  <m:sSubPr>
                    <m:ctrlPr>
                      <w:rPr>
                        <w:rFonts w:ascii="Cambria Math" w:hAnsi="Cambria Math"/>
                        <w:i/>
                      </w:rPr>
                    </m:ctrlPr>
                  </m:sSubPr>
                  <m:e>
                    <m:r>
                      <w:rPr>
                        <w:rFonts w:ascii="Cambria Math" w:hAnsi="Cambria Math"/>
                      </w:rPr>
                      <m:t>q</m:t>
                    </m:r>
                  </m:e>
                  <m:sub>
                    <m:r>
                      <w:rPr>
                        <w:rFonts w:ascii="Cambria Math" w:hAnsi="Cambria Math"/>
                      </w:rPr>
                      <m:t>s6,m,i</m:t>
                    </m:r>
                  </m:sub>
                </m:sSub>
                <m:r>
                  <w:rPr>
                    <w:rFonts w:ascii="Cambria Math" w:hAnsi="Cambria Math"/>
                  </w:rPr>
                  <m:t>:</m:t>
                </m:r>
              </m:oMath>
            </m:oMathPara>
          </w:p>
        </w:tc>
        <w:tc>
          <w:tcPr>
            <w:tcW w:w="7978" w:type="dxa"/>
          </w:tcPr>
          <w:p w14:paraId="6897C68B" w14:textId="414CE573" w:rsidR="00CE09AF" w:rsidRPr="00CC2B13" w:rsidRDefault="00CE09AF" w:rsidP="00B07E87">
            <w:pPr>
              <w:tabs>
                <w:tab w:val="left" w:pos="0"/>
                <w:tab w:val="left" w:pos="284"/>
              </w:tabs>
              <w:spacing w:line="276" w:lineRule="auto"/>
              <w:ind w:left="0"/>
              <w:jc w:val="both"/>
              <w:rPr>
                <w:rFonts w:ascii="Bookman Old Style" w:hAnsi="Bookman Old Style"/>
              </w:rPr>
            </w:pPr>
            <w:r w:rsidRPr="00CC2B13">
              <w:rPr>
                <w:rFonts w:ascii="Bookman Old Style" w:hAnsi="Bookman Old Style"/>
              </w:rPr>
              <w:t xml:space="preserve">Cantidad de energía cubierta por el comercializador </w:t>
            </w:r>
            <w:r w:rsidRPr="00CC2B13">
              <w:rPr>
                <w:rFonts w:ascii="Bookman Old Style" w:hAnsi="Bookman Old Style"/>
                <w:i/>
                <w:iCs/>
              </w:rPr>
              <w:t>i</w:t>
            </w:r>
            <w:r w:rsidRPr="00CC2B13">
              <w:rPr>
                <w:rFonts w:ascii="Bookman Old Style" w:hAnsi="Bookman Old Style"/>
              </w:rPr>
              <w:t xml:space="preserve"> para el mes </w:t>
            </w:r>
            <w:r w:rsidRPr="00CC2B13">
              <w:rPr>
                <w:rFonts w:ascii="Bookman Old Style" w:hAnsi="Bookman Old Style"/>
                <w:i/>
                <w:iCs/>
              </w:rPr>
              <w:t>m</w:t>
            </w:r>
            <w:r w:rsidRPr="00CC2B13">
              <w:rPr>
                <w:rFonts w:ascii="Bookman Old Style" w:hAnsi="Bookman Old Style"/>
              </w:rPr>
              <w:t xml:space="preserve"> mediante el contrato </w:t>
            </w:r>
            <w:r w:rsidRPr="00CC2B13">
              <w:rPr>
                <w:rFonts w:ascii="Bookman Old Style" w:hAnsi="Bookman Old Style"/>
                <w:i/>
                <w:iCs/>
              </w:rPr>
              <w:t>s</w:t>
            </w:r>
            <w:r w:rsidR="00933499">
              <w:rPr>
                <w:rFonts w:ascii="Bookman Old Style" w:hAnsi="Bookman Old Style"/>
                <w:i/>
                <w:iCs/>
              </w:rPr>
              <w:t xml:space="preserve"> </w:t>
            </w:r>
            <w:r w:rsidR="00933499" w:rsidRPr="00CC2B13">
              <w:rPr>
                <w:rFonts w:ascii="Bookman Old Style" w:hAnsi="Bookman Old Style" w:cs="Arial"/>
              </w:rPr>
              <w:t>resultante de la aplicación de lo dispuesto en la presente resolución</w:t>
            </w:r>
            <w:r w:rsidRPr="00CC2B13">
              <w:rPr>
                <w:rFonts w:ascii="Bookman Old Style" w:hAnsi="Bookman Old Style"/>
              </w:rPr>
              <w:t>, con destino al mercado regulado.</w:t>
            </w:r>
          </w:p>
          <w:p w14:paraId="21A8A075" w14:textId="77777777" w:rsidR="00CE09AF" w:rsidRPr="00CC2B13" w:rsidRDefault="00CE09AF" w:rsidP="00B07E87">
            <w:pPr>
              <w:tabs>
                <w:tab w:val="left" w:pos="0"/>
                <w:tab w:val="left" w:pos="284"/>
              </w:tabs>
              <w:spacing w:line="276" w:lineRule="auto"/>
              <w:rPr>
                <w:rFonts w:ascii="Bookman Old Style" w:hAnsi="Bookman Old Style"/>
              </w:rPr>
            </w:pPr>
          </w:p>
        </w:tc>
      </w:tr>
      <w:tr w:rsidR="00CE09AF" w:rsidRPr="00CC2B13" w14:paraId="2430D035" w14:textId="77777777" w:rsidTr="00B07E87">
        <w:tc>
          <w:tcPr>
            <w:tcW w:w="1378" w:type="dxa"/>
          </w:tcPr>
          <w:p w14:paraId="41ED8A62" w14:textId="45C6D171" w:rsidR="00CE09AF" w:rsidRPr="00CC2B13" w:rsidRDefault="00000000" w:rsidP="00B07E87">
            <w:pPr>
              <w:tabs>
                <w:tab w:val="left" w:pos="0"/>
                <w:tab w:val="left" w:pos="284"/>
              </w:tabs>
              <w:spacing w:line="276" w:lineRule="auto"/>
              <w:jc w:val="right"/>
              <w:rPr>
                <w:rFonts w:ascii="Bookman Old Style" w:hAnsi="Bookman Old Style"/>
              </w:rPr>
            </w:pPr>
            <m:oMath>
              <m:sSub>
                <m:sSubPr>
                  <m:ctrlPr>
                    <w:rPr>
                      <w:rFonts w:ascii="Cambria Math" w:hAnsi="Cambria Math"/>
                      <w:i/>
                    </w:rPr>
                  </m:ctrlPr>
                </m:sSubPr>
                <m:e>
                  <m:r>
                    <w:rPr>
                      <w:rFonts w:ascii="Cambria Math" w:hAnsi="Cambria Math"/>
                    </w:rPr>
                    <m:t>n</m:t>
                  </m:r>
                </m:e>
                <m:sub>
                  <m:r>
                    <w:rPr>
                      <w:rFonts w:ascii="Cambria Math" w:hAnsi="Cambria Math"/>
                    </w:rPr>
                    <m:t>6</m:t>
                  </m:r>
                </m:sub>
              </m:sSub>
            </m:oMath>
            <w:r w:rsidR="00CE09AF" w:rsidRPr="00CC2B13">
              <w:rPr>
                <w:rFonts w:ascii="Bookman Old Style" w:hAnsi="Bookman Old Style"/>
                <w:iCs/>
              </w:rPr>
              <w:t>:</w:t>
            </w:r>
          </w:p>
        </w:tc>
        <w:tc>
          <w:tcPr>
            <w:tcW w:w="7978" w:type="dxa"/>
          </w:tcPr>
          <w:p w14:paraId="50E2B46E" w14:textId="77777777" w:rsidR="00CE09AF" w:rsidRPr="00CC2B13" w:rsidRDefault="00CE09AF" w:rsidP="00B07E87">
            <w:pPr>
              <w:tabs>
                <w:tab w:val="left" w:pos="0"/>
                <w:tab w:val="left" w:pos="284"/>
              </w:tabs>
              <w:spacing w:line="276" w:lineRule="auto"/>
              <w:ind w:left="0"/>
              <w:jc w:val="both"/>
              <w:rPr>
                <w:rFonts w:ascii="Bookman Old Style" w:hAnsi="Bookman Old Style"/>
              </w:rPr>
            </w:pPr>
            <w:r w:rsidRPr="00CC2B13">
              <w:rPr>
                <w:rFonts w:ascii="Bookman Old Style" w:hAnsi="Bookman Old Style"/>
              </w:rPr>
              <w:t xml:space="preserve">Número de contratos resultantes de la aplicación de lo dispuesto                                                                                                                              en la presente resolución, con cantidades liquidadas para el mes </w:t>
            </w:r>
            <w:r w:rsidRPr="00CC2B13">
              <w:rPr>
                <w:rFonts w:ascii="Bookman Old Style" w:hAnsi="Bookman Old Style"/>
                <w:i/>
                <w:iCs/>
              </w:rPr>
              <w:t>m</w:t>
            </w:r>
            <w:r w:rsidRPr="00CC2B13">
              <w:rPr>
                <w:rFonts w:ascii="Bookman Old Style" w:hAnsi="Bookman Old Style"/>
              </w:rPr>
              <w:t xml:space="preserve"> suscritos por el comercializador </w:t>
            </w:r>
            <w:r w:rsidRPr="00CC2B13">
              <w:rPr>
                <w:rFonts w:ascii="Bookman Old Style" w:hAnsi="Bookman Old Style"/>
                <w:i/>
                <w:iCs/>
              </w:rPr>
              <w:t>i</w:t>
            </w:r>
            <w:r w:rsidRPr="00CC2B13">
              <w:rPr>
                <w:rFonts w:ascii="Bookman Old Style" w:hAnsi="Bookman Old Style"/>
              </w:rPr>
              <w:t>, con destino al mercado regulado.</w:t>
            </w:r>
          </w:p>
        </w:tc>
      </w:tr>
    </w:tbl>
    <w:p w14:paraId="7FB03879" w14:textId="77777777" w:rsidR="00CE09AF" w:rsidRPr="00CC2B13" w:rsidRDefault="00CE09AF" w:rsidP="00CE09AF">
      <w:pPr>
        <w:spacing w:line="276" w:lineRule="auto"/>
        <w:ind w:left="0"/>
        <w:jc w:val="both"/>
        <w:rPr>
          <w:rFonts w:ascii="Bookman Old Style" w:hAnsi="Bookman Old Style" w:cs="Arial"/>
          <w:b/>
          <w:bCs/>
        </w:rPr>
      </w:pPr>
    </w:p>
    <w:p w14:paraId="26737524" w14:textId="62A7BCB8" w:rsidR="00CE09AF" w:rsidRPr="00CC2B13" w:rsidRDefault="00CE09AF" w:rsidP="00CE09AF">
      <w:pPr>
        <w:spacing w:line="276" w:lineRule="auto"/>
        <w:ind w:left="0"/>
        <w:jc w:val="both"/>
        <w:rPr>
          <w:rFonts w:ascii="Bookman Old Style" w:hAnsi="Bookman Old Style" w:cs="Arial"/>
        </w:rPr>
      </w:pPr>
      <w:r w:rsidRPr="00CC2B13">
        <w:rPr>
          <w:rFonts w:ascii="Bookman Old Style" w:hAnsi="Bookman Old Style" w:cs="Arial"/>
          <w:b/>
          <w:bCs/>
        </w:rPr>
        <w:t>ARTÍCULO 1</w:t>
      </w:r>
      <w:r w:rsidR="00A17251">
        <w:rPr>
          <w:rFonts w:ascii="Bookman Old Style" w:hAnsi="Bookman Old Style" w:cs="Arial"/>
          <w:b/>
          <w:bCs/>
        </w:rPr>
        <w:t>2</w:t>
      </w:r>
      <w:r w:rsidRPr="00CC2B13">
        <w:rPr>
          <w:rFonts w:ascii="Bookman Old Style" w:hAnsi="Bookman Old Style" w:cs="Arial"/>
          <w:b/>
          <w:bCs/>
        </w:rPr>
        <w:t xml:space="preserve">. Precio promedio ponderado para el traslado de las compras realizadas. </w:t>
      </w:r>
      <w:r w:rsidR="00D97D53">
        <w:rPr>
          <w:rFonts w:ascii="Bookman Old Style" w:hAnsi="Bookman Old Style" w:cs="Arial"/>
        </w:rPr>
        <w:t xml:space="preserve">El precio promedio ponderado para el traslado de las compras </w:t>
      </w:r>
      <w:r w:rsidR="00D97D53">
        <w:rPr>
          <w:rFonts w:ascii="Bookman Old Style" w:hAnsi="Bookman Old Style" w:cs="Arial"/>
        </w:rPr>
        <w:lastRenderedPageBreak/>
        <w:t xml:space="preserve">realizadas a través de contratos </w:t>
      </w:r>
      <w:r w:rsidR="00707BBB">
        <w:rPr>
          <w:rFonts w:ascii="Bookman Old Style" w:hAnsi="Bookman Old Style" w:cs="Arial"/>
        </w:rPr>
        <w:t>resultantes de lo dispuesto en la presente resolución</w:t>
      </w:r>
      <w:r w:rsidR="00D97D53">
        <w:rPr>
          <w:rFonts w:ascii="Bookman Old Style" w:hAnsi="Bookman Old Style" w:cs="Arial"/>
        </w:rPr>
        <w:t xml:space="preserve"> y cuyo destino sea la atención de demanda regulada, será calculado por el comercializador utilizando las siguientes fórmulas, según el periodo correspondiente del contrato</w:t>
      </w:r>
      <w:r w:rsidR="00057E87" w:rsidRPr="00CC2B13">
        <w:rPr>
          <w:rFonts w:ascii="Bookman Old Style" w:hAnsi="Bookman Old Style" w:cs="Arial"/>
        </w:rPr>
        <w:t>:</w:t>
      </w:r>
    </w:p>
    <w:p w14:paraId="07BD4D91" w14:textId="77777777" w:rsidR="005D6031" w:rsidRDefault="005D6031" w:rsidP="005D6031">
      <w:pPr>
        <w:spacing w:line="276" w:lineRule="auto"/>
        <w:ind w:left="0"/>
        <w:jc w:val="both"/>
        <w:rPr>
          <w:rFonts w:ascii="Bookman Old Style" w:hAnsi="Bookman Old Style" w:cs="Arial"/>
        </w:rPr>
      </w:pPr>
    </w:p>
    <w:p w14:paraId="0455729F" w14:textId="1AD2DAB6" w:rsidR="005D6031" w:rsidRDefault="005D6031" w:rsidP="005D6031">
      <w:pPr>
        <w:pStyle w:val="Prrafodelista"/>
        <w:numPr>
          <w:ilvl w:val="0"/>
          <w:numId w:val="29"/>
        </w:numPr>
        <w:spacing w:line="276" w:lineRule="auto"/>
        <w:ind w:left="426" w:hanging="426"/>
        <w:jc w:val="both"/>
        <w:rPr>
          <w:rFonts w:ascii="Bookman Old Style" w:hAnsi="Bookman Old Style" w:cs="Arial"/>
          <w:b/>
          <w:bCs/>
          <w:sz w:val="24"/>
          <w:szCs w:val="24"/>
        </w:rPr>
      </w:pPr>
      <w:r>
        <w:rPr>
          <w:rFonts w:ascii="Bookman Old Style" w:hAnsi="Bookman Old Style" w:cs="Arial"/>
          <w:sz w:val="24"/>
          <w:szCs w:val="24"/>
        </w:rPr>
        <w:t>Para la primera mitad de la vigencia pactada para el contrato:</w:t>
      </w:r>
    </w:p>
    <w:p w14:paraId="5D1AE10D" w14:textId="77777777" w:rsidR="005D6031" w:rsidRDefault="005D6031" w:rsidP="005D6031">
      <w:pPr>
        <w:spacing w:line="276" w:lineRule="auto"/>
        <w:ind w:left="0"/>
        <w:rPr>
          <w:rFonts w:ascii="Bookman Old Style" w:hAnsi="Bookman Old Style"/>
        </w:rPr>
      </w:pPr>
    </w:p>
    <w:p w14:paraId="6B389EC4" w14:textId="45584444" w:rsidR="005D6031" w:rsidRDefault="00000000" w:rsidP="005D6031">
      <w:pPr>
        <w:pStyle w:val="Prrafodelista"/>
        <w:spacing w:line="276" w:lineRule="auto"/>
        <w:ind w:left="0"/>
        <w:rPr>
          <w:rFonts w:ascii="Bookman Old Style" w:hAnsi="Bookman Old Style"/>
          <w:sz w:val="24"/>
          <w:szCs w:val="24"/>
        </w:rPr>
      </w:pPr>
      <m:oMathPara>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6,m,i</m:t>
              </m:r>
            </m:sub>
          </m:sSub>
          <m:r>
            <w:rPr>
              <w:rFonts w:ascii="Cambria Math" w:hAnsi="Cambria Math"/>
              <w:sz w:val="24"/>
              <w:szCs w:val="24"/>
            </w:rPr>
            <m:t>=</m:t>
          </m:r>
          <m:r>
            <m:rPr>
              <m:sty m:val="p"/>
            </m:rPr>
            <w:rPr>
              <w:rFonts w:ascii="Cambria Math" w:hAnsi="Cambria Math"/>
              <w:sz w:val="24"/>
              <w:szCs w:val="24"/>
            </w:rPr>
            <m:t>min</m:t>
          </m:r>
          <m:d>
            <m:dPr>
              <m:ctrlPr>
                <w:rPr>
                  <w:rFonts w:ascii="Cambria Math" w:hAnsi="Cambria Math"/>
                  <w:i/>
                  <w:sz w:val="24"/>
                  <w:szCs w:val="24"/>
                </w:rPr>
              </m:ctrlPr>
            </m:dPr>
            <m:e>
              <m:r>
                <w:rPr>
                  <w:rFonts w:ascii="Cambria Math" w:hAnsi="Cambria Math"/>
                  <w:sz w:val="24"/>
                  <w:szCs w:val="24"/>
                </w:rPr>
                <m:t>1,5*</m:t>
              </m:r>
              <m:sSub>
                <m:sSubPr>
                  <m:ctrlPr>
                    <w:rPr>
                      <w:rFonts w:ascii="Cambria Math" w:hAnsi="Cambria Math"/>
                      <w:i/>
                      <w:sz w:val="24"/>
                      <w:szCs w:val="24"/>
                    </w:rPr>
                  </m:ctrlPr>
                </m:sSubPr>
                <m:e>
                  <m:r>
                    <w:rPr>
                      <w:rFonts w:ascii="Cambria Math" w:hAnsi="Cambria Math"/>
                      <w:sz w:val="24"/>
                      <w:szCs w:val="24"/>
                    </w:rPr>
                    <m:t>Mc</m:t>
                  </m:r>
                </m:e>
                <m:sub>
                  <m:r>
                    <w:rPr>
                      <w:rFonts w:ascii="Cambria Math" w:hAnsi="Cambria Math"/>
                      <w:sz w:val="24"/>
                      <w:szCs w:val="24"/>
                    </w:rPr>
                    <m:t>m</m:t>
                  </m:r>
                </m:sub>
              </m:sSub>
              <m:r>
                <w:rPr>
                  <w:rFonts w:ascii="Cambria Math" w:hAnsi="Cambria Math"/>
                  <w:sz w:val="24"/>
                  <w:szCs w:val="24"/>
                </w:rPr>
                <m:t>;</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s=1</m:t>
                      </m:r>
                    </m:sub>
                    <m:sup>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6</m:t>
                          </m:r>
                        </m:sub>
                      </m:s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s6,m,i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s6,m,i</m:t>
                          </m:r>
                        </m:sub>
                      </m:sSub>
                    </m:e>
                  </m:nary>
                </m:num>
                <m:den>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6,m,i</m:t>
                      </m:r>
                    </m:sub>
                  </m:sSub>
                </m:den>
              </m:f>
            </m:e>
          </m:d>
        </m:oMath>
      </m:oMathPara>
    </w:p>
    <w:p w14:paraId="762FA662" w14:textId="77777777" w:rsidR="005D6031" w:rsidRDefault="005D6031" w:rsidP="005D6031">
      <w:pPr>
        <w:spacing w:line="276" w:lineRule="auto"/>
        <w:ind w:left="0"/>
        <w:rPr>
          <w:rFonts w:ascii="Bookman Old Style" w:hAnsi="Bookman Old Style"/>
        </w:rPr>
      </w:pPr>
    </w:p>
    <w:p w14:paraId="1D0EEE12" w14:textId="7A7890C2" w:rsidR="005D6031" w:rsidRDefault="005D6031" w:rsidP="005D6031">
      <w:pPr>
        <w:pStyle w:val="Prrafodelista"/>
        <w:numPr>
          <w:ilvl w:val="0"/>
          <w:numId w:val="29"/>
        </w:numPr>
        <w:spacing w:line="276" w:lineRule="auto"/>
        <w:ind w:left="426" w:hanging="437"/>
        <w:jc w:val="both"/>
        <w:rPr>
          <w:rFonts w:ascii="Bookman Old Style" w:hAnsi="Bookman Old Style" w:cs="Arial"/>
          <w:sz w:val="24"/>
          <w:szCs w:val="24"/>
        </w:rPr>
      </w:pPr>
      <w:r>
        <w:rPr>
          <w:rFonts w:ascii="Bookman Old Style" w:hAnsi="Bookman Old Style" w:cs="Arial"/>
          <w:sz w:val="24"/>
          <w:szCs w:val="24"/>
        </w:rPr>
        <w:t xml:space="preserve">Para la </w:t>
      </w:r>
      <w:r w:rsidR="00942D87">
        <w:rPr>
          <w:rFonts w:ascii="Bookman Old Style" w:hAnsi="Bookman Old Style" w:cs="Arial"/>
          <w:sz w:val="24"/>
          <w:szCs w:val="24"/>
        </w:rPr>
        <w:t>segunda</w:t>
      </w:r>
      <w:r>
        <w:rPr>
          <w:rFonts w:ascii="Bookman Old Style" w:hAnsi="Bookman Old Style" w:cs="Arial"/>
          <w:sz w:val="24"/>
          <w:szCs w:val="24"/>
        </w:rPr>
        <w:t xml:space="preserve"> mitad de la vigencia pactada para el contrato:</w:t>
      </w:r>
    </w:p>
    <w:p w14:paraId="60CFF4BD" w14:textId="77777777" w:rsidR="005D6031" w:rsidRDefault="005D6031" w:rsidP="005D6031">
      <w:pPr>
        <w:spacing w:line="276" w:lineRule="auto"/>
        <w:ind w:left="0"/>
        <w:rPr>
          <w:rFonts w:ascii="Bookman Old Style" w:hAnsi="Bookman Old Style"/>
        </w:rPr>
      </w:pPr>
    </w:p>
    <w:p w14:paraId="24ECEC73" w14:textId="5D2536B2" w:rsidR="005D6031" w:rsidRDefault="00000000" w:rsidP="005D6031">
      <w:pPr>
        <w:pStyle w:val="Prrafodelista"/>
        <w:spacing w:line="276" w:lineRule="auto"/>
        <w:ind w:left="0"/>
        <w:rPr>
          <w:rFonts w:ascii="Bookman Old Style" w:hAnsi="Bookman Old Style"/>
          <w:sz w:val="24"/>
          <w:szCs w:val="24"/>
        </w:rPr>
      </w:pPr>
      <m:oMathPara>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6,m,i</m:t>
              </m:r>
            </m:sub>
          </m:sSub>
          <m:r>
            <w:rPr>
              <w:rFonts w:ascii="Cambria Math" w:hAnsi="Cambria Math"/>
              <w:sz w:val="24"/>
              <w:szCs w:val="24"/>
            </w:rPr>
            <m:t>=</m:t>
          </m:r>
          <m:r>
            <m:rPr>
              <m:sty m:val="p"/>
            </m:rPr>
            <w:rPr>
              <w:rFonts w:ascii="Cambria Math" w:hAnsi="Cambria Math"/>
              <w:sz w:val="24"/>
              <w:szCs w:val="24"/>
            </w:rPr>
            <m:t>min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Mc</m:t>
                  </m:r>
                </m:e>
                <m:sub>
                  <m:r>
                    <w:rPr>
                      <w:rFonts w:ascii="Cambria Math" w:hAnsi="Cambria Math"/>
                      <w:sz w:val="24"/>
                      <w:szCs w:val="24"/>
                    </w:rPr>
                    <m:t>m</m:t>
                  </m:r>
                </m:sub>
              </m:sSub>
              <m:r>
                <w:rPr>
                  <w:rFonts w:ascii="Cambria Math" w:hAnsi="Cambria Math"/>
                  <w:sz w:val="24"/>
                  <w:szCs w:val="24"/>
                </w:rPr>
                <m:t>;</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s=1</m:t>
                      </m:r>
                    </m:sub>
                    <m:sup>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6</m:t>
                          </m:r>
                        </m:sub>
                      </m:sSub>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s6,m,i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s6,m,i</m:t>
                          </m:r>
                        </m:sub>
                      </m:sSub>
                    </m:e>
                  </m:nary>
                </m:num>
                <m:den>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6,m,i</m:t>
                      </m:r>
                    </m:sub>
                  </m:sSub>
                </m:den>
              </m:f>
            </m:e>
          </m:d>
        </m:oMath>
      </m:oMathPara>
    </w:p>
    <w:p w14:paraId="65CB0A97" w14:textId="77777777" w:rsidR="005D6031" w:rsidRDefault="005D6031" w:rsidP="005D6031">
      <w:pPr>
        <w:spacing w:line="276" w:lineRule="auto"/>
        <w:ind w:left="0"/>
        <w:rPr>
          <w:rFonts w:ascii="Bookman Old Style" w:hAnsi="Bookman Old Style"/>
        </w:rPr>
      </w:pPr>
    </w:p>
    <w:p w14:paraId="396229BC" w14:textId="77777777" w:rsidR="005D6031" w:rsidRDefault="005D6031" w:rsidP="005D6031">
      <w:pPr>
        <w:spacing w:line="276" w:lineRule="auto"/>
        <w:ind w:left="0"/>
        <w:rPr>
          <w:rFonts w:ascii="Bookman Old Style" w:hAnsi="Bookman Old Style"/>
        </w:rPr>
      </w:pPr>
      <w:r>
        <w:rPr>
          <w:rFonts w:ascii="Bookman Old Style" w:hAnsi="Bookman Old Style"/>
        </w:rPr>
        <w:t>Donde,</w:t>
      </w:r>
    </w:p>
    <w:p w14:paraId="05E7D3D6" w14:textId="77777777" w:rsidR="005D6031" w:rsidRDefault="005D6031" w:rsidP="005D6031">
      <w:pPr>
        <w:spacing w:line="276" w:lineRule="auto"/>
        <w:rPr>
          <w:rFonts w:ascii="Bookman Old Style" w:hAnsi="Bookman Old Sty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7882"/>
      </w:tblGrid>
      <w:tr w:rsidR="005D6031" w14:paraId="72C0B783" w14:textId="77777777" w:rsidTr="005D6031">
        <w:tc>
          <w:tcPr>
            <w:tcW w:w="1378" w:type="dxa"/>
            <w:hideMark/>
          </w:tcPr>
          <w:p w14:paraId="29B6779C" w14:textId="3C929C75" w:rsidR="005D6031" w:rsidRDefault="00000000">
            <w:pPr>
              <w:tabs>
                <w:tab w:val="left" w:pos="0"/>
                <w:tab w:val="left" w:pos="284"/>
              </w:tabs>
              <w:spacing w:line="276" w:lineRule="auto"/>
              <w:jc w:val="right"/>
              <w:rPr>
                <w:rFonts w:ascii="Bookman Old Style" w:hAnsi="Bookman Old Style"/>
                <w:color w:val="000000" w:themeColor="text1"/>
                <w:lang w:val="es-CO"/>
              </w:rPr>
            </w:pPr>
            <m:oMath>
              <m:sSub>
                <m:sSubPr>
                  <m:ctrlPr>
                    <w:rPr>
                      <w:rFonts w:ascii="Cambria Math" w:hAnsi="Cambria Math"/>
                      <w:i/>
                      <w:color w:val="000000" w:themeColor="text1"/>
                    </w:rPr>
                  </m:ctrlPr>
                </m:sSubPr>
                <m:e>
                  <m:r>
                    <w:rPr>
                      <w:rFonts w:ascii="Cambria Math" w:hAnsi="Cambria Math"/>
                      <w:color w:val="000000" w:themeColor="text1"/>
                      <w:lang w:val="es-CO"/>
                    </w:rPr>
                    <m:t>p</m:t>
                  </m:r>
                </m:e>
                <m:sub>
                  <m:r>
                    <w:rPr>
                      <w:rFonts w:ascii="Cambria Math" w:hAnsi="Cambria Math"/>
                      <w:color w:val="000000" w:themeColor="text1"/>
                    </w:rPr>
                    <m:t>6</m:t>
                  </m:r>
                  <m:r>
                    <w:rPr>
                      <w:rFonts w:ascii="Cambria Math" w:hAnsi="Cambria Math"/>
                      <w:color w:val="000000" w:themeColor="text1"/>
                      <w:lang w:val="es-CO"/>
                    </w:rPr>
                    <m:t>,m,i</m:t>
                  </m:r>
                </m:sub>
              </m:sSub>
              <m:r>
                <w:rPr>
                  <w:rFonts w:ascii="Cambria Math" w:hAnsi="Cambria Math"/>
                  <w:color w:val="000000" w:themeColor="text1"/>
                  <w:lang w:val="es-CO"/>
                </w:rPr>
                <m:t>:</m:t>
              </m:r>
            </m:oMath>
            <w:r w:rsidR="005D6031">
              <w:rPr>
                <w:rFonts w:ascii="Bookman Old Style" w:hAnsi="Bookman Old Style"/>
                <w:color w:val="000000" w:themeColor="text1"/>
                <w:lang w:val="es-CO"/>
              </w:rPr>
              <w:t xml:space="preserve"> </w:t>
            </w:r>
          </w:p>
        </w:tc>
        <w:tc>
          <w:tcPr>
            <w:tcW w:w="7978" w:type="dxa"/>
          </w:tcPr>
          <w:p w14:paraId="58175E5B" w14:textId="0B707FD0" w:rsidR="005D6031" w:rsidRDefault="005D6031">
            <w:pPr>
              <w:tabs>
                <w:tab w:val="left" w:pos="0"/>
                <w:tab w:val="left" w:pos="284"/>
              </w:tabs>
              <w:spacing w:line="276" w:lineRule="auto"/>
              <w:ind w:left="0"/>
              <w:jc w:val="both"/>
              <w:rPr>
                <w:rFonts w:ascii="Bookman Old Style" w:hAnsi="Bookman Old Style"/>
              </w:rPr>
            </w:pPr>
            <w:r>
              <w:rPr>
                <w:rFonts w:ascii="Bookman Old Style" w:hAnsi="Bookman Old Style"/>
              </w:rPr>
              <w:t xml:space="preserve">Precio promedio ponderado de todas las compras realizadas por el comercializador </w:t>
            </w:r>
            <w:r>
              <w:rPr>
                <w:rFonts w:ascii="Bookman Old Style" w:hAnsi="Bookman Old Style"/>
                <w:i/>
                <w:iCs/>
              </w:rPr>
              <w:t>i</w:t>
            </w:r>
            <w:r>
              <w:rPr>
                <w:rFonts w:ascii="Bookman Old Style" w:hAnsi="Bookman Old Style"/>
              </w:rPr>
              <w:t xml:space="preserve"> a través de contratos </w:t>
            </w:r>
            <w:r w:rsidR="00707BBB">
              <w:rPr>
                <w:rFonts w:ascii="Bookman Old Style" w:hAnsi="Bookman Old Style" w:cs="Arial"/>
              </w:rPr>
              <w:t>resultantes de lo dispuesto en la presente resolución</w:t>
            </w:r>
            <w:r>
              <w:rPr>
                <w:rFonts w:ascii="Bookman Old Style" w:hAnsi="Bookman Old Style"/>
              </w:rPr>
              <w:t xml:space="preserve">, liquidados en el mes </w:t>
            </w:r>
            <w:r>
              <w:rPr>
                <w:rFonts w:ascii="Bookman Old Style" w:hAnsi="Bookman Old Style"/>
                <w:i/>
                <w:iCs/>
              </w:rPr>
              <w:t>m</w:t>
            </w:r>
            <w:r>
              <w:rPr>
                <w:rFonts w:ascii="Bookman Old Style" w:hAnsi="Bookman Old Style"/>
              </w:rPr>
              <w:t>, expresado en pesos por kilovatio hora (COP/kWh).</w:t>
            </w:r>
          </w:p>
          <w:p w14:paraId="138BBC3A" w14:textId="77777777" w:rsidR="005D6031" w:rsidRDefault="005D6031">
            <w:pPr>
              <w:tabs>
                <w:tab w:val="left" w:pos="0"/>
                <w:tab w:val="left" w:pos="284"/>
              </w:tabs>
              <w:spacing w:line="276" w:lineRule="auto"/>
              <w:ind w:left="0"/>
              <w:jc w:val="both"/>
              <w:rPr>
                <w:rFonts w:ascii="Bookman Old Style" w:hAnsi="Bookman Old Style"/>
              </w:rPr>
            </w:pPr>
          </w:p>
        </w:tc>
      </w:tr>
      <w:tr w:rsidR="005D6031" w14:paraId="24E16C34" w14:textId="77777777" w:rsidTr="005D6031">
        <w:tc>
          <w:tcPr>
            <w:tcW w:w="1378" w:type="dxa"/>
            <w:hideMark/>
          </w:tcPr>
          <w:p w14:paraId="664D1080" w14:textId="77777777" w:rsidR="005D6031" w:rsidRDefault="00000000">
            <w:pPr>
              <w:tabs>
                <w:tab w:val="left" w:pos="0"/>
                <w:tab w:val="left" w:pos="284"/>
              </w:tabs>
              <w:spacing w:line="276" w:lineRule="auto"/>
              <w:jc w:val="right"/>
              <w:rPr>
                <w:rFonts w:ascii="Bookman Old Style" w:hAnsi="Bookman Old Style"/>
                <w:color w:val="000000" w:themeColor="text1"/>
              </w:rPr>
            </w:pPr>
            <m:oMath>
              <m:sSub>
                <m:sSubPr>
                  <m:ctrlPr>
                    <w:rPr>
                      <w:rFonts w:ascii="Cambria Math" w:hAnsi="Cambria Math"/>
                      <w:i/>
                      <w:color w:val="000000" w:themeColor="text1"/>
                    </w:rPr>
                  </m:ctrlPr>
                </m:sSubPr>
                <m:e>
                  <m:r>
                    <w:rPr>
                      <w:rFonts w:ascii="Cambria Math" w:hAnsi="Cambria Math"/>
                      <w:color w:val="000000" w:themeColor="text1"/>
                      <w:lang w:val="es-CO"/>
                    </w:rPr>
                    <m:t>Mc</m:t>
                  </m:r>
                </m:e>
                <m:sub>
                  <m:r>
                    <w:rPr>
                      <w:rFonts w:ascii="Cambria Math" w:hAnsi="Cambria Math"/>
                      <w:color w:val="000000" w:themeColor="text1"/>
                      <w:lang w:val="es-CO"/>
                    </w:rPr>
                    <m:t>m</m:t>
                  </m:r>
                </m:sub>
              </m:sSub>
              <m:r>
                <w:rPr>
                  <w:rFonts w:ascii="Cambria Math" w:hAnsi="Cambria Math"/>
                  <w:color w:val="000000" w:themeColor="text1"/>
                  <w:lang w:val="es-CO"/>
                </w:rPr>
                <m:t xml:space="preserve">: </m:t>
              </m:r>
            </m:oMath>
            <w:r w:rsidR="005D6031">
              <w:rPr>
                <w:rFonts w:ascii="Bookman Old Style" w:hAnsi="Bookman Old Style"/>
                <w:color w:val="000000" w:themeColor="text1"/>
                <w:lang w:val="es-CO"/>
              </w:rPr>
              <w:t xml:space="preserve"> </w:t>
            </w:r>
          </w:p>
        </w:tc>
        <w:tc>
          <w:tcPr>
            <w:tcW w:w="7978" w:type="dxa"/>
          </w:tcPr>
          <w:p w14:paraId="357EFEB4" w14:textId="77777777" w:rsidR="005D6031" w:rsidRDefault="005D6031">
            <w:pPr>
              <w:tabs>
                <w:tab w:val="left" w:pos="0"/>
                <w:tab w:val="left" w:pos="284"/>
              </w:tabs>
              <w:spacing w:line="276" w:lineRule="auto"/>
              <w:ind w:left="0"/>
              <w:jc w:val="both"/>
              <w:rPr>
                <w:rFonts w:ascii="Bookman Old Style" w:hAnsi="Bookman Old Style"/>
              </w:rPr>
            </w:pPr>
            <w:r>
              <w:rPr>
                <w:rFonts w:ascii="Bookman Old Style" w:hAnsi="Bookman Old Style"/>
              </w:rPr>
              <w:t xml:space="preserve">Costo promedio ponderado por energía, expresado en pesos por kilovatio hora (COP/kWh), de todos los contratos resultantes de las convocatorias públicas a las que hace referencia la Resolución CREG 130 de 2019 o aquella que la modifique, sustituya o adicione, liquidados en el mes </w:t>
            </w:r>
            <w:r>
              <w:rPr>
                <w:rFonts w:ascii="Bookman Old Style" w:hAnsi="Bookman Old Style"/>
                <w:i/>
              </w:rPr>
              <w:t>m</w:t>
            </w:r>
            <w:r>
              <w:rPr>
                <w:rFonts w:ascii="Bookman Old Style" w:hAnsi="Bookman Old Style"/>
                <w:iCs/>
              </w:rPr>
              <w:t>,</w:t>
            </w:r>
            <w:r>
              <w:rPr>
                <w:rFonts w:ascii="Bookman Old Style" w:hAnsi="Bookman Old Style"/>
              </w:rPr>
              <w:t xml:space="preserve"> con destino al mercado regulado.</w:t>
            </w:r>
          </w:p>
          <w:p w14:paraId="63FE1110" w14:textId="77777777" w:rsidR="005D6031" w:rsidRDefault="005D6031">
            <w:pPr>
              <w:tabs>
                <w:tab w:val="left" w:pos="0"/>
                <w:tab w:val="left" w:pos="284"/>
              </w:tabs>
              <w:spacing w:line="276" w:lineRule="auto"/>
              <w:ind w:left="0"/>
              <w:jc w:val="both"/>
              <w:rPr>
                <w:rFonts w:ascii="Bookman Old Style" w:hAnsi="Bookman Old Style"/>
              </w:rPr>
            </w:pPr>
          </w:p>
        </w:tc>
      </w:tr>
      <w:tr w:rsidR="005D6031" w14:paraId="57B307C5" w14:textId="77777777" w:rsidTr="005D6031">
        <w:tc>
          <w:tcPr>
            <w:tcW w:w="1378" w:type="dxa"/>
            <w:hideMark/>
          </w:tcPr>
          <w:p w14:paraId="7700D51D" w14:textId="5F739CD4" w:rsidR="005D6031" w:rsidRDefault="00000000">
            <w:pPr>
              <w:tabs>
                <w:tab w:val="left" w:pos="0"/>
                <w:tab w:val="left" w:pos="284"/>
              </w:tabs>
              <w:spacing w:line="276" w:lineRule="auto"/>
              <w:jc w:val="right"/>
              <w:rPr>
                <w:rFonts w:ascii="Bookman Old Style" w:hAnsi="Bookman Old Style"/>
                <w:color w:val="000000" w:themeColor="text1"/>
                <w:lang w:val="es-CO"/>
              </w:rPr>
            </w:pPr>
            <m:oMath>
              <m:sSub>
                <m:sSubPr>
                  <m:ctrlPr>
                    <w:rPr>
                      <w:rFonts w:ascii="Cambria Math" w:hAnsi="Cambria Math"/>
                      <w:i/>
                    </w:rPr>
                  </m:ctrlPr>
                </m:sSubPr>
                <m:e>
                  <m:r>
                    <w:rPr>
                      <w:rFonts w:ascii="Cambria Math" w:hAnsi="Cambria Math"/>
                    </w:rPr>
                    <m:t>p</m:t>
                  </m:r>
                </m:e>
                <m:sub>
                  <m:r>
                    <w:rPr>
                      <w:rFonts w:ascii="Cambria Math" w:hAnsi="Cambria Math"/>
                    </w:rPr>
                    <m:t>s6,m,i</m:t>
                  </m:r>
                </m:sub>
              </m:sSub>
            </m:oMath>
            <w:r w:rsidR="005D6031">
              <w:rPr>
                <w:rFonts w:ascii="Bookman Old Style" w:hAnsi="Bookman Old Style"/>
              </w:rPr>
              <w:t>:</w:t>
            </w:r>
          </w:p>
        </w:tc>
        <w:tc>
          <w:tcPr>
            <w:tcW w:w="7978" w:type="dxa"/>
          </w:tcPr>
          <w:p w14:paraId="75FCABA6" w14:textId="5A360758" w:rsidR="005D6031" w:rsidRDefault="005D6031">
            <w:pPr>
              <w:tabs>
                <w:tab w:val="left" w:pos="0"/>
                <w:tab w:val="left" w:pos="284"/>
              </w:tabs>
              <w:spacing w:line="276" w:lineRule="auto"/>
              <w:ind w:left="0"/>
              <w:jc w:val="both"/>
              <w:rPr>
                <w:rFonts w:ascii="Bookman Old Style" w:hAnsi="Bookman Old Style"/>
              </w:rPr>
            </w:pPr>
            <w:r>
              <w:rPr>
                <w:rFonts w:ascii="Bookman Old Style" w:hAnsi="Bookman Old Style"/>
              </w:rPr>
              <w:t xml:space="preserve">Precio del contrato </w:t>
            </w:r>
            <w:r>
              <w:rPr>
                <w:rFonts w:ascii="Bookman Old Style" w:hAnsi="Bookman Old Style"/>
                <w:i/>
                <w:iCs/>
              </w:rPr>
              <w:t>s</w:t>
            </w:r>
            <w:r>
              <w:rPr>
                <w:rFonts w:ascii="Bookman Old Style" w:hAnsi="Bookman Old Style"/>
              </w:rPr>
              <w:t xml:space="preserve"> </w:t>
            </w:r>
            <w:r w:rsidR="00203AB7">
              <w:rPr>
                <w:rFonts w:ascii="Bookman Old Style" w:hAnsi="Bookman Old Style"/>
              </w:rPr>
              <w:t xml:space="preserve">resultante de la aplicación de lo dispuesto en la presente resolución, </w:t>
            </w:r>
            <w:r>
              <w:rPr>
                <w:rFonts w:ascii="Bookman Old Style" w:hAnsi="Bookman Old Style"/>
              </w:rPr>
              <w:t xml:space="preserve">pactado por el comercializador </w:t>
            </w:r>
            <w:r>
              <w:rPr>
                <w:rFonts w:ascii="Bookman Old Style" w:hAnsi="Bookman Old Style"/>
                <w:i/>
                <w:iCs/>
              </w:rPr>
              <w:t>i</w:t>
            </w:r>
            <w:r>
              <w:rPr>
                <w:rFonts w:ascii="Bookman Old Style" w:hAnsi="Bookman Old Style"/>
              </w:rPr>
              <w:t xml:space="preserve"> para el mes </w:t>
            </w:r>
            <w:r>
              <w:rPr>
                <w:rFonts w:ascii="Bookman Old Style" w:hAnsi="Bookman Old Style"/>
                <w:i/>
                <w:iCs/>
              </w:rPr>
              <w:t>m</w:t>
            </w:r>
            <w:r>
              <w:rPr>
                <w:rFonts w:ascii="Bookman Old Style" w:hAnsi="Bookman Old Style"/>
              </w:rPr>
              <w:t>, con destino al mercado regulado.</w:t>
            </w:r>
          </w:p>
          <w:p w14:paraId="7951F1B8" w14:textId="77777777" w:rsidR="005D6031" w:rsidRDefault="005D6031">
            <w:pPr>
              <w:tabs>
                <w:tab w:val="left" w:pos="0"/>
                <w:tab w:val="left" w:pos="284"/>
              </w:tabs>
              <w:spacing w:line="276" w:lineRule="auto"/>
              <w:ind w:left="0"/>
              <w:jc w:val="both"/>
              <w:rPr>
                <w:rFonts w:ascii="Bookman Old Style" w:hAnsi="Bookman Old Style"/>
              </w:rPr>
            </w:pPr>
          </w:p>
        </w:tc>
      </w:tr>
      <w:tr w:rsidR="005D6031" w14:paraId="12B20925" w14:textId="77777777" w:rsidTr="005D6031">
        <w:tc>
          <w:tcPr>
            <w:tcW w:w="1378" w:type="dxa"/>
            <w:hideMark/>
          </w:tcPr>
          <w:p w14:paraId="0A3DE803" w14:textId="4DD9166A" w:rsidR="005D6031" w:rsidRDefault="00000000">
            <w:pPr>
              <w:tabs>
                <w:tab w:val="left" w:pos="0"/>
                <w:tab w:val="left" w:pos="284"/>
              </w:tabs>
              <w:spacing w:line="276" w:lineRule="auto"/>
              <w:jc w:val="right"/>
              <w:rPr>
                <w:rFonts w:ascii="Bookman Old Style" w:hAnsi="Bookman Old Style"/>
                <w:color w:val="000000" w:themeColor="text1"/>
              </w:rPr>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s6,m,i</m:t>
                    </m:r>
                  </m:sub>
                </m:sSub>
                <m:r>
                  <w:rPr>
                    <w:rFonts w:ascii="Cambria Math" w:hAnsi="Cambria Math"/>
                  </w:rPr>
                  <m:t>:</m:t>
                </m:r>
              </m:oMath>
            </m:oMathPara>
          </w:p>
        </w:tc>
        <w:tc>
          <w:tcPr>
            <w:tcW w:w="7978" w:type="dxa"/>
          </w:tcPr>
          <w:p w14:paraId="03FA6D98" w14:textId="03801F0B" w:rsidR="005D6031" w:rsidRDefault="005D6031">
            <w:pPr>
              <w:tabs>
                <w:tab w:val="left" w:pos="0"/>
                <w:tab w:val="left" w:pos="284"/>
              </w:tabs>
              <w:spacing w:line="276" w:lineRule="auto"/>
              <w:ind w:left="0"/>
              <w:jc w:val="both"/>
              <w:rPr>
                <w:rFonts w:ascii="Bookman Old Style" w:hAnsi="Bookman Old Style"/>
              </w:rPr>
            </w:pPr>
            <w:r>
              <w:rPr>
                <w:rFonts w:ascii="Bookman Old Style" w:hAnsi="Bookman Old Style"/>
              </w:rPr>
              <w:t xml:space="preserve">Cantidad de energía cubierta por el comercializador </w:t>
            </w:r>
            <w:r>
              <w:rPr>
                <w:rFonts w:ascii="Bookman Old Style" w:hAnsi="Bookman Old Style"/>
                <w:i/>
                <w:iCs/>
              </w:rPr>
              <w:t>i</w:t>
            </w:r>
            <w:r>
              <w:rPr>
                <w:rFonts w:ascii="Bookman Old Style" w:hAnsi="Bookman Old Style"/>
              </w:rPr>
              <w:t xml:space="preserve"> para el mes </w:t>
            </w:r>
            <w:r>
              <w:rPr>
                <w:rFonts w:ascii="Bookman Old Style" w:hAnsi="Bookman Old Style"/>
                <w:i/>
                <w:iCs/>
              </w:rPr>
              <w:t>m</w:t>
            </w:r>
            <w:r>
              <w:rPr>
                <w:rFonts w:ascii="Bookman Old Style" w:hAnsi="Bookman Old Style"/>
              </w:rPr>
              <w:t xml:space="preserve"> mediante el contrato </w:t>
            </w:r>
            <w:r>
              <w:rPr>
                <w:rFonts w:ascii="Bookman Old Style" w:hAnsi="Bookman Old Style"/>
                <w:i/>
                <w:iCs/>
              </w:rPr>
              <w:t>s</w:t>
            </w:r>
            <w:r>
              <w:rPr>
                <w:rFonts w:ascii="Bookman Old Style" w:hAnsi="Bookman Old Style"/>
              </w:rPr>
              <w:t xml:space="preserve"> </w:t>
            </w:r>
            <w:r w:rsidR="00203AB7">
              <w:rPr>
                <w:rFonts w:ascii="Bookman Old Style" w:hAnsi="Bookman Old Style"/>
              </w:rPr>
              <w:t xml:space="preserve">resultante de la aplicación de lo dispuesto en la presente resolución, </w:t>
            </w:r>
            <w:r>
              <w:rPr>
                <w:rFonts w:ascii="Bookman Old Style" w:hAnsi="Bookman Old Style"/>
              </w:rPr>
              <w:t>con destino al mercado regulado.</w:t>
            </w:r>
          </w:p>
          <w:p w14:paraId="394B2408" w14:textId="77777777" w:rsidR="005D6031" w:rsidRDefault="005D6031">
            <w:pPr>
              <w:tabs>
                <w:tab w:val="left" w:pos="0"/>
                <w:tab w:val="left" w:pos="284"/>
              </w:tabs>
              <w:spacing w:line="276" w:lineRule="auto"/>
              <w:ind w:left="0"/>
              <w:jc w:val="both"/>
              <w:rPr>
                <w:rFonts w:ascii="Bookman Old Style" w:hAnsi="Bookman Old Style"/>
              </w:rPr>
            </w:pPr>
          </w:p>
        </w:tc>
      </w:tr>
      <w:tr w:rsidR="005D6031" w14:paraId="4664E279" w14:textId="77777777" w:rsidTr="005D6031">
        <w:tc>
          <w:tcPr>
            <w:tcW w:w="1378" w:type="dxa"/>
            <w:hideMark/>
          </w:tcPr>
          <w:p w14:paraId="531599CC" w14:textId="07B83348" w:rsidR="005D6031" w:rsidRDefault="00000000">
            <w:pPr>
              <w:tabs>
                <w:tab w:val="left" w:pos="0"/>
                <w:tab w:val="left" w:pos="284"/>
              </w:tabs>
              <w:spacing w:line="276" w:lineRule="auto"/>
              <w:jc w:val="right"/>
              <w:rPr>
                <w:rFonts w:ascii="Bookman Old Style" w:hAnsi="Bookman Old Style"/>
                <w:i/>
                <w:iCs/>
              </w:rPr>
            </w:pPr>
            <m:oMathPara>
              <m:oMath>
                <m:sSub>
                  <m:sSubPr>
                    <m:ctrlPr>
                      <w:rPr>
                        <w:rFonts w:ascii="Cambria Math" w:hAnsi="Cambria Math"/>
                        <w:i/>
                      </w:rPr>
                    </m:ctrlPr>
                  </m:sSubPr>
                  <m:e>
                    <m:r>
                      <w:rPr>
                        <w:rFonts w:ascii="Cambria Math" w:hAnsi="Cambria Math"/>
                      </w:rPr>
                      <m:t>n</m:t>
                    </m:r>
                  </m:e>
                  <m:sub>
                    <m:r>
                      <w:rPr>
                        <w:rFonts w:ascii="Cambria Math" w:hAnsi="Cambria Math"/>
                      </w:rPr>
                      <m:t>6</m:t>
                    </m:r>
                  </m:sub>
                </m:sSub>
                <m:r>
                  <w:rPr>
                    <w:rFonts w:ascii="Cambria Math" w:hAnsi="Cambria Math"/>
                  </w:rPr>
                  <m:t>:</m:t>
                </m:r>
              </m:oMath>
            </m:oMathPara>
          </w:p>
        </w:tc>
        <w:tc>
          <w:tcPr>
            <w:tcW w:w="7978" w:type="dxa"/>
          </w:tcPr>
          <w:p w14:paraId="7EB9FA47" w14:textId="77777777" w:rsidR="005D6031" w:rsidRDefault="005D6031">
            <w:pPr>
              <w:tabs>
                <w:tab w:val="left" w:pos="0"/>
                <w:tab w:val="left" w:pos="284"/>
              </w:tabs>
              <w:spacing w:line="276" w:lineRule="auto"/>
              <w:ind w:left="0"/>
              <w:jc w:val="both"/>
              <w:rPr>
                <w:rFonts w:ascii="Bookman Old Style" w:hAnsi="Bookman Old Style"/>
              </w:rPr>
            </w:pPr>
            <w:r>
              <w:rPr>
                <w:rFonts w:ascii="Bookman Old Style" w:hAnsi="Bookman Old Style"/>
              </w:rPr>
              <w:t xml:space="preserve">Número de contratos resultantes de la aplicación de lo dispuesto                                                                                                                              en la presente resolución, con cantidades liquidadas para el mes </w:t>
            </w:r>
            <w:r>
              <w:rPr>
                <w:rFonts w:ascii="Bookman Old Style" w:hAnsi="Bookman Old Style"/>
                <w:i/>
                <w:iCs/>
              </w:rPr>
              <w:t>m</w:t>
            </w:r>
            <w:r>
              <w:rPr>
                <w:rFonts w:ascii="Bookman Old Style" w:hAnsi="Bookman Old Style"/>
              </w:rPr>
              <w:t xml:space="preserve"> suscritos por el comercializador </w:t>
            </w:r>
            <w:r>
              <w:rPr>
                <w:rFonts w:ascii="Bookman Old Style" w:hAnsi="Bookman Old Style"/>
                <w:i/>
                <w:iCs/>
              </w:rPr>
              <w:t>i</w:t>
            </w:r>
            <w:r>
              <w:rPr>
                <w:rFonts w:ascii="Bookman Old Style" w:hAnsi="Bookman Old Style"/>
              </w:rPr>
              <w:t>, con destino al mercado regulado.</w:t>
            </w:r>
          </w:p>
          <w:p w14:paraId="3FC36776" w14:textId="77777777" w:rsidR="005D6031" w:rsidRDefault="005D6031">
            <w:pPr>
              <w:tabs>
                <w:tab w:val="left" w:pos="0"/>
                <w:tab w:val="left" w:pos="284"/>
              </w:tabs>
              <w:spacing w:line="276" w:lineRule="auto"/>
              <w:ind w:left="0"/>
              <w:jc w:val="both"/>
              <w:rPr>
                <w:rFonts w:ascii="Bookman Old Style" w:hAnsi="Bookman Old Style"/>
              </w:rPr>
            </w:pPr>
          </w:p>
        </w:tc>
      </w:tr>
      <w:tr w:rsidR="005D6031" w14:paraId="782A577F" w14:textId="77777777" w:rsidTr="005D6031">
        <w:tc>
          <w:tcPr>
            <w:tcW w:w="1378" w:type="dxa"/>
            <w:hideMark/>
          </w:tcPr>
          <w:p w14:paraId="2751162C" w14:textId="0BD2B1E3" w:rsidR="005D6031" w:rsidRDefault="00000000">
            <w:pPr>
              <w:tabs>
                <w:tab w:val="left" w:pos="0"/>
                <w:tab w:val="left" w:pos="284"/>
              </w:tabs>
              <w:spacing w:line="276" w:lineRule="auto"/>
              <w:jc w:val="right"/>
              <w:rPr>
                <w:rFonts w:ascii="Bookman Old Style" w:hAnsi="Bookman Old Style"/>
                <w:i/>
                <w:iCs/>
              </w:rPr>
            </w:pPr>
            <m:oMath>
              <m:sSub>
                <m:sSubPr>
                  <m:ctrlPr>
                    <w:rPr>
                      <w:rFonts w:ascii="Cambria Math" w:hAnsi="Cambria Math"/>
                      <w:i/>
                    </w:rPr>
                  </m:ctrlPr>
                </m:sSubPr>
                <m:e>
                  <m:r>
                    <w:rPr>
                      <w:rFonts w:ascii="Cambria Math" w:hAnsi="Cambria Math"/>
                    </w:rPr>
                    <m:t>C</m:t>
                  </m:r>
                </m:e>
                <m:sub>
                  <m:r>
                    <w:rPr>
                      <w:rFonts w:ascii="Cambria Math" w:hAnsi="Cambria Math"/>
                    </w:rPr>
                    <m:t>6,m,i</m:t>
                  </m:r>
                </m:sub>
              </m:sSub>
            </m:oMath>
            <w:r w:rsidR="005D6031">
              <w:rPr>
                <w:rFonts w:ascii="Bookman Old Style" w:hAnsi="Bookman Old Style"/>
              </w:rPr>
              <w:t>:</w:t>
            </w:r>
          </w:p>
        </w:tc>
        <w:tc>
          <w:tcPr>
            <w:tcW w:w="7978" w:type="dxa"/>
            <w:hideMark/>
          </w:tcPr>
          <w:p w14:paraId="6CCC6422" w14:textId="4A5F6693" w:rsidR="005D6031" w:rsidRDefault="005D6031">
            <w:pPr>
              <w:tabs>
                <w:tab w:val="left" w:pos="0"/>
                <w:tab w:val="left" w:pos="284"/>
              </w:tabs>
              <w:spacing w:line="276" w:lineRule="auto"/>
              <w:ind w:left="0"/>
              <w:jc w:val="both"/>
              <w:rPr>
                <w:rFonts w:ascii="Bookman Old Style" w:hAnsi="Bookman Old Style"/>
              </w:rPr>
            </w:pPr>
            <w:r>
              <w:rPr>
                <w:rFonts w:ascii="Bookman Old Style" w:hAnsi="Bookman Old Style"/>
              </w:rPr>
              <w:t xml:space="preserve">Energía cubierta por el comercializador </w:t>
            </w:r>
            <w:r>
              <w:rPr>
                <w:rFonts w:ascii="Bookman Old Style" w:hAnsi="Bookman Old Style"/>
                <w:i/>
                <w:iCs/>
              </w:rPr>
              <w:t>i</w:t>
            </w:r>
            <w:r>
              <w:rPr>
                <w:rFonts w:ascii="Bookman Old Style" w:hAnsi="Bookman Old Style"/>
              </w:rPr>
              <w:t xml:space="preserve"> mediante contratos </w:t>
            </w:r>
            <w:r w:rsidR="00707BBB">
              <w:rPr>
                <w:rFonts w:ascii="Bookman Old Style" w:hAnsi="Bookman Old Style" w:cs="Arial"/>
              </w:rPr>
              <w:t>resultantes de lo dispuesto en la presente resolución</w:t>
            </w:r>
            <w:r>
              <w:rPr>
                <w:rFonts w:ascii="Bookman Old Style" w:hAnsi="Bookman Old Style"/>
              </w:rPr>
              <w:t xml:space="preserve">, con cantidades liquidadas en el mes </w:t>
            </w:r>
            <w:r>
              <w:rPr>
                <w:rFonts w:ascii="Bookman Old Style" w:hAnsi="Bookman Old Style"/>
                <w:i/>
              </w:rPr>
              <w:t>m</w:t>
            </w:r>
            <w:r>
              <w:rPr>
                <w:rFonts w:ascii="Bookman Old Style" w:hAnsi="Bookman Old Style"/>
              </w:rPr>
              <w:t xml:space="preserve"> y con destino al mercado regulado.</w:t>
            </w:r>
          </w:p>
        </w:tc>
      </w:tr>
    </w:tbl>
    <w:p w14:paraId="0B6B99C0" w14:textId="77777777" w:rsidR="005D6031" w:rsidRDefault="005D6031" w:rsidP="005D6031">
      <w:pPr>
        <w:spacing w:line="276" w:lineRule="auto"/>
        <w:ind w:left="0"/>
        <w:jc w:val="both"/>
        <w:rPr>
          <w:rFonts w:ascii="Bookman Old Style" w:hAnsi="Bookman Old Style" w:cs="Arial"/>
          <w:b/>
          <w:bCs/>
        </w:rPr>
      </w:pPr>
    </w:p>
    <w:p w14:paraId="4FFA0413" w14:textId="5FDE5EC1" w:rsidR="00CE09AF" w:rsidRPr="00CC2B13" w:rsidRDefault="00CE09AF" w:rsidP="00CE09AF">
      <w:pPr>
        <w:spacing w:line="276" w:lineRule="auto"/>
        <w:ind w:left="0"/>
        <w:jc w:val="both"/>
        <w:rPr>
          <w:rFonts w:ascii="Bookman Old Style" w:hAnsi="Bookman Old Style" w:cs="Arial"/>
          <w:b/>
          <w:bCs/>
        </w:rPr>
      </w:pPr>
      <w:r w:rsidRPr="00CC2B13">
        <w:rPr>
          <w:rFonts w:ascii="Bookman Old Style" w:hAnsi="Bookman Old Style" w:cs="Arial"/>
          <w:b/>
          <w:bCs/>
        </w:rPr>
        <w:t>ARTÍCULO 1</w:t>
      </w:r>
      <w:r w:rsidR="00A17251">
        <w:rPr>
          <w:rFonts w:ascii="Bookman Old Style" w:hAnsi="Bookman Old Style" w:cs="Arial"/>
          <w:b/>
          <w:bCs/>
        </w:rPr>
        <w:t>3</w:t>
      </w:r>
      <w:r w:rsidRPr="00CC2B13">
        <w:rPr>
          <w:rFonts w:ascii="Bookman Old Style" w:hAnsi="Bookman Old Style" w:cs="Arial"/>
          <w:b/>
          <w:bCs/>
        </w:rPr>
        <w:t xml:space="preserve">. Vigencia. </w:t>
      </w:r>
      <w:r w:rsidRPr="00CC2B13">
        <w:rPr>
          <w:rFonts w:ascii="Bookman Old Style" w:hAnsi="Bookman Old Style" w:cs="Arial"/>
          <w:spacing w:val="-4"/>
        </w:rPr>
        <w:t xml:space="preserve">La presente resolución rige a partir de la fecha de su publicación en el </w:t>
      </w:r>
      <w:r w:rsidRPr="00CC2B13">
        <w:rPr>
          <w:rFonts w:ascii="Bookman Old Style" w:hAnsi="Bookman Old Style" w:cs="Arial"/>
          <w:i/>
          <w:spacing w:val="-4"/>
        </w:rPr>
        <w:t>Diario Oficial</w:t>
      </w:r>
      <w:r w:rsidRPr="00CC2B13">
        <w:rPr>
          <w:rFonts w:ascii="Bookman Old Style" w:hAnsi="Bookman Old Style" w:cs="Arial"/>
          <w:spacing w:val="-4"/>
        </w:rPr>
        <w:t>.</w:t>
      </w:r>
    </w:p>
    <w:p w14:paraId="7651F574" w14:textId="77777777" w:rsidR="00045D3D" w:rsidRDefault="00045D3D" w:rsidP="00CE09AF">
      <w:pPr>
        <w:spacing w:line="276" w:lineRule="auto"/>
        <w:ind w:left="0"/>
        <w:jc w:val="both"/>
        <w:rPr>
          <w:rFonts w:ascii="Bookman Old Style" w:hAnsi="Bookman Old Style"/>
        </w:rPr>
      </w:pPr>
    </w:p>
    <w:p w14:paraId="12449BBF" w14:textId="77777777" w:rsidR="00E01EEF" w:rsidRPr="00CC2B13" w:rsidRDefault="00E01EEF" w:rsidP="00CE09AF">
      <w:pPr>
        <w:spacing w:line="276" w:lineRule="auto"/>
        <w:ind w:left="0"/>
        <w:jc w:val="both"/>
        <w:rPr>
          <w:rFonts w:ascii="Bookman Old Style" w:hAnsi="Bookman Old Style"/>
        </w:rPr>
      </w:pPr>
    </w:p>
    <w:p w14:paraId="3ED862AE" w14:textId="75D1FD8D" w:rsidR="00C2701B" w:rsidRDefault="00C2701B" w:rsidP="00C2701B">
      <w:pPr>
        <w:spacing w:line="276" w:lineRule="auto"/>
        <w:ind w:left="0"/>
        <w:jc w:val="center"/>
        <w:rPr>
          <w:rFonts w:ascii="Bookman Old Style" w:hAnsi="Bookman Old Style"/>
          <w:b/>
          <w:bCs/>
        </w:rPr>
      </w:pPr>
      <w:r w:rsidRPr="00CC2B13">
        <w:rPr>
          <w:rFonts w:ascii="Bookman Old Style" w:hAnsi="Bookman Old Style"/>
          <w:b/>
          <w:bCs/>
        </w:rPr>
        <w:t>PUBLÍQUESE Y CÚMPLASE</w:t>
      </w:r>
    </w:p>
    <w:p w14:paraId="231B3BB8" w14:textId="77777777" w:rsidR="00050E23" w:rsidRDefault="00050E23" w:rsidP="00050E23">
      <w:pPr>
        <w:spacing w:line="276" w:lineRule="auto"/>
        <w:ind w:left="0"/>
        <w:rPr>
          <w:rFonts w:ascii="Bookman Old Style" w:hAnsi="Bookman Old Style"/>
        </w:rPr>
      </w:pPr>
    </w:p>
    <w:p w14:paraId="2359991A" w14:textId="77777777" w:rsidR="00050E23" w:rsidRDefault="00050E23" w:rsidP="00050E23">
      <w:pPr>
        <w:spacing w:line="276" w:lineRule="auto"/>
        <w:ind w:left="0"/>
        <w:rPr>
          <w:rFonts w:ascii="Bookman Old Style" w:hAnsi="Bookman Old Style"/>
        </w:rPr>
      </w:pPr>
    </w:p>
    <w:p w14:paraId="208A46A5" w14:textId="06726B6E" w:rsidR="00050E23" w:rsidRDefault="00050E23" w:rsidP="00050E23">
      <w:pPr>
        <w:spacing w:line="276" w:lineRule="auto"/>
        <w:ind w:left="0"/>
        <w:rPr>
          <w:rFonts w:ascii="Bookman Old Style" w:hAnsi="Bookman Old Style"/>
        </w:rPr>
      </w:pPr>
      <w:r>
        <w:rPr>
          <w:rFonts w:ascii="Bookman Old Style" w:hAnsi="Bookman Old Style"/>
        </w:rPr>
        <w:t xml:space="preserve">Dada en Bogotá, D.C., a </w:t>
      </w:r>
      <w:r w:rsidRPr="00A377EF">
        <w:rPr>
          <w:rFonts w:ascii="Bookman Old Style" w:hAnsi="Bookman Old Style"/>
        </w:rPr>
        <w:t xml:space="preserve">los </w:t>
      </w:r>
      <w:r w:rsidR="00A377EF" w:rsidRPr="00A377EF">
        <w:rPr>
          <w:rFonts w:ascii="Bookman Old Style" w:hAnsi="Bookman Old Style"/>
        </w:rPr>
        <w:t>28</w:t>
      </w:r>
      <w:r w:rsidRPr="00A377EF">
        <w:rPr>
          <w:rFonts w:ascii="Bookman Old Style" w:hAnsi="Bookman Old Style"/>
        </w:rPr>
        <w:t xml:space="preserve"> días de diciembre de 2024.</w:t>
      </w:r>
    </w:p>
    <w:p w14:paraId="73C4E3A8" w14:textId="77777777" w:rsidR="00050E23" w:rsidRDefault="00050E23" w:rsidP="00050E23">
      <w:pPr>
        <w:spacing w:line="276" w:lineRule="auto"/>
        <w:ind w:left="0"/>
        <w:rPr>
          <w:rFonts w:ascii="Bookman Old Style" w:hAnsi="Bookman Old Style"/>
        </w:rPr>
      </w:pPr>
    </w:p>
    <w:p w14:paraId="71C52D80" w14:textId="77777777" w:rsidR="001C5B2D" w:rsidRDefault="001C5B2D" w:rsidP="00050E23">
      <w:pPr>
        <w:spacing w:line="276" w:lineRule="auto"/>
        <w:ind w:left="0"/>
        <w:rPr>
          <w:rFonts w:ascii="Bookman Old Style" w:hAnsi="Bookman Old Style"/>
        </w:rPr>
      </w:pPr>
    </w:p>
    <w:p w14:paraId="635E9B51" w14:textId="77777777" w:rsidR="00050E23" w:rsidRDefault="00050E23" w:rsidP="00050E23">
      <w:pPr>
        <w:spacing w:line="276" w:lineRule="auto"/>
        <w:ind w:left="0"/>
        <w:rPr>
          <w:rFonts w:ascii="Bookman Old Style" w:hAnsi="Bookman Old Style"/>
        </w:rPr>
      </w:pPr>
    </w:p>
    <w:tbl>
      <w:tblPr>
        <w:tblW w:w="0" w:type="auto"/>
        <w:jc w:val="center"/>
        <w:tblLayout w:type="fixed"/>
        <w:tblCellMar>
          <w:left w:w="70" w:type="dxa"/>
          <w:right w:w="70" w:type="dxa"/>
        </w:tblCellMar>
        <w:tblLook w:val="04A0" w:firstRow="1" w:lastRow="0" w:firstColumn="1" w:lastColumn="0" w:noHBand="0" w:noVBand="1"/>
      </w:tblPr>
      <w:tblGrid>
        <w:gridCol w:w="5067"/>
        <w:gridCol w:w="4429"/>
      </w:tblGrid>
      <w:tr w:rsidR="00050E23" w14:paraId="11D4F6B0" w14:textId="77777777" w:rsidTr="00050E23">
        <w:trPr>
          <w:jc w:val="center"/>
        </w:trPr>
        <w:tc>
          <w:tcPr>
            <w:tcW w:w="5067" w:type="dxa"/>
            <w:hideMark/>
          </w:tcPr>
          <w:p w14:paraId="3F7952DC" w14:textId="618FB5E5" w:rsidR="00050E23" w:rsidRDefault="00A377EF" w:rsidP="2EDDE098">
            <w:pPr>
              <w:suppressAutoHyphens/>
              <w:spacing w:line="276" w:lineRule="auto"/>
              <w:ind w:left="0"/>
              <w:jc w:val="center"/>
              <w:rPr>
                <w:rFonts w:ascii="Bookman Old Style" w:hAnsi="Bookman Old Style" w:cs="Arial"/>
                <w:b/>
                <w:spacing w:val="-3"/>
              </w:rPr>
            </w:pPr>
            <w:r>
              <w:rPr>
                <w:rFonts w:ascii="Bookman Old Style" w:hAnsi="Bookman Old Style" w:cs="Arial"/>
                <w:b/>
                <w:bCs/>
                <w:spacing w:val="-3"/>
              </w:rPr>
              <w:t>JAVIER EDUARDO CAMPILLO</w:t>
            </w:r>
          </w:p>
          <w:p w14:paraId="2C6C92FF" w14:textId="6E64015E" w:rsidR="00050E23" w:rsidRDefault="00A377EF">
            <w:pPr>
              <w:tabs>
                <w:tab w:val="left" w:pos="-720"/>
              </w:tabs>
              <w:suppressAutoHyphens/>
              <w:spacing w:line="276" w:lineRule="auto"/>
              <w:ind w:left="0"/>
              <w:jc w:val="center"/>
              <w:rPr>
                <w:rFonts w:ascii="Bookman Old Style" w:hAnsi="Bookman Old Style" w:cs="Arial"/>
                <w:b/>
                <w:strike/>
                <w:spacing w:val="-3"/>
              </w:rPr>
            </w:pPr>
            <w:r>
              <w:rPr>
                <w:rFonts w:ascii="Bookman Old Style" w:hAnsi="Bookman Old Style"/>
              </w:rPr>
              <w:t>Viceministro</w:t>
            </w:r>
            <w:r w:rsidR="00050E23">
              <w:rPr>
                <w:rFonts w:ascii="Bookman Old Style" w:hAnsi="Bookman Old Style"/>
              </w:rPr>
              <w:t xml:space="preserve"> de Minas y Energía</w:t>
            </w:r>
          </w:p>
        </w:tc>
        <w:tc>
          <w:tcPr>
            <w:tcW w:w="4429" w:type="dxa"/>
            <w:hideMark/>
          </w:tcPr>
          <w:p w14:paraId="693910E4" w14:textId="77777777" w:rsidR="00A377EF" w:rsidRDefault="00A377EF" w:rsidP="2EDDE098">
            <w:pPr>
              <w:suppressAutoHyphens/>
              <w:spacing w:line="276" w:lineRule="auto"/>
              <w:ind w:left="0"/>
              <w:jc w:val="center"/>
              <w:rPr>
                <w:rFonts w:ascii="Bookman Old Style" w:hAnsi="Bookman Old Style" w:cs="Arial"/>
                <w:b/>
                <w:bCs/>
              </w:rPr>
            </w:pPr>
            <w:r w:rsidRPr="00A377EF">
              <w:rPr>
                <w:rFonts w:ascii="Bookman Old Style" w:hAnsi="Bookman Old Style" w:cs="Arial"/>
                <w:b/>
                <w:bCs/>
              </w:rPr>
              <w:t>ANTONIO JIMÉNEZ RIVERA</w:t>
            </w:r>
          </w:p>
          <w:p w14:paraId="05686AC7" w14:textId="27119976" w:rsidR="00050E23" w:rsidRDefault="00050E23" w:rsidP="2EDDE098">
            <w:pPr>
              <w:suppressAutoHyphens/>
              <w:spacing w:line="276" w:lineRule="auto"/>
              <w:ind w:left="0"/>
              <w:jc w:val="center"/>
              <w:rPr>
                <w:rFonts w:ascii="Bookman Old Style" w:hAnsi="Bookman Old Style" w:cs="Arial"/>
                <w:spacing w:val="-3"/>
              </w:rPr>
            </w:pPr>
            <w:r>
              <w:rPr>
                <w:rFonts w:ascii="Bookman Old Style" w:hAnsi="Bookman Old Style" w:cs="Arial"/>
                <w:spacing w:val="-3"/>
              </w:rPr>
              <w:t>Director Ejecutivo</w:t>
            </w:r>
          </w:p>
        </w:tc>
      </w:tr>
    </w:tbl>
    <w:p w14:paraId="32087FBA" w14:textId="77777777" w:rsidR="00050E23" w:rsidRDefault="00050E23" w:rsidP="00050E23">
      <w:pPr>
        <w:spacing w:line="276" w:lineRule="auto"/>
        <w:ind w:left="0"/>
        <w:rPr>
          <w:rFonts w:ascii="Bookman Old Style" w:hAnsi="Bookman Old Style"/>
        </w:rPr>
      </w:pPr>
    </w:p>
    <w:p w14:paraId="34819CFC" w14:textId="77777777" w:rsidR="00050E23" w:rsidRPr="00C2701B" w:rsidRDefault="00050E23" w:rsidP="00C2701B">
      <w:pPr>
        <w:spacing w:line="276" w:lineRule="auto"/>
        <w:ind w:left="0"/>
        <w:jc w:val="center"/>
        <w:rPr>
          <w:rFonts w:ascii="Bookman Old Style" w:hAnsi="Bookman Old Style"/>
          <w:b/>
          <w:bCs/>
        </w:rPr>
      </w:pPr>
    </w:p>
    <w:sectPr w:rsidR="00050E23" w:rsidRPr="00C2701B" w:rsidSect="00762CA1">
      <w:headerReference w:type="default" r:id="rId12"/>
      <w:footerReference w:type="default" r:id="rId13"/>
      <w:headerReference w:type="first" r:id="rId14"/>
      <w:footerReference w:type="first" r:id="rId15"/>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085B9" w14:textId="77777777" w:rsidR="00DA684E" w:rsidRDefault="00DA684E">
      <w:r>
        <w:separator/>
      </w:r>
    </w:p>
  </w:endnote>
  <w:endnote w:type="continuationSeparator" w:id="0">
    <w:p w14:paraId="3A7FDBBB" w14:textId="77777777" w:rsidR="00DA684E" w:rsidRDefault="00DA684E">
      <w:r>
        <w:continuationSeparator/>
      </w:r>
    </w:p>
  </w:endnote>
  <w:endnote w:type="continuationNotice" w:id="1">
    <w:p w14:paraId="427190A1" w14:textId="77777777" w:rsidR="00DA684E" w:rsidRDefault="00DA6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Cambria"/>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Calibri"/>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11B838AA" w14:paraId="76E2F825" w14:textId="77777777" w:rsidTr="11B838AA">
      <w:trPr>
        <w:trHeight w:val="300"/>
      </w:trPr>
      <w:tc>
        <w:tcPr>
          <w:tcW w:w="3115" w:type="dxa"/>
        </w:tcPr>
        <w:p w14:paraId="1A403F03" w14:textId="5E970B64" w:rsidR="11B838AA" w:rsidRDefault="11B838AA" w:rsidP="11B838AA">
          <w:pPr>
            <w:pStyle w:val="Encabezado"/>
            <w:ind w:left="-115"/>
          </w:pPr>
        </w:p>
      </w:tc>
      <w:tc>
        <w:tcPr>
          <w:tcW w:w="3115" w:type="dxa"/>
        </w:tcPr>
        <w:p w14:paraId="17321CB9" w14:textId="6BC171D2" w:rsidR="11B838AA" w:rsidRDefault="11B838AA" w:rsidP="11B838AA">
          <w:pPr>
            <w:pStyle w:val="Encabezado"/>
            <w:jc w:val="center"/>
          </w:pPr>
        </w:p>
      </w:tc>
      <w:tc>
        <w:tcPr>
          <w:tcW w:w="3115" w:type="dxa"/>
        </w:tcPr>
        <w:p w14:paraId="60516FC4" w14:textId="34DBA87A" w:rsidR="11B838AA" w:rsidRDefault="11B838AA" w:rsidP="11B838AA">
          <w:pPr>
            <w:pStyle w:val="Encabezado"/>
            <w:ind w:right="-115"/>
            <w:jc w:val="right"/>
          </w:pPr>
        </w:p>
      </w:tc>
    </w:tr>
  </w:tbl>
  <w:p w14:paraId="3CA466C0" w14:textId="29921B85" w:rsidR="001403A3" w:rsidRDefault="001403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11B838AA" w14:paraId="1CF464B3" w14:textId="77777777" w:rsidTr="11B838AA">
      <w:trPr>
        <w:trHeight w:val="300"/>
      </w:trPr>
      <w:tc>
        <w:tcPr>
          <w:tcW w:w="3115" w:type="dxa"/>
        </w:tcPr>
        <w:p w14:paraId="7EF4FB1C" w14:textId="6B3C8E36" w:rsidR="11B838AA" w:rsidRDefault="11B838AA" w:rsidP="11B838AA">
          <w:pPr>
            <w:pStyle w:val="Encabezado"/>
            <w:ind w:left="-115"/>
          </w:pPr>
        </w:p>
      </w:tc>
      <w:tc>
        <w:tcPr>
          <w:tcW w:w="3115" w:type="dxa"/>
        </w:tcPr>
        <w:p w14:paraId="19484AEA" w14:textId="7BB8E5C8" w:rsidR="11B838AA" w:rsidRDefault="11B838AA" w:rsidP="11B838AA">
          <w:pPr>
            <w:pStyle w:val="Encabezado"/>
            <w:jc w:val="center"/>
          </w:pPr>
        </w:p>
      </w:tc>
      <w:tc>
        <w:tcPr>
          <w:tcW w:w="3115" w:type="dxa"/>
        </w:tcPr>
        <w:p w14:paraId="240211AE" w14:textId="1C602562" w:rsidR="11B838AA" w:rsidRDefault="11B838AA" w:rsidP="11B838AA">
          <w:pPr>
            <w:pStyle w:val="Encabezado"/>
            <w:ind w:right="-115"/>
            <w:jc w:val="right"/>
          </w:pPr>
        </w:p>
      </w:tc>
    </w:tr>
  </w:tbl>
  <w:p w14:paraId="086A1B1F" w14:textId="696F2BF4" w:rsidR="001403A3" w:rsidRDefault="001403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FC205" w14:textId="77777777" w:rsidR="00DA684E" w:rsidRDefault="00DA684E">
      <w:r>
        <w:separator/>
      </w:r>
    </w:p>
  </w:footnote>
  <w:footnote w:type="continuationSeparator" w:id="0">
    <w:p w14:paraId="15DB03B6" w14:textId="77777777" w:rsidR="00DA684E" w:rsidRDefault="00DA684E">
      <w:r>
        <w:continuationSeparator/>
      </w:r>
    </w:p>
  </w:footnote>
  <w:footnote w:type="continuationNotice" w:id="1">
    <w:p w14:paraId="7E4CEE94" w14:textId="77777777" w:rsidR="00DA684E" w:rsidRDefault="00DA6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8AF5" w14:textId="29A30E40" w:rsidR="0087657D" w:rsidRPr="00951F79" w:rsidRDefault="00725FA4" w:rsidP="00A377EF">
    <w:pPr>
      <w:pStyle w:val="Ttulo1"/>
      <w:ind w:left="0" w:right="6"/>
      <w:rPr>
        <w:rFonts w:ascii="Bookman Old Style" w:hAnsi="Bookman Old Style" w:cs="Arial"/>
        <w:b w:val="0"/>
        <w:sz w:val="22"/>
        <w:szCs w:val="22"/>
      </w:rPr>
    </w:pPr>
    <w:r w:rsidRPr="00654384">
      <w:rPr>
        <w:rFonts w:ascii="Bookman Old Style" w:hAnsi="Bookman Old Style" w:cs="Arial"/>
        <w:b w:val="0"/>
        <w:sz w:val="22"/>
        <w:szCs w:val="22"/>
      </w:rPr>
      <w:t>RESOLUCIÓN No</w:t>
    </w:r>
    <w:r w:rsidRPr="00A377EF">
      <w:rPr>
        <w:rFonts w:ascii="Bookman Old Style" w:hAnsi="Bookman Old Style" w:cs="Arial"/>
        <w:b w:val="0"/>
        <w:sz w:val="22"/>
        <w:szCs w:val="22"/>
      </w:rPr>
      <w:t>.</w:t>
    </w:r>
    <w:r w:rsidR="00A935D6" w:rsidRPr="00A377EF">
      <w:rPr>
        <w:rFonts w:ascii="Bookman Old Style" w:hAnsi="Bookman Old Style" w:cs="Arial"/>
        <w:b w:val="0"/>
        <w:sz w:val="22"/>
        <w:szCs w:val="22"/>
      </w:rPr>
      <w:t xml:space="preserve"> </w:t>
    </w:r>
    <w:r w:rsidR="00775647" w:rsidRPr="00A377EF">
      <w:rPr>
        <w:rFonts w:ascii="Bookman Old Style" w:hAnsi="Bookman Old Style" w:cs="Arial"/>
        <w:bCs/>
        <w:sz w:val="22"/>
        <w:szCs w:val="22"/>
        <w:u w:val="single"/>
      </w:rPr>
      <w:t>101</w:t>
    </w:r>
    <w:r w:rsidR="00403762" w:rsidRPr="00A377EF">
      <w:rPr>
        <w:rFonts w:ascii="Bookman Old Style" w:hAnsi="Bookman Old Style" w:cs="Arial"/>
        <w:bCs/>
        <w:sz w:val="22"/>
        <w:szCs w:val="22"/>
        <w:u w:val="single"/>
      </w:rPr>
      <w:t xml:space="preserve"> </w:t>
    </w:r>
    <w:r w:rsidR="00A377EF" w:rsidRPr="00A377EF">
      <w:rPr>
        <w:rFonts w:ascii="Bookman Old Style" w:hAnsi="Bookman Old Style" w:cs="Arial"/>
        <w:bCs/>
        <w:sz w:val="22"/>
        <w:szCs w:val="22"/>
        <w:u w:val="single"/>
      </w:rPr>
      <w:t>067</w:t>
    </w:r>
    <w:r w:rsidR="00906BCC">
      <w:rPr>
        <w:rFonts w:ascii="Bookman Old Style" w:hAnsi="Bookman Old Style" w:cs="Arial"/>
        <w:b w:val="0"/>
        <w:sz w:val="22"/>
        <w:szCs w:val="22"/>
      </w:rPr>
      <w:t xml:space="preserve"> </w:t>
    </w:r>
    <w:r w:rsidR="00886EE1">
      <w:rPr>
        <w:rFonts w:ascii="Bookman Old Style" w:hAnsi="Bookman Old Style" w:cs="Arial"/>
        <w:b w:val="0"/>
        <w:sz w:val="22"/>
        <w:szCs w:val="22"/>
      </w:rPr>
      <w:t>DE</w:t>
    </w:r>
    <w:r w:rsidR="00C2701B">
      <w:rPr>
        <w:rFonts w:ascii="Bookman Old Style" w:hAnsi="Bookman Old Style" w:cs="Arial"/>
        <w:b w:val="0"/>
        <w:sz w:val="22"/>
        <w:szCs w:val="22"/>
      </w:rPr>
      <w:t xml:space="preserve"> </w:t>
    </w:r>
    <w:r w:rsidR="000D26F8">
      <w:rPr>
        <w:rFonts w:ascii="Bookman Old Style" w:hAnsi="Bookman Old Style" w:cs="Arial"/>
        <w:b w:val="0"/>
        <w:sz w:val="22"/>
        <w:szCs w:val="22"/>
      </w:rPr>
      <w:t xml:space="preserve"> </w:t>
    </w:r>
    <w:r w:rsidR="00A377EF" w:rsidRPr="00A377EF">
      <w:rPr>
        <w:rFonts w:ascii="Bookman Old Style" w:hAnsi="Bookman Old Style" w:cs="Arial"/>
        <w:bCs/>
        <w:sz w:val="22"/>
        <w:szCs w:val="22"/>
        <w:u w:val="single"/>
      </w:rPr>
      <w:t>28</w:t>
    </w:r>
    <w:r w:rsidR="009575EF" w:rsidRPr="00A377EF">
      <w:rPr>
        <w:rFonts w:ascii="Bookman Old Style" w:hAnsi="Bookman Old Style" w:cs="Arial"/>
        <w:bCs/>
        <w:sz w:val="22"/>
        <w:szCs w:val="22"/>
        <w:u w:val="single"/>
      </w:rPr>
      <w:t xml:space="preserve"> </w:t>
    </w:r>
    <w:r w:rsidR="00586A8F" w:rsidRPr="00A377EF">
      <w:rPr>
        <w:rFonts w:ascii="Bookman Old Style" w:hAnsi="Bookman Old Style" w:cs="Arial"/>
        <w:bCs/>
        <w:sz w:val="22"/>
        <w:szCs w:val="22"/>
        <w:u w:val="single"/>
      </w:rPr>
      <w:t>DIC</w:t>
    </w:r>
    <w:r w:rsidR="009575EF" w:rsidRPr="00A377EF">
      <w:rPr>
        <w:rFonts w:ascii="Bookman Old Style" w:hAnsi="Bookman Old Style" w:cs="Arial"/>
        <w:bCs/>
        <w:sz w:val="22"/>
        <w:szCs w:val="22"/>
        <w:u w:val="single"/>
      </w:rPr>
      <w:t>.</w:t>
    </w:r>
    <w:r w:rsidR="00A935D6" w:rsidRPr="00A377EF">
      <w:rPr>
        <w:rFonts w:ascii="Bookman Old Style" w:hAnsi="Bookman Old Style" w:cs="Arial"/>
        <w:bCs/>
        <w:sz w:val="22"/>
        <w:szCs w:val="22"/>
        <w:u w:val="single"/>
      </w:rPr>
      <w:t xml:space="preserve"> 2024</w:t>
    </w:r>
    <w:r w:rsidR="00A935D6">
      <w:rPr>
        <w:rFonts w:ascii="Bookman Old Style" w:hAnsi="Bookman Old Style" w:cs="Arial"/>
        <w:b w:val="0"/>
        <w:sz w:val="22"/>
        <w:szCs w:val="22"/>
      </w:rPr>
      <w:t xml:space="preserve">        </w:t>
    </w:r>
    <w:r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NUMPAGES  \* MERGEFORMAT">
      <w:r w:rsidR="00F77D2D" w:rsidRPr="00F77D2D">
        <w:rPr>
          <w:rFonts w:ascii="Bookman Old Style" w:hAnsi="Bookman Old Style" w:cs="Arial"/>
          <w:b w:val="0"/>
          <w:noProof/>
          <w:sz w:val="22"/>
          <w:szCs w:val="22"/>
        </w:rPr>
        <w:t>2</w:t>
      </w:r>
    </w:fldSimple>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8240" behindDoc="0" locked="0" layoutInCell="1" allowOverlap="1" wp14:anchorId="381ACA9D" wp14:editId="0158DA2C">
              <wp:simplePos x="0" y="0"/>
              <wp:positionH relativeFrom="column">
                <wp:posOffset>-179070</wp:posOffset>
              </wp:positionH>
              <wp:positionV relativeFrom="paragraph">
                <wp:posOffset>134620</wp:posOffset>
              </wp:positionV>
              <wp:extent cx="6347460" cy="10100310"/>
              <wp:effectExtent l="0" t="0" r="1524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60" cy="101003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CB674" id="Rectangle 2" o:spid="_x0000_s1026" style="position:absolute;margin-left:-14.1pt;margin-top:10.6pt;width:499.8pt;height:79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" filled="f" strokeweight="1.5pt"/>
          </w:pict>
        </mc:Fallback>
      </mc:AlternateContent>
    </w:r>
  </w:p>
  <w:p w14:paraId="0728DD92" w14:textId="3F5AC020" w:rsidR="003B3301" w:rsidRPr="00403762" w:rsidRDefault="003B3301" w:rsidP="00403762">
    <w:pPr>
      <w:pBdr>
        <w:bottom w:val="single" w:sz="12" w:space="1" w:color="auto"/>
      </w:pBdr>
      <w:spacing w:line="276" w:lineRule="auto"/>
      <w:ind w:left="0"/>
      <w:jc w:val="both"/>
      <w:rPr>
        <w:rFonts w:ascii="Bookman Old Style" w:hAnsi="Bookman Old Style"/>
        <w:sz w:val="22"/>
        <w:szCs w:val="22"/>
      </w:rPr>
    </w:pPr>
    <w:r w:rsidRPr="00A377EF">
      <w:rPr>
        <w:rFonts w:ascii="Bookman Old Style" w:hAnsi="Bookman Old Style"/>
        <w:i/>
        <w:iCs/>
        <w:sz w:val="22"/>
        <w:szCs w:val="22"/>
      </w:rPr>
      <w:t>Por la cual se dictan disposiciones para las compras de energía eléctrica con destino al mercado regulado</w:t>
    </w:r>
    <w:r w:rsidR="00D4396B" w:rsidRPr="00A377EF">
      <w:rPr>
        <w:rFonts w:ascii="Bookman Old Style" w:hAnsi="Bookman Old Style"/>
        <w:i/>
        <w:iCs/>
        <w:sz w:val="22"/>
        <w:szCs w:val="22"/>
      </w:rPr>
      <w:t xml:space="preserve"> por parte de</w:t>
    </w:r>
    <w:r w:rsidRPr="00A377EF">
      <w:rPr>
        <w:rFonts w:ascii="Bookman Old Style" w:hAnsi="Bookman Old Style"/>
        <w:i/>
        <w:iCs/>
        <w:sz w:val="22"/>
        <w:szCs w:val="22"/>
      </w:rPr>
      <w:t xml:space="preserve"> </w:t>
    </w:r>
    <w:r w:rsidR="00907DF5" w:rsidRPr="00A377EF">
      <w:rPr>
        <w:rFonts w:ascii="Bookman Old Style" w:hAnsi="Bookman Old Style"/>
        <w:i/>
        <w:iCs/>
        <w:sz w:val="22"/>
        <w:szCs w:val="22"/>
      </w:rPr>
      <w:t xml:space="preserve">prestadores sobre los cuales se </w:t>
    </w:r>
    <w:r w:rsidR="009275EA" w:rsidRPr="00A377EF">
      <w:rPr>
        <w:rFonts w:ascii="Bookman Old Style" w:hAnsi="Bookman Old Style"/>
        <w:i/>
        <w:iCs/>
        <w:sz w:val="22"/>
        <w:szCs w:val="22"/>
      </w:rPr>
      <w:t>ha ordenado</w:t>
    </w:r>
    <w:r w:rsidR="00907DF5" w:rsidRPr="00A377EF">
      <w:rPr>
        <w:rFonts w:ascii="Bookman Old Style" w:hAnsi="Bookman Old Style"/>
        <w:i/>
        <w:iCs/>
        <w:sz w:val="22"/>
        <w:szCs w:val="22"/>
      </w:rPr>
      <w:t xml:space="preserve"> la toma de posesión por la Superintendencia de Servicios Públicos Domiciliarios, motivada en el artículo 59.7 de la Ley 142 de 1994</w:t>
    </w:r>
    <w:r w:rsidR="00403762">
      <w:rPr>
        <w:rFonts w:ascii="Bookman Old Style" w:hAnsi="Bookman Old Style"/>
        <w:sz w:val="22"/>
        <w:szCs w:val="22"/>
      </w:rPr>
      <w:t>.</w:t>
    </w:r>
  </w:p>
  <w:p w14:paraId="41664D18" w14:textId="77777777" w:rsidR="00323E37" w:rsidRPr="009F3F35" w:rsidRDefault="00323E37" w:rsidP="009F3F35">
    <w:pPr>
      <w:ind w:left="0"/>
      <w:jc w:val="both"/>
      <w:rPr>
        <w:rFonts w:ascii="Bookman Old Style" w:hAnsi="Bookman Old Style"/>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102B53CB"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1"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5C72922" id="Rectangle 1"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852080"/>
    <w:multiLevelType w:val="hybridMultilevel"/>
    <w:tmpl w:val="B148BB1A"/>
    <w:lvl w:ilvl="0" w:tplc="71261BB0">
      <w:start w:val="1"/>
      <w:numFmt w:val="low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3D28FB"/>
    <w:multiLevelType w:val="hybridMultilevel"/>
    <w:tmpl w:val="CE10E5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327B5A24"/>
    <w:multiLevelType w:val="hybridMultilevel"/>
    <w:tmpl w:val="0E66B5FC"/>
    <w:lvl w:ilvl="0" w:tplc="477271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3047124"/>
    <w:multiLevelType w:val="hybridMultilevel"/>
    <w:tmpl w:val="63AEA4E8"/>
    <w:lvl w:ilvl="0" w:tplc="2EE68C86">
      <w:numFmt w:val="bullet"/>
      <w:lvlText w:val="-"/>
      <w:lvlJc w:val="left"/>
      <w:pPr>
        <w:ind w:left="720" w:hanging="360"/>
      </w:pPr>
      <w:rPr>
        <w:rFonts w:ascii="Bookman Old Style" w:eastAsia="Times New Roman" w:hAnsi="Bookman Old Style"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16D3D"/>
    <w:multiLevelType w:val="hybridMultilevel"/>
    <w:tmpl w:val="2D707E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7"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9" w15:restartNumberingAfterBreak="0">
    <w:nsid w:val="4DE45D4C"/>
    <w:multiLevelType w:val="hybridMultilevel"/>
    <w:tmpl w:val="47DE7B52"/>
    <w:lvl w:ilvl="0" w:tplc="9A2C036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1"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5"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7"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738066">
    <w:abstractNumId w:val="16"/>
  </w:num>
  <w:num w:numId="2" w16cid:durableId="1094859894">
    <w:abstractNumId w:val="5"/>
  </w:num>
  <w:num w:numId="3" w16cid:durableId="1536116072">
    <w:abstractNumId w:val="26"/>
  </w:num>
  <w:num w:numId="4" w16cid:durableId="617684456">
    <w:abstractNumId w:val="8"/>
  </w:num>
  <w:num w:numId="5" w16cid:durableId="1537817561">
    <w:abstractNumId w:val="21"/>
  </w:num>
  <w:num w:numId="6" w16cid:durableId="312953859">
    <w:abstractNumId w:val="4"/>
  </w:num>
  <w:num w:numId="7" w16cid:durableId="1700928035">
    <w:abstractNumId w:val="3"/>
  </w:num>
  <w:num w:numId="8" w16cid:durableId="1862278578">
    <w:abstractNumId w:val="23"/>
  </w:num>
  <w:num w:numId="9" w16cid:durableId="1344623683">
    <w:abstractNumId w:val="22"/>
  </w:num>
  <w:num w:numId="10" w16cid:durableId="1894123131">
    <w:abstractNumId w:val="17"/>
  </w:num>
  <w:num w:numId="11" w16cid:durableId="342441765">
    <w:abstractNumId w:val="27"/>
  </w:num>
  <w:num w:numId="12" w16cid:durableId="583031153">
    <w:abstractNumId w:val="25"/>
  </w:num>
  <w:num w:numId="13" w16cid:durableId="1295260309">
    <w:abstractNumId w:val="14"/>
  </w:num>
  <w:num w:numId="14" w16cid:durableId="390036842">
    <w:abstractNumId w:val="2"/>
  </w:num>
  <w:num w:numId="15" w16cid:durableId="1192303868">
    <w:abstractNumId w:val="18"/>
  </w:num>
  <w:num w:numId="16" w16cid:durableId="1069303766">
    <w:abstractNumId w:val="1"/>
  </w:num>
  <w:num w:numId="17" w16cid:durableId="1161653717">
    <w:abstractNumId w:val="13"/>
  </w:num>
  <w:num w:numId="18" w16cid:durableId="1061321377">
    <w:abstractNumId w:val="0"/>
  </w:num>
  <w:num w:numId="19" w16cid:durableId="1439133902">
    <w:abstractNumId w:val="24"/>
  </w:num>
  <w:num w:numId="20" w16cid:durableId="2092047792">
    <w:abstractNumId w:val="20"/>
  </w:num>
  <w:num w:numId="21" w16cid:durableId="1493137342">
    <w:abstractNumId w:val="9"/>
  </w:num>
  <w:num w:numId="22" w16cid:durableId="1175724081">
    <w:abstractNumId w:val="10"/>
  </w:num>
  <w:num w:numId="23" w16cid:durableId="516651653">
    <w:abstractNumId w:val="15"/>
  </w:num>
  <w:num w:numId="24" w16cid:durableId="1489711825">
    <w:abstractNumId w:val="11"/>
  </w:num>
  <w:num w:numId="25" w16cid:durableId="753861914">
    <w:abstractNumId w:val="6"/>
  </w:num>
  <w:num w:numId="26" w16cid:durableId="1156148352">
    <w:abstractNumId w:val="7"/>
  </w:num>
  <w:num w:numId="27" w16cid:durableId="894850489">
    <w:abstractNumId w:val="12"/>
  </w:num>
  <w:num w:numId="28" w16cid:durableId="1062828010">
    <w:abstractNumId w:val="19"/>
  </w:num>
  <w:num w:numId="29" w16cid:durableId="5738608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0B36"/>
    <w:rsid w:val="00001874"/>
    <w:rsid w:val="000047AC"/>
    <w:rsid w:val="00005EF7"/>
    <w:rsid w:val="00006359"/>
    <w:rsid w:val="00006AE2"/>
    <w:rsid w:val="000076A1"/>
    <w:rsid w:val="000103FC"/>
    <w:rsid w:val="00012259"/>
    <w:rsid w:val="00020DED"/>
    <w:rsid w:val="0002240E"/>
    <w:rsid w:val="00025383"/>
    <w:rsid w:val="000276DE"/>
    <w:rsid w:val="00031005"/>
    <w:rsid w:val="00031A1F"/>
    <w:rsid w:val="00033BE1"/>
    <w:rsid w:val="000345B5"/>
    <w:rsid w:val="0003503B"/>
    <w:rsid w:val="00037B70"/>
    <w:rsid w:val="00037C71"/>
    <w:rsid w:val="00037F6E"/>
    <w:rsid w:val="00042DBA"/>
    <w:rsid w:val="00043709"/>
    <w:rsid w:val="00045D3D"/>
    <w:rsid w:val="00050E23"/>
    <w:rsid w:val="0005301E"/>
    <w:rsid w:val="00053263"/>
    <w:rsid w:val="00057E87"/>
    <w:rsid w:val="00060534"/>
    <w:rsid w:val="00063657"/>
    <w:rsid w:val="00065406"/>
    <w:rsid w:val="0006550A"/>
    <w:rsid w:val="00065BD5"/>
    <w:rsid w:val="000661DF"/>
    <w:rsid w:val="000673E8"/>
    <w:rsid w:val="00071AD5"/>
    <w:rsid w:val="00075512"/>
    <w:rsid w:val="00076680"/>
    <w:rsid w:val="00076A1D"/>
    <w:rsid w:val="000774E2"/>
    <w:rsid w:val="0008073E"/>
    <w:rsid w:val="00082A4A"/>
    <w:rsid w:val="00084AF6"/>
    <w:rsid w:val="00084BC2"/>
    <w:rsid w:val="00087A90"/>
    <w:rsid w:val="00090299"/>
    <w:rsid w:val="0009180B"/>
    <w:rsid w:val="00091CDB"/>
    <w:rsid w:val="0009333C"/>
    <w:rsid w:val="0009557C"/>
    <w:rsid w:val="000A19AC"/>
    <w:rsid w:val="000A1A02"/>
    <w:rsid w:val="000A2C9F"/>
    <w:rsid w:val="000A537A"/>
    <w:rsid w:val="000A7828"/>
    <w:rsid w:val="000B0225"/>
    <w:rsid w:val="000B122E"/>
    <w:rsid w:val="000B2EC9"/>
    <w:rsid w:val="000B51B7"/>
    <w:rsid w:val="000B6F4D"/>
    <w:rsid w:val="000B7196"/>
    <w:rsid w:val="000B7A82"/>
    <w:rsid w:val="000B7FD2"/>
    <w:rsid w:val="000C30D0"/>
    <w:rsid w:val="000C36A2"/>
    <w:rsid w:val="000C3D79"/>
    <w:rsid w:val="000C4BD7"/>
    <w:rsid w:val="000C4F3F"/>
    <w:rsid w:val="000C657F"/>
    <w:rsid w:val="000D108A"/>
    <w:rsid w:val="000D236E"/>
    <w:rsid w:val="000D26F8"/>
    <w:rsid w:val="000D2818"/>
    <w:rsid w:val="000D2A11"/>
    <w:rsid w:val="000D2E9E"/>
    <w:rsid w:val="000D54FC"/>
    <w:rsid w:val="000D5796"/>
    <w:rsid w:val="000D58C9"/>
    <w:rsid w:val="000D61B5"/>
    <w:rsid w:val="000D7A57"/>
    <w:rsid w:val="000E1436"/>
    <w:rsid w:val="000E1A0F"/>
    <w:rsid w:val="000E49D1"/>
    <w:rsid w:val="000E582E"/>
    <w:rsid w:val="000F1FB2"/>
    <w:rsid w:val="000F25B3"/>
    <w:rsid w:val="000F3D8C"/>
    <w:rsid w:val="000F41CD"/>
    <w:rsid w:val="000F4B92"/>
    <w:rsid w:val="000F70B3"/>
    <w:rsid w:val="000F78D1"/>
    <w:rsid w:val="000F7D5C"/>
    <w:rsid w:val="00104494"/>
    <w:rsid w:val="00106654"/>
    <w:rsid w:val="00107E9E"/>
    <w:rsid w:val="00111481"/>
    <w:rsid w:val="00111BEF"/>
    <w:rsid w:val="00112511"/>
    <w:rsid w:val="0011329F"/>
    <w:rsid w:val="00113D00"/>
    <w:rsid w:val="0011452A"/>
    <w:rsid w:val="00115140"/>
    <w:rsid w:val="001217A3"/>
    <w:rsid w:val="00121B0A"/>
    <w:rsid w:val="001228EA"/>
    <w:rsid w:val="00123147"/>
    <w:rsid w:val="00126491"/>
    <w:rsid w:val="001279B4"/>
    <w:rsid w:val="001310E1"/>
    <w:rsid w:val="0013396D"/>
    <w:rsid w:val="0013526C"/>
    <w:rsid w:val="001355D1"/>
    <w:rsid w:val="00136594"/>
    <w:rsid w:val="00137CEE"/>
    <w:rsid w:val="001403A3"/>
    <w:rsid w:val="001405C6"/>
    <w:rsid w:val="00141013"/>
    <w:rsid w:val="0014479A"/>
    <w:rsid w:val="00147353"/>
    <w:rsid w:val="00150198"/>
    <w:rsid w:val="00150F81"/>
    <w:rsid w:val="00151FE0"/>
    <w:rsid w:val="00154DDE"/>
    <w:rsid w:val="001578F0"/>
    <w:rsid w:val="00160243"/>
    <w:rsid w:val="00162E5A"/>
    <w:rsid w:val="001633E5"/>
    <w:rsid w:val="00163EF2"/>
    <w:rsid w:val="0016678C"/>
    <w:rsid w:val="00166F1A"/>
    <w:rsid w:val="0016753E"/>
    <w:rsid w:val="001728B6"/>
    <w:rsid w:val="00173190"/>
    <w:rsid w:val="00175D66"/>
    <w:rsid w:val="00180422"/>
    <w:rsid w:val="00180938"/>
    <w:rsid w:val="00182549"/>
    <w:rsid w:val="001845E2"/>
    <w:rsid w:val="001848A0"/>
    <w:rsid w:val="00186488"/>
    <w:rsid w:val="00187532"/>
    <w:rsid w:val="00191568"/>
    <w:rsid w:val="00191E9A"/>
    <w:rsid w:val="00192CBF"/>
    <w:rsid w:val="00192FF1"/>
    <w:rsid w:val="00193B76"/>
    <w:rsid w:val="00194973"/>
    <w:rsid w:val="0019618F"/>
    <w:rsid w:val="00196F6F"/>
    <w:rsid w:val="001A04BF"/>
    <w:rsid w:val="001A0870"/>
    <w:rsid w:val="001A1C5B"/>
    <w:rsid w:val="001A5F1B"/>
    <w:rsid w:val="001A6DFF"/>
    <w:rsid w:val="001A7EE9"/>
    <w:rsid w:val="001B05EE"/>
    <w:rsid w:val="001B188C"/>
    <w:rsid w:val="001B1C22"/>
    <w:rsid w:val="001B2C76"/>
    <w:rsid w:val="001B34C6"/>
    <w:rsid w:val="001B41D6"/>
    <w:rsid w:val="001B4436"/>
    <w:rsid w:val="001B5759"/>
    <w:rsid w:val="001B6B4B"/>
    <w:rsid w:val="001C5B2D"/>
    <w:rsid w:val="001C5F45"/>
    <w:rsid w:val="001C689A"/>
    <w:rsid w:val="001C736B"/>
    <w:rsid w:val="001D00C4"/>
    <w:rsid w:val="001D5D1F"/>
    <w:rsid w:val="001D629B"/>
    <w:rsid w:val="001D7832"/>
    <w:rsid w:val="001E119B"/>
    <w:rsid w:val="001E44B4"/>
    <w:rsid w:val="001E606D"/>
    <w:rsid w:val="001E680D"/>
    <w:rsid w:val="001F10DE"/>
    <w:rsid w:val="001F50BD"/>
    <w:rsid w:val="001F57C7"/>
    <w:rsid w:val="001F5A3E"/>
    <w:rsid w:val="001F7560"/>
    <w:rsid w:val="001F776C"/>
    <w:rsid w:val="002009CD"/>
    <w:rsid w:val="00201B75"/>
    <w:rsid w:val="00203AB7"/>
    <w:rsid w:val="00204CA8"/>
    <w:rsid w:val="002051FA"/>
    <w:rsid w:val="00206162"/>
    <w:rsid w:val="00207D9A"/>
    <w:rsid w:val="00210072"/>
    <w:rsid w:val="0021036C"/>
    <w:rsid w:val="00210DC1"/>
    <w:rsid w:val="00211D34"/>
    <w:rsid w:val="002144AA"/>
    <w:rsid w:val="00214550"/>
    <w:rsid w:val="00214F04"/>
    <w:rsid w:val="00215E9F"/>
    <w:rsid w:val="00220773"/>
    <w:rsid w:val="00220A2B"/>
    <w:rsid w:val="0022224E"/>
    <w:rsid w:val="00225B77"/>
    <w:rsid w:val="00227962"/>
    <w:rsid w:val="00230EF7"/>
    <w:rsid w:val="002319A3"/>
    <w:rsid w:val="00233275"/>
    <w:rsid w:val="002352B9"/>
    <w:rsid w:val="00237AFC"/>
    <w:rsid w:val="002401E5"/>
    <w:rsid w:val="00240C80"/>
    <w:rsid w:val="00240F71"/>
    <w:rsid w:val="00242C6E"/>
    <w:rsid w:val="00244584"/>
    <w:rsid w:val="00247592"/>
    <w:rsid w:val="00251508"/>
    <w:rsid w:val="00252062"/>
    <w:rsid w:val="00252B6E"/>
    <w:rsid w:val="00260588"/>
    <w:rsid w:val="002606A2"/>
    <w:rsid w:val="00260B7E"/>
    <w:rsid w:val="002630C0"/>
    <w:rsid w:val="00263A18"/>
    <w:rsid w:val="002668EF"/>
    <w:rsid w:val="00266CD6"/>
    <w:rsid w:val="002673AC"/>
    <w:rsid w:val="002679DE"/>
    <w:rsid w:val="002719C1"/>
    <w:rsid w:val="00273557"/>
    <w:rsid w:val="00273561"/>
    <w:rsid w:val="00273AA8"/>
    <w:rsid w:val="00275DAB"/>
    <w:rsid w:val="002774D3"/>
    <w:rsid w:val="00280A31"/>
    <w:rsid w:val="00282987"/>
    <w:rsid w:val="00283E92"/>
    <w:rsid w:val="00287840"/>
    <w:rsid w:val="002903C0"/>
    <w:rsid w:val="0029349B"/>
    <w:rsid w:val="0029738A"/>
    <w:rsid w:val="002A04FE"/>
    <w:rsid w:val="002A0678"/>
    <w:rsid w:val="002A2349"/>
    <w:rsid w:val="002A2B88"/>
    <w:rsid w:val="002A3BE5"/>
    <w:rsid w:val="002A4DFE"/>
    <w:rsid w:val="002A6500"/>
    <w:rsid w:val="002A6BD7"/>
    <w:rsid w:val="002A782A"/>
    <w:rsid w:val="002B01AE"/>
    <w:rsid w:val="002B11E2"/>
    <w:rsid w:val="002B1E6B"/>
    <w:rsid w:val="002B24B8"/>
    <w:rsid w:val="002B3815"/>
    <w:rsid w:val="002B6EEC"/>
    <w:rsid w:val="002C066E"/>
    <w:rsid w:val="002C0DF0"/>
    <w:rsid w:val="002C300C"/>
    <w:rsid w:val="002C47E3"/>
    <w:rsid w:val="002D0017"/>
    <w:rsid w:val="002D07E6"/>
    <w:rsid w:val="002D2288"/>
    <w:rsid w:val="002D3AE9"/>
    <w:rsid w:val="002D4510"/>
    <w:rsid w:val="002D5219"/>
    <w:rsid w:val="002D7AA4"/>
    <w:rsid w:val="002E50D6"/>
    <w:rsid w:val="002E6330"/>
    <w:rsid w:val="002E6392"/>
    <w:rsid w:val="002E6D2F"/>
    <w:rsid w:val="002F0734"/>
    <w:rsid w:val="002F175F"/>
    <w:rsid w:val="002F335B"/>
    <w:rsid w:val="002F3CF3"/>
    <w:rsid w:val="002F46E7"/>
    <w:rsid w:val="002F5DC2"/>
    <w:rsid w:val="0030054D"/>
    <w:rsid w:val="00302C42"/>
    <w:rsid w:val="0030502B"/>
    <w:rsid w:val="00305075"/>
    <w:rsid w:val="00305463"/>
    <w:rsid w:val="00307AD9"/>
    <w:rsid w:val="00307C8A"/>
    <w:rsid w:val="003101DA"/>
    <w:rsid w:val="0031029C"/>
    <w:rsid w:val="003105D8"/>
    <w:rsid w:val="003111C3"/>
    <w:rsid w:val="00314757"/>
    <w:rsid w:val="00314B63"/>
    <w:rsid w:val="003159DD"/>
    <w:rsid w:val="003161B2"/>
    <w:rsid w:val="003163BC"/>
    <w:rsid w:val="00316DF7"/>
    <w:rsid w:val="00317636"/>
    <w:rsid w:val="003211CE"/>
    <w:rsid w:val="00321271"/>
    <w:rsid w:val="003221E9"/>
    <w:rsid w:val="00323B23"/>
    <w:rsid w:val="00323E37"/>
    <w:rsid w:val="0033256B"/>
    <w:rsid w:val="00335DED"/>
    <w:rsid w:val="00337262"/>
    <w:rsid w:val="00343895"/>
    <w:rsid w:val="00347195"/>
    <w:rsid w:val="00350386"/>
    <w:rsid w:val="003506ED"/>
    <w:rsid w:val="003510D6"/>
    <w:rsid w:val="0035403A"/>
    <w:rsid w:val="00355F67"/>
    <w:rsid w:val="00356ACC"/>
    <w:rsid w:val="00357053"/>
    <w:rsid w:val="003602B6"/>
    <w:rsid w:val="0036394B"/>
    <w:rsid w:val="00364C2C"/>
    <w:rsid w:val="00364E39"/>
    <w:rsid w:val="00366DB6"/>
    <w:rsid w:val="00366E6E"/>
    <w:rsid w:val="00367720"/>
    <w:rsid w:val="003709B5"/>
    <w:rsid w:val="003728D0"/>
    <w:rsid w:val="003759C2"/>
    <w:rsid w:val="00381EC0"/>
    <w:rsid w:val="00382A4F"/>
    <w:rsid w:val="0038333F"/>
    <w:rsid w:val="00385EB2"/>
    <w:rsid w:val="00386D59"/>
    <w:rsid w:val="0039202B"/>
    <w:rsid w:val="00393F73"/>
    <w:rsid w:val="0039430B"/>
    <w:rsid w:val="00395C26"/>
    <w:rsid w:val="00397365"/>
    <w:rsid w:val="003A1F5B"/>
    <w:rsid w:val="003A31F6"/>
    <w:rsid w:val="003A40AB"/>
    <w:rsid w:val="003A7CB4"/>
    <w:rsid w:val="003B2758"/>
    <w:rsid w:val="003B3301"/>
    <w:rsid w:val="003B461C"/>
    <w:rsid w:val="003B50C8"/>
    <w:rsid w:val="003B6339"/>
    <w:rsid w:val="003B6790"/>
    <w:rsid w:val="003B74EF"/>
    <w:rsid w:val="003B7966"/>
    <w:rsid w:val="003C3447"/>
    <w:rsid w:val="003C3CC7"/>
    <w:rsid w:val="003C3FDE"/>
    <w:rsid w:val="003C4F3D"/>
    <w:rsid w:val="003C5C44"/>
    <w:rsid w:val="003D0597"/>
    <w:rsid w:val="003D076C"/>
    <w:rsid w:val="003D0D94"/>
    <w:rsid w:val="003D519C"/>
    <w:rsid w:val="003D6525"/>
    <w:rsid w:val="003D6B9F"/>
    <w:rsid w:val="003E01D5"/>
    <w:rsid w:val="003E10DC"/>
    <w:rsid w:val="003E3488"/>
    <w:rsid w:val="003E5039"/>
    <w:rsid w:val="003E55FB"/>
    <w:rsid w:val="003E6AA8"/>
    <w:rsid w:val="003E78B5"/>
    <w:rsid w:val="003F009E"/>
    <w:rsid w:val="003F1472"/>
    <w:rsid w:val="003F1D44"/>
    <w:rsid w:val="003F2D4E"/>
    <w:rsid w:val="003F3189"/>
    <w:rsid w:val="003F6C2C"/>
    <w:rsid w:val="004004EC"/>
    <w:rsid w:val="00401424"/>
    <w:rsid w:val="00402D7F"/>
    <w:rsid w:val="00403762"/>
    <w:rsid w:val="00403FD6"/>
    <w:rsid w:val="00404768"/>
    <w:rsid w:val="004054DA"/>
    <w:rsid w:val="00405EE4"/>
    <w:rsid w:val="0040615A"/>
    <w:rsid w:val="004064E2"/>
    <w:rsid w:val="00406720"/>
    <w:rsid w:val="00406BAF"/>
    <w:rsid w:val="004102B9"/>
    <w:rsid w:val="00411704"/>
    <w:rsid w:val="00411793"/>
    <w:rsid w:val="00411AE6"/>
    <w:rsid w:val="00413B35"/>
    <w:rsid w:val="00415BAB"/>
    <w:rsid w:val="00415ED2"/>
    <w:rsid w:val="00416E14"/>
    <w:rsid w:val="0042068C"/>
    <w:rsid w:val="00420791"/>
    <w:rsid w:val="0042377D"/>
    <w:rsid w:val="00424F66"/>
    <w:rsid w:val="004262BE"/>
    <w:rsid w:val="00426402"/>
    <w:rsid w:val="00426610"/>
    <w:rsid w:val="00430340"/>
    <w:rsid w:val="00432127"/>
    <w:rsid w:val="00436CD0"/>
    <w:rsid w:val="0043741C"/>
    <w:rsid w:val="00441A41"/>
    <w:rsid w:val="00442112"/>
    <w:rsid w:val="0044318E"/>
    <w:rsid w:val="00443B35"/>
    <w:rsid w:val="004505CF"/>
    <w:rsid w:val="00450E2F"/>
    <w:rsid w:val="00451E0D"/>
    <w:rsid w:val="00452145"/>
    <w:rsid w:val="0045488D"/>
    <w:rsid w:val="00455161"/>
    <w:rsid w:val="00460109"/>
    <w:rsid w:val="00467030"/>
    <w:rsid w:val="00467741"/>
    <w:rsid w:val="00470D24"/>
    <w:rsid w:val="0047122B"/>
    <w:rsid w:val="00472DBF"/>
    <w:rsid w:val="00473B7A"/>
    <w:rsid w:val="00475103"/>
    <w:rsid w:val="0047710A"/>
    <w:rsid w:val="00477AFD"/>
    <w:rsid w:val="00480023"/>
    <w:rsid w:val="00481286"/>
    <w:rsid w:val="00481AC9"/>
    <w:rsid w:val="0048258C"/>
    <w:rsid w:val="0048402C"/>
    <w:rsid w:val="00485157"/>
    <w:rsid w:val="00485ADD"/>
    <w:rsid w:val="00485B95"/>
    <w:rsid w:val="0049161F"/>
    <w:rsid w:val="0049199C"/>
    <w:rsid w:val="0049354A"/>
    <w:rsid w:val="00495308"/>
    <w:rsid w:val="004959AD"/>
    <w:rsid w:val="004960E9"/>
    <w:rsid w:val="004A0830"/>
    <w:rsid w:val="004A10BF"/>
    <w:rsid w:val="004A14EF"/>
    <w:rsid w:val="004A181F"/>
    <w:rsid w:val="004A1E7F"/>
    <w:rsid w:val="004A26A0"/>
    <w:rsid w:val="004A2E88"/>
    <w:rsid w:val="004A4690"/>
    <w:rsid w:val="004A5305"/>
    <w:rsid w:val="004A54F4"/>
    <w:rsid w:val="004A71B2"/>
    <w:rsid w:val="004A7796"/>
    <w:rsid w:val="004B0B5D"/>
    <w:rsid w:val="004B18EF"/>
    <w:rsid w:val="004B3BA8"/>
    <w:rsid w:val="004C0F90"/>
    <w:rsid w:val="004C373D"/>
    <w:rsid w:val="004C5309"/>
    <w:rsid w:val="004C5C40"/>
    <w:rsid w:val="004C6C6A"/>
    <w:rsid w:val="004D2045"/>
    <w:rsid w:val="004D349D"/>
    <w:rsid w:val="004D3900"/>
    <w:rsid w:val="004D4278"/>
    <w:rsid w:val="004D5CE4"/>
    <w:rsid w:val="004D7111"/>
    <w:rsid w:val="004D7634"/>
    <w:rsid w:val="004E1626"/>
    <w:rsid w:val="004E1DA2"/>
    <w:rsid w:val="004E53C9"/>
    <w:rsid w:val="004E5660"/>
    <w:rsid w:val="004E611A"/>
    <w:rsid w:val="004E6B11"/>
    <w:rsid w:val="004F263B"/>
    <w:rsid w:val="004F2A9D"/>
    <w:rsid w:val="004F3B1A"/>
    <w:rsid w:val="004F4E79"/>
    <w:rsid w:val="004F52DE"/>
    <w:rsid w:val="004F5683"/>
    <w:rsid w:val="004F5C49"/>
    <w:rsid w:val="004F6460"/>
    <w:rsid w:val="00500D27"/>
    <w:rsid w:val="0050105E"/>
    <w:rsid w:val="00505107"/>
    <w:rsid w:val="005152D7"/>
    <w:rsid w:val="005173DD"/>
    <w:rsid w:val="00517A61"/>
    <w:rsid w:val="005211CC"/>
    <w:rsid w:val="00527121"/>
    <w:rsid w:val="005300D3"/>
    <w:rsid w:val="005322AC"/>
    <w:rsid w:val="00533F7D"/>
    <w:rsid w:val="00535493"/>
    <w:rsid w:val="005355A7"/>
    <w:rsid w:val="00536313"/>
    <w:rsid w:val="00536BA8"/>
    <w:rsid w:val="00537091"/>
    <w:rsid w:val="00537C01"/>
    <w:rsid w:val="00540C74"/>
    <w:rsid w:val="005426BA"/>
    <w:rsid w:val="00542A10"/>
    <w:rsid w:val="00544528"/>
    <w:rsid w:val="005449ED"/>
    <w:rsid w:val="00544F82"/>
    <w:rsid w:val="0054524A"/>
    <w:rsid w:val="00545666"/>
    <w:rsid w:val="00546A09"/>
    <w:rsid w:val="00546CC4"/>
    <w:rsid w:val="005509D2"/>
    <w:rsid w:val="00550EF4"/>
    <w:rsid w:val="005535F0"/>
    <w:rsid w:val="00554619"/>
    <w:rsid w:val="0055582A"/>
    <w:rsid w:val="00562A1B"/>
    <w:rsid w:val="00564AF4"/>
    <w:rsid w:val="005706CE"/>
    <w:rsid w:val="00574F40"/>
    <w:rsid w:val="0057708B"/>
    <w:rsid w:val="00580BEC"/>
    <w:rsid w:val="00584FEE"/>
    <w:rsid w:val="00585508"/>
    <w:rsid w:val="00586A8F"/>
    <w:rsid w:val="00587515"/>
    <w:rsid w:val="005909AB"/>
    <w:rsid w:val="005911EB"/>
    <w:rsid w:val="0059171D"/>
    <w:rsid w:val="00593C4F"/>
    <w:rsid w:val="00593EFE"/>
    <w:rsid w:val="00593F39"/>
    <w:rsid w:val="0059408F"/>
    <w:rsid w:val="005946A8"/>
    <w:rsid w:val="00594F33"/>
    <w:rsid w:val="00596190"/>
    <w:rsid w:val="00596E66"/>
    <w:rsid w:val="005A0FB7"/>
    <w:rsid w:val="005A24DE"/>
    <w:rsid w:val="005A4407"/>
    <w:rsid w:val="005A59EF"/>
    <w:rsid w:val="005A681C"/>
    <w:rsid w:val="005B1C30"/>
    <w:rsid w:val="005B1C7E"/>
    <w:rsid w:val="005B4E6C"/>
    <w:rsid w:val="005B4FC9"/>
    <w:rsid w:val="005C0BB7"/>
    <w:rsid w:val="005C20A4"/>
    <w:rsid w:val="005C233C"/>
    <w:rsid w:val="005C6976"/>
    <w:rsid w:val="005C77FE"/>
    <w:rsid w:val="005D08B0"/>
    <w:rsid w:val="005D194F"/>
    <w:rsid w:val="005D38C8"/>
    <w:rsid w:val="005D6031"/>
    <w:rsid w:val="005E0E36"/>
    <w:rsid w:val="005E1824"/>
    <w:rsid w:val="005E23A9"/>
    <w:rsid w:val="005E4D38"/>
    <w:rsid w:val="005E4E0A"/>
    <w:rsid w:val="005E707F"/>
    <w:rsid w:val="005E7513"/>
    <w:rsid w:val="005F0BCF"/>
    <w:rsid w:val="005F6F41"/>
    <w:rsid w:val="005F7B7F"/>
    <w:rsid w:val="006034A0"/>
    <w:rsid w:val="00604101"/>
    <w:rsid w:val="006067C1"/>
    <w:rsid w:val="00606D6F"/>
    <w:rsid w:val="00607766"/>
    <w:rsid w:val="00607F16"/>
    <w:rsid w:val="00610523"/>
    <w:rsid w:val="006113B0"/>
    <w:rsid w:val="00611806"/>
    <w:rsid w:val="00611995"/>
    <w:rsid w:val="00611F00"/>
    <w:rsid w:val="00612A1D"/>
    <w:rsid w:val="00612B24"/>
    <w:rsid w:val="00613430"/>
    <w:rsid w:val="00613A97"/>
    <w:rsid w:val="006141DB"/>
    <w:rsid w:val="006158AF"/>
    <w:rsid w:val="00620DC4"/>
    <w:rsid w:val="00620FC6"/>
    <w:rsid w:val="00621F26"/>
    <w:rsid w:val="00622F84"/>
    <w:rsid w:val="006247D9"/>
    <w:rsid w:val="00624F9A"/>
    <w:rsid w:val="006251AD"/>
    <w:rsid w:val="00625810"/>
    <w:rsid w:val="006259B3"/>
    <w:rsid w:val="00625DA1"/>
    <w:rsid w:val="00625DC6"/>
    <w:rsid w:val="006270BD"/>
    <w:rsid w:val="00630D97"/>
    <w:rsid w:val="00633DD6"/>
    <w:rsid w:val="00635B16"/>
    <w:rsid w:val="006410EB"/>
    <w:rsid w:val="0064201C"/>
    <w:rsid w:val="00642266"/>
    <w:rsid w:val="00642914"/>
    <w:rsid w:val="0064391D"/>
    <w:rsid w:val="006443CB"/>
    <w:rsid w:val="0065021B"/>
    <w:rsid w:val="00651821"/>
    <w:rsid w:val="00652734"/>
    <w:rsid w:val="00652F2B"/>
    <w:rsid w:val="00654384"/>
    <w:rsid w:val="00660952"/>
    <w:rsid w:val="00660CD6"/>
    <w:rsid w:val="006619EC"/>
    <w:rsid w:val="00666CE2"/>
    <w:rsid w:val="006675CD"/>
    <w:rsid w:val="00667DCF"/>
    <w:rsid w:val="00670DCF"/>
    <w:rsid w:val="00671A72"/>
    <w:rsid w:val="0067244E"/>
    <w:rsid w:val="00672D78"/>
    <w:rsid w:val="00680FB9"/>
    <w:rsid w:val="00682735"/>
    <w:rsid w:val="00682C93"/>
    <w:rsid w:val="00682D98"/>
    <w:rsid w:val="00684D9B"/>
    <w:rsid w:val="0068509E"/>
    <w:rsid w:val="0068510A"/>
    <w:rsid w:val="00685A83"/>
    <w:rsid w:val="00686DDD"/>
    <w:rsid w:val="00686E20"/>
    <w:rsid w:val="006937E6"/>
    <w:rsid w:val="00694013"/>
    <w:rsid w:val="006964B8"/>
    <w:rsid w:val="00696DD5"/>
    <w:rsid w:val="00697433"/>
    <w:rsid w:val="00697556"/>
    <w:rsid w:val="006A078C"/>
    <w:rsid w:val="006A4FB1"/>
    <w:rsid w:val="006A51E6"/>
    <w:rsid w:val="006A66D9"/>
    <w:rsid w:val="006B0A96"/>
    <w:rsid w:val="006B1427"/>
    <w:rsid w:val="006B4647"/>
    <w:rsid w:val="006B4C2B"/>
    <w:rsid w:val="006B4F6C"/>
    <w:rsid w:val="006B5302"/>
    <w:rsid w:val="006B55B6"/>
    <w:rsid w:val="006B5B1E"/>
    <w:rsid w:val="006B6194"/>
    <w:rsid w:val="006B6D47"/>
    <w:rsid w:val="006B7239"/>
    <w:rsid w:val="006B7DAC"/>
    <w:rsid w:val="006C2378"/>
    <w:rsid w:val="006C5AFE"/>
    <w:rsid w:val="006D2598"/>
    <w:rsid w:val="006D4EBC"/>
    <w:rsid w:val="006D4F8A"/>
    <w:rsid w:val="006D537E"/>
    <w:rsid w:val="006D7758"/>
    <w:rsid w:val="006E00E7"/>
    <w:rsid w:val="006E0A05"/>
    <w:rsid w:val="006E11D2"/>
    <w:rsid w:val="006E167E"/>
    <w:rsid w:val="006E3699"/>
    <w:rsid w:val="006E61D2"/>
    <w:rsid w:val="006E6563"/>
    <w:rsid w:val="006F0290"/>
    <w:rsid w:val="006F0710"/>
    <w:rsid w:val="006F2B71"/>
    <w:rsid w:val="006F2BE5"/>
    <w:rsid w:val="006F2EC8"/>
    <w:rsid w:val="006F3D53"/>
    <w:rsid w:val="006F416C"/>
    <w:rsid w:val="006F43E8"/>
    <w:rsid w:val="006F6103"/>
    <w:rsid w:val="006F6D95"/>
    <w:rsid w:val="007002DD"/>
    <w:rsid w:val="00706F13"/>
    <w:rsid w:val="0070711B"/>
    <w:rsid w:val="007072E8"/>
    <w:rsid w:val="00707BBB"/>
    <w:rsid w:val="00710380"/>
    <w:rsid w:val="00710BFD"/>
    <w:rsid w:val="00712036"/>
    <w:rsid w:val="00712659"/>
    <w:rsid w:val="007147AF"/>
    <w:rsid w:val="00715E3B"/>
    <w:rsid w:val="0071618D"/>
    <w:rsid w:val="007169E9"/>
    <w:rsid w:val="00716F66"/>
    <w:rsid w:val="00720B35"/>
    <w:rsid w:val="00720BDB"/>
    <w:rsid w:val="0072115D"/>
    <w:rsid w:val="007244C9"/>
    <w:rsid w:val="007255DE"/>
    <w:rsid w:val="0072565C"/>
    <w:rsid w:val="00725E45"/>
    <w:rsid w:val="00725FA4"/>
    <w:rsid w:val="0073021C"/>
    <w:rsid w:val="00731037"/>
    <w:rsid w:val="00734A35"/>
    <w:rsid w:val="00736DF5"/>
    <w:rsid w:val="0073721F"/>
    <w:rsid w:val="00740446"/>
    <w:rsid w:val="00740476"/>
    <w:rsid w:val="007438A9"/>
    <w:rsid w:val="00743A7C"/>
    <w:rsid w:val="00743D65"/>
    <w:rsid w:val="0074491E"/>
    <w:rsid w:val="00746DCD"/>
    <w:rsid w:val="00753AB5"/>
    <w:rsid w:val="00755212"/>
    <w:rsid w:val="00757F9F"/>
    <w:rsid w:val="007615CE"/>
    <w:rsid w:val="0076247A"/>
    <w:rsid w:val="00762CA1"/>
    <w:rsid w:val="00764F41"/>
    <w:rsid w:val="00765400"/>
    <w:rsid w:val="00765B47"/>
    <w:rsid w:val="00766197"/>
    <w:rsid w:val="0077189D"/>
    <w:rsid w:val="00771DCE"/>
    <w:rsid w:val="007720A8"/>
    <w:rsid w:val="007739A1"/>
    <w:rsid w:val="00774121"/>
    <w:rsid w:val="00775647"/>
    <w:rsid w:val="00775964"/>
    <w:rsid w:val="007765FE"/>
    <w:rsid w:val="00780232"/>
    <w:rsid w:val="007834D7"/>
    <w:rsid w:val="007872FE"/>
    <w:rsid w:val="00790F61"/>
    <w:rsid w:val="007937FD"/>
    <w:rsid w:val="00794E2E"/>
    <w:rsid w:val="00795BFB"/>
    <w:rsid w:val="00796087"/>
    <w:rsid w:val="007974F5"/>
    <w:rsid w:val="00797766"/>
    <w:rsid w:val="007A00A9"/>
    <w:rsid w:val="007A116C"/>
    <w:rsid w:val="007A143B"/>
    <w:rsid w:val="007A205A"/>
    <w:rsid w:val="007A21FC"/>
    <w:rsid w:val="007A30F9"/>
    <w:rsid w:val="007A6181"/>
    <w:rsid w:val="007B067F"/>
    <w:rsid w:val="007B12EF"/>
    <w:rsid w:val="007B2760"/>
    <w:rsid w:val="007B2F2E"/>
    <w:rsid w:val="007B4BDB"/>
    <w:rsid w:val="007B5A60"/>
    <w:rsid w:val="007B5C0C"/>
    <w:rsid w:val="007B6BBE"/>
    <w:rsid w:val="007C11E4"/>
    <w:rsid w:val="007C16F2"/>
    <w:rsid w:val="007C1802"/>
    <w:rsid w:val="007C273C"/>
    <w:rsid w:val="007C3082"/>
    <w:rsid w:val="007C445B"/>
    <w:rsid w:val="007C58EC"/>
    <w:rsid w:val="007C681B"/>
    <w:rsid w:val="007C6946"/>
    <w:rsid w:val="007D18F1"/>
    <w:rsid w:val="007D398B"/>
    <w:rsid w:val="007D3FC4"/>
    <w:rsid w:val="007E2C3F"/>
    <w:rsid w:val="007E2E32"/>
    <w:rsid w:val="007E4557"/>
    <w:rsid w:val="007E4990"/>
    <w:rsid w:val="007F0693"/>
    <w:rsid w:val="007F0F45"/>
    <w:rsid w:val="007F1F26"/>
    <w:rsid w:val="007F214B"/>
    <w:rsid w:val="007F45D4"/>
    <w:rsid w:val="007F4F2B"/>
    <w:rsid w:val="007F7106"/>
    <w:rsid w:val="0080376B"/>
    <w:rsid w:val="00805856"/>
    <w:rsid w:val="008062B3"/>
    <w:rsid w:val="00806C01"/>
    <w:rsid w:val="0081061B"/>
    <w:rsid w:val="00813CF0"/>
    <w:rsid w:val="00813F03"/>
    <w:rsid w:val="008146BD"/>
    <w:rsid w:val="008148CC"/>
    <w:rsid w:val="00815CF8"/>
    <w:rsid w:val="008165FA"/>
    <w:rsid w:val="00816DD5"/>
    <w:rsid w:val="008207AB"/>
    <w:rsid w:val="008211A4"/>
    <w:rsid w:val="0082163A"/>
    <w:rsid w:val="00822EC4"/>
    <w:rsid w:val="00827C1F"/>
    <w:rsid w:val="008301C7"/>
    <w:rsid w:val="00832E73"/>
    <w:rsid w:val="008331CE"/>
    <w:rsid w:val="00833D04"/>
    <w:rsid w:val="00841EEE"/>
    <w:rsid w:val="00842D79"/>
    <w:rsid w:val="0084693A"/>
    <w:rsid w:val="00846E98"/>
    <w:rsid w:val="0085094A"/>
    <w:rsid w:val="008520A5"/>
    <w:rsid w:val="00853FD4"/>
    <w:rsid w:val="00856311"/>
    <w:rsid w:val="008569CF"/>
    <w:rsid w:val="008573C9"/>
    <w:rsid w:val="00860700"/>
    <w:rsid w:val="0086089E"/>
    <w:rsid w:val="008621F6"/>
    <w:rsid w:val="00863722"/>
    <w:rsid w:val="00864447"/>
    <w:rsid w:val="008645CD"/>
    <w:rsid w:val="00864FD0"/>
    <w:rsid w:val="008662BB"/>
    <w:rsid w:val="008705F6"/>
    <w:rsid w:val="00870FEC"/>
    <w:rsid w:val="00871067"/>
    <w:rsid w:val="00871C18"/>
    <w:rsid w:val="00873118"/>
    <w:rsid w:val="00873150"/>
    <w:rsid w:val="00874422"/>
    <w:rsid w:val="0087657D"/>
    <w:rsid w:val="008807D5"/>
    <w:rsid w:val="00880832"/>
    <w:rsid w:val="00885385"/>
    <w:rsid w:val="008860FB"/>
    <w:rsid w:val="00886EE1"/>
    <w:rsid w:val="0088727D"/>
    <w:rsid w:val="00887ABE"/>
    <w:rsid w:val="00890A8C"/>
    <w:rsid w:val="00890BA0"/>
    <w:rsid w:val="00893145"/>
    <w:rsid w:val="00893938"/>
    <w:rsid w:val="008941F2"/>
    <w:rsid w:val="00894538"/>
    <w:rsid w:val="00897B1B"/>
    <w:rsid w:val="00897C75"/>
    <w:rsid w:val="008A2C19"/>
    <w:rsid w:val="008A2F03"/>
    <w:rsid w:val="008A4807"/>
    <w:rsid w:val="008A4CCE"/>
    <w:rsid w:val="008A5954"/>
    <w:rsid w:val="008A6A48"/>
    <w:rsid w:val="008A6BA8"/>
    <w:rsid w:val="008B07A8"/>
    <w:rsid w:val="008B2CBF"/>
    <w:rsid w:val="008B4FE8"/>
    <w:rsid w:val="008C1130"/>
    <w:rsid w:val="008C1AFC"/>
    <w:rsid w:val="008C24C5"/>
    <w:rsid w:val="008C3F1E"/>
    <w:rsid w:val="008C5AB2"/>
    <w:rsid w:val="008C7044"/>
    <w:rsid w:val="008C7572"/>
    <w:rsid w:val="008C7AB1"/>
    <w:rsid w:val="008D169F"/>
    <w:rsid w:val="008D18E6"/>
    <w:rsid w:val="008D2341"/>
    <w:rsid w:val="008D250F"/>
    <w:rsid w:val="008D5298"/>
    <w:rsid w:val="008D5699"/>
    <w:rsid w:val="008D6429"/>
    <w:rsid w:val="008D6F5B"/>
    <w:rsid w:val="008D7A9B"/>
    <w:rsid w:val="008E0060"/>
    <w:rsid w:val="008E04F2"/>
    <w:rsid w:val="008E0736"/>
    <w:rsid w:val="008E0D81"/>
    <w:rsid w:val="008E147F"/>
    <w:rsid w:val="008E27F9"/>
    <w:rsid w:val="008E4E94"/>
    <w:rsid w:val="008E7091"/>
    <w:rsid w:val="008E76AC"/>
    <w:rsid w:val="008F21F6"/>
    <w:rsid w:val="008F22D6"/>
    <w:rsid w:val="008F38A9"/>
    <w:rsid w:val="008F4C44"/>
    <w:rsid w:val="008F580F"/>
    <w:rsid w:val="008F66CE"/>
    <w:rsid w:val="008F6800"/>
    <w:rsid w:val="008F7B73"/>
    <w:rsid w:val="00900E4F"/>
    <w:rsid w:val="009020F4"/>
    <w:rsid w:val="00902F7F"/>
    <w:rsid w:val="00906BCC"/>
    <w:rsid w:val="00907009"/>
    <w:rsid w:val="00907DF5"/>
    <w:rsid w:val="0091198C"/>
    <w:rsid w:val="00911B73"/>
    <w:rsid w:val="00912532"/>
    <w:rsid w:val="00912DC4"/>
    <w:rsid w:val="009133F2"/>
    <w:rsid w:val="00917238"/>
    <w:rsid w:val="00917319"/>
    <w:rsid w:val="0092398F"/>
    <w:rsid w:val="00924BD5"/>
    <w:rsid w:val="0092516E"/>
    <w:rsid w:val="00926FE0"/>
    <w:rsid w:val="009275EA"/>
    <w:rsid w:val="009276B2"/>
    <w:rsid w:val="00927AE9"/>
    <w:rsid w:val="00927E25"/>
    <w:rsid w:val="00927FE1"/>
    <w:rsid w:val="00930233"/>
    <w:rsid w:val="0093129D"/>
    <w:rsid w:val="00931DB8"/>
    <w:rsid w:val="0093309D"/>
    <w:rsid w:val="009333D2"/>
    <w:rsid w:val="00933499"/>
    <w:rsid w:val="00935D88"/>
    <w:rsid w:val="009377D1"/>
    <w:rsid w:val="00937E10"/>
    <w:rsid w:val="00942296"/>
    <w:rsid w:val="00942D87"/>
    <w:rsid w:val="0094336A"/>
    <w:rsid w:val="009446D2"/>
    <w:rsid w:val="00945393"/>
    <w:rsid w:val="00946F43"/>
    <w:rsid w:val="0094759C"/>
    <w:rsid w:val="00950646"/>
    <w:rsid w:val="00951F79"/>
    <w:rsid w:val="00954FA0"/>
    <w:rsid w:val="00954FA4"/>
    <w:rsid w:val="00955513"/>
    <w:rsid w:val="0095616D"/>
    <w:rsid w:val="009565B0"/>
    <w:rsid w:val="00956C21"/>
    <w:rsid w:val="00956F62"/>
    <w:rsid w:val="00957512"/>
    <w:rsid w:val="009575EF"/>
    <w:rsid w:val="0096093F"/>
    <w:rsid w:val="00960ED7"/>
    <w:rsid w:val="0096120E"/>
    <w:rsid w:val="009614BC"/>
    <w:rsid w:val="0096650D"/>
    <w:rsid w:val="00967384"/>
    <w:rsid w:val="009709CD"/>
    <w:rsid w:val="00970BF8"/>
    <w:rsid w:val="00971FC6"/>
    <w:rsid w:val="00974AB5"/>
    <w:rsid w:val="0097761A"/>
    <w:rsid w:val="0098185B"/>
    <w:rsid w:val="00984DF3"/>
    <w:rsid w:val="00985E05"/>
    <w:rsid w:val="00986129"/>
    <w:rsid w:val="0098706D"/>
    <w:rsid w:val="0099337E"/>
    <w:rsid w:val="009935FB"/>
    <w:rsid w:val="009943E5"/>
    <w:rsid w:val="009A0C8B"/>
    <w:rsid w:val="009A30DE"/>
    <w:rsid w:val="009A6733"/>
    <w:rsid w:val="009A6C73"/>
    <w:rsid w:val="009A6E94"/>
    <w:rsid w:val="009B0621"/>
    <w:rsid w:val="009B300E"/>
    <w:rsid w:val="009B31C3"/>
    <w:rsid w:val="009C00AC"/>
    <w:rsid w:val="009C1AA9"/>
    <w:rsid w:val="009C1F99"/>
    <w:rsid w:val="009C2EBB"/>
    <w:rsid w:val="009C3C85"/>
    <w:rsid w:val="009C410B"/>
    <w:rsid w:val="009C6D18"/>
    <w:rsid w:val="009D152B"/>
    <w:rsid w:val="009D3312"/>
    <w:rsid w:val="009D4652"/>
    <w:rsid w:val="009D4A07"/>
    <w:rsid w:val="009D6E58"/>
    <w:rsid w:val="009D7ECA"/>
    <w:rsid w:val="009E015F"/>
    <w:rsid w:val="009E1155"/>
    <w:rsid w:val="009F0182"/>
    <w:rsid w:val="009F2981"/>
    <w:rsid w:val="009F3DC8"/>
    <w:rsid w:val="009F3F35"/>
    <w:rsid w:val="009F4527"/>
    <w:rsid w:val="009F4A54"/>
    <w:rsid w:val="009F4BEC"/>
    <w:rsid w:val="009F5874"/>
    <w:rsid w:val="009F6CD8"/>
    <w:rsid w:val="00A02550"/>
    <w:rsid w:val="00A05A57"/>
    <w:rsid w:val="00A06511"/>
    <w:rsid w:val="00A076EF"/>
    <w:rsid w:val="00A11994"/>
    <w:rsid w:val="00A12C75"/>
    <w:rsid w:val="00A12DCF"/>
    <w:rsid w:val="00A13086"/>
    <w:rsid w:val="00A148AA"/>
    <w:rsid w:val="00A14EF7"/>
    <w:rsid w:val="00A1597C"/>
    <w:rsid w:val="00A17251"/>
    <w:rsid w:val="00A20F40"/>
    <w:rsid w:val="00A23455"/>
    <w:rsid w:val="00A25FD7"/>
    <w:rsid w:val="00A30D0D"/>
    <w:rsid w:val="00A30ED2"/>
    <w:rsid w:val="00A32BEC"/>
    <w:rsid w:val="00A34E29"/>
    <w:rsid w:val="00A35933"/>
    <w:rsid w:val="00A377EF"/>
    <w:rsid w:val="00A41514"/>
    <w:rsid w:val="00A41B9D"/>
    <w:rsid w:val="00A42E07"/>
    <w:rsid w:val="00A43AFF"/>
    <w:rsid w:val="00A44EDC"/>
    <w:rsid w:val="00A4526B"/>
    <w:rsid w:val="00A45F55"/>
    <w:rsid w:val="00A46FF1"/>
    <w:rsid w:val="00A5002B"/>
    <w:rsid w:val="00A513D4"/>
    <w:rsid w:val="00A525A4"/>
    <w:rsid w:val="00A53D52"/>
    <w:rsid w:val="00A5496D"/>
    <w:rsid w:val="00A559EC"/>
    <w:rsid w:val="00A55EE8"/>
    <w:rsid w:val="00A574E9"/>
    <w:rsid w:val="00A61EFC"/>
    <w:rsid w:val="00A65143"/>
    <w:rsid w:val="00A70254"/>
    <w:rsid w:val="00A70B0B"/>
    <w:rsid w:val="00A71292"/>
    <w:rsid w:val="00A714DF"/>
    <w:rsid w:val="00A71994"/>
    <w:rsid w:val="00A71D73"/>
    <w:rsid w:val="00A7793A"/>
    <w:rsid w:val="00A77CF1"/>
    <w:rsid w:val="00A824B7"/>
    <w:rsid w:val="00A847B3"/>
    <w:rsid w:val="00A84F81"/>
    <w:rsid w:val="00A85387"/>
    <w:rsid w:val="00A8670B"/>
    <w:rsid w:val="00A908DA"/>
    <w:rsid w:val="00A90F75"/>
    <w:rsid w:val="00A91504"/>
    <w:rsid w:val="00A924EB"/>
    <w:rsid w:val="00A92673"/>
    <w:rsid w:val="00A935D6"/>
    <w:rsid w:val="00A94973"/>
    <w:rsid w:val="00A94EBF"/>
    <w:rsid w:val="00A96B4A"/>
    <w:rsid w:val="00A9721D"/>
    <w:rsid w:val="00A97951"/>
    <w:rsid w:val="00AA0237"/>
    <w:rsid w:val="00AA078F"/>
    <w:rsid w:val="00AA18EE"/>
    <w:rsid w:val="00AA268A"/>
    <w:rsid w:val="00AA3708"/>
    <w:rsid w:val="00AA4CC7"/>
    <w:rsid w:val="00AA58CD"/>
    <w:rsid w:val="00AA5E8E"/>
    <w:rsid w:val="00AA7274"/>
    <w:rsid w:val="00AB2BAD"/>
    <w:rsid w:val="00AB5F65"/>
    <w:rsid w:val="00AB60F0"/>
    <w:rsid w:val="00AB65DA"/>
    <w:rsid w:val="00AB6C1A"/>
    <w:rsid w:val="00AB6CA7"/>
    <w:rsid w:val="00AC2F43"/>
    <w:rsid w:val="00AC32FE"/>
    <w:rsid w:val="00AC402E"/>
    <w:rsid w:val="00AC428B"/>
    <w:rsid w:val="00AC722D"/>
    <w:rsid w:val="00AC7DD0"/>
    <w:rsid w:val="00AD01E4"/>
    <w:rsid w:val="00AD0858"/>
    <w:rsid w:val="00AD1A3C"/>
    <w:rsid w:val="00AD2AFA"/>
    <w:rsid w:val="00AD2CFB"/>
    <w:rsid w:val="00AD3F81"/>
    <w:rsid w:val="00AD5772"/>
    <w:rsid w:val="00AD6CDC"/>
    <w:rsid w:val="00AD7EE4"/>
    <w:rsid w:val="00AE02E3"/>
    <w:rsid w:val="00AE63ED"/>
    <w:rsid w:val="00AE7340"/>
    <w:rsid w:val="00AE7562"/>
    <w:rsid w:val="00AE7BE6"/>
    <w:rsid w:val="00AE7D94"/>
    <w:rsid w:val="00AF1BBD"/>
    <w:rsid w:val="00AF3757"/>
    <w:rsid w:val="00AF6069"/>
    <w:rsid w:val="00B00FEF"/>
    <w:rsid w:val="00B03330"/>
    <w:rsid w:val="00B03FF7"/>
    <w:rsid w:val="00B04F7B"/>
    <w:rsid w:val="00B0521F"/>
    <w:rsid w:val="00B05826"/>
    <w:rsid w:val="00B05CE9"/>
    <w:rsid w:val="00B06A17"/>
    <w:rsid w:val="00B07E87"/>
    <w:rsid w:val="00B10207"/>
    <w:rsid w:val="00B10A86"/>
    <w:rsid w:val="00B11445"/>
    <w:rsid w:val="00B1282E"/>
    <w:rsid w:val="00B131AD"/>
    <w:rsid w:val="00B141E7"/>
    <w:rsid w:val="00B14845"/>
    <w:rsid w:val="00B17205"/>
    <w:rsid w:val="00B17B94"/>
    <w:rsid w:val="00B25C65"/>
    <w:rsid w:val="00B27F3E"/>
    <w:rsid w:val="00B32AE9"/>
    <w:rsid w:val="00B342F2"/>
    <w:rsid w:val="00B351B4"/>
    <w:rsid w:val="00B368BD"/>
    <w:rsid w:val="00B374BE"/>
    <w:rsid w:val="00B46434"/>
    <w:rsid w:val="00B46907"/>
    <w:rsid w:val="00B46BCA"/>
    <w:rsid w:val="00B46D79"/>
    <w:rsid w:val="00B478AA"/>
    <w:rsid w:val="00B54FAF"/>
    <w:rsid w:val="00B57552"/>
    <w:rsid w:val="00B5771E"/>
    <w:rsid w:val="00B614AD"/>
    <w:rsid w:val="00B61CEA"/>
    <w:rsid w:val="00B62BD1"/>
    <w:rsid w:val="00B67335"/>
    <w:rsid w:val="00B676DA"/>
    <w:rsid w:val="00B712CF"/>
    <w:rsid w:val="00B7134D"/>
    <w:rsid w:val="00B7388C"/>
    <w:rsid w:val="00B83493"/>
    <w:rsid w:val="00B8678D"/>
    <w:rsid w:val="00B87806"/>
    <w:rsid w:val="00B87EC9"/>
    <w:rsid w:val="00B94527"/>
    <w:rsid w:val="00B94E22"/>
    <w:rsid w:val="00B966E3"/>
    <w:rsid w:val="00BA164D"/>
    <w:rsid w:val="00BA20C1"/>
    <w:rsid w:val="00BA4338"/>
    <w:rsid w:val="00BA4778"/>
    <w:rsid w:val="00BA4D67"/>
    <w:rsid w:val="00BB18A2"/>
    <w:rsid w:val="00BB3129"/>
    <w:rsid w:val="00BB451A"/>
    <w:rsid w:val="00BB6141"/>
    <w:rsid w:val="00BC0439"/>
    <w:rsid w:val="00BC073C"/>
    <w:rsid w:val="00BC292F"/>
    <w:rsid w:val="00BC38FD"/>
    <w:rsid w:val="00BC3DBF"/>
    <w:rsid w:val="00BC6C81"/>
    <w:rsid w:val="00BC72A3"/>
    <w:rsid w:val="00BD0079"/>
    <w:rsid w:val="00BD085D"/>
    <w:rsid w:val="00BD23D9"/>
    <w:rsid w:val="00BD311A"/>
    <w:rsid w:val="00BD585C"/>
    <w:rsid w:val="00BD6C9C"/>
    <w:rsid w:val="00BE15FC"/>
    <w:rsid w:val="00BE2AE0"/>
    <w:rsid w:val="00BE396C"/>
    <w:rsid w:val="00BE577F"/>
    <w:rsid w:val="00BE7C77"/>
    <w:rsid w:val="00BF0063"/>
    <w:rsid w:val="00BF02FD"/>
    <w:rsid w:val="00BF332D"/>
    <w:rsid w:val="00BF4D0C"/>
    <w:rsid w:val="00BF4EA4"/>
    <w:rsid w:val="00BF511E"/>
    <w:rsid w:val="00BF5CF6"/>
    <w:rsid w:val="00BF5DCF"/>
    <w:rsid w:val="00C034CB"/>
    <w:rsid w:val="00C04858"/>
    <w:rsid w:val="00C04A16"/>
    <w:rsid w:val="00C051A8"/>
    <w:rsid w:val="00C054BC"/>
    <w:rsid w:val="00C062CB"/>
    <w:rsid w:val="00C06E32"/>
    <w:rsid w:val="00C105AC"/>
    <w:rsid w:val="00C1169C"/>
    <w:rsid w:val="00C11C0F"/>
    <w:rsid w:val="00C121B3"/>
    <w:rsid w:val="00C12437"/>
    <w:rsid w:val="00C12D57"/>
    <w:rsid w:val="00C15F91"/>
    <w:rsid w:val="00C17897"/>
    <w:rsid w:val="00C208B4"/>
    <w:rsid w:val="00C24554"/>
    <w:rsid w:val="00C2584E"/>
    <w:rsid w:val="00C2701B"/>
    <w:rsid w:val="00C306F1"/>
    <w:rsid w:val="00C3091F"/>
    <w:rsid w:val="00C310A9"/>
    <w:rsid w:val="00C3203A"/>
    <w:rsid w:val="00C33B42"/>
    <w:rsid w:val="00C36CB2"/>
    <w:rsid w:val="00C409D5"/>
    <w:rsid w:val="00C4122C"/>
    <w:rsid w:val="00C41C65"/>
    <w:rsid w:val="00C435C3"/>
    <w:rsid w:val="00C44E5F"/>
    <w:rsid w:val="00C51B7C"/>
    <w:rsid w:val="00C52C3E"/>
    <w:rsid w:val="00C52E57"/>
    <w:rsid w:val="00C54E60"/>
    <w:rsid w:val="00C55E7D"/>
    <w:rsid w:val="00C56B5E"/>
    <w:rsid w:val="00C60611"/>
    <w:rsid w:val="00C61ADB"/>
    <w:rsid w:val="00C6234B"/>
    <w:rsid w:val="00C62A93"/>
    <w:rsid w:val="00C636C1"/>
    <w:rsid w:val="00C63EAE"/>
    <w:rsid w:val="00C66F44"/>
    <w:rsid w:val="00C702A0"/>
    <w:rsid w:val="00C73260"/>
    <w:rsid w:val="00C734E1"/>
    <w:rsid w:val="00C73569"/>
    <w:rsid w:val="00C73E0A"/>
    <w:rsid w:val="00C73F8B"/>
    <w:rsid w:val="00C7629F"/>
    <w:rsid w:val="00C82765"/>
    <w:rsid w:val="00C84016"/>
    <w:rsid w:val="00C85376"/>
    <w:rsid w:val="00C8621C"/>
    <w:rsid w:val="00C8661B"/>
    <w:rsid w:val="00C91F21"/>
    <w:rsid w:val="00C963EA"/>
    <w:rsid w:val="00CA03C8"/>
    <w:rsid w:val="00CA1003"/>
    <w:rsid w:val="00CA139A"/>
    <w:rsid w:val="00CA2899"/>
    <w:rsid w:val="00CA33C3"/>
    <w:rsid w:val="00CA3A3D"/>
    <w:rsid w:val="00CA3AA6"/>
    <w:rsid w:val="00CA43EE"/>
    <w:rsid w:val="00CA5959"/>
    <w:rsid w:val="00CA6766"/>
    <w:rsid w:val="00CA77FB"/>
    <w:rsid w:val="00CB293B"/>
    <w:rsid w:val="00CB379B"/>
    <w:rsid w:val="00CB425B"/>
    <w:rsid w:val="00CB5488"/>
    <w:rsid w:val="00CB5DD0"/>
    <w:rsid w:val="00CB6103"/>
    <w:rsid w:val="00CB7893"/>
    <w:rsid w:val="00CC1EF5"/>
    <w:rsid w:val="00CC2B13"/>
    <w:rsid w:val="00CC51D4"/>
    <w:rsid w:val="00CC65DA"/>
    <w:rsid w:val="00CC7FB5"/>
    <w:rsid w:val="00CD1B69"/>
    <w:rsid w:val="00CD28FE"/>
    <w:rsid w:val="00CD29CC"/>
    <w:rsid w:val="00CD3294"/>
    <w:rsid w:val="00CD3D1B"/>
    <w:rsid w:val="00CD42EE"/>
    <w:rsid w:val="00CD61EC"/>
    <w:rsid w:val="00CD7507"/>
    <w:rsid w:val="00CD7A84"/>
    <w:rsid w:val="00CE09AF"/>
    <w:rsid w:val="00CE0CB3"/>
    <w:rsid w:val="00CE277F"/>
    <w:rsid w:val="00CE3CE3"/>
    <w:rsid w:val="00CE55C7"/>
    <w:rsid w:val="00CE7282"/>
    <w:rsid w:val="00CF21B9"/>
    <w:rsid w:val="00CF2697"/>
    <w:rsid w:val="00CF491A"/>
    <w:rsid w:val="00CF6BF9"/>
    <w:rsid w:val="00D00F19"/>
    <w:rsid w:val="00D0221F"/>
    <w:rsid w:val="00D03800"/>
    <w:rsid w:val="00D03ED3"/>
    <w:rsid w:val="00D0416E"/>
    <w:rsid w:val="00D05FA0"/>
    <w:rsid w:val="00D065D3"/>
    <w:rsid w:val="00D07678"/>
    <w:rsid w:val="00D11426"/>
    <w:rsid w:val="00D11CE6"/>
    <w:rsid w:val="00D11DFE"/>
    <w:rsid w:val="00D14C94"/>
    <w:rsid w:val="00D155DC"/>
    <w:rsid w:val="00D2069A"/>
    <w:rsid w:val="00D22C1B"/>
    <w:rsid w:val="00D26E90"/>
    <w:rsid w:val="00D275A9"/>
    <w:rsid w:val="00D342A6"/>
    <w:rsid w:val="00D35803"/>
    <w:rsid w:val="00D360E9"/>
    <w:rsid w:val="00D4396B"/>
    <w:rsid w:val="00D45CA6"/>
    <w:rsid w:val="00D464BF"/>
    <w:rsid w:val="00D47750"/>
    <w:rsid w:val="00D47CFF"/>
    <w:rsid w:val="00D51367"/>
    <w:rsid w:val="00D51FF6"/>
    <w:rsid w:val="00D52001"/>
    <w:rsid w:val="00D53C4B"/>
    <w:rsid w:val="00D53E26"/>
    <w:rsid w:val="00D55AFE"/>
    <w:rsid w:val="00D6073B"/>
    <w:rsid w:val="00D61722"/>
    <w:rsid w:val="00D620B0"/>
    <w:rsid w:val="00D63A7F"/>
    <w:rsid w:val="00D63BB6"/>
    <w:rsid w:val="00D64F10"/>
    <w:rsid w:val="00D6710A"/>
    <w:rsid w:val="00D70D55"/>
    <w:rsid w:val="00D73840"/>
    <w:rsid w:val="00D7649D"/>
    <w:rsid w:val="00D8070F"/>
    <w:rsid w:val="00D82A0B"/>
    <w:rsid w:val="00D82A0C"/>
    <w:rsid w:val="00D82E24"/>
    <w:rsid w:val="00D83F43"/>
    <w:rsid w:val="00D85DCC"/>
    <w:rsid w:val="00D861D4"/>
    <w:rsid w:val="00D86E6F"/>
    <w:rsid w:val="00D8780D"/>
    <w:rsid w:val="00D87DF2"/>
    <w:rsid w:val="00D92A14"/>
    <w:rsid w:val="00D936D4"/>
    <w:rsid w:val="00D93FF6"/>
    <w:rsid w:val="00D97D53"/>
    <w:rsid w:val="00DA05EF"/>
    <w:rsid w:val="00DA15E5"/>
    <w:rsid w:val="00DA36EC"/>
    <w:rsid w:val="00DA3C72"/>
    <w:rsid w:val="00DA5E4F"/>
    <w:rsid w:val="00DA684E"/>
    <w:rsid w:val="00DA75E3"/>
    <w:rsid w:val="00DB182C"/>
    <w:rsid w:val="00DB3DE7"/>
    <w:rsid w:val="00DB5129"/>
    <w:rsid w:val="00DC1B82"/>
    <w:rsid w:val="00DC1F56"/>
    <w:rsid w:val="00DC1FE4"/>
    <w:rsid w:val="00DC36E1"/>
    <w:rsid w:val="00DC39FB"/>
    <w:rsid w:val="00DC5D79"/>
    <w:rsid w:val="00DC6169"/>
    <w:rsid w:val="00DC681E"/>
    <w:rsid w:val="00DC73D3"/>
    <w:rsid w:val="00DD4F0E"/>
    <w:rsid w:val="00DE131E"/>
    <w:rsid w:val="00DE32A4"/>
    <w:rsid w:val="00DF0035"/>
    <w:rsid w:val="00DF0BF0"/>
    <w:rsid w:val="00DF0D06"/>
    <w:rsid w:val="00DF16F5"/>
    <w:rsid w:val="00DF1E26"/>
    <w:rsid w:val="00DF3CA2"/>
    <w:rsid w:val="00DF43E2"/>
    <w:rsid w:val="00DF5D23"/>
    <w:rsid w:val="00DF5DC2"/>
    <w:rsid w:val="00DF73BF"/>
    <w:rsid w:val="00DF753F"/>
    <w:rsid w:val="00DF7ECF"/>
    <w:rsid w:val="00E0012C"/>
    <w:rsid w:val="00E00148"/>
    <w:rsid w:val="00E01351"/>
    <w:rsid w:val="00E01438"/>
    <w:rsid w:val="00E01463"/>
    <w:rsid w:val="00E01EEF"/>
    <w:rsid w:val="00E025CC"/>
    <w:rsid w:val="00E02E9A"/>
    <w:rsid w:val="00E03AEB"/>
    <w:rsid w:val="00E03E8E"/>
    <w:rsid w:val="00E05E0A"/>
    <w:rsid w:val="00E060BE"/>
    <w:rsid w:val="00E1068D"/>
    <w:rsid w:val="00E12292"/>
    <w:rsid w:val="00E1761C"/>
    <w:rsid w:val="00E17A29"/>
    <w:rsid w:val="00E17BDD"/>
    <w:rsid w:val="00E21114"/>
    <w:rsid w:val="00E2295C"/>
    <w:rsid w:val="00E230FA"/>
    <w:rsid w:val="00E2456F"/>
    <w:rsid w:val="00E2567C"/>
    <w:rsid w:val="00E26B95"/>
    <w:rsid w:val="00E303D6"/>
    <w:rsid w:val="00E36082"/>
    <w:rsid w:val="00E372EF"/>
    <w:rsid w:val="00E419CA"/>
    <w:rsid w:val="00E5079F"/>
    <w:rsid w:val="00E50A66"/>
    <w:rsid w:val="00E534CF"/>
    <w:rsid w:val="00E53C19"/>
    <w:rsid w:val="00E54327"/>
    <w:rsid w:val="00E57298"/>
    <w:rsid w:val="00E63920"/>
    <w:rsid w:val="00E64023"/>
    <w:rsid w:val="00E65958"/>
    <w:rsid w:val="00E66475"/>
    <w:rsid w:val="00E66D80"/>
    <w:rsid w:val="00E67370"/>
    <w:rsid w:val="00E677CA"/>
    <w:rsid w:val="00E734B9"/>
    <w:rsid w:val="00E73E7D"/>
    <w:rsid w:val="00E74C41"/>
    <w:rsid w:val="00E74C75"/>
    <w:rsid w:val="00E74D93"/>
    <w:rsid w:val="00E757BD"/>
    <w:rsid w:val="00E7717C"/>
    <w:rsid w:val="00E81C3A"/>
    <w:rsid w:val="00E81CB4"/>
    <w:rsid w:val="00E81E72"/>
    <w:rsid w:val="00E83C54"/>
    <w:rsid w:val="00E850BE"/>
    <w:rsid w:val="00E8585B"/>
    <w:rsid w:val="00E86D67"/>
    <w:rsid w:val="00E87229"/>
    <w:rsid w:val="00E87F41"/>
    <w:rsid w:val="00E9126E"/>
    <w:rsid w:val="00E93529"/>
    <w:rsid w:val="00E94C4B"/>
    <w:rsid w:val="00E94DD4"/>
    <w:rsid w:val="00E95464"/>
    <w:rsid w:val="00E964D4"/>
    <w:rsid w:val="00E96B98"/>
    <w:rsid w:val="00E9792C"/>
    <w:rsid w:val="00EA1324"/>
    <w:rsid w:val="00EA3F15"/>
    <w:rsid w:val="00EA7847"/>
    <w:rsid w:val="00EB0495"/>
    <w:rsid w:val="00EB075F"/>
    <w:rsid w:val="00EB2CD7"/>
    <w:rsid w:val="00EB3701"/>
    <w:rsid w:val="00EB4C2F"/>
    <w:rsid w:val="00EB57AE"/>
    <w:rsid w:val="00EB7D7B"/>
    <w:rsid w:val="00EC0FEE"/>
    <w:rsid w:val="00EC2ABD"/>
    <w:rsid w:val="00EC2D2C"/>
    <w:rsid w:val="00EC464C"/>
    <w:rsid w:val="00EC5E77"/>
    <w:rsid w:val="00EC62E1"/>
    <w:rsid w:val="00ED14E2"/>
    <w:rsid w:val="00EE299D"/>
    <w:rsid w:val="00EE2E6E"/>
    <w:rsid w:val="00EE5C83"/>
    <w:rsid w:val="00EF01F8"/>
    <w:rsid w:val="00EF2279"/>
    <w:rsid w:val="00EF27A3"/>
    <w:rsid w:val="00EF28C6"/>
    <w:rsid w:val="00EF32B2"/>
    <w:rsid w:val="00EF7445"/>
    <w:rsid w:val="00F00196"/>
    <w:rsid w:val="00F02765"/>
    <w:rsid w:val="00F050FE"/>
    <w:rsid w:val="00F073CD"/>
    <w:rsid w:val="00F0759E"/>
    <w:rsid w:val="00F11931"/>
    <w:rsid w:val="00F11A93"/>
    <w:rsid w:val="00F12683"/>
    <w:rsid w:val="00F157DA"/>
    <w:rsid w:val="00F16A43"/>
    <w:rsid w:val="00F17F54"/>
    <w:rsid w:val="00F2338E"/>
    <w:rsid w:val="00F2379B"/>
    <w:rsid w:val="00F238F1"/>
    <w:rsid w:val="00F30BA3"/>
    <w:rsid w:val="00F3402F"/>
    <w:rsid w:val="00F34690"/>
    <w:rsid w:val="00F34DEA"/>
    <w:rsid w:val="00F35DC7"/>
    <w:rsid w:val="00F363BC"/>
    <w:rsid w:val="00F4095E"/>
    <w:rsid w:val="00F41385"/>
    <w:rsid w:val="00F44F60"/>
    <w:rsid w:val="00F46060"/>
    <w:rsid w:val="00F46215"/>
    <w:rsid w:val="00F46780"/>
    <w:rsid w:val="00F4782D"/>
    <w:rsid w:val="00F50889"/>
    <w:rsid w:val="00F51CBA"/>
    <w:rsid w:val="00F54183"/>
    <w:rsid w:val="00F54FC2"/>
    <w:rsid w:val="00F55DB1"/>
    <w:rsid w:val="00F55E8D"/>
    <w:rsid w:val="00F561F1"/>
    <w:rsid w:val="00F609BA"/>
    <w:rsid w:val="00F60D90"/>
    <w:rsid w:val="00F61063"/>
    <w:rsid w:val="00F6139C"/>
    <w:rsid w:val="00F6414C"/>
    <w:rsid w:val="00F652B6"/>
    <w:rsid w:val="00F657B7"/>
    <w:rsid w:val="00F7098C"/>
    <w:rsid w:val="00F7173B"/>
    <w:rsid w:val="00F7404B"/>
    <w:rsid w:val="00F747F0"/>
    <w:rsid w:val="00F758F7"/>
    <w:rsid w:val="00F77D2D"/>
    <w:rsid w:val="00F81DD0"/>
    <w:rsid w:val="00F821A3"/>
    <w:rsid w:val="00F8437E"/>
    <w:rsid w:val="00F87182"/>
    <w:rsid w:val="00F930A3"/>
    <w:rsid w:val="00F9314A"/>
    <w:rsid w:val="00F93683"/>
    <w:rsid w:val="00F9376B"/>
    <w:rsid w:val="00F940B2"/>
    <w:rsid w:val="00F95BD2"/>
    <w:rsid w:val="00F96551"/>
    <w:rsid w:val="00F97EC7"/>
    <w:rsid w:val="00FA01AB"/>
    <w:rsid w:val="00FA2239"/>
    <w:rsid w:val="00FA2439"/>
    <w:rsid w:val="00FA4DB0"/>
    <w:rsid w:val="00FA6924"/>
    <w:rsid w:val="00FA69A5"/>
    <w:rsid w:val="00FA7BB7"/>
    <w:rsid w:val="00FB1AFE"/>
    <w:rsid w:val="00FB409F"/>
    <w:rsid w:val="00FC33E7"/>
    <w:rsid w:val="00FC3AA7"/>
    <w:rsid w:val="00FC58EF"/>
    <w:rsid w:val="00FC65D8"/>
    <w:rsid w:val="00FC7051"/>
    <w:rsid w:val="00FC7F95"/>
    <w:rsid w:val="00FD0F1C"/>
    <w:rsid w:val="00FD214A"/>
    <w:rsid w:val="00FD33DF"/>
    <w:rsid w:val="00FD51B5"/>
    <w:rsid w:val="00FD6560"/>
    <w:rsid w:val="00FE05DE"/>
    <w:rsid w:val="00FE1105"/>
    <w:rsid w:val="00FE1BA9"/>
    <w:rsid w:val="00FE32C6"/>
    <w:rsid w:val="00FE39D7"/>
    <w:rsid w:val="00FE4A99"/>
    <w:rsid w:val="00FE6789"/>
    <w:rsid w:val="00FF1B4B"/>
    <w:rsid w:val="00FF76D1"/>
    <w:rsid w:val="012E5C4A"/>
    <w:rsid w:val="022358EE"/>
    <w:rsid w:val="03818217"/>
    <w:rsid w:val="040FF82D"/>
    <w:rsid w:val="05E35E7B"/>
    <w:rsid w:val="0661EF94"/>
    <w:rsid w:val="06EE9290"/>
    <w:rsid w:val="0870AF74"/>
    <w:rsid w:val="08806A53"/>
    <w:rsid w:val="0ABE5A97"/>
    <w:rsid w:val="0B910D42"/>
    <w:rsid w:val="0CA34FCA"/>
    <w:rsid w:val="0F0802BA"/>
    <w:rsid w:val="101B613E"/>
    <w:rsid w:val="11B838AA"/>
    <w:rsid w:val="1208B9D5"/>
    <w:rsid w:val="125374A7"/>
    <w:rsid w:val="125EF0AD"/>
    <w:rsid w:val="166CCEAE"/>
    <w:rsid w:val="1947B6D0"/>
    <w:rsid w:val="19A724A6"/>
    <w:rsid w:val="19EE1DF0"/>
    <w:rsid w:val="1A6E8B38"/>
    <w:rsid w:val="1AC4F81D"/>
    <w:rsid w:val="1B64806C"/>
    <w:rsid w:val="1BCFC80C"/>
    <w:rsid w:val="1CEECFFE"/>
    <w:rsid w:val="1D59E82B"/>
    <w:rsid w:val="1D692FDA"/>
    <w:rsid w:val="1DB62F51"/>
    <w:rsid w:val="222207DA"/>
    <w:rsid w:val="22870870"/>
    <w:rsid w:val="23170B81"/>
    <w:rsid w:val="23A698EA"/>
    <w:rsid w:val="2539471A"/>
    <w:rsid w:val="2543B39E"/>
    <w:rsid w:val="276CA97C"/>
    <w:rsid w:val="2780EA54"/>
    <w:rsid w:val="27DFF5AF"/>
    <w:rsid w:val="2C48CF27"/>
    <w:rsid w:val="2C8C063C"/>
    <w:rsid w:val="2EDDE098"/>
    <w:rsid w:val="30B780BA"/>
    <w:rsid w:val="310795AC"/>
    <w:rsid w:val="322D99FB"/>
    <w:rsid w:val="34340FFC"/>
    <w:rsid w:val="3445C8D5"/>
    <w:rsid w:val="37AAA59F"/>
    <w:rsid w:val="39346B19"/>
    <w:rsid w:val="39B0BB37"/>
    <w:rsid w:val="3A0F60E2"/>
    <w:rsid w:val="3BA2F574"/>
    <w:rsid w:val="3D6A418F"/>
    <w:rsid w:val="40505EE8"/>
    <w:rsid w:val="40F5789B"/>
    <w:rsid w:val="41401925"/>
    <w:rsid w:val="4159E9B6"/>
    <w:rsid w:val="42CB4A2A"/>
    <w:rsid w:val="4359DD8B"/>
    <w:rsid w:val="4378E4B0"/>
    <w:rsid w:val="47A376D2"/>
    <w:rsid w:val="4902001C"/>
    <w:rsid w:val="49071B67"/>
    <w:rsid w:val="4986E073"/>
    <w:rsid w:val="4A22A28E"/>
    <w:rsid w:val="4E23C23F"/>
    <w:rsid w:val="4E6125D2"/>
    <w:rsid w:val="4F4EA61A"/>
    <w:rsid w:val="4FED338E"/>
    <w:rsid w:val="5041C725"/>
    <w:rsid w:val="50B9089E"/>
    <w:rsid w:val="55DF1974"/>
    <w:rsid w:val="56D235EC"/>
    <w:rsid w:val="57024D31"/>
    <w:rsid w:val="580AF0FB"/>
    <w:rsid w:val="584861F1"/>
    <w:rsid w:val="5AF7E7EA"/>
    <w:rsid w:val="5B28D5DA"/>
    <w:rsid w:val="5CF1ABCA"/>
    <w:rsid w:val="5CF99E40"/>
    <w:rsid w:val="5D319A2B"/>
    <w:rsid w:val="611B498D"/>
    <w:rsid w:val="61AC27D7"/>
    <w:rsid w:val="61EE367F"/>
    <w:rsid w:val="622D173D"/>
    <w:rsid w:val="628CA5A3"/>
    <w:rsid w:val="63E11E0F"/>
    <w:rsid w:val="658FEDE4"/>
    <w:rsid w:val="67D2B044"/>
    <w:rsid w:val="67E767C6"/>
    <w:rsid w:val="6A040609"/>
    <w:rsid w:val="6DF7FB8E"/>
    <w:rsid w:val="6E5CB351"/>
    <w:rsid w:val="7098531E"/>
    <w:rsid w:val="7358A1B4"/>
    <w:rsid w:val="755F3665"/>
    <w:rsid w:val="75FA6393"/>
    <w:rsid w:val="78654B9C"/>
    <w:rsid w:val="79C08CB4"/>
    <w:rsid w:val="7A041719"/>
    <w:rsid w:val="7A0A4CE0"/>
    <w:rsid w:val="7B3FA106"/>
    <w:rsid w:val="7C640FA5"/>
    <w:rsid w:val="7DBCE4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1AB8E505-884E-492E-9FBC-D2253BF5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character" w:styleId="Refdecomentario">
    <w:name w:val="annotation reference"/>
    <w:basedOn w:val="Fuentedeprrafopredeter"/>
    <w:uiPriority w:val="99"/>
    <w:semiHidden/>
    <w:unhideWhenUsed/>
    <w:rsid w:val="000F4B92"/>
    <w:rPr>
      <w:sz w:val="16"/>
      <w:szCs w:val="16"/>
    </w:rPr>
  </w:style>
  <w:style w:type="paragraph" w:styleId="Textocomentario">
    <w:name w:val="annotation text"/>
    <w:basedOn w:val="Normal"/>
    <w:link w:val="TextocomentarioCar"/>
    <w:uiPriority w:val="99"/>
    <w:unhideWhenUsed/>
    <w:rsid w:val="000F4B92"/>
    <w:rPr>
      <w:sz w:val="20"/>
      <w:szCs w:val="20"/>
    </w:rPr>
  </w:style>
  <w:style w:type="character" w:customStyle="1" w:styleId="TextocomentarioCar">
    <w:name w:val="Texto comentario Car"/>
    <w:basedOn w:val="Fuentedeprrafopredeter"/>
    <w:link w:val="Textocomentario"/>
    <w:uiPriority w:val="99"/>
    <w:rsid w:val="000F4B92"/>
    <w:rPr>
      <w:lang w:val="es-ES" w:eastAsia="es-ES"/>
    </w:rPr>
  </w:style>
  <w:style w:type="paragraph" w:styleId="Asuntodelcomentario">
    <w:name w:val="annotation subject"/>
    <w:basedOn w:val="Textocomentario"/>
    <w:next w:val="Textocomentario"/>
    <w:link w:val="AsuntodelcomentarioCar"/>
    <w:uiPriority w:val="99"/>
    <w:semiHidden/>
    <w:unhideWhenUsed/>
    <w:rsid w:val="000F4B92"/>
    <w:rPr>
      <w:b/>
      <w:bCs/>
    </w:rPr>
  </w:style>
  <w:style w:type="character" w:customStyle="1" w:styleId="AsuntodelcomentarioCar">
    <w:name w:val="Asunto del comentario Car"/>
    <w:basedOn w:val="TextocomentarioCar"/>
    <w:link w:val="Asuntodelcomentario"/>
    <w:uiPriority w:val="99"/>
    <w:semiHidden/>
    <w:rsid w:val="000F4B92"/>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7757">
      <w:bodyDiv w:val="1"/>
      <w:marLeft w:val="0"/>
      <w:marRight w:val="0"/>
      <w:marTop w:val="0"/>
      <w:marBottom w:val="0"/>
      <w:divBdr>
        <w:top w:val="none" w:sz="0" w:space="0" w:color="auto"/>
        <w:left w:val="none" w:sz="0" w:space="0" w:color="auto"/>
        <w:bottom w:val="none" w:sz="0" w:space="0" w:color="auto"/>
        <w:right w:val="none" w:sz="0" w:space="0" w:color="auto"/>
      </w:divBdr>
    </w:div>
    <w:div w:id="929461585">
      <w:bodyDiv w:val="1"/>
      <w:marLeft w:val="0"/>
      <w:marRight w:val="0"/>
      <w:marTop w:val="0"/>
      <w:marBottom w:val="0"/>
      <w:divBdr>
        <w:top w:val="none" w:sz="0" w:space="0" w:color="auto"/>
        <w:left w:val="none" w:sz="0" w:space="0" w:color="auto"/>
        <w:bottom w:val="none" w:sz="0" w:space="0" w:color="auto"/>
        <w:right w:val="none" w:sz="0" w:space="0" w:color="auto"/>
      </w:divBdr>
    </w:div>
    <w:div w:id="1459957030">
      <w:bodyDiv w:val="1"/>
      <w:marLeft w:val="0"/>
      <w:marRight w:val="0"/>
      <w:marTop w:val="0"/>
      <w:marBottom w:val="0"/>
      <w:divBdr>
        <w:top w:val="none" w:sz="0" w:space="0" w:color="auto"/>
        <w:left w:val="none" w:sz="0" w:space="0" w:color="auto"/>
        <w:bottom w:val="none" w:sz="0" w:space="0" w:color="auto"/>
        <w:right w:val="none" w:sz="0" w:space="0" w:color="auto"/>
      </w:divBdr>
    </w:div>
    <w:div w:id="1693606571">
      <w:bodyDiv w:val="1"/>
      <w:marLeft w:val="0"/>
      <w:marRight w:val="0"/>
      <w:marTop w:val="0"/>
      <w:marBottom w:val="0"/>
      <w:divBdr>
        <w:top w:val="none" w:sz="0" w:space="0" w:color="auto"/>
        <w:left w:val="none" w:sz="0" w:space="0" w:color="auto"/>
        <w:bottom w:val="none" w:sz="0" w:space="0" w:color="auto"/>
        <w:right w:val="none" w:sz="0" w:space="0" w:color="auto"/>
      </w:divBdr>
    </w:div>
    <w:div w:id="1804422718">
      <w:bodyDiv w:val="1"/>
      <w:marLeft w:val="0"/>
      <w:marRight w:val="0"/>
      <w:marTop w:val="0"/>
      <w:marBottom w:val="0"/>
      <w:divBdr>
        <w:top w:val="none" w:sz="0" w:space="0" w:color="auto"/>
        <w:left w:val="none" w:sz="0" w:space="0" w:color="auto"/>
        <w:bottom w:val="none" w:sz="0" w:space="0" w:color="auto"/>
        <w:right w:val="none" w:sz="0" w:space="0" w:color="auto"/>
      </w:divBdr>
    </w:div>
    <w:div w:id="1963072922">
      <w:bodyDiv w:val="1"/>
      <w:marLeft w:val="0"/>
      <w:marRight w:val="0"/>
      <w:marTop w:val="0"/>
      <w:marBottom w:val="0"/>
      <w:divBdr>
        <w:top w:val="none" w:sz="0" w:space="0" w:color="auto"/>
        <w:left w:val="none" w:sz="0" w:space="0" w:color="auto"/>
        <w:bottom w:val="none" w:sz="0" w:space="0" w:color="auto"/>
        <w:right w:val="none" w:sz="0" w:space="0" w:color="auto"/>
      </w:divBdr>
    </w:div>
    <w:div w:id="2000690265">
      <w:bodyDiv w:val="1"/>
      <w:marLeft w:val="0"/>
      <w:marRight w:val="0"/>
      <w:marTop w:val="0"/>
      <w:marBottom w:val="0"/>
      <w:divBdr>
        <w:top w:val="none" w:sz="0" w:space="0" w:color="auto"/>
        <w:left w:val="none" w:sz="0" w:space="0" w:color="auto"/>
        <w:bottom w:val="none" w:sz="0" w:space="0" w:color="auto"/>
        <w:right w:val="none" w:sz="0" w:space="0" w:color="auto"/>
      </w:divBdr>
    </w:div>
    <w:div w:id="21018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649a11-d5e3-4d79-a1ca-9592dfa242c6" xsi:nil="true"/>
    <lcf76f155ced4ddcb4097134ff3c332f xmlns="dc013113-1dca-4df1-85dc-f9b02cbd6c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9DDBF8EA4AC10409E5DD136B884FF26" ma:contentTypeVersion="15" ma:contentTypeDescription="Crear nuevo documento." ma:contentTypeScope="" ma:versionID="a4811fd81d9c8a584a4293fbceb800d6">
  <xsd:schema xmlns:xsd="http://www.w3.org/2001/XMLSchema" xmlns:xs="http://www.w3.org/2001/XMLSchema" xmlns:p="http://schemas.microsoft.com/office/2006/metadata/properties" xmlns:ns2="dc013113-1dca-4df1-85dc-f9b02cbd6c8a" xmlns:ns3="59649a11-d5e3-4d79-a1ca-9592dfa242c6" targetNamespace="http://schemas.microsoft.com/office/2006/metadata/properties" ma:root="true" ma:fieldsID="e6fc1f94d17a89f563dd8cfc32129f5f" ns2:_="" ns3:_="">
    <xsd:import namespace="dc013113-1dca-4df1-85dc-f9b02cbd6c8a"/>
    <xsd:import namespace="59649a11-d5e3-4d79-a1ca-9592dfa242c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13113-1dca-4df1-85dc-f9b02cbd6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649a11-d5e3-4d79-a1ca-9592dfa242c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0083b729-77ee-4b02-ac0b-cf44bfe93552}" ma:internalName="TaxCatchAll" ma:showField="CatchAllData" ma:web="59649a11-d5e3-4d79-a1ca-9592dfa24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3FCEE0-3B79-4C69-AF90-D7A255DDB793}">
  <ds:schemaRefs>
    <ds:schemaRef ds:uri="http://schemas.microsoft.com/office/2006/metadata/properties"/>
    <ds:schemaRef ds:uri="http://schemas.microsoft.com/office/infopath/2007/PartnerControls"/>
    <ds:schemaRef ds:uri="59649a11-d5e3-4d79-a1ca-9592dfa242c6"/>
    <ds:schemaRef ds:uri="dc013113-1dca-4df1-85dc-f9b02cbd6c8a"/>
  </ds:schemaRefs>
</ds:datastoreItem>
</file>

<file path=customXml/itemProps2.xml><?xml version="1.0" encoding="utf-8"?>
<ds:datastoreItem xmlns:ds="http://schemas.openxmlformats.org/officeDocument/2006/customXml" ds:itemID="{AD43E717-21D7-4E80-90BD-79517E2EA594}">
  <ds:schemaRefs>
    <ds:schemaRef ds:uri="http://schemas.microsoft.com/sharepoint/v3/contenttype/forms"/>
  </ds:schemaRefs>
</ds:datastoreItem>
</file>

<file path=customXml/itemProps3.xml><?xml version="1.0" encoding="utf-8"?>
<ds:datastoreItem xmlns:ds="http://schemas.openxmlformats.org/officeDocument/2006/customXml" ds:itemID="{73C3F96F-3E50-4459-A8C8-E59DFB9A7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13113-1dca-4df1-85dc-f9b02cbd6c8a"/>
    <ds:schemaRef ds:uri="59649a11-d5e3-4d79-a1ca-9592dfa24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Template>
  <TotalTime>716</TotalTime>
  <Pages>12</Pages>
  <Words>4167</Words>
  <Characters>22922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27035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Ginna Paola Martinez Martinez</cp:lastModifiedBy>
  <cp:revision>166</cp:revision>
  <cp:lastPrinted>2024-12-29T18:56:00Z</cp:lastPrinted>
  <dcterms:created xsi:type="dcterms:W3CDTF">2024-12-18T00:17:00Z</dcterms:created>
  <dcterms:modified xsi:type="dcterms:W3CDTF">2024-12-30T00:30:00Z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0x010100F9DDBF8EA4AC10409E5DD136B884FF26</vt:lpwstr>
  </property>
  <property fmtid="{D5CDD505-2E9C-101B-9397-08002B2CF9AE}" pid="3" name="MediaServiceImageTags">
    <vt:lpwstr/>
  </property>
</Properties>
</file>