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386EA691" w:rsidR="00625DC6" w:rsidRPr="009C555D"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3B24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8240;mso-wrap-edited:f;mso-width-percent:0;mso-height-percent:0;mso-width-percent:0;mso-height-percent:0" fillcolor="#0c9">
            <v:imagedata r:id="rId9" o:title=""/>
          </v:shape>
          <o:OLEObject Type="Embed" ProgID="PBrush" ShapeID="_x0000_s2050" DrawAspect="Content" ObjectID="_1796123860" r:id="rId10"/>
        </w:object>
      </w:r>
      <w:r w:rsidR="00555C36" w:rsidRPr="009C555D">
        <w:rPr>
          <w:rFonts w:ascii="Bookman Old Style" w:hAnsi="Bookman Old Style"/>
          <w:szCs w:val="24"/>
        </w:rPr>
        <w:tab/>
      </w:r>
    </w:p>
    <w:p w14:paraId="67770A74" w14:textId="77777777" w:rsidR="00625DC6" w:rsidRPr="009C555D"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9C555D" w:rsidRDefault="00CA77FB" w:rsidP="00012259">
      <w:pPr>
        <w:pStyle w:val="Ttulo4"/>
        <w:tabs>
          <w:tab w:val="left" w:pos="0"/>
          <w:tab w:val="right" w:pos="9356"/>
        </w:tabs>
        <w:ind w:left="0"/>
        <w:rPr>
          <w:rFonts w:ascii="Bookman Old Style" w:hAnsi="Bookman Old Style"/>
          <w:b w:val="0"/>
          <w:bCs/>
          <w:noProof/>
          <w:sz w:val="24"/>
          <w:szCs w:val="24"/>
          <w:lang w:val="es-ES"/>
        </w:rPr>
      </w:pPr>
      <w:r w:rsidRPr="009C555D">
        <w:rPr>
          <w:rFonts w:ascii="Bookman Old Style" w:hAnsi="Bookman Old Style"/>
          <w:b w:val="0"/>
          <w:bCs/>
          <w:sz w:val="24"/>
          <w:szCs w:val="24"/>
        </w:rPr>
        <w:t>Ministerio de Minas y Energía</w:t>
      </w:r>
    </w:p>
    <w:p w14:paraId="0B8E60E5" w14:textId="77777777" w:rsidR="00CA77FB" w:rsidRPr="009C555D" w:rsidRDefault="00CA77FB" w:rsidP="00012259">
      <w:pPr>
        <w:pStyle w:val="Ttulo4"/>
        <w:tabs>
          <w:tab w:val="left" w:pos="0"/>
          <w:tab w:val="right" w:pos="9356"/>
        </w:tabs>
        <w:ind w:left="0"/>
        <w:rPr>
          <w:rFonts w:ascii="Bookman Old Style" w:hAnsi="Bookman Old Style"/>
          <w:b w:val="0"/>
          <w:bCs/>
          <w:sz w:val="24"/>
          <w:szCs w:val="24"/>
        </w:rPr>
      </w:pPr>
    </w:p>
    <w:p w14:paraId="4767CFAE" w14:textId="11A5B2CF" w:rsidR="00CA77FB" w:rsidRPr="009C555D" w:rsidRDefault="00A324B9" w:rsidP="00012259">
      <w:pPr>
        <w:pStyle w:val="Ttulo5"/>
        <w:tabs>
          <w:tab w:val="left" w:pos="0"/>
          <w:tab w:val="right" w:pos="9356"/>
        </w:tabs>
        <w:ind w:left="0"/>
        <w:rPr>
          <w:rFonts w:ascii="Bookman Old Style" w:hAnsi="Bookman Old Style"/>
          <w:sz w:val="24"/>
          <w:szCs w:val="24"/>
        </w:rPr>
      </w:pPr>
      <w:r w:rsidRPr="009C555D">
        <w:rPr>
          <w:rFonts w:ascii="Bookman Old Style" w:hAnsi="Bookman Old Style"/>
          <w:sz w:val="24"/>
          <w:szCs w:val="24"/>
        </w:rPr>
        <w:t>COMISIÓN DE REGULACIÓN DE ENERGÍA Y GAS</w:t>
      </w:r>
    </w:p>
    <w:p w14:paraId="74971183" w14:textId="77777777" w:rsidR="00CA77FB" w:rsidRPr="009C555D" w:rsidRDefault="00CA77FB" w:rsidP="00012259">
      <w:pPr>
        <w:pStyle w:val="Ttulo5"/>
        <w:tabs>
          <w:tab w:val="left" w:pos="0"/>
          <w:tab w:val="right" w:pos="9356"/>
        </w:tabs>
        <w:ind w:left="0"/>
        <w:rPr>
          <w:rFonts w:ascii="Bookman Old Style" w:hAnsi="Bookman Old Style"/>
          <w:sz w:val="24"/>
          <w:szCs w:val="24"/>
        </w:rPr>
      </w:pPr>
    </w:p>
    <w:p w14:paraId="67AC44F2" w14:textId="433E97BC" w:rsidR="00A06511" w:rsidRPr="007E06FE" w:rsidRDefault="00A06511" w:rsidP="0A34ECC4">
      <w:pPr>
        <w:pStyle w:val="Ttulo5"/>
        <w:tabs>
          <w:tab w:val="right" w:pos="9356"/>
        </w:tabs>
        <w:ind w:left="0"/>
        <w:rPr>
          <w:rFonts w:ascii="Bookman Old Style" w:hAnsi="Bookman Old Style"/>
          <w:sz w:val="32"/>
          <w:szCs w:val="32"/>
          <w:lang w:val="es-ES"/>
        </w:rPr>
      </w:pPr>
      <w:r w:rsidRPr="009C555D">
        <w:rPr>
          <w:rFonts w:ascii="Bookman Old Style" w:hAnsi="Bookman Old Style"/>
          <w:sz w:val="24"/>
          <w:szCs w:val="24"/>
          <w:lang w:val="es-ES"/>
        </w:rPr>
        <w:t xml:space="preserve">RESOLUCIÓN No. </w:t>
      </w:r>
      <w:r w:rsidR="007E06FE" w:rsidRPr="007E06FE">
        <w:rPr>
          <w:rFonts w:ascii="Bookman Old Style" w:hAnsi="Bookman Old Style"/>
          <w:sz w:val="32"/>
          <w:szCs w:val="32"/>
          <w:lang w:val="es-ES"/>
        </w:rPr>
        <w:t>105 011</w:t>
      </w:r>
      <w:r w:rsidRPr="007E06FE">
        <w:rPr>
          <w:rFonts w:ascii="Bookman Old Style" w:hAnsi="Bookman Old Style"/>
          <w:sz w:val="32"/>
          <w:szCs w:val="32"/>
          <w:lang w:val="es-ES"/>
        </w:rPr>
        <w:t xml:space="preserve"> DE </w:t>
      </w:r>
      <w:r w:rsidR="00E26B50" w:rsidRPr="007E06FE">
        <w:rPr>
          <w:rFonts w:ascii="Bookman Old Style" w:hAnsi="Bookman Old Style"/>
          <w:sz w:val="32"/>
          <w:szCs w:val="32"/>
        </w:rPr>
        <w:fldChar w:fldCharType="begin"/>
      </w:r>
      <w:r w:rsidR="00E26B50" w:rsidRPr="007E06FE">
        <w:rPr>
          <w:rFonts w:ascii="Bookman Old Style" w:hAnsi="Bookman Old Style"/>
          <w:sz w:val="32"/>
          <w:szCs w:val="32"/>
        </w:rPr>
        <w:instrText xml:space="preserve"> MERGEFIELD  Anio  \* MERGEFORMAT </w:instrText>
      </w:r>
      <w:r w:rsidR="00E26B50" w:rsidRPr="007E06FE">
        <w:rPr>
          <w:rFonts w:ascii="Bookman Old Style" w:hAnsi="Bookman Old Style"/>
          <w:sz w:val="32"/>
          <w:szCs w:val="32"/>
        </w:rPr>
        <w:fldChar w:fldCharType="separate"/>
      </w:r>
      <w:r w:rsidRPr="007E06FE">
        <w:rPr>
          <w:rFonts w:ascii="Bookman Old Style" w:hAnsi="Bookman Old Style"/>
          <w:noProof/>
          <w:sz w:val="32"/>
          <w:szCs w:val="32"/>
          <w:lang w:val="es-ES"/>
        </w:rPr>
        <w:t>2024</w:t>
      </w:r>
      <w:r w:rsidR="00E26B50" w:rsidRPr="007E06FE">
        <w:rPr>
          <w:rFonts w:ascii="Bookman Old Style" w:hAnsi="Bookman Old Style"/>
          <w:sz w:val="32"/>
          <w:szCs w:val="32"/>
        </w:rPr>
        <w:fldChar w:fldCharType="end"/>
      </w:r>
    </w:p>
    <w:p w14:paraId="0C7D114C" w14:textId="77777777" w:rsidR="00CA77FB" w:rsidRPr="009C555D"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1745A244" w:rsidR="00CA77FB" w:rsidRPr="009C555D" w:rsidRDefault="00CA77FB" w:rsidP="00012259">
      <w:pPr>
        <w:pStyle w:val="Ttulo3"/>
        <w:tabs>
          <w:tab w:val="left" w:pos="0"/>
          <w:tab w:val="right" w:pos="9356"/>
        </w:tabs>
        <w:ind w:left="0"/>
        <w:rPr>
          <w:rFonts w:ascii="Bookman Old Style" w:hAnsi="Bookman Old Style"/>
          <w:bCs/>
          <w:szCs w:val="24"/>
        </w:rPr>
      </w:pPr>
      <w:r w:rsidRPr="009C555D">
        <w:rPr>
          <w:rFonts w:ascii="Bookman Old Style" w:hAnsi="Bookman Old Style"/>
          <w:bCs/>
          <w:szCs w:val="24"/>
        </w:rPr>
        <w:t>(</w:t>
      </w:r>
      <w:r w:rsidR="007E06FE">
        <w:rPr>
          <w:rFonts w:ascii="Bookman Old Style" w:hAnsi="Bookman Old Style"/>
          <w:bCs/>
          <w:szCs w:val="24"/>
        </w:rPr>
        <w:t>12 DIC.</w:t>
      </w:r>
      <w:r w:rsidR="003908B3" w:rsidRPr="009C555D">
        <w:rPr>
          <w:rFonts w:ascii="Bookman Old Style" w:hAnsi="Bookman Old Style"/>
          <w:bCs/>
          <w:szCs w:val="24"/>
        </w:rPr>
        <w:t>2024</w:t>
      </w:r>
      <w:r w:rsidRPr="009C555D">
        <w:rPr>
          <w:rFonts w:ascii="Bookman Old Style" w:hAnsi="Bookman Old Style"/>
          <w:bCs/>
          <w:szCs w:val="24"/>
        </w:rPr>
        <w:t>)</w:t>
      </w:r>
    </w:p>
    <w:p w14:paraId="57D77EBA" w14:textId="77777777" w:rsidR="00CA77FB" w:rsidRPr="009C555D" w:rsidRDefault="00CA77FB" w:rsidP="00012259">
      <w:pPr>
        <w:tabs>
          <w:tab w:val="left" w:pos="0"/>
          <w:tab w:val="right" w:pos="9356"/>
        </w:tabs>
        <w:ind w:left="0"/>
        <w:jc w:val="center"/>
        <w:rPr>
          <w:rFonts w:ascii="Bookman Old Style" w:hAnsi="Bookman Old Style"/>
          <w:lang w:val="es-ES_tradnl"/>
        </w:rPr>
      </w:pPr>
    </w:p>
    <w:p w14:paraId="751CEFBF" w14:textId="0F3D558F" w:rsidR="00190A6A" w:rsidRPr="00190A6A" w:rsidRDefault="00190A6A" w:rsidP="00190A6A">
      <w:pPr>
        <w:spacing w:after="160" w:line="276" w:lineRule="auto"/>
        <w:ind w:left="0"/>
        <w:jc w:val="both"/>
        <w:rPr>
          <w:rFonts w:ascii="Bookman Old Style" w:eastAsia="Calibri" w:hAnsi="Bookman Old Style"/>
          <w:kern w:val="2"/>
          <w:lang w:val="es-CO" w:eastAsia="en-US"/>
          <w14:ligatures w14:val="standardContextual"/>
        </w:rPr>
      </w:pPr>
      <w:r w:rsidRPr="00190A6A">
        <w:rPr>
          <w:rFonts w:ascii="Bookman Old Style" w:eastAsia="Calibri" w:hAnsi="Bookman Old Style"/>
          <w:kern w:val="2"/>
          <w:lang w:val="es-CO" w:eastAsia="en-US"/>
          <w14:ligatures w14:val="standardContextual"/>
        </w:rPr>
        <w:t>“Por la cual se establece el porcentaje de la contribución especial a favor de la Comisión de Regulación de Energía y Gas, que deben pagar los prestadores de los servicios públicos domiciliarios de energía eléctrica, gas natural y gas licuado de petróleo (GLP) y sus actividades complementarias, sometidas al ámbito de regulación de la Comisión para el año 2024 y se dictan otras disposiciones.”</w:t>
      </w:r>
    </w:p>
    <w:p w14:paraId="722670CA" w14:textId="77777777" w:rsidR="00190A6A" w:rsidRPr="00190A6A" w:rsidRDefault="00190A6A" w:rsidP="00190A6A">
      <w:pPr>
        <w:spacing w:after="160" w:line="276" w:lineRule="auto"/>
        <w:ind w:left="0"/>
        <w:jc w:val="center"/>
        <w:rPr>
          <w:rFonts w:ascii="Bookman Old Style" w:eastAsia="Calibri" w:hAnsi="Bookman Old Style"/>
          <w:b/>
          <w:kern w:val="2"/>
          <w:lang w:val="es-CO" w:eastAsia="en-US"/>
          <w14:ligatures w14:val="standardContextual"/>
        </w:rPr>
      </w:pPr>
      <w:r w:rsidRPr="00190A6A">
        <w:rPr>
          <w:rFonts w:ascii="Bookman Old Style" w:eastAsia="Calibri" w:hAnsi="Bookman Old Style"/>
          <w:b/>
          <w:kern w:val="2"/>
          <w:lang w:val="es-CO" w:eastAsia="en-US"/>
          <w14:ligatures w14:val="standardContextual"/>
        </w:rPr>
        <w:t>LA COMISIÓN DE REGULACIÓN DE ENERGÍA Y GAS - CREG</w:t>
      </w:r>
    </w:p>
    <w:p w14:paraId="47C1DFB5" w14:textId="77777777" w:rsidR="00190A6A" w:rsidRPr="00190A6A" w:rsidRDefault="00190A6A" w:rsidP="00190A6A">
      <w:pPr>
        <w:spacing w:after="160" w:line="276" w:lineRule="auto"/>
        <w:ind w:left="0"/>
        <w:jc w:val="center"/>
        <w:rPr>
          <w:rFonts w:ascii="Bookman Old Style" w:eastAsia="Calibri" w:hAnsi="Bookman Old Style"/>
          <w:bCs/>
          <w:kern w:val="2"/>
          <w:lang w:val="es-CO" w:eastAsia="en-US"/>
          <w14:ligatures w14:val="standardContextual"/>
        </w:rPr>
      </w:pPr>
      <w:r w:rsidRPr="00190A6A">
        <w:rPr>
          <w:rFonts w:ascii="Bookman Old Style" w:eastAsia="Calibri" w:hAnsi="Bookman Old Style"/>
          <w:bCs/>
          <w:kern w:val="2"/>
          <w:lang w:val="es-CO" w:eastAsia="en-US"/>
          <w14:ligatures w14:val="standardContextual"/>
        </w:rPr>
        <w:t>En ejercicio de sus atribuciones constitucionales y legales, en especial las conferidas por el artículo 85 de la Ley 142 de 1994 y el artículo 22 de la Ley 143 de 1994, y,</w:t>
      </w:r>
    </w:p>
    <w:p w14:paraId="400A3572" w14:textId="77777777" w:rsidR="00190A6A" w:rsidRPr="00190A6A" w:rsidRDefault="00190A6A" w:rsidP="00190A6A">
      <w:pPr>
        <w:spacing w:after="160" w:line="276" w:lineRule="auto"/>
        <w:ind w:left="0"/>
        <w:jc w:val="center"/>
        <w:rPr>
          <w:rFonts w:ascii="Bookman Old Style" w:eastAsia="Calibri" w:hAnsi="Bookman Old Style"/>
          <w:b/>
          <w:kern w:val="2"/>
          <w:lang w:val="es-CO" w:eastAsia="en-US"/>
          <w14:ligatures w14:val="standardContextual"/>
        </w:rPr>
      </w:pPr>
      <w:r w:rsidRPr="00190A6A">
        <w:rPr>
          <w:rFonts w:ascii="Bookman Old Style" w:eastAsia="Calibri" w:hAnsi="Bookman Old Style"/>
          <w:b/>
          <w:kern w:val="2"/>
          <w:lang w:val="es-CO" w:eastAsia="en-US"/>
          <w14:ligatures w14:val="standardContextual"/>
        </w:rPr>
        <w:t>CONSIDERANDO:</w:t>
      </w:r>
    </w:p>
    <w:p w14:paraId="4119905B" w14:textId="1615CF2C"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La Comisión de Regulación de Energía y Gas</w:t>
      </w:r>
      <w:r w:rsidR="00505435">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CREG, es una entidad pública del nivel nacional, adscrita al Ministerio de Minas y Energía, organizada como Unidad Administrativa Especial (</w:t>
      </w:r>
      <w:proofErr w:type="spellStart"/>
      <w:r w:rsidRPr="00190A6A">
        <w:rPr>
          <w:rFonts w:ascii="Bookman Old Style" w:eastAsia="Calibri" w:hAnsi="Bookman Old Style" w:cs="Arial"/>
          <w:kern w:val="2"/>
          <w:lang w:val="es-CO" w:eastAsia="en-US"/>
          <w14:ligatures w14:val="standardContextual"/>
        </w:rPr>
        <w:t>UAE</w:t>
      </w:r>
      <w:proofErr w:type="spellEnd"/>
      <w:r w:rsidRPr="00190A6A">
        <w:rPr>
          <w:rFonts w:ascii="Bookman Old Style" w:eastAsia="Calibri" w:hAnsi="Bookman Old Style" w:cs="Arial"/>
          <w:kern w:val="2"/>
          <w:lang w:val="es-CO" w:eastAsia="en-US"/>
          <w14:ligatures w14:val="standardContextual"/>
        </w:rPr>
        <w:t>), con autonomía administrativa, técnica y financiera, hace parte del Presupuesto General de la Nación (</w:t>
      </w:r>
      <w:proofErr w:type="spellStart"/>
      <w:r w:rsidRPr="00190A6A">
        <w:rPr>
          <w:rFonts w:ascii="Bookman Old Style" w:eastAsia="Calibri" w:hAnsi="Bookman Old Style" w:cs="Arial"/>
          <w:kern w:val="2"/>
          <w:lang w:val="es-CO" w:eastAsia="en-US"/>
          <w14:ligatures w14:val="standardContextual"/>
        </w:rPr>
        <w:t>PGN</w:t>
      </w:r>
      <w:proofErr w:type="spellEnd"/>
      <w:r w:rsidRPr="00190A6A">
        <w:rPr>
          <w:rFonts w:ascii="Bookman Old Style" w:eastAsia="Calibri" w:hAnsi="Bookman Old Style" w:cs="Arial"/>
          <w:kern w:val="2"/>
          <w:lang w:val="es-CO" w:eastAsia="en-US"/>
          <w14:ligatures w14:val="standardContextual"/>
        </w:rPr>
        <w:t>) y es del ámbito del Sistema Integrado de Información Financiera de la Nación (</w:t>
      </w:r>
      <w:proofErr w:type="spellStart"/>
      <w:r w:rsidRPr="00190A6A">
        <w:rPr>
          <w:rFonts w:ascii="Bookman Old Style" w:eastAsia="Calibri" w:hAnsi="Bookman Old Style" w:cs="Arial"/>
          <w:kern w:val="2"/>
          <w:lang w:val="es-CO" w:eastAsia="en-US"/>
          <w14:ligatures w14:val="standardContextual"/>
        </w:rPr>
        <w:t>SIIF</w:t>
      </w:r>
      <w:proofErr w:type="spellEnd"/>
      <w:r w:rsidRPr="00190A6A">
        <w:rPr>
          <w:rFonts w:ascii="Bookman Old Style" w:eastAsia="Calibri" w:hAnsi="Bookman Old Style" w:cs="Arial"/>
          <w:kern w:val="2"/>
          <w:lang w:val="es-CO" w:eastAsia="en-US"/>
          <w14:ligatures w14:val="standardContextual"/>
        </w:rPr>
        <w:t>).</w:t>
      </w:r>
    </w:p>
    <w:p w14:paraId="0CC3D358"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4F8F9A1B" w14:textId="3F0818D4"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Las leyes 142 y 143 de 1994 le asignan a la </w:t>
      </w:r>
      <w:r w:rsidR="003D2080">
        <w:rPr>
          <w:rFonts w:ascii="Bookman Old Style" w:eastAsia="Calibri" w:hAnsi="Bookman Old Style" w:cs="Arial"/>
          <w:kern w:val="2"/>
          <w:lang w:val="es-CO" w:eastAsia="en-US"/>
          <w14:ligatures w14:val="standardContextual"/>
        </w:rPr>
        <w:t>CREG</w:t>
      </w:r>
      <w:r w:rsidRPr="00190A6A">
        <w:rPr>
          <w:rFonts w:ascii="Bookman Old Style" w:eastAsia="Calibri" w:hAnsi="Bookman Old Style" w:cs="Arial"/>
          <w:kern w:val="2"/>
          <w:lang w:val="es-CO" w:eastAsia="en-US"/>
          <w14:ligatures w14:val="standardContextual"/>
        </w:rPr>
        <w:t xml:space="preserve"> la función de regulación de los servicios públicos domiciliarios de energía eléctrica y gas combustible</w:t>
      </w:r>
      <w:r w:rsidR="003D2080">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y el ejercicio de las actividades de estos sectores, para asegurar la prestación eficiente, continua, confiable y de calidad de estos servicios y la disponibilidad de una oferta energética eficiente.</w:t>
      </w:r>
    </w:p>
    <w:p w14:paraId="5317CE0E"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5348DD88" w14:textId="58734BA2" w:rsid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Con el fin de recuperar los costos del servicio de regulación que presta la Comisión, las citadas leyes crearon una tasa parafiscal de contribución especial de regulación que se debe liquidar y cobrar cada año, conforme</w:t>
      </w:r>
      <w:r w:rsidR="003D2080">
        <w:rPr>
          <w:rFonts w:ascii="Bookman Old Style" w:eastAsia="Calibri" w:hAnsi="Bookman Old Style" w:cs="Arial"/>
          <w:kern w:val="2"/>
          <w:lang w:val="es-CO" w:eastAsia="en-US"/>
          <w14:ligatures w14:val="standardContextual"/>
        </w:rPr>
        <w:t xml:space="preserve"> a</w:t>
      </w:r>
      <w:r w:rsidRPr="00190A6A">
        <w:rPr>
          <w:rFonts w:ascii="Bookman Old Style" w:eastAsia="Calibri" w:hAnsi="Bookman Old Style" w:cs="Arial"/>
          <w:kern w:val="2"/>
          <w:lang w:val="es-CO" w:eastAsia="en-US"/>
          <w14:ligatures w14:val="standardContextual"/>
        </w:rPr>
        <w:t xml:space="preserve"> las reglas que establecen los artículos 85 de la </w:t>
      </w:r>
      <w:r w:rsidR="003D2080">
        <w:rPr>
          <w:rFonts w:ascii="Bookman Old Style" w:eastAsia="Calibri" w:hAnsi="Bookman Old Style" w:cs="Arial"/>
          <w:kern w:val="2"/>
          <w:lang w:val="es-CO" w:eastAsia="en-US"/>
          <w14:ligatures w14:val="standardContextual"/>
        </w:rPr>
        <w:t>L</w:t>
      </w:r>
      <w:r w:rsidRPr="00190A6A">
        <w:rPr>
          <w:rFonts w:ascii="Bookman Old Style" w:eastAsia="Calibri" w:hAnsi="Bookman Old Style" w:cs="Arial"/>
          <w:kern w:val="2"/>
          <w:lang w:val="es-CO" w:eastAsia="en-US"/>
          <w14:ligatures w14:val="standardContextual"/>
        </w:rPr>
        <w:t xml:space="preserve">ey 142 y 22 de la </w:t>
      </w:r>
      <w:r w:rsidR="003D2080">
        <w:rPr>
          <w:rFonts w:ascii="Bookman Old Style" w:eastAsia="Calibri" w:hAnsi="Bookman Old Style" w:cs="Arial"/>
          <w:kern w:val="2"/>
          <w:lang w:val="es-CO" w:eastAsia="en-US"/>
          <w14:ligatures w14:val="standardContextual"/>
        </w:rPr>
        <w:t>L</w:t>
      </w:r>
      <w:r w:rsidRPr="00190A6A">
        <w:rPr>
          <w:rFonts w:ascii="Bookman Old Style" w:eastAsia="Calibri" w:hAnsi="Bookman Old Style" w:cs="Arial"/>
          <w:kern w:val="2"/>
          <w:lang w:val="es-CO" w:eastAsia="en-US"/>
          <w14:ligatures w14:val="standardContextual"/>
        </w:rPr>
        <w:t>ey 143 de 1994. Adicionalmente, para cubrir los costos de la regulación de las actividades de la cadena de combustibles líquidos,</w:t>
      </w:r>
      <w:r w:rsidR="003D2080">
        <w:rPr>
          <w:rFonts w:ascii="Bookman Old Style" w:eastAsia="Calibri" w:hAnsi="Bookman Old Style" w:cs="Arial"/>
          <w:kern w:val="2"/>
          <w:lang w:val="es-CO" w:eastAsia="en-US"/>
          <w14:ligatures w14:val="standardContextual"/>
        </w:rPr>
        <w:t xml:space="preserve"> conforme a la delegación realizada </w:t>
      </w:r>
      <w:r w:rsidRPr="00190A6A">
        <w:rPr>
          <w:rFonts w:ascii="Bookman Old Style" w:eastAsia="Calibri" w:hAnsi="Bookman Old Style" w:cs="Arial"/>
          <w:kern w:val="2"/>
          <w:lang w:val="es-CO" w:eastAsia="en-US"/>
          <w14:ligatures w14:val="standardContextual"/>
        </w:rPr>
        <w:t xml:space="preserve">por </w:t>
      </w:r>
      <w:r w:rsidR="003D2080">
        <w:rPr>
          <w:rFonts w:ascii="Bookman Old Style" w:eastAsia="Calibri" w:hAnsi="Bookman Old Style" w:cs="Arial"/>
          <w:kern w:val="2"/>
          <w:lang w:val="es-CO" w:eastAsia="en-US"/>
          <w14:ligatures w14:val="standardContextual"/>
        </w:rPr>
        <w:t>los</w:t>
      </w:r>
      <w:r w:rsidR="003D2080" w:rsidRPr="00190A6A">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Ministerio</w:t>
      </w:r>
      <w:r w:rsidR="003D2080">
        <w:rPr>
          <w:rFonts w:ascii="Bookman Old Style" w:eastAsia="Calibri" w:hAnsi="Bookman Old Style" w:cs="Arial"/>
          <w:kern w:val="2"/>
          <w:lang w:val="es-CO" w:eastAsia="en-US"/>
          <w14:ligatures w14:val="standardContextual"/>
        </w:rPr>
        <w:t>s</w:t>
      </w:r>
      <w:r w:rsidRPr="00190A6A">
        <w:rPr>
          <w:rFonts w:ascii="Bookman Old Style" w:eastAsia="Calibri" w:hAnsi="Bookman Old Style" w:cs="Arial"/>
          <w:kern w:val="2"/>
          <w:lang w:val="es-CO" w:eastAsia="en-US"/>
          <w14:ligatures w14:val="standardContextual"/>
        </w:rPr>
        <w:t xml:space="preserve"> de Minas y Energía y de Hacienda y Crédito Público, la CREG percibe sus recursos por colocación de fondos de la Dirección General de Crédito Público y Tesoro Nacional, del Ministerio de Hacienda y Crédito Público.</w:t>
      </w:r>
    </w:p>
    <w:p w14:paraId="0EF0B95D" w14:textId="77777777" w:rsidR="006A7DD7" w:rsidRPr="00190A6A" w:rsidRDefault="006A7DD7" w:rsidP="00190A6A">
      <w:pPr>
        <w:ind w:left="0"/>
        <w:jc w:val="both"/>
        <w:rPr>
          <w:rFonts w:ascii="Bookman Old Style" w:eastAsia="Calibri" w:hAnsi="Bookman Old Style" w:cs="Arial"/>
          <w:kern w:val="2"/>
          <w:lang w:val="es-CO" w:eastAsia="en-US"/>
          <w14:ligatures w14:val="standardContextual"/>
        </w:rPr>
      </w:pPr>
    </w:p>
    <w:p w14:paraId="75C807E3" w14:textId="4EDC8B08"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De conformidad con lo dispuesto en las </w:t>
      </w:r>
      <w:r w:rsidR="003D2080">
        <w:rPr>
          <w:rFonts w:ascii="Bookman Old Style" w:eastAsia="Calibri" w:hAnsi="Bookman Old Style" w:cs="Arial"/>
          <w:kern w:val="2"/>
          <w:lang w:val="es-CO" w:eastAsia="en-US"/>
          <w14:ligatures w14:val="standardContextual"/>
        </w:rPr>
        <w:t>l</w:t>
      </w:r>
      <w:r w:rsidRPr="00190A6A">
        <w:rPr>
          <w:rFonts w:ascii="Bookman Old Style" w:eastAsia="Calibri" w:hAnsi="Bookman Old Style" w:cs="Arial"/>
          <w:kern w:val="2"/>
          <w:lang w:val="es-CO" w:eastAsia="en-US"/>
          <w14:ligatures w14:val="standardContextual"/>
        </w:rPr>
        <w:t xml:space="preserve">eyes 142 </w:t>
      </w:r>
      <w:r w:rsidR="003D2080">
        <w:rPr>
          <w:rFonts w:ascii="Bookman Old Style" w:eastAsia="Calibri" w:hAnsi="Bookman Old Style" w:cs="Arial"/>
          <w:kern w:val="2"/>
          <w:lang w:val="es-CO" w:eastAsia="en-US"/>
          <w14:ligatures w14:val="standardContextual"/>
        </w:rPr>
        <w:t xml:space="preserve">y </w:t>
      </w:r>
      <w:r w:rsidRPr="00190A6A">
        <w:rPr>
          <w:rFonts w:ascii="Bookman Old Style" w:eastAsia="Calibri" w:hAnsi="Bookman Old Style" w:cs="Arial"/>
          <w:kern w:val="2"/>
          <w:lang w:val="es-CO" w:eastAsia="en-US"/>
          <w14:ligatures w14:val="standardContextual"/>
        </w:rPr>
        <w:t>143 de 1994</w:t>
      </w:r>
      <w:r w:rsidR="003D2080">
        <w:rPr>
          <w:rFonts w:ascii="Bookman Old Style" w:eastAsia="Calibri" w:hAnsi="Bookman Old Style" w:cs="Arial"/>
          <w:kern w:val="2"/>
          <w:lang w:val="es-CO" w:eastAsia="en-US"/>
          <w14:ligatures w14:val="standardContextual"/>
        </w:rPr>
        <w:t xml:space="preserve"> y</w:t>
      </w:r>
      <w:r w:rsidRPr="00190A6A">
        <w:rPr>
          <w:rFonts w:ascii="Bookman Old Style" w:eastAsia="Calibri" w:hAnsi="Bookman Old Style" w:cs="Arial"/>
          <w:kern w:val="2"/>
          <w:lang w:val="es-CO" w:eastAsia="en-US"/>
          <w14:ligatures w14:val="standardContextual"/>
        </w:rPr>
        <w:t xml:space="preserve"> 689 de 2001, las disposiciones aquí descritas son aplicables a quienes ostenten la calidad de personas prestadoras de servicios públicos domiciliarios y aquellas que en general realicen actividades complementarias a los mismos.</w:t>
      </w:r>
    </w:p>
    <w:p w14:paraId="15E377FE"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527F0DBC" w14:textId="594B430F"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lastRenderedPageBreak/>
        <w:t>El artículo 85 de la Ley 142 de 1994 determina los aspectos básicos de la contribución y define los siguientes aspectos: los sujetos activos y pasivos del tributo, el hecho generador, la base gravable, la tarifa máxima y los elementos para determinarla, y la fuente de información para su cálculo.</w:t>
      </w:r>
    </w:p>
    <w:p w14:paraId="6F3EC38E" w14:textId="77777777" w:rsidR="00190A6A" w:rsidRPr="00190A6A" w:rsidRDefault="00190A6A" w:rsidP="00190A6A">
      <w:pPr>
        <w:ind w:left="0"/>
        <w:jc w:val="both"/>
        <w:rPr>
          <w:rFonts w:ascii="Bookman Old Style" w:eastAsia="Calibri" w:hAnsi="Bookman Old Style" w:cs="Arial"/>
          <w:i/>
          <w:iCs/>
          <w:kern w:val="2"/>
          <w:lang w:val="es-CO" w:eastAsia="en-US"/>
          <w14:ligatures w14:val="standardContextual"/>
        </w:rPr>
      </w:pPr>
    </w:p>
    <w:p w14:paraId="55E10BC1" w14:textId="78BCC594" w:rsidR="00190A6A" w:rsidRPr="00190A6A" w:rsidRDefault="003D2080" w:rsidP="00190A6A">
      <w:pPr>
        <w:ind w:left="0"/>
        <w:jc w:val="both"/>
        <w:rPr>
          <w:rFonts w:ascii="Bookman Old Style" w:eastAsia="Calibri" w:hAnsi="Bookman Old Style" w:cs="Arial"/>
          <w:kern w:val="2"/>
          <w:lang w:val="es-CO" w:eastAsia="en-US"/>
          <w14:ligatures w14:val="standardContextual"/>
        </w:rPr>
      </w:pPr>
      <w:r>
        <w:rPr>
          <w:rFonts w:ascii="Bookman Old Style" w:eastAsia="Calibri" w:hAnsi="Bookman Old Style" w:cs="Arial"/>
          <w:kern w:val="2"/>
          <w:lang w:val="es-CO" w:eastAsia="en-US"/>
          <w14:ligatures w14:val="standardContextual"/>
        </w:rPr>
        <w:t xml:space="preserve">Respecto a las </w:t>
      </w:r>
      <w:r w:rsidRPr="00190A6A">
        <w:rPr>
          <w:rFonts w:ascii="Bookman Old Style" w:eastAsia="Calibri" w:hAnsi="Bookman Old Style" w:cs="Arial"/>
          <w:kern w:val="2"/>
          <w:lang w:val="es-CO" w:eastAsia="en-US"/>
          <w14:ligatures w14:val="standardContextual"/>
        </w:rPr>
        <w:t>reglas para liquidar la contribución especial</w:t>
      </w:r>
      <w:r>
        <w:rPr>
          <w:rFonts w:ascii="Bookman Old Style" w:eastAsia="Calibri" w:hAnsi="Bookman Old Style" w:cs="Arial"/>
          <w:kern w:val="2"/>
          <w:lang w:val="es-CO" w:eastAsia="en-US"/>
          <w14:ligatures w14:val="standardContextual"/>
        </w:rPr>
        <w:t>, e</w:t>
      </w:r>
      <w:r w:rsidR="00190A6A" w:rsidRPr="00190A6A">
        <w:rPr>
          <w:rFonts w:ascii="Bookman Old Style" w:eastAsia="Calibri" w:hAnsi="Bookman Old Style" w:cs="Arial"/>
          <w:kern w:val="2"/>
          <w:lang w:val="es-CO" w:eastAsia="en-US"/>
          <w14:ligatures w14:val="standardContextual"/>
        </w:rPr>
        <w:t>l artículo 85 de la Ley 142 de 1994 establece:</w:t>
      </w:r>
    </w:p>
    <w:p w14:paraId="358CDDFB"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782CAB1D" w14:textId="6F25DF98" w:rsidR="00190A6A" w:rsidRPr="00190A6A" w:rsidRDefault="003D2080" w:rsidP="003D2080">
      <w:pPr>
        <w:ind w:left="142"/>
        <w:jc w:val="both"/>
        <w:rPr>
          <w:rFonts w:ascii="Bookman Old Style" w:eastAsia="Calibri" w:hAnsi="Bookman Old Style" w:cs="Arial"/>
          <w:i/>
          <w:iCs/>
          <w:kern w:val="2"/>
          <w:lang w:val="es-CO" w:eastAsia="en-US"/>
          <w14:ligatures w14:val="standardContextual"/>
        </w:rPr>
      </w:pPr>
      <w:r>
        <w:rPr>
          <w:rFonts w:ascii="Bookman Old Style" w:eastAsia="Calibri" w:hAnsi="Bookman Old Style" w:cs="Arial"/>
          <w:i/>
          <w:iCs/>
          <w:kern w:val="2"/>
          <w:lang w:val="es-CO" w:eastAsia="en-US"/>
          <w14:ligatures w14:val="standardContextual"/>
        </w:rPr>
        <w:t>“</w:t>
      </w:r>
      <w:r w:rsidR="00190A6A" w:rsidRPr="00190A6A">
        <w:rPr>
          <w:rFonts w:ascii="Bookman Old Style" w:eastAsia="Calibri" w:hAnsi="Bookman Old Style" w:cs="Arial"/>
          <w:i/>
          <w:iCs/>
          <w:kern w:val="2"/>
          <w:lang w:val="es-CO" w:eastAsia="en-US"/>
          <w14:ligatures w14:val="standardContextual"/>
        </w:rPr>
        <w:t>85.1. Para definir los costos de los servicios que presten las Comisiones y la Superintendencia, se tendrán en cuenta todos los gastos de funcionamiento, y la depreciación, amortización u obsolescencia de sus activos, en el período anual respectivo.</w:t>
      </w:r>
    </w:p>
    <w:p w14:paraId="64AD7BEE"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6E78582A"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85.2. La superintendencia y las comisiones presupuestarán sus gastos cada año y cobrarán dentro de los límites que enseguida se señalan, solamente la tarifa que arroje el valor necesario para cubrir su presupuesto anual.</w:t>
      </w:r>
    </w:p>
    <w:p w14:paraId="19DB2305"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06DB2FB1"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 y de las Comisiones, cada una de las cuales e independientemente y con base en su estudio fijarán la tarifa correspondiente.</w:t>
      </w:r>
    </w:p>
    <w:p w14:paraId="21C1479C"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0EE4E8E4"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85.3. Modificado parcialmente por el Artículo 132 de la Ley 812 de 2003. Si en algún momento las Comisiones o la Superintendencia tuvieren excedentes, deberán reembolsarlos a los contribuyentes, o abonarlos a las contribuciones del siguiente período, o transferirlos a la Nación, si las otras medidas no fueran posibles.</w:t>
      </w:r>
    </w:p>
    <w:p w14:paraId="7EC735A9"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3B62957F"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85.4. El cálculo de la suma a cargo de cada contribuyente, en cuanto a los costos de regulación, se hará teniendo en cuenta los costos de la comisión que regula el sector en el cual se desempeña; y el de los costos de vigilancia, atendiendo a los de la Superintendencia.</w:t>
      </w:r>
    </w:p>
    <w:p w14:paraId="275BFCD3" w14:textId="77777777" w:rsidR="00EB69D7" w:rsidRDefault="00EB69D7" w:rsidP="003D2080">
      <w:pPr>
        <w:ind w:left="142"/>
        <w:jc w:val="both"/>
        <w:rPr>
          <w:rFonts w:ascii="Bookman Old Style" w:eastAsia="Calibri" w:hAnsi="Bookman Old Style" w:cs="Arial"/>
          <w:i/>
          <w:iCs/>
          <w:kern w:val="2"/>
          <w:lang w:val="es-CO" w:eastAsia="en-US"/>
          <w14:ligatures w14:val="standardContextual"/>
        </w:rPr>
      </w:pPr>
    </w:p>
    <w:p w14:paraId="500E01C7" w14:textId="231CEA7A"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85.5. La liquidación y recaudo de las contribuciones correspondientes al servicio de regulación se efectuará por las comisiones respectivas y las correspondientes al servicio de inspección, control y vigilancia estarán a cargo de la Superintendencia.</w:t>
      </w:r>
    </w:p>
    <w:p w14:paraId="44670490"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3F26D6EA"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85.6. Una vez en firme las liquidaciones deberán ser canceladas dentro del mes siguiente. Se aplicará el mismo régimen de sanción por mora aplicable al impuesto sobre la renta y complementarios, sin perjuicio de las demás sanciones de que trata esta Ley.</w:t>
      </w:r>
    </w:p>
    <w:p w14:paraId="500F973D"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0129DCE6"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PARÁGRAFO 1. Las Comisiones y la Superintendencia se financiarán exclusivamente con las contribuciones a las que se refiere este artículo y con la venta de sus publicaciones. Sin embargo, el gobierno incluirá en el presupuesto de la Nación apropiaciones suficientes para el funcionamiento de las Comisiones y de la Superintendencia durante los dos primeros años.</w:t>
      </w:r>
    </w:p>
    <w:p w14:paraId="3E0C1FF3" w14:textId="77777777"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p>
    <w:p w14:paraId="72327030" w14:textId="5E6A7306" w:rsidR="00190A6A" w:rsidRPr="00190A6A" w:rsidRDefault="00190A6A" w:rsidP="003D2080">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PARÁGRAFO 2. Al fijar las contribuciones especiales se eliminarán, de los gastos de funcionamiento, los gastos operativos; en las empresas del sector eléctrico, las compras de electricidad, las compras de combustibles y los peajes, cuando hubiere lugar a ello; y en las empresas de otros sectores los gastos de naturaleza similar a éstos. Estos rubros podrán ser adicionados en la misma proporción en que sean indispensables para cubrir faltantes presupuestales de las comisiones y la superintendencia</w:t>
      </w:r>
      <w:r w:rsidR="003D2080">
        <w:rPr>
          <w:rFonts w:ascii="Bookman Old Style" w:eastAsia="Calibri" w:hAnsi="Bookman Old Style" w:cs="Arial"/>
          <w:i/>
          <w:iCs/>
          <w:kern w:val="2"/>
          <w:lang w:val="es-CO" w:eastAsia="en-US"/>
          <w14:ligatures w14:val="standardContextual"/>
        </w:rPr>
        <w:t>”</w:t>
      </w:r>
      <w:r w:rsidRPr="00190A6A">
        <w:rPr>
          <w:rFonts w:ascii="Bookman Old Style" w:eastAsia="Calibri" w:hAnsi="Bookman Old Style" w:cs="Arial"/>
          <w:i/>
          <w:iCs/>
          <w:kern w:val="2"/>
          <w:lang w:val="es-CO" w:eastAsia="en-US"/>
          <w14:ligatures w14:val="standardContextual"/>
        </w:rPr>
        <w:t>.</w:t>
      </w:r>
    </w:p>
    <w:p w14:paraId="1406CE9C"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6431032C"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A su turno, el artículo 22 de la Ley 143 de 1994, ordena: </w:t>
      </w:r>
    </w:p>
    <w:p w14:paraId="47539A48"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6D529A30" w14:textId="77777777" w:rsidR="00190A6A" w:rsidRPr="00190A6A" w:rsidRDefault="00190A6A" w:rsidP="00190A6A">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i/>
          <w:iCs/>
          <w:kern w:val="2"/>
          <w:lang w:val="es-CO" w:eastAsia="en-US"/>
          <w14:ligatures w14:val="standardContextual"/>
        </w:rPr>
        <w:t xml:space="preserve">Los costos del servicio de regulación serán cubiertos por todas las entidades sometidas a su regulación y el monto total de la contribución no podrá ser superior al 1%, del valor de los gastos de funcionamiento excluyendo los gastos operativos, compras de electricidad, compras de combustibles y peajes, cuando hubiere lugar a ello, de la entidad regulada, incurrido el año anterior a aquel en que se haga el cobro, de acuerdo con los estados financieros puestos a disposición de la Superintendencia de Servicios Públicos y de la Comisión de Regulación de Energía y Gas. </w:t>
      </w:r>
    </w:p>
    <w:p w14:paraId="14F22212" w14:textId="77777777" w:rsidR="00190A6A" w:rsidRPr="00190A6A" w:rsidRDefault="00190A6A" w:rsidP="00190A6A">
      <w:pPr>
        <w:ind w:left="142"/>
        <w:jc w:val="both"/>
        <w:rPr>
          <w:rFonts w:ascii="Bookman Old Style" w:eastAsia="Calibri" w:hAnsi="Bookman Old Style" w:cs="Arial"/>
          <w:i/>
          <w:iCs/>
          <w:kern w:val="2"/>
          <w:lang w:val="es-CO" w:eastAsia="en-US"/>
          <w14:ligatures w14:val="standardContextual"/>
        </w:rPr>
      </w:pPr>
    </w:p>
    <w:p w14:paraId="2811BF1E" w14:textId="77777777" w:rsidR="00190A6A" w:rsidRPr="00190A6A" w:rsidRDefault="00190A6A" w:rsidP="00190A6A">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El monto de la contribución que le corresponde pagar a cada entidad será liquidado por la Comisión de Regulación de Energía y Gas. Las contribuciones deberán ser pagadas dentro de los primeros treinta (30) días calendario siguientes al respectivo recaudo, en la entidad o entidades financieras señaladas para recibir este recaudo.</w:t>
      </w:r>
    </w:p>
    <w:p w14:paraId="4BDDACAD" w14:textId="77777777" w:rsidR="00190A6A" w:rsidRPr="00190A6A" w:rsidRDefault="00190A6A" w:rsidP="00190A6A">
      <w:pPr>
        <w:ind w:left="142"/>
        <w:jc w:val="both"/>
        <w:rPr>
          <w:rFonts w:ascii="Bookman Old Style" w:eastAsia="Calibri" w:hAnsi="Bookman Old Style" w:cs="Arial"/>
          <w:i/>
          <w:iCs/>
          <w:kern w:val="2"/>
          <w:lang w:val="es-CO" w:eastAsia="en-US"/>
          <w14:ligatures w14:val="standardContextual"/>
        </w:rPr>
      </w:pPr>
    </w:p>
    <w:p w14:paraId="12364D54" w14:textId="77777777" w:rsidR="00190A6A" w:rsidRPr="00190A6A" w:rsidRDefault="00190A6A" w:rsidP="00190A6A">
      <w:pPr>
        <w:ind w:left="142"/>
        <w:jc w:val="both"/>
        <w:rPr>
          <w:rFonts w:ascii="Bookman Old Style" w:eastAsia="Calibri" w:hAnsi="Bookman Old Style" w:cs="Arial"/>
          <w:i/>
          <w:iCs/>
          <w:kern w:val="2"/>
          <w:lang w:val="es-CO" w:eastAsia="en-US"/>
          <w14:ligatures w14:val="standardContextual"/>
        </w:rPr>
      </w:pPr>
      <w:r w:rsidRPr="004373C2">
        <w:rPr>
          <w:rFonts w:ascii="Bookman Old Style" w:eastAsia="Calibri" w:hAnsi="Bookman Old Style" w:cs="Arial"/>
          <w:i/>
          <w:iCs/>
          <w:kern w:val="2"/>
          <w:lang w:val="es-CO" w:eastAsia="en-US"/>
          <w14:ligatures w14:val="standardContextual"/>
        </w:rPr>
        <w:t>Parágrafo.</w:t>
      </w:r>
      <w:r w:rsidRPr="00190A6A">
        <w:rPr>
          <w:rFonts w:ascii="Bookman Old Style" w:eastAsia="Calibri" w:hAnsi="Bookman Old Style" w:cs="Arial"/>
          <w:i/>
          <w:iCs/>
          <w:kern w:val="2"/>
          <w:lang w:val="es-CO" w:eastAsia="en-US"/>
          <w14:ligatures w14:val="standardContextual"/>
        </w:rPr>
        <w:t> La Comisión de Regulación de Energía y Gas fijará anualmente su presupuesto, el cual deberá ser aprobado por el Gobierno Nacional.”</w:t>
      </w:r>
    </w:p>
    <w:p w14:paraId="4841593F"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0E09958A"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El artículo 11 de la Ley 142 de 1994 determina que: “</w:t>
      </w:r>
      <w:r w:rsidRPr="00190A6A">
        <w:rPr>
          <w:rFonts w:ascii="Bookman Old Style" w:eastAsia="Calibri" w:hAnsi="Bookman Old Style" w:cs="Arial"/>
          <w:i/>
          <w:iCs/>
          <w:kern w:val="2"/>
          <w:lang w:val="es-CO" w:eastAsia="en-US"/>
          <w14:ligatures w14:val="standardContextual"/>
        </w:rPr>
        <w:t>Para cumplir con la función social de la propiedad, pública o privada, las entidades que presten servicios públicos tienen las siguientes obligaciones</w:t>
      </w:r>
      <w:r w:rsidRPr="00190A6A">
        <w:rPr>
          <w:rFonts w:ascii="Bookman Old Style" w:eastAsia="Calibri" w:hAnsi="Bookman Old Style" w:cs="Arial"/>
          <w:kern w:val="2"/>
          <w:lang w:val="es-CO" w:eastAsia="en-US"/>
          <w14:ligatures w14:val="standardContextual"/>
        </w:rPr>
        <w:t xml:space="preserve">: </w:t>
      </w:r>
    </w:p>
    <w:p w14:paraId="20BA85D5" w14:textId="77777777" w:rsidR="00190A6A" w:rsidRPr="00190A6A" w:rsidRDefault="00190A6A" w:rsidP="004373C2">
      <w:pPr>
        <w:ind w:left="142"/>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br/>
        <w:t>“11.8. Informar el inicio de sus actividades a la respectiva Comisión de Regulación, y a la Superintendencia de Servicios Públicos, para que esas autoridades puedan cumplir sus funciones”</w:t>
      </w:r>
    </w:p>
    <w:p w14:paraId="2EAD06C9"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3EEA0EA8" w14:textId="76885010"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El artículo 79 de la Ley 142 de 1994 le asignó a la Superintendencia de Servicios Públicos Domiciliarios</w:t>
      </w:r>
      <w:r w:rsidR="003D2080">
        <w:rPr>
          <w:rFonts w:ascii="Bookman Old Style" w:eastAsia="Calibri" w:hAnsi="Bookman Old Style" w:cs="Arial"/>
          <w:kern w:val="2"/>
          <w:lang w:val="es-CO" w:eastAsia="en-US"/>
          <w14:ligatures w14:val="standardContextual"/>
        </w:rPr>
        <w:t xml:space="preserve">, </w:t>
      </w:r>
      <w:proofErr w:type="spellStart"/>
      <w:r w:rsidR="003D2080">
        <w:rPr>
          <w:rFonts w:ascii="Bookman Old Style" w:eastAsia="Calibri" w:hAnsi="Bookman Old Style" w:cs="Arial"/>
          <w:kern w:val="2"/>
          <w:lang w:val="es-CO" w:eastAsia="en-US"/>
          <w14:ligatures w14:val="standardContextual"/>
        </w:rPr>
        <w:t>SSPD</w:t>
      </w:r>
      <w:proofErr w:type="spellEnd"/>
      <w:r w:rsidR="003D2080">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la función de:</w:t>
      </w:r>
      <w:r w:rsidRPr="00190A6A">
        <w:rPr>
          <w:rFonts w:ascii="Bookman Old Style" w:eastAsia="Calibri" w:hAnsi="Bookman Old Style" w:cs="Arial"/>
          <w:i/>
          <w:iCs/>
          <w:kern w:val="2"/>
          <w:lang w:val="es-CO" w:eastAsia="en-US"/>
          <w14:ligatures w14:val="standardContextual"/>
        </w:rPr>
        <w:t xml:space="preserve"> “4. Establecer los sistemas uniformes de información y contabilidad que deben aplicar quienes presten servicios públicos, según la naturaleza del servicio y el monto de sus activos, y con sujeción siempre a los principios de contabilidad generalmente aceptados.</w:t>
      </w:r>
      <w:r w:rsidRPr="00190A6A">
        <w:rPr>
          <w:rFonts w:ascii="Bookman Old Style" w:eastAsia="Calibri" w:hAnsi="Bookman Old Style" w:cs="Arial"/>
          <w:kern w:val="2"/>
          <w:lang w:val="es-CO" w:eastAsia="en-US"/>
          <w14:ligatures w14:val="standardContextual"/>
        </w:rPr>
        <w:t>”.</w:t>
      </w:r>
    </w:p>
    <w:p w14:paraId="3441215E"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41A9E0ED" w14:textId="77777777" w:rsidR="00190A6A" w:rsidRPr="00190A6A" w:rsidRDefault="00190A6A" w:rsidP="00190A6A">
      <w:pPr>
        <w:ind w:left="0"/>
        <w:jc w:val="both"/>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El numeral 36 del artículo 79 de la Ley 142 de 1994, adicionado por el artículo 14 de la ley 689 de 2001, ordena: “</w:t>
      </w:r>
      <w:r w:rsidRPr="00190A6A">
        <w:rPr>
          <w:rFonts w:ascii="Bookman Old Style" w:eastAsia="Calibri" w:hAnsi="Bookman Old Style" w:cs="Arial"/>
          <w:i/>
          <w:iCs/>
          <w:kern w:val="2"/>
          <w:lang w:val="es-CO" w:eastAsia="en-US"/>
          <w14:ligatures w14:val="standardContextual"/>
        </w:rPr>
        <w:t xml:space="preserve">Corresponde a la Superintendencia de Servicios Públicos Domiciliarios, en desarrollo de sus funciones de inspección y vigilancia, establecer, administrar, mantener y operar el Sistema Único de Información (SUI) de los Servicios Públicos Domiciliarios que se nutra con la información de los prestadores, auditores externos, entidades públicas, particulares, interventores y/o supervisores relacionados con la prestación de los servicios públicos </w:t>
      </w:r>
      <w:r w:rsidRPr="00190A6A">
        <w:rPr>
          <w:rFonts w:ascii="Bookman Old Style" w:eastAsia="Calibri" w:hAnsi="Bookman Old Style" w:cs="Arial"/>
          <w:i/>
          <w:iCs/>
          <w:kern w:val="2"/>
          <w:lang w:val="es-CO" w:eastAsia="en-US"/>
          <w14:ligatures w14:val="standardContextual"/>
        </w:rPr>
        <w:lastRenderedPageBreak/>
        <w:t xml:space="preserve">domiciliarios. El SUI podrá interoperar con otras plataformas públicas y privadas y, adicionalmente, podrá compartir información, inclusive aquella que tenga el carácter de confidencial o reservado, garantizando la reserva y confidencialidad de </w:t>
      </w:r>
      <w:proofErr w:type="gramStart"/>
      <w:r w:rsidRPr="00190A6A">
        <w:rPr>
          <w:rFonts w:ascii="Bookman Old Style" w:eastAsia="Calibri" w:hAnsi="Bookman Old Style" w:cs="Arial"/>
          <w:i/>
          <w:iCs/>
          <w:kern w:val="2"/>
          <w:lang w:val="es-CO" w:eastAsia="en-US"/>
          <w14:ligatures w14:val="standardContextual"/>
        </w:rPr>
        <w:t>la misma</w:t>
      </w:r>
      <w:proofErr w:type="gramEnd"/>
      <w:r w:rsidRPr="00190A6A">
        <w:rPr>
          <w:rFonts w:ascii="Bookman Old Style" w:eastAsia="Calibri" w:hAnsi="Bookman Old Style" w:cs="Arial"/>
          <w:i/>
          <w:iCs/>
          <w:kern w:val="2"/>
          <w:lang w:val="es-CO" w:eastAsia="en-US"/>
          <w14:ligatures w14:val="standardContextual"/>
        </w:rPr>
        <w:t xml:space="preserve">”. </w:t>
      </w:r>
    </w:p>
    <w:p w14:paraId="2D26AC68"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3FB0D01F"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De acuerdo con el inciso final del artículo 73 de la Ley 142 de 1994, “</w:t>
      </w:r>
      <w:r w:rsidRPr="00190A6A">
        <w:rPr>
          <w:rFonts w:ascii="Bookman Old Style" w:eastAsia="Calibri" w:hAnsi="Bookman Old Style" w:cs="Arial"/>
          <w:i/>
          <w:iCs/>
          <w:kern w:val="2"/>
          <w:lang w:val="es-CO" w:eastAsia="en-US"/>
          <w14:ligatures w14:val="standardContextual"/>
        </w:rPr>
        <w:t>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 81 de la presente Ley. En todo caso, las comisiones podrán imponer por sí mismas las sanciones del caso, cuando no se atiendan en forma adecuada sus solicitudes de información</w:t>
      </w:r>
      <w:r w:rsidRPr="00190A6A">
        <w:rPr>
          <w:rFonts w:ascii="Bookman Old Style" w:eastAsia="Calibri" w:hAnsi="Bookman Old Style" w:cs="Arial"/>
          <w:kern w:val="2"/>
          <w:lang w:val="es-CO" w:eastAsia="en-US"/>
          <w14:ligatures w14:val="standardContextual"/>
        </w:rPr>
        <w:t>.”</w:t>
      </w:r>
    </w:p>
    <w:p w14:paraId="7D2D13E5"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456121D7" w14:textId="36BBAD5B" w:rsidR="00190A6A" w:rsidRPr="00190A6A" w:rsidRDefault="003D2080" w:rsidP="00190A6A">
      <w:pPr>
        <w:ind w:left="0"/>
        <w:jc w:val="both"/>
        <w:rPr>
          <w:rFonts w:ascii="Bookman Old Style" w:eastAsia="Calibri" w:hAnsi="Bookman Old Style" w:cs="Arial"/>
          <w:kern w:val="2"/>
          <w:lang w:val="es-CO" w:eastAsia="en-US"/>
          <w14:ligatures w14:val="standardContextual"/>
        </w:rPr>
      </w:pPr>
      <w:r>
        <w:rPr>
          <w:rFonts w:ascii="Bookman Old Style" w:eastAsia="Calibri" w:hAnsi="Bookman Old Style" w:cs="Arial"/>
          <w:kern w:val="2"/>
          <w:lang w:val="es-CO" w:eastAsia="en-US"/>
          <w14:ligatures w14:val="standardContextual"/>
        </w:rPr>
        <w:t>P</w:t>
      </w:r>
      <w:r w:rsidRPr="00190A6A">
        <w:rPr>
          <w:rFonts w:ascii="Bookman Old Style" w:eastAsia="Calibri" w:hAnsi="Bookman Old Style" w:cs="Arial"/>
          <w:kern w:val="2"/>
          <w:lang w:val="es-CO" w:eastAsia="en-US"/>
          <w14:ligatures w14:val="standardContextual"/>
        </w:rPr>
        <w:t>ara cada año</w:t>
      </w:r>
      <w:r>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w:t>
      </w:r>
      <w:r>
        <w:rPr>
          <w:rFonts w:ascii="Bookman Old Style" w:eastAsia="Calibri" w:hAnsi="Bookman Old Style" w:cs="Arial"/>
          <w:kern w:val="2"/>
          <w:lang w:val="es-CO" w:eastAsia="en-US"/>
          <w14:ligatures w14:val="standardContextual"/>
        </w:rPr>
        <w:t>l</w:t>
      </w:r>
      <w:r w:rsidR="00190A6A" w:rsidRPr="00190A6A">
        <w:rPr>
          <w:rFonts w:ascii="Bookman Old Style" w:eastAsia="Calibri" w:hAnsi="Bookman Old Style" w:cs="Arial"/>
          <w:kern w:val="2"/>
          <w:lang w:val="es-CO" w:eastAsia="en-US"/>
          <w14:ligatures w14:val="standardContextual"/>
        </w:rPr>
        <w:t xml:space="preserve">a </w:t>
      </w:r>
      <w:proofErr w:type="spellStart"/>
      <w:r>
        <w:rPr>
          <w:rFonts w:ascii="Bookman Old Style" w:eastAsia="Calibri" w:hAnsi="Bookman Old Style" w:cs="Arial"/>
          <w:kern w:val="2"/>
          <w:lang w:val="es-CO" w:eastAsia="en-US"/>
          <w14:ligatures w14:val="standardContextual"/>
        </w:rPr>
        <w:t>SSPD</w:t>
      </w:r>
      <w:proofErr w:type="spellEnd"/>
      <w:r w:rsidR="00190A6A" w:rsidRPr="00190A6A">
        <w:rPr>
          <w:rFonts w:ascii="Bookman Old Style" w:eastAsia="Calibri" w:hAnsi="Bookman Old Style" w:cs="Arial"/>
          <w:kern w:val="2"/>
          <w:lang w:val="es-CO" w:eastAsia="en-US"/>
          <w14:ligatures w14:val="standardContextual"/>
        </w:rPr>
        <w:t xml:space="preserve"> reglamentará los lineamentos para el reporte de información con los plazos y la estructura que debe cumplir cada uno de los regulados, así como el censo de cada vigencia. En efecto, cada reporte, basado en una taxonomía por grupo y tipo de reporte, permite reflejar los requerimientos de reconocimiento, medición (inicial y posterior), presentación y revelación de cada uno de los marcos normativos. Es así, que cada preparador de información, vigilado por la </w:t>
      </w:r>
      <w:proofErr w:type="spellStart"/>
      <w:r w:rsidR="00190A6A" w:rsidRPr="00190A6A">
        <w:rPr>
          <w:rFonts w:ascii="Bookman Old Style" w:eastAsia="Calibri" w:hAnsi="Bookman Old Style" w:cs="Arial"/>
          <w:kern w:val="2"/>
          <w:lang w:val="es-CO" w:eastAsia="en-US"/>
          <w14:ligatures w14:val="standardContextual"/>
        </w:rPr>
        <w:t>SSPD</w:t>
      </w:r>
      <w:proofErr w:type="spellEnd"/>
      <w:r w:rsidR="00190A6A" w:rsidRPr="00190A6A">
        <w:rPr>
          <w:rFonts w:ascii="Bookman Old Style" w:eastAsia="Calibri" w:hAnsi="Bookman Old Style" w:cs="Arial"/>
          <w:kern w:val="2"/>
          <w:lang w:val="es-CO" w:eastAsia="en-US"/>
          <w14:ligatures w14:val="standardContextual"/>
        </w:rPr>
        <w:t>, podrá utilizar los mecanismos que considere más fiables y pertinentes para el registro de los hechos económicos en cumplimiento de los objetivos de la información contable, sin que estos sufran una modificación en su naturaleza.</w:t>
      </w:r>
    </w:p>
    <w:p w14:paraId="3A5C1371"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7962A3D3"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El artículo 18 de la Ley 142 de 1994 señala que: </w:t>
      </w:r>
      <w:r w:rsidRPr="00190A6A">
        <w:rPr>
          <w:rFonts w:ascii="Bookman Old Style" w:eastAsia="Calibri" w:hAnsi="Bookman Old Style" w:cs="Arial"/>
          <w:i/>
          <w:iCs/>
          <w:kern w:val="2"/>
          <w:lang w:val="es-CO" w:eastAsia="en-US"/>
          <w14:ligatures w14:val="standardContextual"/>
        </w:rPr>
        <w:t>“(…) En todo caso, las empresas de servicios públicos que tengan objeto social múltiple deberán llevar contabilidad separada para cada uno de los servicios que presten; y el costo y la modalidad de las operaciones entre cada servicio deben registrarse de manera explícita (...)”.</w:t>
      </w:r>
    </w:p>
    <w:p w14:paraId="5833C452"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4AE3C358" w14:textId="0FADD665" w:rsidR="002E5EC8" w:rsidRDefault="00190A6A" w:rsidP="00190A6A">
      <w:pPr>
        <w:ind w:left="0"/>
        <w:jc w:val="both"/>
        <w:rPr>
          <w:rFonts w:ascii="Bookman Old Style" w:eastAsia="Calibri" w:hAnsi="Bookman Old Style" w:cs="Arial"/>
          <w:color w:val="000000"/>
          <w:kern w:val="2"/>
          <w:lang w:val="es-CO" w:eastAsia="en-US"/>
          <w14:ligatures w14:val="standardContextual"/>
        </w:rPr>
      </w:pPr>
      <w:r w:rsidRPr="00190A6A">
        <w:rPr>
          <w:rFonts w:ascii="Bookman Old Style" w:eastAsia="Calibri" w:hAnsi="Bookman Old Style" w:cs="Arial"/>
          <w:color w:val="000000"/>
          <w:kern w:val="2"/>
          <w:lang w:val="es-CO" w:eastAsia="en-US"/>
          <w14:ligatures w14:val="standardContextual"/>
        </w:rPr>
        <w:t>Para efectos de la presente resolución y del cálculo de la contribución especial en general, la</w:t>
      </w:r>
      <w:r w:rsidRPr="00190A6A">
        <w:rPr>
          <w:rFonts w:ascii="Bookman Old Style" w:eastAsia="Calibri" w:hAnsi="Bookman Old Style" w:cs="Arial"/>
          <w:kern w:val="2"/>
          <w:lang w:val="es-CO" w:eastAsia="en-US"/>
          <w14:ligatures w14:val="standardContextual"/>
        </w:rPr>
        <w:t xml:space="preserve"> CREG</w:t>
      </w:r>
      <w:r w:rsidRPr="00190A6A">
        <w:rPr>
          <w:rFonts w:ascii="Bookman Old Style" w:eastAsia="Calibri" w:hAnsi="Bookman Old Style" w:cs="Arial"/>
          <w:color w:val="000000"/>
          <w:kern w:val="2"/>
          <w:lang w:val="es-CO" w:eastAsia="en-US"/>
          <w14:ligatures w14:val="standardContextual"/>
        </w:rPr>
        <w:t xml:space="preserve"> ha adoptado </w:t>
      </w:r>
      <w:r w:rsidR="003D2080">
        <w:rPr>
          <w:rFonts w:ascii="Bookman Old Style" w:eastAsia="Calibri" w:hAnsi="Bookman Old Style" w:cs="Arial"/>
          <w:color w:val="000000"/>
          <w:kern w:val="2"/>
          <w:lang w:val="es-CO" w:eastAsia="en-US"/>
          <w14:ligatures w14:val="standardContextual"/>
        </w:rPr>
        <w:t xml:space="preserve">el concepto </w:t>
      </w:r>
      <w:r w:rsidRPr="00190A6A">
        <w:rPr>
          <w:rFonts w:ascii="Bookman Old Style" w:eastAsia="Calibri" w:hAnsi="Bookman Old Style" w:cs="Arial"/>
          <w:color w:val="000000"/>
          <w:kern w:val="2"/>
          <w:lang w:val="es-CO" w:eastAsia="en-US"/>
          <w14:ligatures w14:val="standardContextual"/>
        </w:rPr>
        <w:t>de “</w:t>
      </w:r>
      <w:r w:rsidRPr="00190A6A">
        <w:rPr>
          <w:rFonts w:ascii="Bookman Old Style" w:eastAsia="Calibri" w:hAnsi="Bookman Old Style" w:cs="Arial"/>
          <w:i/>
          <w:iCs/>
          <w:color w:val="000000"/>
          <w:kern w:val="2"/>
          <w:lang w:val="es-CO" w:eastAsia="en-US"/>
          <w14:ligatures w14:val="standardContextual"/>
        </w:rPr>
        <w:t>gastos de funcionamiento</w:t>
      </w:r>
      <w:r w:rsidRPr="00190A6A">
        <w:rPr>
          <w:rFonts w:ascii="Bookman Old Style" w:eastAsia="Calibri" w:hAnsi="Bookman Old Style" w:cs="Arial"/>
          <w:color w:val="000000"/>
          <w:kern w:val="2"/>
          <w:lang w:val="es-CO" w:eastAsia="en-US"/>
          <w14:ligatures w14:val="standardContextual"/>
        </w:rPr>
        <w:t xml:space="preserve">”, que ha desarrollado la Sección Cuarta del Consejo de Estado, según </w:t>
      </w:r>
      <w:r w:rsidR="003D2080">
        <w:rPr>
          <w:rFonts w:ascii="Bookman Old Style" w:eastAsia="Calibri" w:hAnsi="Bookman Old Style" w:cs="Arial"/>
          <w:color w:val="000000"/>
          <w:kern w:val="2"/>
          <w:lang w:val="es-CO" w:eastAsia="en-US"/>
          <w14:ligatures w14:val="standardContextual"/>
        </w:rPr>
        <w:t>el</w:t>
      </w:r>
      <w:r w:rsidR="003D2080" w:rsidRPr="00190A6A">
        <w:rPr>
          <w:rFonts w:ascii="Bookman Old Style" w:eastAsia="Calibri" w:hAnsi="Bookman Old Style" w:cs="Arial"/>
          <w:color w:val="000000"/>
          <w:kern w:val="2"/>
          <w:lang w:val="es-CO" w:eastAsia="en-US"/>
          <w14:ligatures w14:val="standardContextual"/>
        </w:rPr>
        <w:t xml:space="preserve"> </w:t>
      </w:r>
      <w:r w:rsidRPr="00190A6A">
        <w:rPr>
          <w:rFonts w:ascii="Bookman Old Style" w:eastAsia="Calibri" w:hAnsi="Bookman Old Style" w:cs="Arial"/>
          <w:color w:val="000000"/>
          <w:kern w:val="2"/>
          <w:lang w:val="es-CO" w:eastAsia="en-US"/>
          <w14:ligatures w14:val="standardContextual"/>
        </w:rPr>
        <w:t>cual deben entenderse como tales, únicamente aquellos que están relacionados con la prestación del servicio sujeto a regulación</w:t>
      </w:r>
      <w:r w:rsidR="003D2080">
        <w:rPr>
          <w:rFonts w:ascii="Bookman Old Style" w:eastAsia="Calibri" w:hAnsi="Bookman Old Style" w:cs="Arial"/>
          <w:color w:val="000000"/>
          <w:kern w:val="2"/>
          <w:lang w:val="es-CO" w:eastAsia="en-US"/>
          <w14:ligatures w14:val="standardContextual"/>
        </w:rPr>
        <w:t xml:space="preserve">. Dicho concepto </w:t>
      </w:r>
      <w:r w:rsidRPr="00190A6A">
        <w:rPr>
          <w:rFonts w:ascii="Bookman Old Style" w:eastAsia="Calibri" w:hAnsi="Bookman Old Style" w:cs="Arial"/>
          <w:color w:val="000000"/>
          <w:kern w:val="2"/>
          <w:lang w:val="es-CO" w:eastAsia="en-US"/>
          <w14:ligatures w14:val="standardContextual"/>
        </w:rPr>
        <w:t>ha sido expuest</w:t>
      </w:r>
      <w:r w:rsidR="003D2080">
        <w:rPr>
          <w:rFonts w:ascii="Bookman Old Style" w:eastAsia="Calibri" w:hAnsi="Bookman Old Style" w:cs="Arial"/>
          <w:color w:val="000000"/>
          <w:kern w:val="2"/>
          <w:lang w:val="es-CO" w:eastAsia="en-US"/>
          <w14:ligatures w14:val="standardContextual"/>
        </w:rPr>
        <w:t>o</w:t>
      </w:r>
      <w:r w:rsidRPr="00190A6A">
        <w:rPr>
          <w:rFonts w:ascii="Bookman Old Style" w:eastAsia="Calibri" w:hAnsi="Bookman Old Style" w:cs="Arial"/>
          <w:color w:val="000000"/>
          <w:kern w:val="2"/>
          <w:lang w:val="es-CO" w:eastAsia="en-US"/>
          <w14:ligatures w14:val="standardContextual"/>
        </w:rPr>
        <w:t xml:space="preserve"> en </w:t>
      </w:r>
      <w:r w:rsidR="003D2080">
        <w:rPr>
          <w:rFonts w:ascii="Bookman Old Style" w:eastAsia="Calibri" w:hAnsi="Bookman Old Style" w:cs="Arial"/>
          <w:color w:val="000000"/>
          <w:kern w:val="2"/>
          <w:lang w:val="es-CO" w:eastAsia="en-US"/>
          <w14:ligatures w14:val="standardContextual"/>
        </w:rPr>
        <w:t xml:space="preserve">las </w:t>
      </w:r>
      <w:r w:rsidRPr="00190A6A">
        <w:rPr>
          <w:rFonts w:ascii="Bookman Old Style" w:eastAsia="Calibri" w:hAnsi="Bookman Old Style" w:cs="Arial"/>
          <w:color w:val="000000"/>
          <w:kern w:val="2"/>
          <w:lang w:val="es-CO" w:eastAsia="en-US"/>
          <w14:ligatures w14:val="standardContextual"/>
        </w:rPr>
        <w:t xml:space="preserve">sentencias </w:t>
      </w:r>
      <w:r w:rsidR="003D2080" w:rsidRPr="00190A6A">
        <w:rPr>
          <w:rFonts w:ascii="Bookman Old Style" w:eastAsia="Calibri" w:hAnsi="Bookman Old Style" w:cs="Arial"/>
          <w:color w:val="000000"/>
          <w:kern w:val="2"/>
          <w:lang w:val="es-CO" w:eastAsia="en-US"/>
          <w14:ligatures w14:val="standardContextual"/>
        </w:rPr>
        <w:t>Rad. 11001-03-27-000-2007-00049-00 (16874) del 23 de septiembre de 2010 y Rad.  25000-23-27-000-2012-00362-01 (20253) del 17 de septiembre de 2014</w:t>
      </w:r>
      <w:r w:rsidR="003D2080">
        <w:rPr>
          <w:rFonts w:ascii="Bookman Old Style" w:eastAsia="Calibri" w:hAnsi="Bookman Old Style" w:cs="Arial"/>
          <w:color w:val="000000"/>
          <w:kern w:val="2"/>
          <w:lang w:val="es-CO" w:eastAsia="en-US"/>
          <w14:ligatures w14:val="standardContextual"/>
        </w:rPr>
        <w:t xml:space="preserve">, </w:t>
      </w:r>
      <w:r w:rsidRPr="00190A6A">
        <w:rPr>
          <w:rFonts w:ascii="Bookman Old Style" w:eastAsia="Calibri" w:hAnsi="Bookman Old Style" w:cs="Arial"/>
          <w:color w:val="000000"/>
          <w:kern w:val="2"/>
          <w:lang w:val="es-CO" w:eastAsia="en-US"/>
          <w14:ligatures w14:val="standardContextual"/>
        </w:rPr>
        <w:t xml:space="preserve">de la </w:t>
      </w:r>
      <w:proofErr w:type="gramStart"/>
      <w:r w:rsidRPr="00190A6A">
        <w:rPr>
          <w:rFonts w:ascii="Bookman Old Style" w:eastAsia="Calibri" w:hAnsi="Bookman Old Style" w:cs="Arial"/>
          <w:color w:val="000000"/>
          <w:kern w:val="2"/>
          <w:lang w:val="es-CO" w:eastAsia="en-US"/>
          <w14:ligatures w14:val="standardContextual"/>
        </w:rPr>
        <w:t>C</w:t>
      </w:r>
      <w:r w:rsidR="003D2080">
        <w:rPr>
          <w:rFonts w:ascii="Bookman Old Style" w:eastAsia="Calibri" w:hAnsi="Bookman Old Style" w:cs="Arial"/>
          <w:color w:val="000000"/>
          <w:kern w:val="2"/>
          <w:lang w:val="es-CO" w:eastAsia="en-US"/>
          <w14:ligatures w14:val="standardContextual"/>
        </w:rPr>
        <w:t>onsejera</w:t>
      </w:r>
      <w:proofErr w:type="gramEnd"/>
      <w:r w:rsidR="003D2080">
        <w:rPr>
          <w:rFonts w:ascii="Bookman Old Style" w:eastAsia="Calibri" w:hAnsi="Bookman Old Style" w:cs="Arial"/>
          <w:color w:val="000000"/>
          <w:kern w:val="2"/>
          <w:lang w:val="es-CO" w:eastAsia="en-US"/>
          <w14:ligatures w14:val="standardContextual"/>
        </w:rPr>
        <w:t xml:space="preserve"> </w:t>
      </w:r>
      <w:r w:rsidRPr="00190A6A">
        <w:rPr>
          <w:rFonts w:ascii="Bookman Old Style" w:eastAsia="Calibri" w:hAnsi="Bookman Old Style" w:cs="Arial"/>
          <w:color w:val="000000"/>
          <w:kern w:val="2"/>
          <w:lang w:val="es-CO" w:eastAsia="en-US"/>
          <w14:ligatures w14:val="standardContextual"/>
        </w:rPr>
        <w:t>P</w:t>
      </w:r>
      <w:r w:rsidR="003D2080">
        <w:rPr>
          <w:rFonts w:ascii="Bookman Old Style" w:eastAsia="Calibri" w:hAnsi="Bookman Old Style" w:cs="Arial"/>
          <w:color w:val="000000"/>
          <w:kern w:val="2"/>
          <w:lang w:val="es-CO" w:eastAsia="en-US"/>
          <w14:ligatures w14:val="standardContextual"/>
        </w:rPr>
        <w:t>onente</w:t>
      </w:r>
      <w:r w:rsidRPr="00190A6A">
        <w:rPr>
          <w:rFonts w:ascii="Bookman Old Style" w:eastAsia="Calibri" w:hAnsi="Bookman Old Style" w:cs="Arial"/>
          <w:color w:val="000000"/>
          <w:kern w:val="2"/>
          <w:lang w:val="es-CO" w:eastAsia="en-US"/>
          <w14:ligatures w14:val="standardContextual"/>
        </w:rPr>
        <w:t xml:space="preserve"> Martha Teresa Briceño de Valencia,</w:t>
      </w:r>
      <w:r w:rsidR="003D2080">
        <w:rPr>
          <w:rFonts w:ascii="Bookman Old Style" w:eastAsia="Calibri" w:hAnsi="Bookman Old Style" w:cs="Arial"/>
          <w:color w:val="000000"/>
          <w:kern w:val="2"/>
          <w:lang w:val="es-CO" w:eastAsia="en-US"/>
          <w14:ligatures w14:val="standardContextual"/>
        </w:rPr>
        <w:t xml:space="preserve"> </w:t>
      </w:r>
      <w:r w:rsidRPr="00190A6A">
        <w:rPr>
          <w:rFonts w:ascii="Bookman Old Style" w:eastAsia="Calibri" w:hAnsi="Bookman Old Style" w:cs="Arial"/>
          <w:color w:val="000000"/>
          <w:kern w:val="2"/>
          <w:lang w:val="es-CO" w:eastAsia="en-US"/>
          <w14:ligatures w14:val="standardContextual"/>
        </w:rPr>
        <w:t xml:space="preserve">ratificando posiciones contenidas en fallos emitidos en años anteriores, entre estos: </w:t>
      </w:r>
    </w:p>
    <w:p w14:paraId="19BC6487" w14:textId="77777777" w:rsidR="002E5EC8" w:rsidRPr="002E5EC8" w:rsidRDefault="002E5EC8" w:rsidP="00190A6A">
      <w:pPr>
        <w:ind w:left="0"/>
        <w:jc w:val="both"/>
        <w:rPr>
          <w:rFonts w:ascii="Bookman Old Style" w:eastAsia="Calibri" w:hAnsi="Bookman Old Style" w:cs="Arial"/>
          <w:color w:val="000000"/>
          <w:kern w:val="2"/>
          <w:lang w:val="es-CO" w:eastAsia="en-US"/>
          <w14:ligatures w14:val="standardContextual"/>
        </w:rPr>
      </w:pPr>
    </w:p>
    <w:p w14:paraId="43564ABA" w14:textId="3422AC7D" w:rsidR="002E5EC8" w:rsidRPr="004373C2" w:rsidRDefault="00190A6A" w:rsidP="004373C2">
      <w:pPr>
        <w:pStyle w:val="Prrafodelista"/>
        <w:numPr>
          <w:ilvl w:val="0"/>
          <w:numId w:val="29"/>
        </w:numPr>
        <w:ind w:left="284" w:hanging="295"/>
        <w:jc w:val="both"/>
        <w:rPr>
          <w:rFonts w:ascii="Bookman Old Style" w:eastAsia="Calibri" w:hAnsi="Bookman Old Style" w:cs="Arial"/>
          <w:color w:val="000000"/>
          <w:kern w:val="2"/>
          <w:lang w:eastAsia="en-US"/>
          <w14:ligatures w14:val="standardContextual"/>
        </w:rPr>
      </w:pPr>
      <w:r w:rsidRPr="004373C2">
        <w:rPr>
          <w:rFonts w:ascii="Bookman Old Style" w:eastAsia="Calibri" w:hAnsi="Bookman Old Style" w:cs="Arial"/>
          <w:color w:val="000000"/>
          <w:kern w:val="2"/>
          <w:sz w:val="24"/>
          <w:szCs w:val="24"/>
          <w:lang w:eastAsia="en-US"/>
          <w14:ligatures w14:val="standardContextual"/>
        </w:rPr>
        <w:t xml:space="preserve">Sentencia del Consejo de Estado, Sección Cuarta, de 9 de abril de 2001, </w:t>
      </w:r>
      <w:proofErr w:type="spellStart"/>
      <w:r w:rsidRPr="004373C2">
        <w:rPr>
          <w:rFonts w:ascii="Bookman Old Style" w:eastAsia="Calibri" w:hAnsi="Bookman Old Style" w:cs="Arial"/>
          <w:color w:val="000000"/>
          <w:kern w:val="2"/>
          <w:sz w:val="24"/>
          <w:szCs w:val="24"/>
          <w:lang w:eastAsia="en-US"/>
          <w14:ligatures w14:val="standardContextual"/>
        </w:rPr>
        <w:t>Exp</w:t>
      </w:r>
      <w:proofErr w:type="spellEnd"/>
      <w:r w:rsidRPr="004373C2">
        <w:rPr>
          <w:rFonts w:ascii="Bookman Old Style" w:eastAsia="Calibri" w:hAnsi="Bookman Old Style" w:cs="Arial"/>
          <w:color w:val="000000"/>
          <w:kern w:val="2"/>
          <w:sz w:val="24"/>
          <w:szCs w:val="24"/>
          <w:lang w:eastAsia="en-US"/>
          <w14:ligatures w14:val="standardContextual"/>
        </w:rPr>
        <w:t xml:space="preserve">. 11001-03-27-000-2000-1253-01(11790) - Sobre el alcance conceptual de los gastos de funcionamiento-, </w:t>
      </w:r>
      <w:r w:rsidR="002E5EC8">
        <w:rPr>
          <w:rFonts w:ascii="Bookman Old Style" w:eastAsia="Calibri" w:hAnsi="Bookman Old Style" w:cs="Arial"/>
          <w:color w:val="000000"/>
          <w:kern w:val="2"/>
          <w:sz w:val="24"/>
          <w:szCs w:val="24"/>
          <w:lang w:eastAsia="en-US"/>
          <w14:ligatures w14:val="standardContextual"/>
        </w:rPr>
        <w:t>y</w:t>
      </w:r>
    </w:p>
    <w:p w14:paraId="54FF6291" w14:textId="7E75DD5D" w:rsidR="00190A6A" w:rsidRDefault="00190A6A" w:rsidP="002E5EC8">
      <w:pPr>
        <w:pStyle w:val="Prrafodelista"/>
        <w:numPr>
          <w:ilvl w:val="0"/>
          <w:numId w:val="29"/>
        </w:numPr>
        <w:ind w:left="284" w:hanging="295"/>
        <w:jc w:val="both"/>
        <w:rPr>
          <w:rFonts w:ascii="Bookman Old Style" w:eastAsia="Calibri" w:hAnsi="Bookman Old Style" w:cs="Arial"/>
          <w:color w:val="000000"/>
          <w:kern w:val="2"/>
          <w:sz w:val="24"/>
          <w:szCs w:val="24"/>
          <w:lang w:eastAsia="en-US"/>
          <w14:ligatures w14:val="standardContextual"/>
        </w:rPr>
      </w:pPr>
      <w:r w:rsidRPr="004373C2">
        <w:rPr>
          <w:rFonts w:ascii="Bookman Old Style" w:eastAsia="Calibri" w:hAnsi="Bookman Old Style" w:cs="Arial"/>
          <w:color w:val="000000"/>
          <w:kern w:val="2"/>
          <w:sz w:val="24"/>
          <w:szCs w:val="24"/>
          <w:lang w:eastAsia="en-US"/>
          <w14:ligatures w14:val="standardContextual"/>
        </w:rPr>
        <w:t xml:space="preserve">Sentencia del Consejo de Estado, Sección Cuarta de 17 de abril de 2008, </w:t>
      </w:r>
      <w:proofErr w:type="spellStart"/>
      <w:r w:rsidRPr="004373C2">
        <w:rPr>
          <w:rFonts w:ascii="Bookman Old Style" w:eastAsia="Calibri" w:hAnsi="Bookman Old Style" w:cs="Arial"/>
          <w:color w:val="000000"/>
          <w:kern w:val="2"/>
          <w:sz w:val="24"/>
          <w:szCs w:val="24"/>
          <w:lang w:eastAsia="en-US"/>
          <w14:ligatures w14:val="standardContextual"/>
        </w:rPr>
        <w:t>Exp</w:t>
      </w:r>
      <w:proofErr w:type="spellEnd"/>
      <w:r w:rsidRPr="004373C2">
        <w:rPr>
          <w:rFonts w:ascii="Bookman Old Style" w:eastAsia="Calibri" w:hAnsi="Bookman Old Style" w:cs="Arial"/>
          <w:color w:val="000000"/>
          <w:kern w:val="2"/>
          <w:sz w:val="24"/>
          <w:szCs w:val="24"/>
          <w:lang w:eastAsia="en-US"/>
          <w14:ligatures w14:val="standardContextual"/>
        </w:rPr>
        <w:t>. 11001-03-27-000-2005-00061-00(15771)</w:t>
      </w:r>
      <w:r w:rsidR="002E5EC8">
        <w:rPr>
          <w:rFonts w:ascii="Bookman Old Style" w:eastAsia="Calibri" w:hAnsi="Bookman Old Style" w:cs="Arial"/>
          <w:color w:val="000000"/>
          <w:kern w:val="2"/>
          <w:sz w:val="24"/>
          <w:szCs w:val="24"/>
          <w:lang w:eastAsia="en-US"/>
          <w14:ligatures w14:val="standardContextual"/>
        </w:rPr>
        <w:t xml:space="preserve"> </w:t>
      </w:r>
      <w:r w:rsidRPr="004373C2">
        <w:rPr>
          <w:rFonts w:ascii="Bookman Old Style" w:eastAsia="Calibri" w:hAnsi="Bookman Old Style" w:cs="Arial"/>
          <w:color w:val="000000"/>
          <w:kern w:val="2"/>
          <w:sz w:val="24"/>
          <w:szCs w:val="24"/>
          <w:lang w:eastAsia="en-US"/>
          <w14:ligatures w14:val="standardContextual"/>
        </w:rPr>
        <w:t>- Sobre el alcance de la expresión funcionamiento y de la definición de gastos de funcionamiento.</w:t>
      </w:r>
    </w:p>
    <w:p w14:paraId="283C9438" w14:textId="77777777" w:rsidR="002E5EC8" w:rsidRPr="004373C2" w:rsidRDefault="002E5EC8" w:rsidP="004373C2">
      <w:pPr>
        <w:pStyle w:val="Prrafodelista"/>
        <w:ind w:left="284"/>
        <w:jc w:val="both"/>
        <w:rPr>
          <w:rFonts w:ascii="Bookman Old Style" w:eastAsia="Calibri" w:hAnsi="Bookman Old Style" w:cs="Arial"/>
          <w:color w:val="000000"/>
          <w:kern w:val="2"/>
          <w:lang w:eastAsia="en-US"/>
          <w14:ligatures w14:val="standardContextual"/>
        </w:rPr>
      </w:pPr>
    </w:p>
    <w:p w14:paraId="00499B53" w14:textId="68557B2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lastRenderedPageBreak/>
        <w:t>De acuerdo con lo anterior, y con el fin de proyectar la tarifa para la liquidación de la Contribución Especial del año 2024, la CREG tomó la información financiera reportada</w:t>
      </w:r>
      <w:r w:rsidR="002E5EC8">
        <w:rPr>
          <w:rFonts w:ascii="Bookman Old Style" w:eastAsia="Calibri" w:hAnsi="Bookman Old Style" w:cs="Arial"/>
          <w:kern w:val="2"/>
          <w:lang w:val="es-CO" w:eastAsia="en-US"/>
          <w14:ligatures w14:val="standardContextual"/>
        </w:rPr>
        <w:t xml:space="preserve"> en el Sistema Único de Información (SUI)</w:t>
      </w:r>
      <w:r w:rsidRPr="00190A6A">
        <w:rPr>
          <w:rFonts w:ascii="Bookman Old Style" w:eastAsia="Calibri" w:hAnsi="Bookman Old Style" w:cs="Arial"/>
          <w:kern w:val="2"/>
          <w:lang w:val="es-CO" w:eastAsia="en-US"/>
          <w14:ligatures w14:val="standardContextual"/>
        </w:rPr>
        <w:t xml:space="preserve"> y certificada con corte a 31 de diciembre de 2023</w:t>
      </w:r>
      <w:r w:rsidR="002E5EC8">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por las entidades sometidas al ámbito de regulación de la CREG.</w:t>
      </w:r>
    </w:p>
    <w:p w14:paraId="22D8775A" w14:textId="77777777" w:rsidR="00190A6A" w:rsidRPr="00190A6A" w:rsidRDefault="00190A6A" w:rsidP="00190A6A">
      <w:pPr>
        <w:ind w:left="0"/>
        <w:jc w:val="both"/>
        <w:rPr>
          <w:rFonts w:ascii="Bookman Old Style" w:eastAsia="Calibri" w:hAnsi="Bookman Old Style" w:cs="Arial"/>
          <w:color w:val="2F5496"/>
          <w:kern w:val="2"/>
          <w:lang w:val="es-CO" w:eastAsia="en-US"/>
          <w14:ligatures w14:val="standardContextual"/>
        </w:rPr>
      </w:pPr>
    </w:p>
    <w:p w14:paraId="65677403" w14:textId="2BAAB51C"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En desarrollo del artículo 19 de la Ley 2342 del 15 de diciembre de 2023 y su Decreto de liquidación 2295 del 29 de diciembre de 2023, así como </w:t>
      </w:r>
      <w:r w:rsidR="002E5EC8">
        <w:rPr>
          <w:rFonts w:ascii="Bookman Old Style" w:eastAsia="Calibri" w:hAnsi="Bookman Old Style" w:cs="Arial"/>
          <w:kern w:val="2"/>
          <w:lang w:val="es-CO" w:eastAsia="en-US"/>
          <w14:ligatures w14:val="standardContextual"/>
        </w:rPr>
        <w:t xml:space="preserve">de </w:t>
      </w:r>
      <w:r w:rsidRPr="00190A6A">
        <w:rPr>
          <w:rFonts w:ascii="Bookman Old Style" w:eastAsia="Calibri" w:hAnsi="Bookman Old Style" w:cs="Arial"/>
          <w:kern w:val="2"/>
          <w:lang w:val="es-CO" w:eastAsia="en-US"/>
          <w14:ligatures w14:val="standardContextual"/>
        </w:rPr>
        <w:t>su modificación mediante el Decreto 0312 del 6 de marzo de 2024, las apropiaciones presupuestales aprobadas y vigentes a favor de la CREG para la vigencia fiscal 2024, ascendieron a la suma de CUARENTA Y SIETE MIL SETECIENTOS TREINTA Y CUATRO MILLONES DOSCIENTOS OCHENTA Y OCHO MIL NOVECIENTOS OCHENTA Y DOS PESOS M/CTE. ($47.734.288.982), como se detalla en el documento técnico que hace parte integral de esta resolución.</w:t>
      </w:r>
    </w:p>
    <w:p w14:paraId="4CDA87C8"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7697E4AF"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El valor que debe ser cubierto con el recaudo de la contribución especial de que trata el artículo 85 de la Ley 142 de 1994, son los aforados como recursos 16 – Fondos Especiales, Sin Situación de Fondos – </w:t>
      </w:r>
      <w:proofErr w:type="spellStart"/>
      <w:r w:rsidRPr="00190A6A">
        <w:rPr>
          <w:rFonts w:ascii="Bookman Old Style" w:eastAsia="Calibri" w:hAnsi="Bookman Old Style" w:cs="Arial"/>
          <w:kern w:val="2"/>
          <w:lang w:val="es-CO" w:eastAsia="en-US"/>
          <w14:ligatures w14:val="standardContextual"/>
        </w:rPr>
        <w:t>SSF</w:t>
      </w:r>
      <w:proofErr w:type="spellEnd"/>
      <w:r w:rsidRPr="00190A6A">
        <w:rPr>
          <w:rFonts w:ascii="Bookman Old Style" w:eastAsia="Calibri" w:hAnsi="Bookman Old Style" w:cs="Arial"/>
          <w:kern w:val="2"/>
          <w:lang w:val="es-CO" w:eastAsia="en-US"/>
          <w14:ligatures w14:val="standardContextual"/>
        </w:rPr>
        <w:t xml:space="preserve">, que ascienden a la suma de $41.656.388.982, que restando las transferencias de excedentes al Fondo Empresarial, da como resultado un valor neto presupuestal base para la Contribución Especial 2024 por el valor de: TREINTA Y NUEVE MIL CUATROCIENTOS CUARENTA Y NUEVE MILLONES SETECIENTOS NOVENTA Y CINCO MIL NOVECIENTOS OCHENTA Y DOS PESOS M/CTE. ($39.449.795.982), como se detalla en el documento técnico que fija la tarifa de la presente contribución y que hace parte integral de esta resolución. </w:t>
      </w:r>
    </w:p>
    <w:p w14:paraId="3C2D1665"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28C0EE3E" w14:textId="3A0136CA"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Formarán parte de la base gravable de liquidación de la Contribución Especial 2024, la sumatoria de los valores certificados al SUI, por los prestadores en el Formato Complementario [900017] FC01-01 a FC01-07 “</w:t>
      </w:r>
      <w:r w:rsidRPr="00190A6A">
        <w:rPr>
          <w:rFonts w:ascii="Bookman Old Style" w:eastAsia="Calibri" w:hAnsi="Bookman Old Style" w:cs="Arial"/>
          <w:i/>
          <w:iCs/>
          <w:kern w:val="2"/>
          <w:lang w:val="es-CO" w:eastAsia="en-US"/>
          <w14:ligatures w14:val="standardContextual"/>
        </w:rPr>
        <w:t>Gastos de Servicios Públicos</w:t>
      </w:r>
      <w:r w:rsidRPr="00190A6A">
        <w:rPr>
          <w:rFonts w:ascii="Bookman Old Style" w:eastAsia="Calibri" w:hAnsi="Bookman Old Style" w:cs="Arial"/>
          <w:kern w:val="2"/>
          <w:lang w:val="es-CO" w:eastAsia="en-US"/>
          <w14:ligatures w14:val="standardContextual"/>
        </w:rPr>
        <w:t>”, en la columna gastos administrativos a 31 de diciembre de 2023, Concepto Total Gastos para cada servicio público objeto del servicio del ámbito de regulación de la CREG, tomando</w:t>
      </w:r>
      <w:r w:rsidR="005276B1">
        <w:rPr>
          <w:rFonts w:ascii="Bookman Old Style" w:eastAsia="Calibri" w:hAnsi="Bookman Old Style" w:cs="Arial"/>
          <w:kern w:val="2"/>
          <w:lang w:val="es-CO" w:eastAsia="en-US"/>
          <w14:ligatures w14:val="standardContextual"/>
        </w:rPr>
        <w:t xml:space="preserve"> </w:t>
      </w:r>
      <w:r w:rsidR="005276B1" w:rsidRPr="00190A6A">
        <w:rPr>
          <w:rFonts w:ascii="Bookman Old Style" w:eastAsia="Calibri" w:hAnsi="Bookman Old Style" w:cs="Arial"/>
          <w:kern w:val="2"/>
          <w:lang w:val="es-CO" w:eastAsia="en-US"/>
          <w14:ligatures w14:val="standardContextual"/>
        </w:rPr>
        <w:t xml:space="preserve">la información reportada a la </w:t>
      </w:r>
      <w:proofErr w:type="spellStart"/>
      <w:r w:rsidR="005276B1" w:rsidRPr="00190A6A">
        <w:rPr>
          <w:rFonts w:ascii="Bookman Old Style" w:eastAsia="Calibri" w:hAnsi="Bookman Old Style" w:cs="Arial"/>
          <w:kern w:val="2"/>
          <w:lang w:val="es-CO" w:eastAsia="en-US"/>
          <w14:ligatures w14:val="standardContextual"/>
        </w:rPr>
        <w:t>SSPD</w:t>
      </w:r>
      <w:proofErr w:type="spellEnd"/>
      <w:r w:rsidR="005276B1">
        <w:rPr>
          <w:rFonts w:ascii="Bookman Old Style" w:eastAsia="Calibri" w:hAnsi="Bookman Old Style" w:cs="Arial"/>
          <w:kern w:val="2"/>
          <w:lang w:val="es-CO" w:eastAsia="en-US"/>
          <w14:ligatures w14:val="standardContextual"/>
        </w:rPr>
        <w:t xml:space="preserve"> y suministrada por dicha entidad a la CREG,</w:t>
      </w:r>
      <w:r w:rsidRPr="00190A6A">
        <w:rPr>
          <w:rFonts w:ascii="Bookman Old Style" w:eastAsia="Calibri" w:hAnsi="Bookman Old Style" w:cs="Arial"/>
          <w:kern w:val="2"/>
          <w:lang w:val="es-CO" w:eastAsia="en-US"/>
          <w14:ligatures w14:val="standardContextual"/>
        </w:rPr>
        <w:t xml:space="preserve"> </w:t>
      </w:r>
      <w:r w:rsidR="005276B1">
        <w:rPr>
          <w:rFonts w:ascii="Bookman Old Style" w:eastAsia="Calibri" w:hAnsi="Bookman Old Style" w:cs="Arial"/>
          <w:kern w:val="2"/>
          <w:lang w:val="es-CO" w:eastAsia="en-US"/>
          <w14:ligatures w14:val="standardContextual"/>
        </w:rPr>
        <w:t xml:space="preserve">a </w:t>
      </w:r>
      <w:r w:rsidRPr="00190A6A">
        <w:rPr>
          <w:rFonts w:ascii="Bookman Old Style" w:eastAsia="Calibri" w:hAnsi="Bookman Old Style" w:cs="Arial"/>
          <w:kern w:val="2"/>
          <w:lang w:val="es-CO" w:eastAsia="en-US"/>
          <w14:ligatures w14:val="standardContextual"/>
        </w:rPr>
        <w:t xml:space="preserve">corte </w:t>
      </w:r>
      <w:r w:rsidR="005276B1">
        <w:rPr>
          <w:rFonts w:ascii="Bookman Old Style" w:eastAsia="Calibri" w:hAnsi="Bookman Old Style" w:cs="Arial"/>
          <w:kern w:val="2"/>
          <w:lang w:val="es-CO" w:eastAsia="en-US"/>
          <w14:ligatures w14:val="standardContextual"/>
        </w:rPr>
        <w:t>d</w:t>
      </w:r>
      <w:r w:rsidRPr="00190A6A">
        <w:rPr>
          <w:rFonts w:ascii="Bookman Old Style" w:eastAsia="Calibri" w:hAnsi="Bookman Old Style" w:cs="Arial"/>
          <w:kern w:val="2"/>
          <w:lang w:val="es-CO" w:eastAsia="en-US"/>
          <w14:ligatures w14:val="standardContextual"/>
        </w:rPr>
        <w:t>el 25 de agosto de 2024</w:t>
      </w:r>
      <w:r w:rsidR="005276B1">
        <w:rPr>
          <w:rFonts w:ascii="Bookman Old Style" w:eastAsia="Calibri" w:hAnsi="Bookman Old Style" w:cs="Arial"/>
          <w:kern w:val="2"/>
          <w:lang w:val="es-CO" w:eastAsia="en-US"/>
          <w14:ligatures w14:val="standardContextual"/>
        </w:rPr>
        <w:t>.</w:t>
      </w:r>
    </w:p>
    <w:p w14:paraId="0C809A4A"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3CABD396"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No formarán parte de la base gravable de la contribución especial 2024 los siguientes conceptos incluidos en el Formato Complementario [900017] FC01-01 a FC01-07 “</w:t>
      </w:r>
      <w:r w:rsidRPr="00190A6A">
        <w:rPr>
          <w:rFonts w:ascii="Bookman Old Style" w:eastAsia="Calibri" w:hAnsi="Bookman Old Style" w:cs="Arial"/>
          <w:i/>
          <w:iCs/>
          <w:kern w:val="2"/>
          <w:lang w:val="es-CO" w:eastAsia="en-US"/>
          <w14:ligatures w14:val="standardContextual"/>
        </w:rPr>
        <w:t>Gastos de Servicios Públicos</w:t>
      </w:r>
      <w:r w:rsidRPr="00190A6A">
        <w:rPr>
          <w:rFonts w:ascii="Bookman Old Style" w:eastAsia="Calibri" w:hAnsi="Bookman Old Style" w:cs="Arial"/>
          <w:kern w:val="2"/>
          <w:lang w:val="es-CO" w:eastAsia="en-US"/>
          <w14:ligatures w14:val="standardContextual"/>
        </w:rPr>
        <w:t>”, de la información financiera 2023 reportada por los regulados en el SUI.</w:t>
      </w:r>
    </w:p>
    <w:p w14:paraId="26E0FF01"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20A39737" w14:textId="0C5D63C6" w:rsidR="00190A6A" w:rsidRDefault="00190A6A" w:rsidP="004373C2">
      <w:pPr>
        <w:ind w:left="0"/>
        <w:jc w:val="center"/>
        <w:rPr>
          <w:rFonts w:ascii="Bookman Old Style" w:eastAsia="Calibri" w:hAnsi="Bookman Old Style" w:cs="Arial"/>
          <w:i/>
          <w:iCs/>
          <w:kern w:val="2"/>
          <w:lang w:val="es-CO" w:eastAsia="en-US"/>
          <w14:ligatures w14:val="standardContextual"/>
        </w:rPr>
      </w:pPr>
      <w:r w:rsidRPr="00190A6A">
        <w:rPr>
          <w:rFonts w:ascii="Bookman Old Style" w:eastAsia="Calibri" w:hAnsi="Bookman Old Style" w:cs="Arial"/>
          <w:i/>
          <w:iCs/>
          <w:kern w:val="2"/>
          <w:lang w:val="es-CO" w:eastAsia="en-US"/>
          <w14:ligatures w14:val="standardContextual"/>
        </w:rPr>
        <w:t xml:space="preserve">Tabla </w:t>
      </w:r>
      <w:r w:rsidRPr="00190A6A">
        <w:rPr>
          <w:rFonts w:ascii="Bookman Old Style" w:eastAsia="Calibri" w:hAnsi="Bookman Old Style" w:cs="Arial"/>
          <w:i/>
          <w:iCs/>
          <w:kern w:val="2"/>
          <w:lang w:val="es-CO" w:eastAsia="en-US"/>
          <w14:ligatures w14:val="standardContextual"/>
        </w:rPr>
        <w:fldChar w:fldCharType="begin"/>
      </w:r>
      <w:r w:rsidRPr="00190A6A">
        <w:rPr>
          <w:rFonts w:ascii="Bookman Old Style" w:eastAsia="Calibri" w:hAnsi="Bookman Old Style" w:cs="Arial"/>
          <w:i/>
          <w:iCs/>
          <w:kern w:val="2"/>
          <w:lang w:val="es-CO" w:eastAsia="en-US"/>
          <w14:ligatures w14:val="standardContextual"/>
        </w:rPr>
        <w:instrText xml:space="preserve"> SEQ Tabla \* ARABIC </w:instrText>
      </w:r>
      <w:r w:rsidRPr="00190A6A">
        <w:rPr>
          <w:rFonts w:ascii="Bookman Old Style" w:eastAsia="Calibri" w:hAnsi="Bookman Old Style" w:cs="Arial"/>
          <w:i/>
          <w:iCs/>
          <w:kern w:val="2"/>
          <w:lang w:val="es-CO" w:eastAsia="en-US"/>
          <w14:ligatures w14:val="standardContextual"/>
        </w:rPr>
        <w:fldChar w:fldCharType="separate"/>
      </w:r>
      <w:r w:rsidR="004E44A2">
        <w:rPr>
          <w:rFonts w:ascii="Bookman Old Style" w:eastAsia="Calibri" w:hAnsi="Bookman Old Style" w:cs="Arial"/>
          <w:i/>
          <w:iCs/>
          <w:noProof/>
          <w:kern w:val="2"/>
          <w:lang w:val="es-CO" w:eastAsia="en-US"/>
          <w14:ligatures w14:val="standardContextual"/>
        </w:rPr>
        <w:t>1</w:t>
      </w:r>
      <w:r w:rsidRPr="00190A6A">
        <w:rPr>
          <w:rFonts w:ascii="Bookman Old Style" w:eastAsia="Calibri" w:hAnsi="Bookman Old Style" w:cs="Arial"/>
          <w:i/>
          <w:iCs/>
          <w:kern w:val="2"/>
          <w:lang w:val="es-CO" w:eastAsia="en-US"/>
          <w14:ligatures w14:val="standardContextual"/>
        </w:rPr>
        <w:fldChar w:fldCharType="end"/>
      </w:r>
      <w:r w:rsidRPr="00190A6A">
        <w:rPr>
          <w:rFonts w:ascii="Bookman Old Style" w:eastAsia="Calibri" w:hAnsi="Bookman Old Style" w:cs="Arial"/>
          <w:i/>
          <w:iCs/>
          <w:kern w:val="2"/>
          <w:lang w:val="es-CO" w:eastAsia="en-US"/>
          <w14:ligatures w14:val="standardContextual"/>
        </w:rPr>
        <w:t>. Relación de rubros exentos de gastos de funcionamiento.</w:t>
      </w:r>
    </w:p>
    <w:tbl>
      <w:tblPr>
        <w:tblStyle w:val="Tablaconcuadrcula1"/>
        <w:tblW w:w="0" w:type="auto"/>
        <w:jc w:val="center"/>
        <w:tblLook w:val="04A0" w:firstRow="1" w:lastRow="0" w:firstColumn="1" w:lastColumn="0" w:noHBand="0" w:noVBand="1"/>
      </w:tblPr>
      <w:tblGrid>
        <w:gridCol w:w="6532"/>
      </w:tblGrid>
      <w:tr w:rsidR="00190A6A" w:rsidRPr="00190A6A" w14:paraId="22226B1E" w14:textId="77777777" w:rsidTr="00935B11">
        <w:trPr>
          <w:jc w:val="center"/>
        </w:trPr>
        <w:tc>
          <w:tcPr>
            <w:tcW w:w="6532" w:type="dxa"/>
          </w:tcPr>
          <w:p w14:paraId="2196E633"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Impuestos, tasas y contribuciones.</w:t>
            </w:r>
          </w:p>
          <w:p w14:paraId="3509EB2D"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Impuestos a las ganancias corrientes.</w:t>
            </w:r>
          </w:p>
          <w:p w14:paraId="588FDD1C"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Impuesto a las ganancias diferido.</w:t>
            </w:r>
          </w:p>
        </w:tc>
      </w:tr>
      <w:tr w:rsidR="00190A6A" w:rsidRPr="00190A6A" w14:paraId="5B7491AB" w14:textId="77777777" w:rsidTr="00935B11">
        <w:trPr>
          <w:jc w:val="center"/>
        </w:trPr>
        <w:tc>
          <w:tcPr>
            <w:tcW w:w="6532" w:type="dxa"/>
          </w:tcPr>
          <w:p w14:paraId="1D741F9D"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Deterioro.</w:t>
            </w:r>
          </w:p>
          <w:p w14:paraId="0AED88FA"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Depreciación.</w:t>
            </w:r>
          </w:p>
          <w:p w14:paraId="55ACA879"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Amortización.</w:t>
            </w:r>
          </w:p>
          <w:p w14:paraId="5BC81900"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lastRenderedPageBreak/>
              <w:t xml:space="preserve">(-) Provisiones: </w:t>
            </w:r>
          </w:p>
          <w:p w14:paraId="2673F62F"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xml:space="preserve">Litigios y demandas, </w:t>
            </w:r>
          </w:p>
          <w:p w14:paraId="49B8331A"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 xml:space="preserve">Garantías, </w:t>
            </w:r>
          </w:p>
          <w:p w14:paraId="3A8D57F8"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Diversas.</w:t>
            </w:r>
          </w:p>
        </w:tc>
      </w:tr>
      <w:tr w:rsidR="00190A6A" w:rsidRPr="00190A6A" w14:paraId="32587E85" w14:textId="77777777" w:rsidTr="00935B11">
        <w:trPr>
          <w:jc w:val="center"/>
        </w:trPr>
        <w:tc>
          <w:tcPr>
            <w:tcW w:w="6532" w:type="dxa"/>
          </w:tcPr>
          <w:p w14:paraId="22053F64"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lastRenderedPageBreak/>
              <w:t>(-) Otros gastos:</w:t>
            </w:r>
          </w:p>
          <w:p w14:paraId="3E5D92E1"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Comisiones,</w:t>
            </w:r>
          </w:p>
          <w:p w14:paraId="26D89A61"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Financieros,</w:t>
            </w:r>
          </w:p>
          <w:p w14:paraId="5EA75081"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Ajuste por diferencia en cambio,</w:t>
            </w:r>
          </w:p>
          <w:p w14:paraId="53C859D3"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Pérdidas por aplicación del método de participación,</w:t>
            </w:r>
          </w:p>
          <w:p w14:paraId="482AE23F"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Gastos diversos,</w:t>
            </w:r>
          </w:p>
          <w:p w14:paraId="303668A0"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Donaciones.</w:t>
            </w:r>
          </w:p>
        </w:tc>
      </w:tr>
      <w:tr w:rsidR="00190A6A" w:rsidRPr="00190A6A" w14:paraId="36A47023" w14:textId="77777777" w:rsidTr="00935B11">
        <w:trPr>
          <w:jc w:val="center"/>
        </w:trPr>
        <w:tc>
          <w:tcPr>
            <w:tcW w:w="6532" w:type="dxa"/>
          </w:tcPr>
          <w:p w14:paraId="07FA773B" w14:textId="4B0D35CE"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w:t>
            </w:r>
            <w:r w:rsidR="006713F4" w:rsidRPr="00912D90">
              <w:rPr>
                <w:rFonts w:ascii="Bookman Old Style" w:hAnsi="Bookman Old Style"/>
                <w:i/>
                <w:iCs/>
                <w:color w:val="44546A"/>
                <w:kern w:val="2"/>
                <w:sz w:val="20"/>
                <w:szCs w:val="20"/>
                <w14:ligatures w14:val="standardContextual"/>
              </w:rPr>
              <w:t>) Licencias</w:t>
            </w:r>
            <w:r w:rsidRPr="00190A6A">
              <w:rPr>
                <w:rFonts w:ascii="Bookman Old Style" w:hAnsi="Bookman Old Style"/>
                <w:i/>
                <w:iCs/>
                <w:color w:val="44546A"/>
                <w:kern w:val="2"/>
                <w:sz w:val="20"/>
                <w:szCs w:val="20"/>
                <w14:ligatures w14:val="standardContextual"/>
              </w:rPr>
              <w:t>, contribuciones y regalías:</w:t>
            </w:r>
          </w:p>
          <w:p w14:paraId="2EBCCDC7"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Secretaría Distrital del Medio Ambiente,</w:t>
            </w:r>
          </w:p>
          <w:p w14:paraId="1C2F1FBD"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Ley 56 de 1981,</w:t>
            </w:r>
          </w:p>
          <w:p w14:paraId="56E16455"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Medio ambiente – Ley 99 de 1993,</w:t>
            </w:r>
          </w:p>
          <w:p w14:paraId="1FD30672"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Regalías,</w:t>
            </w:r>
          </w:p>
          <w:p w14:paraId="7DAAF6A9"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Licencia de operación del servicio,</w:t>
            </w:r>
          </w:p>
          <w:p w14:paraId="22C5BAE4"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proofErr w:type="spellStart"/>
            <w:r w:rsidRPr="00190A6A">
              <w:rPr>
                <w:rFonts w:ascii="Bookman Old Style" w:hAnsi="Bookman Old Style"/>
                <w:i/>
                <w:iCs/>
                <w:color w:val="44546A"/>
                <w:kern w:val="2"/>
                <w:sz w:val="20"/>
                <w:szCs w:val="20"/>
                <w14:ligatures w14:val="standardContextual"/>
              </w:rPr>
              <w:t>FAZNI</w:t>
            </w:r>
            <w:proofErr w:type="spellEnd"/>
            <w:r w:rsidRPr="00190A6A">
              <w:rPr>
                <w:rFonts w:ascii="Bookman Old Style" w:hAnsi="Bookman Old Style"/>
                <w:i/>
                <w:iCs/>
                <w:color w:val="44546A"/>
                <w:kern w:val="2"/>
                <w:sz w:val="20"/>
                <w:szCs w:val="20"/>
                <w14:ligatures w14:val="standardContextual"/>
              </w:rPr>
              <w:t>,</w:t>
            </w:r>
          </w:p>
          <w:p w14:paraId="169F7C4C"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proofErr w:type="spellStart"/>
            <w:r w:rsidRPr="00190A6A">
              <w:rPr>
                <w:rFonts w:ascii="Bookman Old Style" w:hAnsi="Bookman Old Style"/>
                <w:i/>
                <w:iCs/>
                <w:color w:val="44546A"/>
                <w:kern w:val="2"/>
                <w:sz w:val="20"/>
                <w:szCs w:val="20"/>
                <w14:ligatures w14:val="standardContextual"/>
              </w:rPr>
              <w:t>FAER</w:t>
            </w:r>
            <w:proofErr w:type="spellEnd"/>
            <w:r w:rsidRPr="00190A6A">
              <w:rPr>
                <w:rFonts w:ascii="Bookman Old Style" w:hAnsi="Bookman Old Style"/>
                <w:i/>
                <w:iCs/>
                <w:color w:val="44546A"/>
                <w:kern w:val="2"/>
                <w:sz w:val="20"/>
                <w:szCs w:val="20"/>
                <w14:ligatures w14:val="standardContextual"/>
              </w:rPr>
              <w:t>,</w:t>
            </w:r>
          </w:p>
          <w:p w14:paraId="7F701D50"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Cuota de fomento de gas,</w:t>
            </w:r>
          </w:p>
          <w:p w14:paraId="0B217EA0"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Comité de estratificación – Ley 505 de 1999,</w:t>
            </w:r>
          </w:p>
          <w:p w14:paraId="1F037DA5"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Art. 25 – Ley 142 de Concesiones y permisos ambientales y sanitarios</w:t>
            </w:r>
          </w:p>
          <w:p w14:paraId="63F7DB49" w14:textId="77777777" w:rsidR="00190A6A" w:rsidRPr="00190A6A" w:rsidRDefault="00190A6A" w:rsidP="00190A6A">
            <w:pPr>
              <w:spacing w:after="200"/>
              <w:rPr>
                <w:rFonts w:ascii="Bookman Old Style" w:hAnsi="Bookman Old Style"/>
                <w:i/>
                <w:iCs/>
                <w:color w:val="44546A"/>
                <w:kern w:val="2"/>
                <w:sz w:val="20"/>
                <w:szCs w:val="20"/>
                <w14:ligatures w14:val="standardContextual"/>
              </w:rPr>
            </w:pPr>
            <w:r w:rsidRPr="00190A6A">
              <w:rPr>
                <w:rFonts w:ascii="Bookman Old Style" w:hAnsi="Bookman Old Style"/>
                <w:i/>
                <w:iCs/>
                <w:color w:val="44546A"/>
                <w:kern w:val="2"/>
                <w:sz w:val="20"/>
                <w:szCs w:val="20"/>
                <w14:ligatures w14:val="standardContextual"/>
              </w:rPr>
              <w:t>Otras licencias Ley 142 de 1994.</w:t>
            </w:r>
          </w:p>
        </w:tc>
      </w:tr>
    </w:tbl>
    <w:p w14:paraId="5D6EC8C7"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7E1960DE" w14:textId="40F349DA"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El CENSO de regulados sujetos a la contribución especial a favor de la CREG, con corte al 25 de agosto de 2024 </w:t>
      </w:r>
      <w:r w:rsidR="005276B1">
        <w:rPr>
          <w:rFonts w:ascii="Bookman Old Style" w:eastAsia="Calibri" w:hAnsi="Bookman Old Style" w:cs="Arial"/>
          <w:kern w:val="2"/>
          <w:lang w:val="es-CO" w:eastAsia="en-US"/>
          <w14:ligatures w14:val="standardContextual"/>
        </w:rPr>
        <w:t>es de</w:t>
      </w:r>
      <w:r w:rsidR="005276B1" w:rsidRPr="00190A6A">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489 entidades activas en el </w:t>
      </w:r>
      <w:r w:rsidR="005276B1">
        <w:rPr>
          <w:rFonts w:ascii="Bookman Old Style" w:eastAsia="Calibri" w:hAnsi="Bookman Old Style" w:cs="Arial"/>
          <w:kern w:val="2"/>
          <w:lang w:val="es-CO" w:eastAsia="en-US"/>
          <w14:ligatures w14:val="standardContextual"/>
        </w:rPr>
        <w:t>Registro Único de Prestadores de Servicios Públicos (</w:t>
      </w:r>
      <w:proofErr w:type="spellStart"/>
      <w:r w:rsidRPr="00190A6A">
        <w:rPr>
          <w:rFonts w:ascii="Bookman Old Style" w:eastAsia="Calibri" w:hAnsi="Bookman Old Style" w:cs="Arial"/>
          <w:kern w:val="2"/>
          <w:lang w:val="es-CO" w:eastAsia="en-US"/>
          <w14:ligatures w14:val="standardContextual"/>
        </w:rPr>
        <w:t>RUPS</w:t>
      </w:r>
      <w:proofErr w:type="spellEnd"/>
      <w:r w:rsidR="005276B1">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para el año 2024, de las cuales 383 entidades reportaron la información financiera 2023 al SUI</w:t>
      </w:r>
      <w:r w:rsidR="005276B1">
        <w:rPr>
          <w:rFonts w:ascii="Bookman Old Style" w:eastAsia="Calibri" w:hAnsi="Bookman Old Style" w:cs="Arial"/>
          <w:kern w:val="2"/>
          <w:lang w:val="es-CO" w:eastAsia="en-US"/>
          <w14:ligatures w14:val="standardContextual"/>
        </w:rPr>
        <w:t xml:space="preserve">, mientras que </w:t>
      </w:r>
      <w:r w:rsidR="005276B1" w:rsidRPr="00190A6A">
        <w:rPr>
          <w:rFonts w:ascii="Bookman Old Style" w:eastAsia="Calibri" w:hAnsi="Bookman Old Style" w:cs="Arial"/>
          <w:kern w:val="2"/>
          <w:lang w:val="es-CO" w:eastAsia="en-US"/>
          <w14:ligatures w14:val="standardContextual"/>
        </w:rPr>
        <w:t>145 entidades no han realizado el cargue de la información financiera</w:t>
      </w:r>
      <w:r w:rsidR="005276B1">
        <w:rPr>
          <w:rFonts w:ascii="Bookman Old Style" w:eastAsia="Calibri" w:hAnsi="Bookman Old Style" w:cs="Arial"/>
          <w:kern w:val="2"/>
          <w:lang w:val="es-CO" w:eastAsia="en-US"/>
          <w14:ligatures w14:val="standardContextual"/>
        </w:rPr>
        <w:t>. Adicionalmente, se</w:t>
      </w:r>
      <w:r w:rsidRPr="00190A6A">
        <w:rPr>
          <w:rFonts w:ascii="Bookman Old Style" w:eastAsia="Calibri" w:hAnsi="Bookman Old Style" w:cs="Arial"/>
          <w:kern w:val="2"/>
          <w:lang w:val="es-CO" w:eastAsia="en-US"/>
          <w14:ligatures w14:val="standardContextual"/>
        </w:rPr>
        <w:t xml:space="preserve"> excluyen 3 </w:t>
      </w:r>
      <w:r w:rsidR="005276B1">
        <w:rPr>
          <w:rFonts w:ascii="Bookman Old Style" w:eastAsia="Calibri" w:hAnsi="Bookman Old Style" w:cs="Arial"/>
          <w:kern w:val="2"/>
          <w:lang w:val="es-CO" w:eastAsia="en-US"/>
          <w14:ligatures w14:val="standardContextual"/>
        </w:rPr>
        <w:t xml:space="preserve">empresas </w:t>
      </w:r>
      <w:r w:rsidRPr="00190A6A">
        <w:rPr>
          <w:rFonts w:ascii="Bookman Old Style" w:eastAsia="Calibri" w:hAnsi="Bookman Old Style" w:cs="Arial"/>
          <w:kern w:val="2"/>
          <w:lang w:val="es-CO" w:eastAsia="en-US"/>
          <w14:ligatures w14:val="standardContextual"/>
        </w:rPr>
        <w:t>reportad</w:t>
      </w:r>
      <w:r w:rsidR="005276B1">
        <w:rPr>
          <w:rFonts w:ascii="Bookman Old Style" w:eastAsia="Calibri" w:hAnsi="Bookman Old Style" w:cs="Arial"/>
          <w:kern w:val="2"/>
          <w:lang w:val="es-CO" w:eastAsia="en-US"/>
          <w14:ligatures w14:val="standardContextual"/>
        </w:rPr>
        <w:t>a</w:t>
      </w:r>
      <w:r w:rsidRPr="00190A6A">
        <w:rPr>
          <w:rFonts w:ascii="Bookman Old Style" w:eastAsia="Calibri" w:hAnsi="Bookman Old Style" w:cs="Arial"/>
          <w:kern w:val="2"/>
          <w:lang w:val="es-CO" w:eastAsia="en-US"/>
          <w14:ligatures w14:val="standardContextual"/>
        </w:rPr>
        <w:t>s</w:t>
      </w:r>
      <w:r w:rsidR="005276B1">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que cancelaron su </w:t>
      </w:r>
      <w:proofErr w:type="spellStart"/>
      <w:r w:rsidRPr="00190A6A">
        <w:rPr>
          <w:rFonts w:ascii="Bookman Old Style" w:eastAsia="Calibri" w:hAnsi="Bookman Old Style" w:cs="Arial"/>
          <w:kern w:val="2"/>
          <w:lang w:val="es-CO" w:eastAsia="en-US"/>
          <w14:ligatures w14:val="standardContextual"/>
        </w:rPr>
        <w:t>RUPS</w:t>
      </w:r>
      <w:proofErr w:type="spellEnd"/>
      <w:r w:rsidRPr="00190A6A">
        <w:rPr>
          <w:rFonts w:ascii="Bookman Old Style" w:eastAsia="Calibri" w:hAnsi="Bookman Old Style" w:cs="Arial"/>
          <w:kern w:val="2"/>
          <w:lang w:val="es-CO" w:eastAsia="en-US"/>
          <w14:ligatures w14:val="standardContextual"/>
        </w:rPr>
        <w:t xml:space="preserve"> en la vigencia 2023</w:t>
      </w:r>
      <w:r w:rsidR="005276B1">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w:t>
      </w:r>
    </w:p>
    <w:p w14:paraId="2EA6180A"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34F506FC" w14:textId="77777777" w:rsid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La información financiera del año 2023 depurada, que conformará la base gravable, se detalla en las siguientes cuentas:</w:t>
      </w:r>
    </w:p>
    <w:p w14:paraId="27E4DBC5" w14:textId="77777777" w:rsidR="00BD64AA" w:rsidRPr="00190A6A" w:rsidRDefault="00BD64AA" w:rsidP="00190A6A">
      <w:pPr>
        <w:ind w:left="0"/>
        <w:jc w:val="both"/>
        <w:rPr>
          <w:rFonts w:ascii="Bookman Old Style" w:eastAsia="Calibri" w:hAnsi="Bookman Old Style" w:cs="Arial"/>
          <w:kern w:val="2"/>
          <w:lang w:val="es-CO" w:eastAsia="en-US"/>
          <w14:ligatures w14:val="standardContextual"/>
        </w:rPr>
      </w:pPr>
    </w:p>
    <w:p w14:paraId="3719B2BC"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048AD49D" w14:textId="389F0EFC" w:rsidR="005276B1" w:rsidRDefault="00190A6A" w:rsidP="005276B1">
      <w:pPr>
        <w:keepNext/>
        <w:ind w:left="0"/>
        <w:jc w:val="center"/>
        <w:rPr>
          <w:rFonts w:ascii="Bookman Old Style" w:hAnsi="Bookman Old Style" w:cs="Arial"/>
          <w:i/>
          <w:iCs/>
          <w:sz w:val="22"/>
          <w:szCs w:val="22"/>
        </w:rPr>
      </w:pPr>
      <w:bookmarkStart w:id="0" w:name="_Hlk152247364"/>
      <w:r w:rsidRPr="00190A6A">
        <w:rPr>
          <w:rFonts w:ascii="Bookman Old Style" w:hAnsi="Bookman Old Style" w:cs="Arial"/>
          <w:i/>
          <w:iCs/>
          <w:sz w:val="22"/>
          <w:szCs w:val="22"/>
        </w:rPr>
        <w:lastRenderedPageBreak/>
        <w:t xml:space="preserve">Tabla </w:t>
      </w:r>
      <w:r w:rsidRPr="00190A6A">
        <w:rPr>
          <w:rFonts w:ascii="Bookman Old Style" w:hAnsi="Bookman Old Style" w:cs="Arial"/>
          <w:i/>
          <w:iCs/>
          <w:sz w:val="22"/>
          <w:szCs w:val="22"/>
        </w:rPr>
        <w:fldChar w:fldCharType="begin"/>
      </w:r>
      <w:r w:rsidRPr="00190A6A">
        <w:rPr>
          <w:rFonts w:ascii="Bookman Old Style" w:hAnsi="Bookman Old Style" w:cs="Arial"/>
          <w:i/>
          <w:iCs/>
          <w:sz w:val="22"/>
          <w:szCs w:val="22"/>
        </w:rPr>
        <w:instrText xml:space="preserve"> SEQ Tabla \* ARABIC </w:instrText>
      </w:r>
      <w:r w:rsidRPr="00190A6A">
        <w:rPr>
          <w:rFonts w:ascii="Bookman Old Style" w:hAnsi="Bookman Old Style" w:cs="Arial"/>
          <w:i/>
          <w:iCs/>
          <w:sz w:val="22"/>
          <w:szCs w:val="22"/>
        </w:rPr>
        <w:fldChar w:fldCharType="separate"/>
      </w:r>
      <w:r w:rsidR="004E44A2">
        <w:rPr>
          <w:rFonts w:ascii="Bookman Old Style" w:hAnsi="Bookman Old Style" w:cs="Arial"/>
          <w:i/>
          <w:iCs/>
          <w:noProof/>
          <w:sz w:val="22"/>
          <w:szCs w:val="22"/>
        </w:rPr>
        <w:t>2</w:t>
      </w:r>
      <w:r w:rsidRPr="00190A6A">
        <w:rPr>
          <w:rFonts w:ascii="Bookman Old Style" w:hAnsi="Bookman Old Style" w:cs="Arial"/>
          <w:i/>
          <w:iCs/>
          <w:sz w:val="22"/>
          <w:szCs w:val="22"/>
        </w:rPr>
        <w:fldChar w:fldCharType="end"/>
      </w:r>
      <w:r w:rsidRPr="00190A6A">
        <w:rPr>
          <w:rFonts w:ascii="Bookman Old Style" w:hAnsi="Bookman Old Style" w:cs="Arial"/>
          <w:i/>
          <w:iCs/>
          <w:sz w:val="22"/>
          <w:szCs w:val="22"/>
        </w:rPr>
        <w:t>. C</w:t>
      </w:r>
      <w:bookmarkEnd w:id="0"/>
      <w:r w:rsidRPr="00190A6A">
        <w:rPr>
          <w:rFonts w:ascii="Bookman Old Style" w:hAnsi="Bookman Old Style" w:cs="Arial"/>
          <w:i/>
          <w:iCs/>
          <w:sz w:val="22"/>
          <w:szCs w:val="22"/>
        </w:rPr>
        <w:t>onsolidado detallado de la base gravable contribución 2024.</w:t>
      </w:r>
    </w:p>
    <w:p w14:paraId="6FEAB12F" w14:textId="50650670" w:rsidR="00190A6A" w:rsidRPr="00190A6A" w:rsidRDefault="00190A6A" w:rsidP="004373C2">
      <w:pPr>
        <w:keepNext/>
        <w:ind w:left="0"/>
        <w:jc w:val="center"/>
        <w:rPr>
          <w:rFonts w:ascii="Bookman Old Style" w:hAnsi="Bookman Old Style" w:cs="Arial"/>
          <w:i/>
          <w:iCs/>
          <w:sz w:val="22"/>
          <w:szCs w:val="22"/>
        </w:rPr>
      </w:pPr>
      <w:r w:rsidRPr="00190A6A">
        <w:rPr>
          <w:rFonts w:ascii="Bookman Old Style" w:hAnsi="Bookman Old Style" w:cs="Arial"/>
          <w:i/>
          <w:iCs/>
          <w:sz w:val="22"/>
          <w:szCs w:val="22"/>
        </w:rPr>
        <w:t>En pesos corrientes.</w:t>
      </w:r>
    </w:p>
    <w:tbl>
      <w:tblPr>
        <w:tblW w:w="9629" w:type="dxa"/>
        <w:jc w:val="center"/>
        <w:tblCellMar>
          <w:left w:w="70" w:type="dxa"/>
          <w:right w:w="70" w:type="dxa"/>
        </w:tblCellMar>
        <w:tblLook w:val="04A0" w:firstRow="1" w:lastRow="0" w:firstColumn="1" w:lastColumn="0" w:noHBand="0" w:noVBand="1"/>
      </w:tblPr>
      <w:tblGrid>
        <w:gridCol w:w="2240"/>
        <w:gridCol w:w="4276"/>
        <w:gridCol w:w="3113"/>
      </w:tblGrid>
      <w:tr w:rsidR="00190A6A" w:rsidRPr="00190A6A" w14:paraId="635C6218" w14:textId="77777777" w:rsidTr="00935B11">
        <w:trPr>
          <w:trHeight w:val="300"/>
          <w:jc w:val="center"/>
        </w:trPr>
        <w:tc>
          <w:tcPr>
            <w:tcW w:w="224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1A1979D4" w14:textId="77777777" w:rsidR="00190A6A" w:rsidRPr="00190A6A" w:rsidRDefault="00190A6A" w:rsidP="00190A6A">
            <w:pPr>
              <w:ind w:left="0"/>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CO" w:eastAsia="es-CO"/>
                <w14:ligatures w14:val="standardContextual"/>
              </w:rPr>
              <w:t>TIPO DE GASTO</w:t>
            </w:r>
          </w:p>
        </w:tc>
        <w:tc>
          <w:tcPr>
            <w:tcW w:w="4276" w:type="dxa"/>
            <w:tcBorders>
              <w:top w:val="single" w:sz="8" w:space="0" w:color="auto"/>
              <w:left w:val="nil"/>
              <w:bottom w:val="single" w:sz="8" w:space="0" w:color="auto"/>
              <w:right w:val="single" w:sz="8" w:space="0" w:color="auto"/>
            </w:tcBorders>
            <w:shd w:val="clear" w:color="000000" w:fill="E7E6E6"/>
            <w:noWrap/>
            <w:vAlign w:val="center"/>
            <w:hideMark/>
          </w:tcPr>
          <w:p w14:paraId="5E63671F" w14:textId="77777777" w:rsidR="00190A6A" w:rsidRPr="00190A6A" w:rsidRDefault="00190A6A" w:rsidP="00190A6A">
            <w:pPr>
              <w:ind w:left="0"/>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CO" w:eastAsia="es-CO"/>
                <w14:ligatures w14:val="standardContextual"/>
              </w:rPr>
              <w:t xml:space="preserve"> CONCEPTOS </w:t>
            </w:r>
          </w:p>
        </w:tc>
        <w:tc>
          <w:tcPr>
            <w:tcW w:w="3113" w:type="dxa"/>
            <w:tcBorders>
              <w:top w:val="single" w:sz="8" w:space="0" w:color="auto"/>
              <w:left w:val="nil"/>
              <w:bottom w:val="single" w:sz="8" w:space="0" w:color="auto"/>
              <w:right w:val="single" w:sz="8" w:space="0" w:color="auto"/>
            </w:tcBorders>
            <w:shd w:val="clear" w:color="000000" w:fill="E7E6E6"/>
            <w:noWrap/>
            <w:vAlign w:val="center"/>
            <w:hideMark/>
          </w:tcPr>
          <w:p w14:paraId="2677F771" w14:textId="77777777" w:rsidR="00190A6A" w:rsidRPr="00190A6A" w:rsidRDefault="00190A6A" w:rsidP="00190A6A">
            <w:pPr>
              <w:ind w:left="0"/>
              <w:jc w:val="center"/>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CO" w:eastAsia="es-CO"/>
                <w14:ligatures w14:val="standardContextual"/>
              </w:rPr>
              <w:t xml:space="preserve">VALORES </w:t>
            </w:r>
            <w:proofErr w:type="spellStart"/>
            <w:r w:rsidRPr="00190A6A">
              <w:rPr>
                <w:rFonts w:ascii="Bookman Old Style" w:eastAsia="Calibri" w:hAnsi="Bookman Old Style" w:cs="Arial"/>
                <w:b/>
                <w:bCs/>
                <w:color w:val="000000"/>
                <w:kern w:val="2"/>
                <w:sz w:val="20"/>
                <w:szCs w:val="20"/>
                <w:lang w:val="es-CO" w:eastAsia="es-CO"/>
                <w14:ligatures w14:val="standardContextual"/>
              </w:rPr>
              <w:t>EEFF</w:t>
            </w:r>
            <w:proofErr w:type="spellEnd"/>
            <w:r w:rsidRPr="00190A6A">
              <w:rPr>
                <w:rFonts w:ascii="Bookman Old Style" w:eastAsia="Calibri" w:hAnsi="Bookman Old Style" w:cs="Arial"/>
                <w:b/>
                <w:bCs/>
                <w:color w:val="000000"/>
                <w:kern w:val="2"/>
                <w:sz w:val="20"/>
                <w:szCs w:val="20"/>
                <w:lang w:val="es-CO" w:eastAsia="es-CO"/>
                <w14:ligatures w14:val="standardContextual"/>
              </w:rPr>
              <w:t xml:space="preserve"> 2023</w:t>
            </w:r>
          </w:p>
        </w:tc>
      </w:tr>
      <w:tr w:rsidR="00190A6A" w:rsidRPr="00190A6A" w14:paraId="19114C6D"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6A2C2DD3"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3BE6E233"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w:t>
            </w:r>
            <w:proofErr w:type="gramStart"/>
            <w:r w:rsidRPr="00190A6A">
              <w:rPr>
                <w:rFonts w:ascii="Bookman Old Style" w:eastAsia="Calibri" w:hAnsi="Bookman Old Style"/>
                <w:kern w:val="2"/>
                <w:sz w:val="20"/>
                <w:szCs w:val="20"/>
                <w:lang w:val="es-CO" w:eastAsia="en-US"/>
                <w14:ligatures w14:val="standardContextual"/>
              </w:rPr>
              <w:t>Total</w:t>
            </w:r>
            <w:proofErr w:type="gramEnd"/>
            <w:r w:rsidRPr="00190A6A">
              <w:rPr>
                <w:rFonts w:ascii="Bookman Old Style" w:eastAsia="Calibri" w:hAnsi="Bookman Old Style"/>
                <w:kern w:val="2"/>
                <w:sz w:val="20"/>
                <w:szCs w:val="20"/>
                <w:lang w:val="es-CO" w:eastAsia="en-US"/>
                <w14:ligatures w14:val="standardContextual"/>
              </w:rPr>
              <w:t xml:space="preserve"> Gastos Administrativos </w:t>
            </w:r>
          </w:p>
        </w:tc>
        <w:tc>
          <w:tcPr>
            <w:tcW w:w="3113" w:type="dxa"/>
            <w:tcBorders>
              <w:top w:val="nil"/>
              <w:left w:val="nil"/>
              <w:bottom w:val="single" w:sz="8" w:space="0" w:color="auto"/>
              <w:right w:val="single" w:sz="8" w:space="0" w:color="auto"/>
            </w:tcBorders>
            <w:shd w:val="clear" w:color="auto" w:fill="auto"/>
            <w:noWrap/>
            <w:hideMark/>
          </w:tcPr>
          <w:p w14:paraId="2380A39C"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32.410.662.249.108 </w:t>
            </w:r>
          </w:p>
        </w:tc>
      </w:tr>
      <w:tr w:rsidR="00190A6A" w:rsidRPr="00190A6A" w14:paraId="051D4013"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7ADA047"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6AEAA3D9"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Ajustes Diferencia en Cambio </w:t>
            </w:r>
          </w:p>
        </w:tc>
        <w:tc>
          <w:tcPr>
            <w:tcW w:w="3113" w:type="dxa"/>
            <w:tcBorders>
              <w:top w:val="nil"/>
              <w:left w:val="nil"/>
              <w:bottom w:val="single" w:sz="8" w:space="0" w:color="auto"/>
              <w:right w:val="single" w:sz="8" w:space="0" w:color="auto"/>
            </w:tcBorders>
            <w:shd w:val="clear" w:color="auto" w:fill="auto"/>
            <w:noWrap/>
            <w:hideMark/>
          </w:tcPr>
          <w:p w14:paraId="469CB6CA"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2.363.068.099.570 </w:t>
            </w:r>
          </w:p>
        </w:tc>
      </w:tr>
      <w:tr w:rsidR="00190A6A" w:rsidRPr="00190A6A" w14:paraId="28553142"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E2FC077"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18F76B7A"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Comisiones </w:t>
            </w:r>
          </w:p>
        </w:tc>
        <w:tc>
          <w:tcPr>
            <w:tcW w:w="3113" w:type="dxa"/>
            <w:tcBorders>
              <w:top w:val="nil"/>
              <w:left w:val="nil"/>
              <w:bottom w:val="single" w:sz="8" w:space="0" w:color="auto"/>
              <w:right w:val="single" w:sz="8" w:space="0" w:color="auto"/>
            </w:tcBorders>
            <w:shd w:val="clear" w:color="auto" w:fill="auto"/>
            <w:noWrap/>
            <w:hideMark/>
          </w:tcPr>
          <w:p w14:paraId="66E2DD6B"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70.768.017.440 </w:t>
            </w:r>
          </w:p>
        </w:tc>
      </w:tr>
      <w:tr w:rsidR="00190A6A" w:rsidRPr="00190A6A" w14:paraId="1EB179BE"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674F6D38"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6D1DD8AE"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Donaciones </w:t>
            </w:r>
          </w:p>
        </w:tc>
        <w:tc>
          <w:tcPr>
            <w:tcW w:w="3113" w:type="dxa"/>
            <w:tcBorders>
              <w:top w:val="nil"/>
              <w:left w:val="nil"/>
              <w:bottom w:val="single" w:sz="8" w:space="0" w:color="auto"/>
              <w:right w:val="single" w:sz="8" w:space="0" w:color="auto"/>
            </w:tcBorders>
            <w:shd w:val="clear" w:color="auto" w:fill="auto"/>
            <w:noWrap/>
            <w:hideMark/>
          </w:tcPr>
          <w:p w14:paraId="2D0E7529"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19.084.614.073 </w:t>
            </w:r>
          </w:p>
        </w:tc>
      </w:tr>
      <w:tr w:rsidR="00190A6A" w:rsidRPr="00190A6A" w14:paraId="7CDEEDA9"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19982B51"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7DC28C3A"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Financieros </w:t>
            </w:r>
          </w:p>
        </w:tc>
        <w:tc>
          <w:tcPr>
            <w:tcW w:w="3113" w:type="dxa"/>
            <w:tcBorders>
              <w:top w:val="nil"/>
              <w:left w:val="nil"/>
              <w:bottom w:val="single" w:sz="8" w:space="0" w:color="auto"/>
              <w:right w:val="single" w:sz="8" w:space="0" w:color="auto"/>
            </w:tcBorders>
            <w:shd w:val="clear" w:color="auto" w:fill="auto"/>
            <w:noWrap/>
            <w:hideMark/>
          </w:tcPr>
          <w:p w14:paraId="2B8A8A0D"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9.747.362.710.470 </w:t>
            </w:r>
          </w:p>
        </w:tc>
      </w:tr>
      <w:tr w:rsidR="00190A6A" w:rsidRPr="00190A6A" w14:paraId="6B53BD9D"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0F505D8A"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19213567"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Perdida por el </w:t>
            </w:r>
            <w:proofErr w:type="spellStart"/>
            <w:r w:rsidRPr="00190A6A">
              <w:rPr>
                <w:rFonts w:ascii="Bookman Old Style" w:eastAsia="Calibri" w:hAnsi="Bookman Old Style"/>
                <w:kern w:val="2"/>
                <w:sz w:val="20"/>
                <w:szCs w:val="20"/>
                <w:lang w:val="es-CO" w:eastAsia="en-US"/>
                <w14:ligatures w14:val="standardContextual"/>
              </w:rPr>
              <w:t>metodo</w:t>
            </w:r>
            <w:proofErr w:type="spellEnd"/>
            <w:r w:rsidRPr="00190A6A">
              <w:rPr>
                <w:rFonts w:ascii="Bookman Old Style" w:eastAsia="Calibri" w:hAnsi="Bookman Old Style"/>
                <w:kern w:val="2"/>
                <w:sz w:val="20"/>
                <w:szCs w:val="20"/>
                <w:lang w:val="es-CO" w:eastAsia="en-US"/>
                <w14:ligatures w14:val="standardContextual"/>
              </w:rPr>
              <w:t xml:space="preserve"> de participación patrimonial </w:t>
            </w:r>
          </w:p>
        </w:tc>
        <w:tc>
          <w:tcPr>
            <w:tcW w:w="3113" w:type="dxa"/>
            <w:tcBorders>
              <w:top w:val="nil"/>
              <w:left w:val="nil"/>
              <w:bottom w:val="single" w:sz="8" w:space="0" w:color="auto"/>
              <w:right w:val="single" w:sz="8" w:space="0" w:color="auto"/>
            </w:tcBorders>
            <w:shd w:val="clear" w:color="auto" w:fill="auto"/>
            <w:noWrap/>
            <w:hideMark/>
          </w:tcPr>
          <w:p w14:paraId="2A0A61B9"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337.341.381.000 </w:t>
            </w:r>
          </w:p>
        </w:tc>
      </w:tr>
      <w:tr w:rsidR="00190A6A" w:rsidRPr="00190A6A" w14:paraId="416707DF"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069E0DD9"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78860130"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Litigios y/o demandas </w:t>
            </w:r>
          </w:p>
        </w:tc>
        <w:tc>
          <w:tcPr>
            <w:tcW w:w="3113" w:type="dxa"/>
            <w:tcBorders>
              <w:top w:val="nil"/>
              <w:left w:val="nil"/>
              <w:bottom w:val="single" w:sz="8" w:space="0" w:color="auto"/>
              <w:right w:val="single" w:sz="8" w:space="0" w:color="auto"/>
            </w:tcBorders>
            <w:shd w:val="clear" w:color="auto" w:fill="auto"/>
            <w:noWrap/>
            <w:hideMark/>
          </w:tcPr>
          <w:p w14:paraId="47E899F4"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955.249.859.000 </w:t>
            </w:r>
          </w:p>
        </w:tc>
      </w:tr>
      <w:tr w:rsidR="00190A6A" w:rsidRPr="00190A6A" w14:paraId="11739872"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28A5D4DF"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7CE44733"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roofErr w:type="spellStart"/>
            <w:r w:rsidRPr="00190A6A">
              <w:rPr>
                <w:rFonts w:ascii="Bookman Old Style" w:eastAsia="Calibri" w:hAnsi="Bookman Old Style"/>
                <w:kern w:val="2"/>
                <w:sz w:val="20"/>
                <w:szCs w:val="20"/>
                <w:lang w:val="es-CO" w:eastAsia="en-US"/>
                <w14:ligatures w14:val="standardContextual"/>
              </w:rPr>
              <w:t>Garantias</w:t>
            </w:r>
            <w:proofErr w:type="spellEnd"/>
            <w:r w:rsidRPr="00190A6A">
              <w:rPr>
                <w:rFonts w:ascii="Bookman Old Style" w:eastAsia="Calibri" w:hAnsi="Bookman Old Style"/>
                <w:kern w:val="2"/>
                <w:sz w:val="20"/>
                <w:szCs w:val="20"/>
                <w:lang w:val="es-CO" w:eastAsia="en-US"/>
                <w14:ligatures w14:val="standardContextual"/>
              </w:rPr>
              <w:t xml:space="preserve"> </w:t>
            </w:r>
          </w:p>
        </w:tc>
        <w:tc>
          <w:tcPr>
            <w:tcW w:w="3113" w:type="dxa"/>
            <w:tcBorders>
              <w:top w:val="nil"/>
              <w:left w:val="nil"/>
              <w:bottom w:val="single" w:sz="8" w:space="0" w:color="auto"/>
              <w:right w:val="single" w:sz="8" w:space="0" w:color="auto"/>
            </w:tcBorders>
            <w:shd w:val="clear" w:color="auto" w:fill="auto"/>
            <w:noWrap/>
            <w:hideMark/>
          </w:tcPr>
          <w:p w14:paraId="5C8C67B6"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452.882.000 </w:t>
            </w:r>
          </w:p>
        </w:tc>
      </w:tr>
      <w:tr w:rsidR="00190A6A" w:rsidRPr="00190A6A" w14:paraId="56C8C223"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1AAC1366"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5670FC8E"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Diversas </w:t>
            </w:r>
          </w:p>
        </w:tc>
        <w:tc>
          <w:tcPr>
            <w:tcW w:w="3113" w:type="dxa"/>
            <w:tcBorders>
              <w:top w:val="nil"/>
              <w:left w:val="nil"/>
              <w:bottom w:val="single" w:sz="8" w:space="0" w:color="auto"/>
              <w:right w:val="single" w:sz="8" w:space="0" w:color="auto"/>
            </w:tcBorders>
            <w:shd w:val="clear" w:color="auto" w:fill="auto"/>
            <w:noWrap/>
            <w:hideMark/>
          </w:tcPr>
          <w:p w14:paraId="4795BEE2"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49.151.897.929 </w:t>
            </w:r>
          </w:p>
        </w:tc>
      </w:tr>
      <w:tr w:rsidR="00190A6A" w:rsidRPr="00190A6A" w14:paraId="007553FE"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6ECC90FA"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38E2C5F9"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Amortización </w:t>
            </w:r>
          </w:p>
        </w:tc>
        <w:tc>
          <w:tcPr>
            <w:tcW w:w="3113" w:type="dxa"/>
            <w:tcBorders>
              <w:top w:val="nil"/>
              <w:left w:val="nil"/>
              <w:bottom w:val="single" w:sz="8" w:space="0" w:color="auto"/>
              <w:right w:val="single" w:sz="8" w:space="0" w:color="auto"/>
            </w:tcBorders>
            <w:shd w:val="clear" w:color="auto" w:fill="auto"/>
            <w:noWrap/>
            <w:hideMark/>
          </w:tcPr>
          <w:p w14:paraId="6ED1C4BC"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188.583.954.080 </w:t>
            </w:r>
          </w:p>
        </w:tc>
      </w:tr>
      <w:tr w:rsidR="00190A6A" w:rsidRPr="00190A6A" w14:paraId="38C854C3"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3023D5C5"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69CCBDA2"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Depreciación </w:t>
            </w:r>
          </w:p>
        </w:tc>
        <w:tc>
          <w:tcPr>
            <w:tcW w:w="3113" w:type="dxa"/>
            <w:tcBorders>
              <w:top w:val="nil"/>
              <w:left w:val="nil"/>
              <w:bottom w:val="single" w:sz="8" w:space="0" w:color="auto"/>
              <w:right w:val="single" w:sz="8" w:space="0" w:color="auto"/>
            </w:tcBorders>
            <w:shd w:val="clear" w:color="auto" w:fill="auto"/>
            <w:noWrap/>
            <w:hideMark/>
          </w:tcPr>
          <w:p w14:paraId="6E93D7BD"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243.469.614.256 </w:t>
            </w:r>
          </w:p>
        </w:tc>
      </w:tr>
      <w:tr w:rsidR="00190A6A" w:rsidRPr="00190A6A" w14:paraId="55D5D640"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78689447"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5F0D6705"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Deterioro </w:t>
            </w:r>
          </w:p>
        </w:tc>
        <w:tc>
          <w:tcPr>
            <w:tcW w:w="3113" w:type="dxa"/>
            <w:tcBorders>
              <w:top w:val="nil"/>
              <w:left w:val="nil"/>
              <w:bottom w:val="single" w:sz="8" w:space="0" w:color="auto"/>
              <w:right w:val="single" w:sz="8" w:space="0" w:color="auto"/>
            </w:tcBorders>
            <w:shd w:val="clear" w:color="auto" w:fill="auto"/>
            <w:noWrap/>
            <w:hideMark/>
          </w:tcPr>
          <w:p w14:paraId="20361524"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4.055.005.188.302 </w:t>
            </w:r>
          </w:p>
        </w:tc>
      </w:tr>
      <w:tr w:rsidR="00190A6A" w:rsidRPr="00190A6A" w14:paraId="64DB23F3"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07893CBB"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36EB7F7E"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Impuesto a las Ganancias Corrientes </w:t>
            </w:r>
          </w:p>
        </w:tc>
        <w:tc>
          <w:tcPr>
            <w:tcW w:w="3113" w:type="dxa"/>
            <w:tcBorders>
              <w:top w:val="nil"/>
              <w:left w:val="nil"/>
              <w:bottom w:val="single" w:sz="8" w:space="0" w:color="auto"/>
              <w:right w:val="single" w:sz="8" w:space="0" w:color="auto"/>
            </w:tcBorders>
            <w:shd w:val="clear" w:color="auto" w:fill="auto"/>
            <w:noWrap/>
            <w:hideMark/>
          </w:tcPr>
          <w:p w14:paraId="0386C90A"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7.389.460.621.954 </w:t>
            </w:r>
          </w:p>
        </w:tc>
      </w:tr>
      <w:tr w:rsidR="00190A6A" w:rsidRPr="00190A6A" w14:paraId="655E134C"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5FF1EA2"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67470245"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Impuesto a las Ganancias Diferido </w:t>
            </w:r>
          </w:p>
        </w:tc>
        <w:tc>
          <w:tcPr>
            <w:tcW w:w="3113" w:type="dxa"/>
            <w:tcBorders>
              <w:top w:val="nil"/>
              <w:left w:val="nil"/>
              <w:bottom w:val="single" w:sz="8" w:space="0" w:color="auto"/>
              <w:right w:val="single" w:sz="8" w:space="0" w:color="auto"/>
            </w:tcBorders>
            <w:shd w:val="clear" w:color="auto" w:fill="auto"/>
            <w:noWrap/>
            <w:hideMark/>
          </w:tcPr>
          <w:p w14:paraId="2A2EED9B"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847.801.559.512 </w:t>
            </w:r>
          </w:p>
        </w:tc>
      </w:tr>
      <w:tr w:rsidR="00190A6A" w:rsidRPr="00190A6A" w14:paraId="1F5F366C"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65172918"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4490596E"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Impuestos Tasas y Contribuciones </w:t>
            </w:r>
          </w:p>
        </w:tc>
        <w:tc>
          <w:tcPr>
            <w:tcW w:w="3113" w:type="dxa"/>
            <w:tcBorders>
              <w:top w:val="nil"/>
              <w:left w:val="nil"/>
              <w:bottom w:val="single" w:sz="8" w:space="0" w:color="auto"/>
              <w:right w:val="single" w:sz="8" w:space="0" w:color="auto"/>
            </w:tcBorders>
            <w:shd w:val="clear" w:color="auto" w:fill="auto"/>
            <w:noWrap/>
            <w:hideMark/>
          </w:tcPr>
          <w:p w14:paraId="70C3B763"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1.058.866.394.532 </w:t>
            </w:r>
          </w:p>
        </w:tc>
      </w:tr>
      <w:tr w:rsidR="00190A6A" w:rsidRPr="00190A6A" w14:paraId="21FA298E"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22B77E9D"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74811B68"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Gastos Diversos </w:t>
            </w:r>
          </w:p>
        </w:tc>
        <w:tc>
          <w:tcPr>
            <w:tcW w:w="3113" w:type="dxa"/>
            <w:tcBorders>
              <w:top w:val="nil"/>
              <w:left w:val="nil"/>
              <w:bottom w:val="single" w:sz="8" w:space="0" w:color="auto"/>
              <w:right w:val="single" w:sz="8" w:space="0" w:color="auto"/>
            </w:tcBorders>
            <w:shd w:val="clear" w:color="auto" w:fill="auto"/>
            <w:noWrap/>
            <w:hideMark/>
          </w:tcPr>
          <w:p w14:paraId="180564D6"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522.758.677.366 </w:t>
            </w:r>
          </w:p>
        </w:tc>
      </w:tr>
      <w:tr w:rsidR="00190A6A" w:rsidRPr="00190A6A" w14:paraId="259FD402"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1518EED3"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788EDE01"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Secretaría Distrital del Medio Ambiente </w:t>
            </w:r>
          </w:p>
        </w:tc>
        <w:tc>
          <w:tcPr>
            <w:tcW w:w="3113" w:type="dxa"/>
            <w:tcBorders>
              <w:top w:val="nil"/>
              <w:left w:val="nil"/>
              <w:bottom w:val="single" w:sz="8" w:space="0" w:color="auto"/>
              <w:right w:val="single" w:sz="8" w:space="0" w:color="auto"/>
            </w:tcBorders>
            <w:shd w:val="clear" w:color="auto" w:fill="auto"/>
            <w:noWrap/>
            <w:hideMark/>
          </w:tcPr>
          <w:p w14:paraId="1BE7C5E6"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2A741F2E"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7F952731"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180D742C"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Ley 56 de 1981 </w:t>
            </w:r>
          </w:p>
        </w:tc>
        <w:tc>
          <w:tcPr>
            <w:tcW w:w="3113" w:type="dxa"/>
            <w:tcBorders>
              <w:top w:val="nil"/>
              <w:left w:val="nil"/>
              <w:bottom w:val="single" w:sz="8" w:space="0" w:color="auto"/>
              <w:right w:val="single" w:sz="8" w:space="0" w:color="auto"/>
            </w:tcBorders>
            <w:shd w:val="clear" w:color="auto" w:fill="auto"/>
            <w:noWrap/>
            <w:hideMark/>
          </w:tcPr>
          <w:p w14:paraId="572E68B7"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25.986.000 </w:t>
            </w:r>
          </w:p>
        </w:tc>
      </w:tr>
      <w:tr w:rsidR="00190A6A" w:rsidRPr="00190A6A" w14:paraId="717447AA"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3DCF45D"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0E9766A9"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Medio Ambiente - Ley 99 de 1993 </w:t>
            </w:r>
          </w:p>
        </w:tc>
        <w:tc>
          <w:tcPr>
            <w:tcW w:w="3113" w:type="dxa"/>
            <w:tcBorders>
              <w:top w:val="nil"/>
              <w:left w:val="nil"/>
              <w:bottom w:val="single" w:sz="8" w:space="0" w:color="auto"/>
              <w:right w:val="single" w:sz="8" w:space="0" w:color="auto"/>
            </w:tcBorders>
            <w:shd w:val="clear" w:color="auto" w:fill="auto"/>
            <w:noWrap/>
            <w:hideMark/>
          </w:tcPr>
          <w:p w14:paraId="614A10D3"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140.047.000 </w:t>
            </w:r>
          </w:p>
        </w:tc>
      </w:tr>
      <w:tr w:rsidR="00190A6A" w:rsidRPr="00190A6A" w14:paraId="4D8B5865"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14EE3CDF"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12A1F116"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Regalías </w:t>
            </w:r>
          </w:p>
        </w:tc>
        <w:tc>
          <w:tcPr>
            <w:tcW w:w="3113" w:type="dxa"/>
            <w:tcBorders>
              <w:top w:val="nil"/>
              <w:left w:val="nil"/>
              <w:bottom w:val="single" w:sz="8" w:space="0" w:color="auto"/>
              <w:right w:val="single" w:sz="8" w:space="0" w:color="auto"/>
            </w:tcBorders>
            <w:shd w:val="clear" w:color="auto" w:fill="auto"/>
            <w:noWrap/>
            <w:hideMark/>
          </w:tcPr>
          <w:p w14:paraId="69AA83B3"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4A3E6BEA"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75CB09E2"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09471239"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Licencia De Operación Del Servicio </w:t>
            </w:r>
          </w:p>
        </w:tc>
        <w:tc>
          <w:tcPr>
            <w:tcW w:w="3113" w:type="dxa"/>
            <w:tcBorders>
              <w:top w:val="nil"/>
              <w:left w:val="nil"/>
              <w:bottom w:val="single" w:sz="8" w:space="0" w:color="auto"/>
              <w:right w:val="single" w:sz="8" w:space="0" w:color="auto"/>
            </w:tcBorders>
            <w:shd w:val="clear" w:color="auto" w:fill="auto"/>
            <w:noWrap/>
            <w:hideMark/>
          </w:tcPr>
          <w:p w14:paraId="0692D693"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09E5FA8E"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57BED7C8"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4F690373"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w:t>
            </w:r>
            <w:proofErr w:type="spellStart"/>
            <w:r w:rsidRPr="00190A6A">
              <w:rPr>
                <w:rFonts w:ascii="Bookman Old Style" w:eastAsia="Calibri" w:hAnsi="Bookman Old Style"/>
                <w:kern w:val="2"/>
                <w:sz w:val="20"/>
                <w:szCs w:val="20"/>
                <w:lang w:val="es-CO" w:eastAsia="en-US"/>
                <w14:ligatures w14:val="standardContextual"/>
              </w:rPr>
              <w:t>FAZNI</w:t>
            </w:r>
            <w:proofErr w:type="spellEnd"/>
            <w:r w:rsidRPr="00190A6A">
              <w:rPr>
                <w:rFonts w:ascii="Bookman Old Style" w:eastAsia="Calibri" w:hAnsi="Bookman Old Style"/>
                <w:kern w:val="2"/>
                <w:sz w:val="20"/>
                <w:szCs w:val="20"/>
                <w:lang w:val="es-CO" w:eastAsia="en-US"/>
                <w14:ligatures w14:val="standardContextual"/>
              </w:rPr>
              <w:t xml:space="preserve"> </w:t>
            </w:r>
          </w:p>
        </w:tc>
        <w:tc>
          <w:tcPr>
            <w:tcW w:w="3113" w:type="dxa"/>
            <w:tcBorders>
              <w:top w:val="nil"/>
              <w:left w:val="nil"/>
              <w:bottom w:val="single" w:sz="8" w:space="0" w:color="auto"/>
              <w:right w:val="single" w:sz="8" w:space="0" w:color="auto"/>
            </w:tcBorders>
            <w:shd w:val="clear" w:color="auto" w:fill="auto"/>
            <w:noWrap/>
            <w:hideMark/>
          </w:tcPr>
          <w:p w14:paraId="0AB62CEB"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23C456E8"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56C9E27D"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1A02CB80"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w:t>
            </w:r>
            <w:proofErr w:type="spellStart"/>
            <w:r w:rsidRPr="00190A6A">
              <w:rPr>
                <w:rFonts w:ascii="Bookman Old Style" w:eastAsia="Calibri" w:hAnsi="Bookman Old Style"/>
                <w:kern w:val="2"/>
                <w:sz w:val="20"/>
                <w:szCs w:val="20"/>
                <w:lang w:val="es-CO" w:eastAsia="en-US"/>
                <w14:ligatures w14:val="standardContextual"/>
              </w:rPr>
              <w:t>FAER</w:t>
            </w:r>
            <w:proofErr w:type="spellEnd"/>
            <w:r w:rsidRPr="00190A6A">
              <w:rPr>
                <w:rFonts w:ascii="Bookman Old Style" w:eastAsia="Calibri" w:hAnsi="Bookman Old Style"/>
                <w:kern w:val="2"/>
                <w:sz w:val="20"/>
                <w:szCs w:val="20"/>
                <w:lang w:val="es-CO" w:eastAsia="en-US"/>
                <w14:ligatures w14:val="standardContextual"/>
              </w:rPr>
              <w:t xml:space="preserve"> </w:t>
            </w:r>
          </w:p>
        </w:tc>
        <w:tc>
          <w:tcPr>
            <w:tcW w:w="3113" w:type="dxa"/>
            <w:tcBorders>
              <w:top w:val="nil"/>
              <w:left w:val="nil"/>
              <w:bottom w:val="single" w:sz="8" w:space="0" w:color="auto"/>
              <w:right w:val="single" w:sz="8" w:space="0" w:color="auto"/>
            </w:tcBorders>
            <w:shd w:val="clear" w:color="auto" w:fill="auto"/>
            <w:noWrap/>
            <w:hideMark/>
          </w:tcPr>
          <w:p w14:paraId="7845AB2A"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38E1C022" w14:textId="77777777" w:rsidTr="00935B1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3E46C472"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3BEB0BCD"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Cuota de Fomento de gas </w:t>
            </w:r>
          </w:p>
        </w:tc>
        <w:tc>
          <w:tcPr>
            <w:tcW w:w="3113" w:type="dxa"/>
            <w:tcBorders>
              <w:top w:val="nil"/>
              <w:left w:val="nil"/>
              <w:bottom w:val="single" w:sz="8" w:space="0" w:color="auto"/>
              <w:right w:val="single" w:sz="8" w:space="0" w:color="auto"/>
            </w:tcBorders>
            <w:shd w:val="clear" w:color="auto" w:fill="auto"/>
            <w:noWrap/>
            <w:hideMark/>
          </w:tcPr>
          <w:p w14:paraId="43308EC4"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196.004.000 </w:t>
            </w:r>
          </w:p>
        </w:tc>
      </w:tr>
      <w:tr w:rsidR="00190A6A" w:rsidRPr="00190A6A" w14:paraId="32D45940"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794A467"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2C73EB45"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Comité De Estratificación -Ley 505 De 1999 </w:t>
            </w:r>
          </w:p>
        </w:tc>
        <w:tc>
          <w:tcPr>
            <w:tcW w:w="3113" w:type="dxa"/>
            <w:tcBorders>
              <w:top w:val="nil"/>
              <w:left w:val="nil"/>
              <w:bottom w:val="single" w:sz="8" w:space="0" w:color="auto"/>
              <w:right w:val="single" w:sz="8" w:space="0" w:color="auto"/>
            </w:tcBorders>
            <w:shd w:val="clear" w:color="auto" w:fill="auto"/>
            <w:noWrap/>
            <w:hideMark/>
          </w:tcPr>
          <w:p w14:paraId="76158676"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917.511.000 </w:t>
            </w:r>
          </w:p>
        </w:tc>
      </w:tr>
      <w:tr w:rsidR="00190A6A" w:rsidRPr="00190A6A" w14:paraId="1A5BA094" w14:textId="77777777" w:rsidTr="00935B11">
        <w:trPr>
          <w:trHeight w:val="70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1770B3CF"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59AED195"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Art 25 - Ley 142 - Concesiones, y permisos ambientales y sanitarios </w:t>
            </w:r>
          </w:p>
        </w:tc>
        <w:tc>
          <w:tcPr>
            <w:tcW w:w="3113" w:type="dxa"/>
            <w:tcBorders>
              <w:top w:val="nil"/>
              <w:left w:val="nil"/>
              <w:bottom w:val="single" w:sz="8" w:space="0" w:color="auto"/>
              <w:right w:val="single" w:sz="8" w:space="0" w:color="auto"/>
            </w:tcBorders>
            <w:shd w:val="clear" w:color="auto" w:fill="auto"/>
            <w:noWrap/>
            <w:hideMark/>
          </w:tcPr>
          <w:p w14:paraId="22AB229D"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 </w:t>
            </w:r>
          </w:p>
        </w:tc>
      </w:tr>
      <w:tr w:rsidR="00190A6A" w:rsidRPr="00190A6A" w14:paraId="42E0B50E" w14:textId="77777777" w:rsidTr="00935B11">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hideMark/>
          </w:tcPr>
          <w:p w14:paraId="482C0271"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hideMark/>
          </w:tcPr>
          <w:p w14:paraId="5B667720" w14:textId="77777777" w:rsidR="00190A6A" w:rsidRPr="00190A6A" w:rsidRDefault="00190A6A" w:rsidP="00190A6A">
            <w:pPr>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Otras licencias Ley 142 de 1994 </w:t>
            </w:r>
          </w:p>
        </w:tc>
        <w:tc>
          <w:tcPr>
            <w:tcW w:w="3113" w:type="dxa"/>
            <w:tcBorders>
              <w:top w:val="nil"/>
              <w:left w:val="nil"/>
              <w:bottom w:val="single" w:sz="8" w:space="0" w:color="auto"/>
              <w:right w:val="single" w:sz="8" w:space="0" w:color="auto"/>
            </w:tcBorders>
            <w:shd w:val="clear" w:color="auto" w:fill="auto"/>
            <w:noWrap/>
            <w:hideMark/>
          </w:tcPr>
          <w:p w14:paraId="04F4EACF" w14:textId="77777777" w:rsidR="00190A6A" w:rsidRPr="00190A6A" w:rsidRDefault="00190A6A" w:rsidP="00190A6A">
            <w:pPr>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kern w:val="2"/>
                <w:sz w:val="20"/>
                <w:szCs w:val="20"/>
                <w:lang w:val="es-CO" w:eastAsia="en-US"/>
                <w14:ligatures w14:val="standardContextual"/>
              </w:rPr>
              <w:t xml:space="preserve"> 1.041.823.000 </w:t>
            </w:r>
          </w:p>
        </w:tc>
      </w:tr>
      <w:tr w:rsidR="00190A6A" w:rsidRPr="00190A6A" w14:paraId="37A389C6" w14:textId="77777777" w:rsidTr="00935B11">
        <w:trPr>
          <w:trHeight w:val="300"/>
          <w:jc w:val="center"/>
        </w:trPr>
        <w:tc>
          <w:tcPr>
            <w:tcW w:w="65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8EBA38" w14:textId="77777777" w:rsidR="00190A6A" w:rsidRPr="00190A6A" w:rsidRDefault="00190A6A" w:rsidP="00190A6A">
            <w:pPr>
              <w:ind w:left="0"/>
              <w:jc w:val="center"/>
              <w:rPr>
                <w:rFonts w:ascii="Bookman Old Style" w:eastAsia="Calibri" w:hAnsi="Bookman Old Style" w:cs="Arial"/>
                <w:b/>
                <w:bCs/>
                <w:color w:val="000000"/>
                <w:kern w:val="2"/>
                <w:sz w:val="20"/>
                <w:szCs w:val="20"/>
                <w:lang w:val="es-CO" w:eastAsia="es-CO"/>
                <w14:ligatures w14:val="standardContextual"/>
              </w:rPr>
            </w:pPr>
            <w:proofErr w:type="gramStart"/>
            <w:r w:rsidRPr="00190A6A">
              <w:rPr>
                <w:rFonts w:ascii="Bookman Old Style" w:eastAsia="Calibri" w:hAnsi="Bookman Old Style" w:cs="Arial"/>
                <w:b/>
                <w:bCs/>
                <w:color w:val="000000"/>
                <w:kern w:val="2"/>
                <w:sz w:val="20"/>
                <w:szCs w:val="20"/>
                <w:lang w:val="es-CO" w:eastAsia="es-CO"/>
                <w14:ligatures w14:val="standardContextual"/>
              </w:rPr>
              <w:t>TOTAL</w:t>
            </w:r>
            <w:proofErr w:type="gramEnd"/>
            <w:r w:rsidRPr="00190A6A">
              <w:rPr>
                <w:rFonts w:ascii="Bookman Old Style" w:eastAsia="Calibri" w:hAnsi="Bookman Old Style" w:cs="Arial"/>
                <w:b/>
                <w:bCs/>
                <w:color w:val="000000"/>
                <w:kern w:val="2"/>
                <w:sz w:val="20"/>
                <w:szCs w:val="20"/>
                <w:lang w:val="es-CO" w:eastAsia="es-CO"/>
                <w14:ligatures w14:val="standardContextual"/>
              </w:rPr>
              <w:t xml:space="preserve"> BASE GRAVABLE CON REPORTE</w:t>
            </w:r>
          </w:p>
        </w:tc>
        <w:tc>
          <w:tcPr>
            <w:tcW w:w="3113" w:type="dxa"/>
            <w:tcBorders>
              <w:top w:val="nil"/>
              <w:left w:val="nil"/>
              <w:bottom w:val="single" w:sz="8" w:space="0" w:color="auto"/>
              <w:right w:val="single" w:sz="8" w:space="0" w:color="auto"/>
            </w:tcBorders>
            <w:shd w:val="clear" w:color="auto" w:fill="auto"/>
            <w:noWrap/>
            <w:vAlign w:val="center"/>
            <w:hideMark/>
          </w:tcPr>
          <w:p w14:paraId="1B8AD1E9" w14:textId="77777777" w:rsidR="00190A6A" w:rsidRPr="00190A6A" w:rsidRDefault="00190A6A" w:rsidP="00190A6A">
            <w:pPr>
              <w:ind w:left="0"/>
              <w:jc w:val="right"/>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CO" w:eastAsia="es-CO"/>
                <w14:ligatures w14:val="standardContextual"/>
              </w:rPr>
              <w:t>$ 4.559.915.406.624</w:t>
            </w:r>
          </w:p>
        </w:tc>
      </w:tr>
    </w:tbl>
    <w:p w14:paraId="17E93844"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6920392E"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bookmarkStart w:id="1" w:name="_Hlk51790659"/>
      <w:r w:rsidRPr="00190A6A">
        <w:rPr>
          <w:rFonts w:ascii="Bookman Old Style" w:eastAsia="Calibri" w:hAnsi="Bookman Old Style" w:cs="Arial"/>
          <w:kern w:val="2"/>
          <w:lang w:val="es-CO" w:eastAsia="en-US"/>
          <w14:ligatures w14:val="standardContextual"/>
        </w:rPr>
        <w:t xml:space="preserve">De conformidad con el artículo 85 de la Ley 142 de 1994 y el artículo 22 de la Ley 143 de 1994, la tarifa de la contribución especial de regulación es un porcentaje variable con el cual se determina el valor a pagar por cada contribuyente en una vigencia específica, la cual será hallada tomando el presupuesto vigente de la CREG, el cual será dividido sobre la sumatoria de las bases gravables de los sujetos pasivos. La tarifa no podrá ser superior al uno por ciento (1%) de las respectivas bases gravables. </w:t>
      </w:r>
    </w:p>
    <w:p w14:paraId="1EAC6872" w14:textId="77777777" w:rsidR="0051261E" w:rsidRDefault="0051261E" w:rsidP="00190A6A">
      <w:pPr>
        <w:ind w:left="0"/>
        <w:rPr>
          <w:rFonts w:ascii="Bookman Old Style" w:hAnsi="Bookman Old Style" w:cs="Arial"/>
        </w:rPr>
      </w:pPr>
    </w:p>
    <w:p w14:paraId="3DE3375D" w14:textId="09B277D9" w:rsidR="00190A6A" w:rsidRPr="00190A6A" w:rsidRDefault="00190A6A" w:rsidP="00190A6A">
      <w:pPr>
        <w:ind w:left="0"/>
        <w:rPr>
          <w:rFonts w:ascii="Bookman Old Style" w:hAnsi="Bookman Old Style" w:cs="Arial"/>
        </w:rPr>
      </w:pPr>
      <w:r w:rsidRPr="00190A6A">
        <w:rPr>
          <w:rFonts w:ascii="Bookman Old Style" w:hAnsi="Bookman Old Style" w:cs="Arial"/>
        </w:rPr>
        <w:t>La tarifa descrita se calculará de la siguiente manera:</w:t>
      </w:r>
    </w:p>
    <w:p w14:paraId="50CFD063" w14:textId="77777777" w:rsidR="00190A6A" w:rsidRPr="00190A6A" w:rsidRDefault="00190A6A" w:rsidP="00190A6A">
      <w:pPr>
        <w:ind w:left="142"/>
        <w:rPr>
          <w:rFonts w:ascii="Bookman Old Style" w:hAnsi="Bookman Old Style" w:cs="Arial"/>
          <w:b/>
          <w:bCs/>
        </w:rPr>
      </w:pPr>
    </w:p>
    <w:p w14:paraId="4F7A4B7E" w14:textId="77777777" w:rsidR="00190A6A" w:rsidRPr="00190A6A" w:rsidRDefault="00190A6A" w:rsidP="00190A6A">
      <w:pPr>
        <w:ind w:left="142"/>
        <w:rPr>
          <w:rFonts w:ascii="Bookman Old Style" w:hAnsi="Bookman Old Style" w:cs="Arial"/>
          <w:b/>
          <w:bCs/>
        </w:rPr>
      </w:pPr>
      <m:oMath>
        <m:r>
          <m:rPr>
            <m:sty m:val="bi"/>
          </m:rPr>
          <w:rPr>
            <w:rFonts w:ascii="Cambria Math" w:hAnsi="Cambria Math" w:cs="Arial"/>
          </w:rPr>
          <m:t xml:space="preserve">Tce= </m:t>
        </m:r>
        <m:f>
          <m:fPr>
            <m:ctrlPr>
              <w:rPr>
                <w:rFonts w:ascii="Cambria Math" w:hAnsi="Cambria Math" w:cs="Arial"/>
                <w:b/>
                <w:bCs/>
                <w:i/>
              </w:rPr>
            </m:ctrlPr>
          </m:fPr>
          <m:num>
            <m:r>
              <m:rPr>
                <m:sty m:val="bi"/>
              </m:rPr>
              <w:rPr>
                <w:rFonts w:ascii="Cambria Math" w:hAnsi="Cambria Math" w:cs="Arial"/>
              </w:rPr>
              <m:t xml:space="preserve">Pv </m:t>
            </m:r>
          </m:num>
          <m:den>
            <m:nary>
              <m:naryPr>
                <m:chr m:val="∑"/>
                <m:subHide m:val="1"/>
                <m:supHide m:val="1"/>
                <m:ctrlPr>
                  <w:rPr>
                    <w:rFonts w:ascii="Cambria Math" w:hAnsi="Cambria Math" w:cs="Arial"/>
                    <w:b/>
                    <w:bCs/>
                    <w:i/>
                  </w:rPr>
                </m:ctrlPr>
              </m:naryPr>
              <m:sub/>
              <m:sup/>
              <m:e>
                <m:r>
                  <m:rPr>
                    <m:sty m:val="bi"/>
                  </m:rPr>
                  <w:rPr>
                    <w:rFonts w:ascii="Cambria Math" w:hAnsi="Cambria Math" w:cs="Arial"/>
                  </w:rPr>
                  <m:t>bg</m:t>
                </m:r>
              </m:e>
            </m:nary>
          </m:den>
        </m:f>
      </m:oMath>
      <w:r w:rsidRPr="00190A6A">
        <w:rPr>
          <w:rFonts w:ascii="Bookman Old Style" w:hAnsi="Bookman Old Style" w:cs="Arial"/>
          <w:b/>
          <w:bCs/>
        </w:rPr>
        <w:t xml:space="preserve"> </w:t>
      </w:r>
    </w:p>
    <w:p w14:paraId="5186428F" w14:textId="77777777" w:rsidR="00190A6A" w:rsidRPr="00190A6A" w:rsidRDefault="00190A6A" w:rsidP="00190A6A">
      <w:pPr>
        <w:ind w:left="142"/>
        <w:rPr>
          <w:rFonts w:ascii="Bookman Old Style" w:hAnsi="Bookman Old Style" w:cs="Arial"/>
        </w:rPr>
      </w:pPr>
      <w:r w:rsidRPr="00190A6A">
        <w:rPr>
          <w:rFonts w:ascii="Bookman Old Style" w:hAnsi="Bookman Old Style" w:cs="Arial"/>
        </w:rPr>
        <w:t>Donde:</w:t>
      </w:r>
    </w:p>
    <w:p w14:paraId="6D918570" w14:textId="77777777" w:rsidR="00190A6A" w:rsidRPr="00190A6A" w:rsidRDefault="00190A6A" w:rsidP="00190A6A">
      <w:pPr>
        <w:ind w:left="708"/>
        <w:rPr>
          <w:rFonts w:ascii="Bookman Old Style" w:hAnsi="Bookman Old Style" w:cs="Arial"/>
        </w:rPr>
      </w:pPr>
      <w:proofErr w:type="spellStart"/>
      <w:r w:rsidRPr="00190A6A">
        <w:rPr>
          <w:rFonts w:ascii="Bookman Old Style" w:hAnsi="Bookman Old Style" w:cs="Arial"/>
        </w:rPr>
        <w:t>Tce</w:t>
      </w:r>
      <w:proofErr w:type="spellEnd"/>
      <w:r w:rsidRPr="00190A6A">
        <w:rPr>
          <w:rFonts w:ascii="Bookman Old Style" w:hAnsi="Bookman Old Style" w:cs="Arial"/>
        </w:rPr>
        <w:t>: tarifa de la contribución especial.</w:t>
      </w:r>
    </w:p>
    <w:p w14:paraId="02B91420" w14:textId="77777777" w:rsidR="00190A6A" w:rsidRPr="00190A6A" w:rsidRDefault="00190A6A" w:rsidP="00190A6A">
      <w:pPr>
        <w:ind w:left="708"/>
        <w:rPr>
          <w:rFonts w:ascii="Bookman Old Style" w:hAnsi="Bookman Old Style" w:cs="Arial"/>
        </w:rPr>
      </w:pPr>
      <w:proofErr w:type="spellStart"/>
      <w:r w:rsidRPr="00190A6A">
        <w:rPr>
          <w:rFonts w:ascii="Bookman Old Style" w:hAnsi="Bookman Old Style" w:cs="Arial"/>
        </w:rPr>
        <w:t>PvC</w:t>
      </w:r>
      <w:proofErr w:type="spellEnd"/>
      <w:r w:rsidRPr="00190A6A">
        <w:rPr>
          <w:rFonts w:ascii="Bookman Old Style" w:hAnsi="Bookman Old Style" w:cs="Arial"/>
        </w:rPr>
        <w:t>: presupuesto vigente de la CREG</w:t>
      </w:r>
    </w:p>
    <w:p w14:paraId="1145BB9C" w14:textId="77777777" w:rsidR="00190A6A" w:rsidRPr="00190A6A" w:rsidRDefault="00000000" w:rsidP="00190A6A">
      <w:pPr>
        <w:ind w:left="708"/>
        <w:rPr>
          <w:rFonts w:ascii="Bookman Old Style" w:hAnsi="Bookman Old Style" w:cs="Arial"/>
        </w:rPr>
      </w:pPr>
      <m:oMath>
        <m:nary>
          <m:naryPr>
            <m:chr m:val="∑"/>
            <m:subHide m:val="1"/>
            <m:supHide m:val="1"/>
            <m:ctrlPr>
              <w:rPr>
                <w:rFonts w:ascii="Cambria Math" w:hAnsi="Cambria Math" w:cs="Arial"/>
              </w:rPr>
            </m:ctrlPr>
          </m:naryPr>
          <m:sub/>
          <m:sup/>
          <m:e>
            <m:r>
              <m:rPr>
                <m:sty m:val="bi"/>
              </m:rPr>
              <w:rPr>
                <w:rFonts w:ascii="Cambria Math" w:hAnsi="Cambria Math" w:cs="Arial"/>
              </w:rPr>
              <m:t>bg</m:t>
            </m:r>
          </m:e>
        </m:nary>
        <m:r>
          <m:rPr>
            <m:sty m:val="b"/>
          </m:rPr>
          <w:rPr>
            <w:rFonts w:ascii="Cambria Math" w:hAnsi="Cambria Math" w:cs="Arial"/>
          </w:rPr>
          <m:t xml:space="preserve">: </m:t>
        </m:r>
      </m:oMath>
      <w:r w:rsidR="00190A6A" w:rsidRPr="00190A6A">
        <w:rPr>
          <w:rFonts w:ascii="Bookman Old Style" w:hAnsi="Bookman Old Style" w:cs="Arial"/>
        </w:rPr>
        <w:t xml:space="preserve">Sumatoria de las bases gravables de los sujetos pasivos. </w:t>
      </w:r>
    </w:p>
    <w:p w14:paraId="3B3B1B0D" w14:textId="77777777" w:rsidR="00190A6A" w:rsidRPr="00190A6A" w:rsidRDefault="00190A6A" w:rsidP="00190A6A">
      <w:pPr>
        <w:ind w:left="142"/>
        <w:rPr>
          <w:rFonts w:ascii="Bookman Old Style" w:hAnsi="Bookman Old Style" w:cs="Arial"/>
          <w:b/>
          <w:bCs/>
        </w:rPr>
      </w:pPr>
    </w:p>
    <w:bookmarkEnd w:id="1"/>
    <w:p w14:paraId="6589A839" w14:textId="7C570748"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La CREG </w:t>
      </w:r>
      <w:r w:rsidR="005276B1">
        <w:rPr>
          <w:rFonts w:ascii="Bookman Old Style" w:eastAsia="Calibri" w:hAnsi="Bookman Old Style" w:cs="Arial"/>
          <w:kern w:val="2"/>
          <w:lang w:val="es-CO" w:eastAsia="en-US"/>
          <w14:ligatures w14:val="standardContextual"/>
        </w:rPr>
        <w:t>realizó</w:t>
      </w:r>
      <w:r w:rsidR="005276B1" w:rsidRPr="00190A6A">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el análisis de la información financiera 2023 reportada por los prestadores de los servicios públicos domiciliarios de energía eléctrica, gas natural y gas licuado de petróleo </w:t>
      </w:r>
      <w:r w:rsidR="005276B1">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GLP</w:t>
      </w:r>
      <w:r w:rsidR="005276B1">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al SUI de la </w:t>
      </w:r>
      <w:proofErr w:type="spellStart"/>
      <w:r w:rsidRPr="00190A6A">
        <w:rPr>
          <w:rFonts w:ascii="Bookman Old Style" w:eastAsia="Calibri" w:hAnsi="Bookman Old Style" w:cs="Arial"/>
          <w:kern w:val="2"/>
          <w:lang w:val="es-CO" w:eastAsia="en-US"/>
          <w14:ligatures w14:val="standardContextual"/>
        </w:rPr>
        <w:t>SSPD</w:t>
      </w:r>
      <w:proofErr w:type="spellEnd"/>
      <w:r w:rsidRPr="00190A6A">
        <w:rPr>
          <w:rFonts w:ascii="Bookman Old Style" w:eastAsia="Calibri" w:hAnsi="Bookman Old Style" w:cs="Arial"/>
          <w:kern w:val="2"/>
          <w:lang w:val="es-CO" w:eastAsia="en-US"/>
          <w14:ligatures w14:val="standardContextual"/>
        </w:rPr>
        <w:t>, con corte al 25 de agosto de 2024.</w:t>
      </w:r>
    </w:p>
    <w:p w14:paraId="6D077F20"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53A4E875" w14:textId="77777777" w:rsidR="00190A6A" w:rsidRPr="00190A6A" w:rsidRDefault="00190A6A" w:rsidP="00190A6A">
      <w:pPr>
        <w:ind w:left="0"/>
        <w:jc w:val="both"/>
        <w:rPr>
          <w:rFonts w:ascii="Bookman Old Style" w:eastAsia="Calibri" w:hAnsi="Bookman Old Style" w:cs="Arial"/>
          <w:b/>
          <w:bCs/>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La CREG depuró dicha información conforme a las disposiciones de los artículos 85 de la Ley 142 de 1994 y 22 de la Ley 143 de 1994, así como las precisiones realizadas por el Consejo de Estado en las sentencias antes citadas, y estableció que el valor neto de los gastos de funcionamiento de los regulados depurados asciende a la suma de </w:t>
      </w:r>
      <w:r w:rsidRPr="00190A6A">
        <w:rPr>
          <w:rFonts w:ascii="Bookman Old Style" w:eastAsia="Calibri" w:hAnsi="Bookman Old Style" w:cs="Arial"/>
          <w:b/>
          <w:bCs/>
          <w:kern w:val="2"/>
          <w:lang w:val="es-CO" w:eastAsia="en-US"/>
          <w14:ligatures w14:val="standardContextual"/>
        </w:rPr>
        <w:t>$ 4.559.915.406.624</w:t>
      </w:r>
      <w:r w:rsidRPr="004373C2">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b/>
          <w:bCs/>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la cual se constituye en la base gravable inicial para la contribución especial de la vigencia 2024.</w:t>
      </w:r>
    </w:p>
    <w:p w14:paraId="7876B7D4"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7D772C5C" w14:textId="6EDC0319" w:rsidR="00190A6A" w:rsidRPr="00190A6A" w:rsidRDefault="00843A25" w:rsidP="00190A6A">
      <w:pPr>
        <w:ind w:left="0"/>
        <w:jc w:val="both"/>
        <w:rPr>
          <w:rFonts w:ascii="Bookman Old Style" w:eastAsia="Calibri" w:hAnsi="Bookman Old Style" w:cs="Arial"/>
          <w:kern w:val="2"/>
          <w:lang w:val="es-CO" w:eastAsia="en-US"/>
          <w14:ligatures w14:val="standardContextual"/>
        </w:rPr>
      </w:pPr>
      <w:r>
        <w:rPr>
          <w:rFonts w:ascii="Bookman Old Style" w:eastAsia="Calibri" w:hAnsi="Bookman Old Style" w:cs="Arial"/>
          <w:kern w:val="2"/>
          <w:lang w:val="es-CO" w:eastAsia="en-US"/>
          <w14:ligatures w14:val="standardContextual"/>
        </w:rPr>
        <w:t>Ahora bien,</w:t>
      </w:r>
      <w:r w:rsidR="00190A6A" w:rsidRPr="00190A6A">
        <w:rPr>
          <w:rFonts w:ascii="Bookman Old Style" w:eastAsia="Calibri" w:hAnsi="Bookman Old Style" w:cs="Arial"/>
          <w:kern w:val="2"/>
          <w:lang w:val="es-CO" w:eastAsia="en-US"/>
          <w14:ligatures w14:val="standardContextual"/>
        </w:rPr>
        <w:t xml:space="preserve"> a efectos de </w:t>
      </w:r>
      <w:r>
        <w:rPr>
          <w:rFonts w:ascii="Bookman Old Style" w:eastAsia="Calibri" w:hAnsi="Bookman Old Style" w:cs="Arial"/>
          <w:kern w:val="2"/>
          <w:lang w:val="es-CO" w:eastAsia="en-US"/>
          <w14:ligatures w14:val="standardContextual"/>
        </w:rPr>
        <w:t>establecer</w:t>
      </w:r>
      <w:r w:rsidR="00190A6A" w:rsidRPr="00190A6A">
        <w:rPr>
          <w:rFonts w:ascii="Bookman Old Style" w:eastAsia="Calibri" w:hAnsi="Bookman Old Style" w:cs="Arial"/>
          <w:kern w:val="2"/>
          <w:lang w:val="es-CO" w:eastAsia="en-US"/>
          <w14:ligatures w14:val="standardContextual"/>
        </w:rPr>
        <w:t xml:space="preserve"> el monto de la tarifa de la contribución especial para la vigencia 2024, a partir del presupuesto base neto de la CREG a recuperar como costo de prestación del servicio de regulación por </w:t>
      </w:r>
      <w:r w:rsidR="00190A6A" w:rsidRPr="00190A6A">
        <w:rPr>
          <w:rFonts w:ascii="Bookman Old Style" w:eastAsia="Calibri" w:hAnsi="Bookman Old Style" w:cs="Arial"/>
          <w:b/>
          <w:bCs/>
          <w:kern w:val="2"/>
          <w:lang w:val="es-CO" w:eastAsia="en-US"/>
          <w14:ligatures w14:val="standardContextual"/>
        </w:rPr>
        <w:t>$39.449.795.982</w:t>
      </w:r>
      <w:r w:rsidR="00190A6A" w:rsidRPr="00190A6A">
        <w:rPr>
          <w:rFonts w:ascii="Bookman Old Style" w:eastAsia="Calibri" w:hAnsi="Bookman Old Style" w:cs="Arial"/>
          <w:kern w:val="2"/>
          <w:lang w:val="es-CO" w:eastAsia="en-US"/>
          <w14:ligatures w14:val="standardContextual"/>
        </w:rPr>
        <w:t xml:space="preserve">, </w:t>
      </w:r>
      <w:r w:rsidR="005276B1">
        <w:rPr>
          <w:rFonts w:ascii="Bookman Old Style" w:eastAsia="Calibri" w:hAnsi="Bookman Old Style" w:cs="Arial"/>
          <w:kern w:val="2"/>
          <w:lang w:val="es-CO" w:eastAsia="en-US"/>
          <w14:ligatures w14:val="standardContextual"/>
        </w:rPr>
        <w:t xml:space="preserve">y </w:t>
      </w:r>
      <w:r w:rsidR="00190A6A" w:rsidRPr="00190A6A">
        <w:rPr>
          <w:rFonts w:ascii="Bookman Old Style" w:eastAsia="Calibri" w:hAnsi="Bookman Old Style" w:cs="Arial"/>
          <w:kern w:val="2"/>
          <w:lang w:val="es-CO" w:eastAsia="en-US"/>
          <w14:ligatures w14:val="standardContextual"/>
        </w:rPr>
        <w:t xml:space="preserve">tomando los gastos de administración 2023 reportados por las empresas, </w:t>
      </w:r>
      <w:r>
        <w:rPr>
          <w:rFonts w:ascii="Bookman Old Style" w:eastAsia="Calibri" w:hAnsi="Bookman Old Style" w:cs="Arial"/>
          <w:kern w:val="2"/>
          <w:lang w:val="es-CO" w:eastAsia="en-US"/>
          <w14:ligatures w14:val="standardContextual"/>
        </w:rPr>
        <w:t>se tiene</w:t>
      </w:r>
      <w:r w:rsidRPr="00190A6A">
        <w:rPr>
          <w:rFonts w:ascii="Bookman Old Style" w:eastAsia="Calibri" w:hAnsi="Bookman Old Style" w:cs="Arial"/>
          <w:kern w:val="2"/>
          <w:lang w:val="es-CO" w:eastAsia="en-US"/>
          <w14:ligatures w14:val="standardContextual"/>
        </w:rPr>
        <w:t xml:space="preserve"> </w:t>
      </w:r>
      <w:r w:rsidR="00190A6A" w:rsidRPr="00190A6A">
        <w:rPr>
          <w:rFonts w:ascii="Bookman Old Style" w:eastAsia="Calibri" w:hAnsi="Bookman Old Style" w:cs="Arial"/>
          <w:kern w:val="2"/>
          <w:lang w:val="es-CO" w:eastAsia="en-US"/>
          <w14:ligatures w14:val="standardContextual"/>
        </w:rPr>
        <w:t>como resultado del cálculo</w:t>
      </w:r>
      <w:r>
        <w:rPr>
          <w:rFonts w:ascii="Bookman Old Style" w:eastAsia="Calibri" w:hAnsi="Bookman Old Style" w:cs="Arial"/>
          <w:kern w:val="2"/>
          <w:lang w:val="es-CO" w:eastAsia="en-US"/>
          <w14:ligatures w14:val="standardContextual"/>
        </w:rPr>
        <w:t>,</w:t>
      </w:r>
      <w:r w:rsidR="00190A6A" w:rsidRPr="00190A6A">
        <w:rPr>
          <w:rFonts w:ascii="Bookman Old Style" w:eastAsia="Calibri" w:hAnsi="Bookman Old Style" w:cs="Arial"/>
          <w:kern w:val="2"/>
          <w:lang w:val="es-CO" w:eastAsia="en-US"/>
          <w14:ligatures w14:val="standardContextual"/>
        </w:rPr>
        <w:t xml:space="preserve"> una tarifa de </w:t>
      </w:r>
      <w:r w:rsidR="00190A6A" w:rsidRPr="00190A6A">
        <w:rPr>
          <w:rFonts w:ascii="Bookman Old Style" w:eastAsia="Calibri" w:hAnsi="Bookman Old Style" w:cs="Arial"/>
          <w:b/>
          <w:bCs/>
          <w:kern w:val="2"/>
          <w:lang w:val="es-CO" w:eastAsia="en-US"/>
          <w14:ligatures w14:val="standardContextual"/>
        </w:rPr>
        <w:t xml:space="preserve">0.86514315% </w:t>
      </w:r>
      <w:r w:rsidR="00190A6A" w:rsidRPr="00190A6A">
        <w:rPr>
          <w:rFonts w:ascii="Bookman Old Style" w:eastAsia="Calibri" w:hAnsi="Bookman Old Style" w:cs="Arial"/>
          <w:kern w:val="2"/>
          <w:lang w:val="es-CO" w:eastAsia="en-US"/>
          <w14:ligatures w14:val="standardContextual"/>
        </w:rPr>
        <w:t>el cual es inferior al máximo del 1%</w:t>
      </w:r>
      <w:r w:rsidR="005276B1">
        <w:rPr>
          <w:rFonts w:ascii="Bookman Old Style" w:eastAsia="Calibri" w:hAnsi="Bookman Old Style" w:cs="Arial"/>
          <w:kern w:val="2"/>
          <w:lang w:val="es-CO" w:eastAsia="en-US"/>
          <w14:ligatures w14:val="standardContextual"/>
        </w:rPr>
        <w:t>.</w:t>
      </w:r>
      <w:r w:rsidR="00190A6A" w:rsidRPr="00190A6A">
        <w:rPr>
          <w:rFonts w:ascii="Bookman Old Style" w:eastAsia="Calibri" w:hAnsi="Bookman Old Style" w:cs="Arial"/>
          <w:kern w:val="2"/>
          <w:lang w:val="es-CO" w:eastAsia="en-US"/>
          <w14:ligatures w14:val="standardContextual"/>
        </w:rPr>
        <w:t xml:space="preserve"> </w:t>
      </w:r>
      <w:r w:rsidR="005276B1">
        <w:rPr>
          <w:rFonts w:ascii="Bookman Old Style" w:eastAsia="Calibri" w:hAnsi="Bookman Old Style" w:cs="Arial"/>
          <w:kern w:val="2"/>
          <w:lang w:val="es-CO" w:eastAsia="en-US"/>
          <w14:ligatures w14:val="standardContextual"/>
        </w:rPr>
        <w:t>A</w:t>
      </w:r>
      <w:r w:rsidR="00190A6A" w:rsidRPr="00190A6A">
        <w:rPr>
          <w:rFonts w:ascii="Bookman Old Style" w:eastAsia="Calibri" w:hAnsi="Bookman Old Style" w:cs="Arial"/>
          <w:kern w:val="2"/>
          <w:lang w:val="es-CO" w:eastAsia="en-US"/>
          <w14:ligatures w14:val="standardContextual"/>
        </w:rPr>
        <w:t xml:space="preserve"> continuación, se presenta el detalle:</w:t>
      </w:r>
    </w:p>
    <w:p w14:paraId="5FEDB86F" w14:textId="77777777" w:rsidR="00190A6A" w:rsidRPr="00190A6A" w:rsidRDefault="00190A6A" w:rsidP="005276B1">
      <w:pPr>
        <w:ind w:left="0"/>
        <w:jc w:val="both"/>
        <w:rPr>
          <w:rFonts w:ascii="Bookman Old Style" w:eastAsia="Calibri" w:hAnsi="Bookman Old Style" w:cs="Arial"/>
          <w:kern w:val="2"/>
          <w:lang w:val="es-CO" w:eastAsia="en-US"/>
          <w14:ligatures w14:val="standardContextual"/>
        </w:rPr>
      </w:pPr>
    </w:p>
    <w:p w14:paraId="3DC973A2" w14:textId="2FA1923B" w:rsidR="00190A6A" w:rsidRDefault="00190A6A" w:rsidP="004373C2">
      <w:pPr>
        <w:keepNext/>
        <w:ind w:left="0"/>
        <w:jc w:val="center"/>
        <w:rPr>
          <w:rFonts w:ascii="Bookman Old Style" w:hAnsi="Bookman Old Style" w:cs="Arial"/>
          <w:i/>
          <w:iCs/>
        </w:rPr>
      </w:pPr>
      <w:r w:rsidRPr="00190A6A">
        <w:rPr>
          <w:rFonts w:ascii="Bookman Old Style" w:hAnsi="Bookman Old Style" w:cs="Arial"/>
          <w:i/>
          <w:iCs/>
        </w:rPr>
        <w:t xml:space="preserve">Tabla </w:t>
      </w:r>
      <w:r w:rsidRPr="00190A6A">
        <w:rPr>
          <w:rFonts w:ascii="Bookman Old Style" w:hAnsi="Bookman Old Style" w:cs="Arial"/>
          <w:i/>
          <w:iCs/>
        </w:rPr>
        <w:fldChar w:fldCharType="begin"/>
      </w:r>
      <w:r w:rsidRPr="00190A6A">
        <w:rPr>
          <w:rFonts w:ascii="Bookman Old Style" w:hAnsi="Bookman Old Style" w:cs="Arial"/>
          <w:i/>
          <w:iCs/>
        </w:rPr>
        <w:instrText xml:space="preserve"> SEQ Tabla \* ARABIC </w:instrText>
      </w:r>
      <w:r w:rsidRPr="00190A6A">
        <w:rPr>
          <w:rFonts w:ascii="Bookman Old Style" w:hAnsi="Bookman Old Style" w:cs="Arial"/>
          <w:i/>
          <w:iCs/>
        </w:rPr>
        <w:fldChar w:fldCharType="separate"/>
      </w:r>
      <w:r w:rsidR="004E44A2">
        <w:rPr>
          <w:rFonts w:ascii="Bookman Old Style" w:hAnsi="Bookman Old Style" w:cs="Arial"/>
          <w:i/>
          <w:iCs/>
          <w:noProof/>
        </w:rPr>
        <w:t>3</w:t>
      </w:r>
      <w:r w:rsidRPr="00190A6A">
        <w:rPr>
          <w:rFonts w:ascii="Bookman Old Style" w:hAnsi="Bookman Old Style" w:cs="Arial"/>
          <w:i/>
          <w:iCs/>
        </w:rPr>
        <w:fldChar w:fldCharType="end"/>
      </w:r>
      <w:r w:rsidRPr="00190A6A">
        <w:rPr>
          <w:rFonts w:ascii="Bookman Old Style" w:hAnsi="Bookman Old Style" w:cs="Arial"/>
          <w:i/>
          <w:iCs/>
        </w:rPr>
        <w:t>. Base Gravable 2024 gastos de administración.</w:t>
      </w:r>
    </w:p>
    <w:p w14:paraId="1AD4F60D" w14:textId="77777777" w:rsidR="00FE771F" w:rsidRPr="00190A6A" w:rsidRDefault="00FE771F" w:rsidP="004373C2">
      <w:pPr>
        <w:keepNext/>
        <w:ind w:left="0"/>
        <w:rPr>
          <w:rFonts w:ascii="Bookman Old Style" w:hAnsi="Bookman Old Style" w:cs="Arial"/>
          <w:i/>
          <w:iCs/>
        </w:rPr>
      </w:pPr>
    </w:p>
    <w:tbl>
      <w:tblPr>
        <w:tblW w:w="5807" w:type="dxa"/>
        <w:jc w:val="center"/>
        <w:tblCellMar>
          <w:left w:w="70" w:type="dxa"/>
          <w:right w:w="70" w:type="dxa"/>
        </w:tblCellMar>
        <w:tblLook w:val="04A0" w:firstRow="1" w:lastRow="0" w:firstColumn="1" w:lastColumn="0" w:noHBand="0" w:noVBand="1"/>
      </w:tblPr>
      <w:tblGrid>
        <w:gridCol w:w="3737"/>
        <w:gridCol w:w="2070"/>
      </w:tblGrid>
      <w:tr w:rsidR="00190A6A" w:rsidRPr="009C555D" w14:paraId="14AE45A9" w14:textId="77777777" w:rsidTr="004373C2">
        <w:trPr>
          <w:trHeight w:val="465"/>
          <w:jc w:val="center"/>
        </w:trPr>
        <w:tc>
          <w:tcPr>
            <w:tcW w:w="373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65EA9C" w14:textId="77777777" w:rsidR="00190A6A" w:rsidRPr="00190A6A" w:rsidRDefault="00190A6A" w:rsidP="005276B1">
            <w:pPr>
              <w:spacing w:after="160" w:line="256" w:lineRule="auto"/>
              <w:ind w:left="0"/>
              <w:jc w:val="center"/>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MX" w:eastAsia="es-CO"/>
                <w14:ligatures w14:val="standardContextual"/>
              </w:rPr>
              <w:t>CONCEPTOS</w:t>
            </w:r>
          </w:p>
        </w:tc>
        <w:tc>
          <w:tcPr>
            <w:tcW w:w="2070" w:type="dxa"/>
            <w:tcBorders>
              <w:top w:val="single" w:sz="4" w:space="0" w:color="auto"/>
              <w:left w:val="nil"/>
              <w:bottom w:val="single" w:sz="4" w:space="0" w:color="auto"/>
              <w:right w:val="single" w:sz="4" w:space="0" w:color="auto"/>
            </w:tcBorders>
            <w:shd w:val="clear" w:color="auto" w:fill="E7E6E6"/>
            <w:vAlign w:val="center"/>
            <w:hideMark/>
          </w:tcPr>
          <w:p w14:paraId="04E65DEF" w14:textId="77777777" w:rsidR="00190A6A" w:rsidRPr="00190A6A" w:rsidRDefault="00190A6A" w:rsidP="005276B1">
            <w:pPr>
              <w:spacing w:after="160" w:line="256" w:lineRule="auto"/>
              <w:ind w:left="0"/>
              <w:jc w:val="center"/>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MX" w:eastAsia="es-CO"/>
                <w14:ligatures w14:val="standardContextual"/>
              </w:rPr>
              <w:t>BASE GASTOS DE ADMINISTRACIÓN</w:t>
            </w:r>
          </w:p>
        </w:tc>
      </w:tr>
      <w:tr w:rsidR="00190A6A" w:rsidRPr="00190A6A" w14:paraId="6C07F17F" w14:textId="77777777" w:rsidTr="004373C2">
        <w:trPr>
          <w:trHeight w:val="239"/>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CB321D5" w14:textId="77777777" w:rsidR="00190A6A" w:rsidRPr="00190A6A" w:rsidRDefault="00190A6A" w:rsidP="005276B1">
            <w:pPr>
              <w:spacing w:after="160" w:line="256" w:lineRule="auto"/>
              <w:ind w:left="0"/>
              <w:rPr>
                <w:rFonts w:ascii="Bookman Old Style" w:eastAsia="Calibri" w:hAnsi="Bookman Old Style" w:cs="Arial"/>
                <w:color w:val="000000"/>
                <w:kern w:val="2"/>
                <w:sz w:val="20"/>
                <w:szCs w:val="20"/>
                <w:lang w:val="es-CO" w:eastAsia="es-CO"/>
                <w14:ligatures w14:val="standardContextual"/>
              </w:rPr>
            </w:pPr>
            <w:proofErr w:type="gramStart"/>
            <w:r w:rsidRPr="00190A6A">
              <w:rPr>
                <w:rFonts w:ascii="Bookman Old Style" w:eastAsia="Calibri" w:hAnsi="Bookman Old Style" w:cs="Arial"/>
                <w:color w:val="000000"/>
                <w:kern w:val="2"/>
                <w:sz w:val="20"/>
                <w:szCs w:val="20"/>
                <w:lang w:val="es-CO" w:eastAsia="es-CO"/>
                <w14:ligatures w14:val="standardContextual"/>
              </w:rPr>
              <w:t>TOTAL</w:t>
            </w:r>
            <w:proofErr w:type="gramEnd"/>
            <w:r w:rsidRPr="00190A6A">
              <w:rPr>
                <w:rFonts w:ascii="Bookman Old Style" w:eastAsia="Calibri" w:hAnsi="Bookman Old Style" w:cs="Arial"/>
                <w:color w:val="000000"/>
                <w:kern w:val="2"/>
                <w:sz w:val="20"/>
                <w:szCs w:val="20"/>
                <w:lang w:val="es-CO" w:eastAsia="es-CO"/>
                <w14:ligatures w14:val="standardContextual"/>
              </w:rPr>
              <w:t xml:space="preserve"> BASE GRAVABLE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5E67B" w14:textId="77777777" w:rsidR="00190A6A" w:rsidRPr="00190A6A" w:rsidRDefault="00190A6A" w:rsidP="005276B1">
            <w:pPr>
              <w:spacing w:after="160" w:line="256" w:lineRule="auto"/>
              <w:ind w:left="0"/>
              <w:jc w:val="right"/>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cs="Arial"/>
                <w:color w:val="000000"/>
                <w:kern w:val="2"/>
                <w:sz w:val="20"/>
                <w:szCs w:val="20"/>
                <w:lang w:val="es-CO" w:eastAsia="en-US"/>
                <w14:ligatures w14:val="standardContextual"/>
              </w:rPr>
              <w:t>$ 4.559.915.406.624</w:t>
            </w:r>
          </w:p>
        </w:tc>
      </w:tr>
      <w:tr w:rsidR="00190A6A" w:rsidRPr="00190A6A" w14:paraId="3BF92EFA" w14:textId="77777777" w:rsidTr="004373C2">
        <w:trPr>
          <w:trHeight w:val="271"/>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7C875DF" w14:textId="77777777" w:rsidR="00190A6A" w:rsidRPr="00190A6A" w:rsidRDefault="00190A6A" w:rsidP="005276B1">
            <w:pPr>
              <w:spacing w:after="160" w:line="256" w:lineRule="auto"/>
              <w:ind w:left="0"/>
              <w:rPr>
                <w:rFonts w:ascii="Bookman Old Style" w:eastAsia="Calibri" w:hAnsi="Bookman Old Style" w:cs="Arial"/>
                <w:b/>
                <w:bCs/>
                <w:color w:val="000000"/>
                <w:kern w:val="2"/>
                <w:sz w:val="20"/>
                <w:szCs w:val="20"/>
                <w:lang w:val="es-CO" w:eastAsia="es-CO"/>
                <w14:ligatures w14:val="standardContextual"/>
              </w:rPr>
            </w:pPr>
            <w:r w:rsidRPr="00190A6A">
              <w:rPr>
                <w:rFonts w:ascii="Bookman Old Style" w:eastAsia="Calibri" w:hAnsi="Bookman Old Style" w:cs="Arial"/>
                <w:b/>
                <w:bCs/>
                <w:color w:val="000000"/>
                <w:kern w:val="2"/>
                <w:sz w:val="20"/>
                <w:szCs w:val="20"/>
                <w:lang w:val="es-CO" w:eastAsia="es-CO"/>
                <w14:ligatures w14:val="standardContextual"/>
              </w:rPr>
              <w:t>TARIFA 0,86514315%</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05EB2AC" w14:textId="77777777" w:rsidR="00190A6A" w:rsidRPr="00190A6A" w:rsidRDefault="00190A6A" w:rsidP="005276B1">
            <w:pPr>
              <w:spacing w:after="160" w:line="256" w:lineRule="auto"/>
              <w:ind w:left="0"/>
              <w:jc w:val="right"/>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cs="Arial"/>
                <w:color w:val="000000"/>
                <w:kern w:val="2"/>
                <w:sz w:val="20"/>
                <w:szCs w:val="20"/>
                <w:lang w:val="es-CO" w:eastAsia="en-US"/>
                <w14:ligatures w14:val="standardContextual"/>
              </w:rPr>
              <w:t xml:space="preserve"> $ 39.449.795.982 </w:t>
            </w:r>
          </w:p>
        </w:tc>
      </w:tr>
      <w:tr w:rsidR="00190A6A" w:rsidRPr="00190A6A" w14:paraId="36B72D36" w14:textId="77777777" w:rsidTr="004373C2">
        <w:trPr>
          <w:trHeight w:val="275"/>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618BF307" w14:textId="77777777" w:rsidR="00190A6A" w:rsidRPr="00190A6A" w:rsidRDefault="00190A6A" w:rsidP="005276B1">
            <w:pPr>
              <w:spacing w:after="160" w:line="256" w:lineRule="auto"/>
              <w:ind w:left="0"/>
              <w:rPr>
                <w:rFonts w:ascii="Bookman Old Style" w:eastAsia="Calibri" w:hAnsi="Bookman Old Style" w:cs="Arial"/>
                <w:color w:val="000000"/>
                <w:kern w:val="2"/>
                <w:sz w:val="20"/>
                <w:szCs w:val="20"/>
                <w:lang w:val="es-CO" w:eastAsia="es-CO"/>
                <w14:ligatures w14:val="standardContextual"/>
              </w:rPr>
            </w:pPr>
            <w:r w:rsidRPr="00190A6A">
              <w:rPr>
                <w:rFonts w:ascii="Bookman Old Style" w:eastAsia="Calibri" w:hAnsi="Bookman Old Style" w:cs="Arial"/>
                <w:color w:val="000000"/>
                <w:kern w:val="2"/>
                <w:sz w:val="20"/>
                <w:szCs w:val="20"/>
                <w:lang w:val="es-CO" w:eastAsia="es-CO"/>
                <w14:ligatures w14:val="standardContextual"/>
              </w:rPr>
              <w:t>PORCENTAJE DEL PRESUPUESTO POR BASE</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0F734F3" w14:textId="77777777" w:rsidR="00190A6A" w:rsidRPr="00190A6A" w:rsidRDefault="00190A6A" w:rsidP="005276B1">
            <w:pPr>
              <w:spacing w:after="160" w:line="256" w:lineRule="auto"/>
              <w:ind w:left="0"/>
              <w:jc w:val="right"/>
              <w:rPr>
                <w:rFonts w:ascii="Bookman Old Style" w:eastAsia="Calibri" w:hAnsi="Bookman Old Style" w:cs="Arial"/>
                <w:kern w:val="2"/>
                <w:sz w:val="20"/>
                <w:szCs w:val="20"/>
                <w:lang w:val="es-CO" w:eastAsia="es-CO"/>
                <w14:ligatures w14:val="standardContextual"/>
              </w:rPr>
            </w:pPr>
            <w:r w:rsidRPr="00190A6A">
              <w:rPr>
                <w:rFonts w:ascii="Bookman Old Style" w:eastAsia="Calibri" w:hAnsi="Bookman Old Style" w:cs="Arial"/>
                <w:kern w:val="2"/>
                <w:sz w:val="20"/>
                <w:szCs w:val="20"/>
                <w:lang w:val="es-CO" w:eastAsia="en-US"/>
                <w14:ligatures w14:val="standardContextual"/>
              </w:rPr>
              <w:t>100%</w:t>
            </w:r>
          </w:p>
        </w:tc>
      </w:tr>
      <w:tr w:rsidR="00190A6A" w:rsidRPr="00190A6A" w14:paraId="5817C1F9" w14:textId="77777777" w:rsidTr="004373C2">
        <w:trPr>
          <w:trHeight w:val="40"/>
          <w:jc w:val="center"/>
        </w:trPr>
        <w:tc>
          <w:tcPr>
            <w:tcW w:w="3737" w:type="dxa"/>
            <w:tcBorders>
              <w:top w:val="nil"/>
              <w:left w:val="nil"/>
              <w:bottom w:val="nil"/>
              <w:right w:val="nil"/>
            </w:tcBorders>
            <w:shd w:val="clear" w:color="auto" w:fill="auto"/>
            <w:noWrap/>
            <w:vAlign w:val="center"/>
            <w:hideMark/>
          </w:tcPr>
          <w:p w14:paraId="2C4E4FC7" w14:textId="77777777" w:rsidR="00190A6A" w:rsidRPr="00190A6A" w:rsidRDefault="00190A6A" w:rsidP="005276B1">
            <w:pPr>
              <w:spacing w:after="160" w:line="256" w:lineRule="auto"/>
              <w:ind w:left="0"/>
              <w:rPr>
                <w:rFonts w:ascii="Bookman Old Style" w:eastAsia="Calibri" w:hAnsi="Bookman Old Style" w:cs="Arial"/>
                <w:color w:val="000000"/>
                <w:kern w:val="2"/>
                <w:lang w:val="es-CO" w:eastAsia="es-CO"/>
                <w14:ligatures w14:val="standardContextual"/>
              </w:rPr>
            </w:pPr>
          </w:p>
        </w:tc>
        <w:tc>
          <w:tcPr>
            <w:tcW w:w="2070" w:type="dxa"/>
            <w:tcBorders>
              <w:top w:val="nil"/>
              <w:left w:val="nil"/>
              <w:bottom w:val="nil"/>
              <w:right w:val="nil"/>
            </w:tcBorders>
            <w:shd w:val="clear" w:color="auto" w:fill="auto"/>
            <w:noWrap/>
            <w:vAlign w:val="center"/>
            <w:hideMark/>
          </w:tcPr>
          <w:p w14:paraId="535752FE" w14:textId="77777777" w:rsidR="00190A6A" w:rsidRPr="00190A6A" w:rsidRDefault="00190A6A" w:rsidP="005276B1">
            <w:pPr>
              <w:spacing w:after="160" w:line="256" w:lineRule="auto"/>
              <w:ind w:left="0"/>
              <w:jc w:val="right"/>
              <w:rPr>
                <w:rFonts w:ascii="Bookman Old Style" w:eastAsia="Calibri" w:hAnsi="Bookman Old Style"/>
                <w:kern w:val="2"/>
                <w:lang w:val="es-CO" w:eastAsia="es-CO"/>
                <w14:ligatures w14:val="standardContextual"/>
              </w:rPr>
            </w:pPr>
          </w:p>
        </w:tc>
      </w:tr>
    </w:tbl>
    <w:p w14:paraId="22795649" w14:textId="77777777" w:rsidR="00190A6A" w:rsidRPr="00190A6A" w:rsidRDefault="00190A6A" w:rsidP="005276B1">
      <w:pPr>
        <w:ind w:left="0"/>
        <w:jc w:val="both"/>
        <w:rPr>
          <w:rFonts w:ascii="Bookman Old Style" w:eastAsia="Calibri" w:hAnsi="Bookman Old Style" w:cs="Arial"/>
          <w:kern w:val="2"/>
          <w:lang w:val="es-CO" w:eastAsia="en-US"/>
          <w14:ligatures w14:val="standardContextual"/>
        </w:rPr>
      </w:pPr>
    </w:p>
    <w:p w14:paraId="23EFE66B" w14:textId="10EB13BB" w:rsidR="00190A6A" w:rsidRPr="00190A6A" w:rsidRDefault="00403EB3" w:rsidP="00190A6A">
      <w:pPr>
        <w:ind w:left="0"/>
        <w:jc w:val="both"/>
        <w:rPr>
          <w:rFonts w:ascii="Bookman Old Style" w:eastAsia="Calibri" w:hAnsi="Bookman Old Style" w:cs="Arial"/>
          <w:kern w:val="2"/>
          <w:lang w:val="es-CO" w:eastAsia="en-US"/>
          <w14:ligatures w14:val="standardContextual"/>
        </w:rPr>
      </w:pPr>
      <w:r>
        <w:rPr>
          <w:rFonts w:ascii="Bookman Old Style" w:eastAsia="Calibri" w:hAnsi="Bookman Old Style" w:cs="Arial"/>
          <w:kern w:val="2"/>
          <w:lang w:val="es-CO" w:eastAsia="en-US"/>
          <w14:ligatures w14:val="standardContextual"/>
        </w:rPr>
        <w:t xml:space="preserve">En desarrollo de los principios de </w:t>
      </w:r>
      <w:r w:rsidR="00310258">
        <w:rPr>
          <w:rFonts w:ascii="Bookman Old Style" w:eastAsia="Calibri" w:hAnsi="Bookman Old Style" w:cs="Arial"/>
          <w:kern w:val="2"/>
          <w:lang w:val="es-CO" w:eastAsia="en-US"/>
          <w14:ligatures w14:val="standardContextual"/>
        </w:rPr>
        <w:t>eficacia</w:t>
      </w:r>
      <w:r>
        <w:rPr>
          <w:rFonts w:ascii="Bookman Old Style" w:eastAsia="Calibri" w:hAnsi="Bookman Old Style" w:cs="Arial"/>
          <w:kern w:val="2"/>
          <w:lang w:val="es-CO" w:eastAsia="en-US"/>
          <w14:ligatures w14:val="standardContextual"/>
        </w:rPr>
        <w:t>, economía y celerid</w:t>
      </w:r>
      <w:r w:rsidR="00310258">
        <w:rPr>
          <w:rFonts w:ascii="Bookman Old Style" w:eastAsia="Calibri" w:hAnsi="Bookman Old Style" w:cs="Arial"/>
          <w:kern w:val="2"/>
          <w:lang w:val="es-CO" w:eastAsia="en-US"/>
          <w14:ligatures w14:val="standardContextual"/>
        </w:rPr>
        <w:t xml:space="preserve">ad, la </w:t>
      </w:r>
      <w:r w:rsidR="00AC100F">
        <w:rPr>
          <w:rFonts w:ascii="Bookman Old Style" w:eastAsia="Calibri" w:hAnsi="Bookman Old Style" w:cs="Arial"/>
          <w:kern w:val="2"/>
          <w:lang w:val="es-CO" w:eastAsia="en-US"/>
          <w14:ligatures w14:val="standardContextual"/>
        </w:rPr>
        <w:t>Comisión</w:t>
      </w:r>
      <w:r w:rsidR="00310258">
        <w:rPr>
          <w:rFonts w:ascii="Bookman Old Style" w:eastAsia="Calibri" w:hAnsi="Bookman Old Style" w:cs="Arial"/>
          <w:kern w:val="2"/>
          <w:lang w:val="es-CO" w:eastAsia="en-US"/>
          <w14:ligatures w14:val="standardContextual"/>
        </w:rPr>
        <w:t xml:space="preserve"> encuentra conveniente que la </w:t>
      </w:r>
      <w:r w:rsidR="00AC100F">
        <w:rPr>
          <w:rFonts w:ascii="Bookman Old Style" w:eastAsia="Calibri" w:hAnsi="Bookman Old Style" w:cs="Arial"/>
          <w:kern w:val="2"/>
          <w:lang w:val="es-CO" w:eastAsia="en-US"/>
          <w14:ligatures w14:val="standardContextual"/>
        </w:rPr>
        <w:t>c</w:t>
      </w:r>
      <w:r w:rsidR="00190A6A" w:rsidRPr="00190A6A">
        <w:rPr>
          <w:rFonts w:ascii="Bookman Old Style" w:eastAsia="Calibri" w:hAnsi="Bookman Old Style" w:cs="Arial"/>
          <w:kern w:val="2"/>
          <w:lang w:val="es-CO" w:eastAsia="en-US"/>
          <w14:ligatures w14:val="standardContextual"/>
        </w:rPr>
        <w:t>ontribución especial se</w:t>
      </w:r>
      <w:r w:rsidR="00DE5637">
        <w:rPr>
          <w:rFonts w:ascii="Bookman Old Style" w:eastAsia="Calibri" w:hAnsi="Bookman Old Style" w:cs="Arial"/>
          <w:kern w:val="2"/>
          <w:lang w:val="es-CO" w:eastAsia="en-US"/>
          <w14:ligatures w14:val="standardContextual"/>
        </w:rPr>
        <w:t xml:space="preserve">a emitida por el director ejecutivo mediante </w:t>
      </w:r>
      <w:r w:rsidR="00190A6A" w:rsidRPr="00190A6A">
        <w:rPr>
          <w:rFonts w:ascii="Bookman Old Style" w:eastAsia="Calibri" w:hAnsi="Bookman Old Style" w:cs="Arial"/>
          <w:kern w:val="2"/>
          <w:lang w:val="es-CO" w:eastAsia="en-US"/>
          <w14:ligatures w14:val="standardContextual"/>
        </w:rPr>
        <w:t>una liquidación oficial para cada uno de los</w:t>
      </w:r>
      <w:r w:rsidR="00843A25">
        <w:rPr>
          <w:rFonts w:ascii="Bookman Old Style" w:eastAsia="Calibri" w:hAnsi="Bookman Old Style" w:cs="Arial"/>
          <w:kern w:val="2"/>
          <w:lang w:val="es-CO" w:eastAsia="en-US"/>
          <w14:ligatures w14:val="standardContextual"/>
        </w:rPr>
        <w:t xml:space="preserve"> sujetos</w:t>
      </w:r>
      <w:r w:rsidR="00190A6A" w:rsidRPr="00190A6A">
        <w:rPr>
          <w:rFonts w:ascii="Bookman Old Style" w:eastAsia="Calibri" w:hAnsi="Bookman Old Style" w:cs="Arial"/>
          <w:kern w:val="2"/>
          <w:lang w:val="es-CO" w:eastAsia="en-US"/>
          <w14:ligatures w14:val="standardContextual"/>
        </w:rPr>
        <w:t xml:space="preserve"> regulados, la cual será notificada a</w:t>
      </w:r>
      <w:r w:rsidR="00843A25">
        <w:rPr>
          <w:rFonts w:ascii="Bookman Old Style" w:eastAsia="Calibri" w:hAnsi="Bookman Old Style" w:cs="Arial"/>
          <w:kern w:val="2"/>
          <w:lang w:val="es-CO" w:eastAsia="en-US"/>
          <w14:ligatures w14:val="standardContextual"/>
        </w:rPr>
        <w:t xml:space="preserve"> cada</w:t>
      </w:r>
      <w:r w:rsidR="00190A6A" w:rsidRPr="00190A6A">
        <w:rPr>
          <w:rFonts w:ascii="Bookman Old Style" w:eastAsia="Calibri" w:hAnsi="Bookman Old Style" w:cs="Arial"/>
          <w:kern w:val="2"/>
          <w:lang w:val="es-CO" w:eastAsia="en-US"/>
          <w14:ligatures w14:val="standardContextual"/>
        </w:rPr>
        <w:t xml:space="preserve"> empresa conforme a lo previsto en las disposiciones legales vigentes</w:t>
      </w:r>
      <w:r w:rsidR="00843A25">
        <w:rPr>
          <w:rFonts w:ascii="Bookman Old Style" w:eastAsia="Calibri" w:hAnsi="Bookman Old Style" w:cs="Arial"/>
          <w:kern w:val="2"/>
          <w:lang w:val="es-CO" w:eastAsia="en-US"/>
          <w14:ligatures w14:val="standardContextual"/>
        </w:rPr>
        <w:t xml:space="preserve">. </w:t>
      </w:r>
      <w:r w:rsidR="00190A6A" w:rsidRPr="00190A6A">
        <w:rPr>
          <w:rFonts w:ascii="Bookman Old Style" w:eastAsia="Calibri" w:hAnsi="Bookman Old Style" w:cs="Arial"/>
          <w:kern w:val="2"/>
          <w:lang w:val="es-CO" w:eastAsia="en-US"/>
          <w14:ligatures w14:val="standardContextual"/>
        </w:rPr>
        <w:t xml:space="preserve"> </w:t>
      </w:r>
      <w:r w:rsidR="00843A25">
        <w:rPr>
          <w:rFonts w:ascii="Bookman Old Style" w:eastAsia="Calibri" w:hAnsi="Bookman Old Style" w:cs="Arial"/>
          <w:kern w:val="2"/>
          <w:lang w:val="es-CO" w:eastAsia="en-US"/>
          <w14:ligatures w14:val="standardContextual"/>
        </w:rPr>
        <w:t>Contra la liquidación</w:t>
      </w:r>
      <w:r w:rsidR="00190A6A" w:rsidRPr="00190A6A">
        <w:rPr>
          <w:rFonts w:ascii="Bookman Old Style" w:eastAsia="Calibri" w:hAnsi="Bookman Old Style" w:cs="Arial"/>
          <w:kern w:val="2"/>
          <w:lang w:val="es-CO" w:eastAsia="en-US"/>
          <w14:ligatures w14:val="standardContextual"/>
        </w:rPr>
        <w:t xml:space="preserve"> procede el recurso de reposición, el cual podrá interponerse dentro de los cinco (5) días hábiles siguientes a la diligencia de notificación por la CREG, conforme al artículo 113 de la Ley 142 de 1994.</w:t>
      </w:r>
    </w:p>
    <w:p w14:paraId="4CEB933D" w14:textId="77777777" w:rsidR="0051261E" w:rsidRDefault="0051261E" w:rsidP="00190A6A">
      <w:pPr>
        <w:ind w:left="0"/>
        <w:jc w:val="both"/>
        <w:rPr>
          <w:rFonts w:ascii="Bookman Old Style" w:eastAsia="Calibri" w:hAnsi="Bookman Old Style" w:cs="Arial"/>
          <w:kern w:val="2"/>
          <w:lang w:val="es-CO" w:eastAsia="en-US"/>
          <w14:ligatures w14:val="standardContextual"/>
        </w:rPr>
      </w:pPr>
    </w:p>
    <w:p w14:paraId="298B0BA7" w14:textId="43F29930"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lastRenderedPageBreak/>
        <w:t xml:space="preserve">La liquidación individual debe contener los elementos mínimos </w:t>
      </w:r>
      <w:r w:rsidR="00B8650C">
        <w:rPr>
          <w:rFonts w:ascii="Bookman Old Style" w:eastAsia="Calibri" w:hAnsi="Bookman Old Style" w:cs="Arial"/>
          <w:kern w:val="2"/>
          <w:lang w:val="es-CO" w:eastAsia="en-US"/>
          <w14:ligatures w14:val="standardContextual"/>
        </w:rPr>
        <w:t>del tributo</w:t>
      </w:r>
      <w:r w:rsidRPr="00190A6A">
        <w:rPr>
          <w:rFonts w:ascii="Bookman Old Style" w:eastAsia="Calibri" w:hAnsi="Bookman Old Style" w:cs="Arial"/>
          <w:kern w:val="2"/>
          <w:lang w:val="es-CO" w:eastAsia="en-US"/>
          <w14:ligatures w14:val="standardContextual"/>
        </w:rPr>
        <w:t>, los cuales están determinados en el artículo 85 de la Ley 142 de 1994</w:t>
      </w:r>
      <w:r w:rsidR="005F424D">
        <w:rPr>
          <w:rFonts w:ascii="Bookman Old Style" w:eastAsia="Calibri" w:hAnsi="Bookman Old Style" w:cs="Arial"/>
          <w:kern w:val="2"/>
          <w:lang w:val="es-CO" w:eastAsia="en-US"/>
          <w14:ligatures w14:val="standardContextual"/>
        </w:rPr>
        <w:t xml:space="preserve"> y en la presente resolución.</w:t>
      </w:r>
      <w:r w:rsidRPr="00190A6A">
        <w:rPr>
          <w:rFonts w:ascii="Bookman Old Style" w:eastAsia="Calibri" w:hAnsi="Bookman Old Style" w:cs="Arial"/>
          <w:kern w:val="2"/>
          <w:lang w:val="es-CO" w:eastAsia="en-US"/>
          <w14:ligatures w14:val="standardContextual"/>
        </w:rPr>
        <w:t xml:space="preserve"> </w:t>
      </w:r>
    </w:p>
    <w:p w14:paraId="564ADDB5" w14:textId="77777777" w:rsidR="00190A6A" w:rsidRPr="00190A6A" w:rsidRDefault="00190A6A" w:rsidP="00190A6A">
      <w:pPr>
        <w:ind w:left="0"/>
        <w:jc w:val="both"/>
        <w:rPr>
          <w:rFonts w:ascii="Bookman Old Style" w:eastAsia="Calibri" w:hAnsi="Bookman Old Style" w:cs="Arial"/>
          <w:kern w:val="2"/>
          <w:lang w:val="es-CO" w:eastAsia="en-US"/>
          <w14:ligatures w14:val="standardContextual"/>
        </w:rPr>
      </w:pPr>
    </w:p>
    <w:p w14:paraId="3289908A" w14:textId="2560B4DE" w:rsidR="00430317"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Conforme a lo dispuesto por el artículo 9 del Decreto 2696 de 2004</w:t>
      </w:r>
      <w:r w:rsidR="00AA17E0">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concordante con el artículo 8 del Código de Procedimiento Administrativo y de lo Contencioso Administrativo</w:t>
      </w:r>
      <w:r w:rsidR="00843A25">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la CREG publicó en su página web para comentarios la Resolución </w:t>
      </w:r>
      <w:proofErr w:type="spellStart"/>
      <w:r w:rsidRPr="00190A6A">
        <w:rPr>
          <w:rFonts w:ascii="Bookman Old Style" w:eastAsia="Calibri" w:hAnsi="Bookman Old Style" w:cs="Arial"/>
          <w:kern w:val="2"/>
          <w:lang w:val="es-CO" w:eastAsia="en-US"/>
          <w14:ligatures w14:val="standardContextual"/>
        </w:rPr>
        <w:t>N°</w:t>
      </w:r>
      <w:proofErr w:type="spellEnd"/>
      <w:r w:rsidRPr="00190A6A">
        <w:rPr>
          <w:rFonts w:ascii="Bookman Old Style" w:eastAsia="Calibri" w:hAnsi="Bookman Old Style" w:cs="Arial"/>
          <w:kern w:val="2"/>
          <w:lang w:val="es-CO" w:eastAsia="en-US"/>
          <w14:ligatures w14:val="standardContextual"/>
        </w:rPr>
        <w:t xml:space="preserve"> 705 008 del 12 de noviembre de 2024 </w:t>
      </w:r>
      <w:r w:rsidRPr="00190A6A">
        <w:rPr>
          <w:rFonts w:ascii="Bookman Old Style" w:eastAsia="Calibri" w:hAnsi="Bookman Old Style" w:cs="Arial"/>
          <w:i/>
          <w:iCs/>
          <w:kern w:val="2"/>
          <w:lang w:val="es-CO" w:eastAsia="en-US"/>
          <w14:ligatures w14:val="standardContextual"/>
        </w:rPr>
        <w:t xml:space="preserve">“Por la cual se establece el porcentaje de la contribución especial a favor de la Comisión de Regulación de Energía y Gas, CREG, que deben pagar los prestadores de los servicios públicos domiciliarios de energía eléctrica, gas natural y gas licuado de petróleo (GLP) y sus actividades complementarias, sometidas al ámbito de regulación de la Comisión para el año 2024 y se dictan otras disposiciones.”, </w:t>
      </w:r>
      <w:r w:rsidRPr="00190A6A">
        <w:rPr>
          <w:rFonts w:ascii="Bookman Old Style" w:eastAsia="Calibri" w:hAnsi="Bookman Old Style" w:cs="Arial"/>
          <w:kern w:val="2"/>
          <w:lang w:val="es-CO" w:eastAsia="en-US"/>
          <w14:ligatures w14:val="standardContextual"/>
        </w:rPr>
        <w:t xml:space="preserve">así como el documento soporte CREG </w:t>
      </w:r>
      <w:proofErr w:type="spellStart"/>
      <w:r w:rsidRPr="00190A6A">
        <w:rPr>
          <w:rFonts w:ascii="Bookman Old Style" w:eastAsia="Calibri" w:hAnsi="Bookman Old Style" w:cs="Arial"/>
          <w:kern w:val="2"/>
          <w:lang w:val="es-CO" w:eastAsia="en-US"/>
          <w14:ligatures w14:val="standardContextual"/>
        </w:rPr>
        <w:t>N°</w:t>
      </w:r>
      <w:proofErr w:type="spellEnd"/>
      <w:r w:rsidRPr="00190A6A">
        <w:rPr>
          <w:rFonts w:ascii="Bookman Old Style" w:eastAsia="Calibri" w:hAnsi="Bookman Old Style" w:cs="Arial"/>
          <w:kern w:val="2"/>
          <w:lang w:val="es-CO" w:eastAsia="en-US"/>
          <w14:ligatures w14:val="standardContextual"/>
        </w:rPr>
        <w:t xml:space="preserve"> D-905-012-2024, con el fin de cumplir con el término de publicidad, recibir comentarios y realizar los ajustes pertinentes en la resolución definitiva. </w:t>
      </w:r>
    </w:p>
    <w:p w14:paraId="11285301" w14:textId="0A076A84"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Una vez revisados los comentarios se emitió respuesta a cada uno de ellos</w:t>
      </w:r>
      <w:r w:rsidR="00843A25">
        <w:rPr>
          <w:rFonts w:ascii="Bookman Old Style" w:eastAsia="Calibri" w:hAnsi="Bookman Old Style" w:cs="Arial"/>
          <w:kern w:val="2"/>
          <w:lang w:val="es-CO" w:eastAsia="en-US"/>
          <w14:ligatures w14:val="standardContextual"/>
        </w:rPr>
        <w:t xml:space="preserve">, los cuales se </w:t>
      </w:r>
      <w:r w:rsidRPr="00190A6A">
        <w:rPr>
          <w:rFonts w:ascii="Bookman Old Style" w:eastAsia="Calibri" w:hAnsi="Bookman Old Style" w:cs="Arial"/>
          <w:kern w:val="2"/>
          <w:lang w:val="es-CO" w:eastAsia="en-US"/>
          <w14:ligatures w14:val="standardContextual"/>
        </w:rPr>
        <w:t xml:space="preserve">pueden encontrar en el documento denominado “RESPUESTAS A COMENTARIOS DE REGULADOS Proyecto de Resolución </w:t>
      </w:r>
      <w:proofErr w:type="spellStart"/>
      <w:r w:rsidRPr="00190A6A">
        <w:rPr>
          <w:rFonts w:ascii="Bookman Old Style" w:eastAsia="Calibri" w:hAnsi="Bookman Old Style" w:cs="Arial"/>
          <w:kern w:val="2"/>
          <w:lang w:val="es-CO" w:eastAsia="en-US"/>
          <w14:ligatures w14:val="standardContextual"/>
        </w:rPr>
        <w:t>N°</w:t>
      </w:r>
      <w:proofErr w:type="spellEnd"/>
      <w:r w:rsidRPr="00190A6A">
        <w:rPr>
          <w:rFonts w:ascii="Bookman Old Style" w:eastAsia="Calibri" w:hAnsi="Bookman Old Style" w:cs="Arial"/>
          <w:kern w:val="2"/>
          <w:lang w:val="es-CO" w:eastAsia="en-US"/>
          <w14:ligatures w14:val="standardContextual"/>
        </w:rPr>
        <w:t xml:space="preserve"> 705 008 de 2024” el cual hace parte integral de esta resolución y su documento técnico. </w:t>
      </w:r>
    </w:p>
    <w:p w14:paraId="053FA447" w14:textId="3E3E1ECA" w:rsidR="00190A6A" w:rsidRPr="00190A6A" w:rsidRDefault="00190A6A" w:rsidP="00190A6A">
      <w:pPr>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La Comisión de Regulación de Energía y Gas, en su Sesión CREG 1362 del 12 de diciembre de 2024, acordó expedir la presente resolución.</w:t>
      </w:r>
    </w:p>
    <w:p w14:paraId="1B547863" w14:textId="77777777" w:rsidR="00190A6A" w:rsidRPr="00190A6A" w:rsidRDefault="00190A6A" w:rsidP="00190A6A">
      <w:pPr>
        <w:shd w:val="clear" w:color="auto" w:fill="FFFFFF"/>
        <w:spacing w:after="160" w:line="256" w:lineRule="auto"/>
        <w:ind w:left="0"/>
        <w:jc w:val="both"/>
        <w:rPr>
          <w:rFonts w:ascii="Bookman Old Style" w:eastAsia="Calibri" w:hAnsi="Bookman Old Style" w:cs="Arial"/>
          <w:kern w:val="2"/>
          <w:lang w:val="es-CO" w:eastAsia="en-US"/>
          <w14:ligatures w14:val="standardContextual"/>
        </w:rPr>
      </w:pPr>
    </w:p>
    <w:p w14:paraId="65C04DD0" w14:textId="438A4BCF" w:rsidR="00190A6A" w:rsidRPr="00190A6A" w:rsidRDefault="00190A6A" w:rsidP="0051261E">
      <w:pPr>
        <w:spacing w:after="160" w:line="276" w:lineRule="auto"/>
        <w:ind w:left="0"/>
        <w:jc w:val="center"/>
        <w:rPr>
          <w:rFonts w:ascii="Bookman Old Style" w:eastAsia="Calibri" w:hAnsi="Bookman Old Style"/>
          <w:kern w:val="2"/>
          <w:lang w:val="es-CO" w:eastAsia="en-US"/>
          <w14:ligatures w14:val="standardContextual"/>
        </w:rPr>
      </w:pPr>
      <w:r w:rsidRPr="00190A6A">
        <w:rPr>
          <w:rFonts w:ascii="Bookman Old Style" w:eastAsia="Calibri" w:hAnsi="Bookman Old Style"/>
          <w:b/>
          <w:kern w:val="2"/>
          <w:lang w:val="es-CO" w:eastAsia="en-US"/>
          <w14:ligatures w14:val="standardContextual"/>
        </w:rPr>
        <w:t>RESUELVE:</w:t>
      </w:r>
    </w:p>
    <w:p w14:paraId="1D761C27" w14:textId="1845ECAB"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ARTÍCULO 1. TARIFA PARA LIQUIDAR LA CONTRIBUCIÓN ESPECIAL 2024.</w:t>
      </w:r>
      <w:r w:rsidRPr="00190A6A">
        <w:rPr>
          <w:rFonts w:ascii="Bookman Old Style" w:eastAsia="Calibri" w:hAnsi="Bookman Old Style" w:cs="Arial"/>
          <w:bCs/>
          <w:kern w:val="2"/>
          <w:lang w:val="es-CO" w:eastAsia="en-US"/>
          <w14:ligatures w14:val="standardContextual"/>
        </w:rPr>
        <w:t xml:space="preserve"> El porcentaje de la tarifa para la liquidación de la contribución especial a favor de la </w:t>
      </w:r>
      <w:r w:rsidRPr="00190A6A">
        <w:rPr>
          <w:rFonts w:ascii="Bookman Old Style" w:eastAsia="Calibri" w:hAnsi="Bookman Old Style" w:cs="Arial"/>
          <w:kern w:val="2"/>
          <w:lang w:val="es-CO" w:eastAsia="en-US"/>
          <w14:ligatures w14:val="standardContextual"/>
        </w:rPr>
        <w:t>Comisión de Regulación de Energía y Gas</w:t>
      </w:r>
      <w:r w:rsidR="00843A25">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bCs/>
          <w:kern w:val="2"/>
          <w:lang w:val="es-CO" w:eastAsia="en-US"/>
          <w14:ligatures w14:val="standardContextual"/>
        </w:rPr>
        <w:t xml:space="preserve">que deben pagar las empresas y entidades sometidas a su regulación, es del </w:t>
      </w:r>
      <w:r w:rsidRPr="00190A6A">
        <w:rPr>
          <w:rFonts w:ascii="Bookman Old Style" w:eastAsia="Calibri" w:hAnsi="Bookman Old Style" w:cs="Arial"/>
          <w:b/>
          <w:kern w:val="2"/>
          <w:lang w:val="es-CO" w:eastAsia="en-US"/>
          <w14:ligatures w14:val="standardContextual"/>
        </w:rPr>
        <w:t>(0.86514315%)</w:t>
      </w:r>
      <w:r w:rsidRPr="00190A6A">
        <w:rPr>
          <w:rFonts w:ascii="Bookman Old Style" w:eastAsia="Calibri" w:hAnsi="Bookman Old Style" w:cs="Arial"/>
          <w:bCs/>
          <w:kern w:val="2"/>
          <w:lang w:val="es-CO" w:eastAsia="en-US"/>
          <w14:ligatures w14:val="standardContextual"/>
        </w:rPr>
        <w:t xml:space="preserve"> sobre el valor de los gastos de funcionamiento para cubrir el presupuesto del año 2024 de la </w:t>
      </w:r>
      <w:r w:rsidRPr="00190A6A">
        <w:rPr>
          <w:rFonts w:ascii="Bookman Old Style" w:eastAsia="Calibri" w:hAnsi="Bookman Old Style" w:cs="Arial"/>
          <w:kern w:val="2"/>
          <w:lang w:val="es-CO" w:eastAsia="en-US"/>
          <w14:ligatures w14:val="standardContextual"/>
        </w:rPr>
        <w:t>Comisión de Regulación de Energía y Gas</w:t>
      </w:r>
      <w:r w:rsidR="00843A25">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bCs/>
          <w:kern w:val="2"/>
          <w:lang w:val="es-CO" w:eastAsia="en-US"/>
          <w14:ligatures w14:val="standardContextual"/>
        </w:rPr>
        <w:t xml:space="preserve">que asciende al valor de </w:t>
      </w:r>
      <w:r w:rsidRPr="00190A6A">
        <w:rPr>
          <w:rFonts w:ascii="Bookman Old Style" w:eastAsia="Calibri" w:hAnsi="Bookman Old Style" w:cs="Arial"/>
          <w:b/>
          <w:kern w:val="2"/>
          <w:lang w:val="es-CO" w:eastAsia="en-US"/>
          <w14:ligatures w14:val="standardContextual"/>
        </w:rPr>
        <w:t>$39.449.795.982</w:t>
      </w:r>
      <w:r w:rsidRPr="00190A6A">
        <w:rPr>
          <w:rFonts w:ascii="Bookman Old Style" w:eastAsia="Calibri" w:hAnsi="Bookman Old Style" w:cs="Arial"/>
          <w:bCs/>
          <w:kern w:val="2"/>
          <w:lang w:val="es-CO" w:eastAsia="en-US"/>
          <w14:ligatures w14:val="standardContextual"/>
        </w:rPr>
        <w:t>, el cual es financiado por la contribución especial.</w:t>
      </w:r>
    </w:p>
    <w:p w14:paraId="69568D56" w14:textId="04A2ABA9"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 xml:space="preserve">PARÁGRAFO. </w:t>
      </w:r>
      <w:r w:rsidRPr="00190A6A">
        <w:rPr>
          <w:rFonts w:ascii="Bookman Old Style" w:eastAsia="Calibri" w:hAnsi="Bookman Old Style" w:cs="Arial"/>
          <w:bCs/>
          <w:kern w:val="2"/>
          <w:lang w:val="es-CO" w:eastAsia="en-US"/>
          <w14:ligatures w14:val="standardContextual"/>
        </w:rPr>
        <w:t>A las empresas reguladas que se encuentren en proceso de liquidación, cancelación, fusión, escisión, toma de posesión para administrar con fines liquidatarios, que hubieren operado al menos un día durante la vigencia 2024, se les liquidará la contribución especial de regulación proporcionalmente a la fracción del año 2024 que hubiere prestado el servicio</w:t>
      </w:r>
      <w:r w:rsidR="00843A25">
        <w:rPr>
          <w:rFonts w:ascii="Bookman Old Style" w:eastAsia="Calibri" w:hAnsi="Bookman Old Style" w:cs="Arial"/>
          <w:bCs/>
          <w:kern w:val="2"/>
          <w:lang w:val="es-CO" w:eastAsia="en-US"/>
          <w14:ligatures w14:val="standardContextual"/>
        </w:rPr>
        <w:t xml:space="preserve"> </w:t>
      </w:r>
      <w:r w:rsidRPr="00190A6A">
        <w:rPr>
          <w:rFonts w:ascii="Bookman Old Style" w:eastAsia="Calibri" w:hAnsi="Bookman Old Style" w:cs="Arial"/>
          <w:bCs/>
          <w:kern w:val="2"/>
          <w:lang w:val="es-CO" w:eastAsia="en-US"/>
          <w14:ligatures w14:val="standardContextual"/>
        </w:rPr>
        <w:t>público, con base en la información financiera de 2023 reportada en el SUI</w:t>
      </w:r>
      <w:r w:rsidR="00843A25">
        <w:rPr>
          <w:rFonts w:ascii="Bookman Old Style" w:eastAsia="Calibri" w:hAnsi="Bookman Old Style" w:cs="Arial"/>
          <w:bCs/>
          <w:kern w:val="2"/>
          <w:lang w:val="es-CO" w:eastAsia="en-US"/>
          <w14:ligatures w14:val="standardContextual"/>
        </w:rPr>
        <w:t>,</w:t>
      </w:r>
      <w:r w:rsidRPr="00190A6A">
        <w:rPr>
          <w:rFonts w:ascii="Bookman Old Style" w:eastAsia="Calibri" w:hAnsi="Bookman Old Style" w:cs="Arial"/>
          <w:bCs/>
          <w:kern w:val="2"/>
          <w:lang w:val="es-CO" w:eastAsia="en-US"/>
          <w14:ligatures w14:val="standardContextual"/>
        </w:rPr>
        <w:t xml:space="preserve"> administrado por la Superintendencia de Servicios Públicos Domiciliarios.</w:t>
      </w:r>
    </w:p>
    <w:p w14:paraId="16D26F48" w14:textId="6B52EAC8"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 xml:space="preserve">ARTÍCULO 2. BASE GRAVABLE. </w:t>
      </w:r>
      <w:r w:rsidRPr="00190A6A">
        <w:rPr>
          <w:rFonts w:ascii="Bookman Old Style" w:eastAsia="Calibri" w:hAnsi="Bookman Old Style" w:cs="Arial"/>
          <w:bCs/>
          <w:kern w:val="2"/>
          <w:lang w:val="es-CO" w:eastAsia="en-US"/>
          <w14:ligatures w14:val="standardContextual"/>
        </w:rPr>
        <w:t xml:space="preserve">La base gravable </w:t>
      </w:r>
      <w:r w:rsidR="00843A25">
        <w:rPr>
          <w:rFonts w:ascii="Bookman Old Style" w:eastAsia="Calibri" w:hAnsi="Bookman Old Style" w:cs="Arial"/>
          <w:bCs/>
          <w:kern w:val="2"/>
          <w:lang w:val="es-CO" w:eastAsia="en-US"/>
          <w14:ligatures w14:val="standardContextual"/>
        </w:rPr>
        <w:t xml:space="preserve">que </w:t>
      </w:r>
      <w:r w:rsidRPr="00190A6A">
        <w:rPr>
          <w:rFonts w:ascii="Bookman Old Style" w:eastAsia="Calibri" w:hAnsi="Bookman Old Style" w:cs="Arial"/>
          <w:bCs/>
          <w:kern w:val="2"/>
          <w:lang w:val="es-CO" w:eastAsia="en-US"/>
          <w14:ligatures w14:val="standardContextual"/>
        </w:rPr>
        <w:t>incluye los gastos de funcionamiento (gastos administrativos) depurados para la vigencia 2024 asciende a la suma de $4.559.915.406.624</w:t>
      </w:r>
      <w:r w:rsidR="00843A25">
        <w:rPr>
          <w:rFonts w:ascii="Bookman Old Style" w:eastAsia="Calibri" w:hAnsi="Bookman Old Style" w:cs="Arial"/>
          <w:bCs/>
          <w:kern w:val="2"/>
          <w:lang w:val="es-CO" w:eastAsia="en-US"/>
          <w14:ligatures w14:val="standardContextual"/>
        </w:rPr>
        <w:t>.</w:t>
      </w:r>
    </w:p>
    <w:p w14:paraId="2203E038" w14:textId="77777777"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p>
    <w:p w14:paraId="09BD8DA1" w14:textId="5F9BF27E"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lastRenderedPageBreak/>
        <w:t xml:space="preserve">PARÁGRAFO 1. </w:t>
      </w:r>
      <w:r w:rsidRPr="00190A6A">
        <w:rPr>
          <w:rFonts w:ascii="Bookman Old Style" w:eastAsia="Calibri" w:hAnsi="Bookman Old Style" w:cs="Arial"/>
          <w:kern w:val="2"/>
          <w:lang w:val="es-CO" w:eastAsia="en-US"/>
          <w14:ligatures w14:val="standardContextual"/>
        </w:rPr>
        <w:t xml:space="preserve">La contribución especial será calculada y liquidada para cada uno de los sujetos pasivos mediante una liquidación oficial emitida por el director ejecutivo de 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w:t>
      </w:r>
    </w:p>
    <w:p w14:paraId="36C608F1" w14:textId="27222FED"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 xml:space="preserve">PARÁGRAFO 2. </w:t>
      </w:r>
      <w:r w:rsidRPr="00190A6A">
        <w:rPr>
          <w:rFonts w:ascii="Bookman Old Style" w:eastAsia="Calibri" w:hAnsi="Bookman Old Style" w:cs="Arial"/>
          <w:kern w:val="2"/>
          <w:lang w:val="es-CO" w:eastAsia="en-US"/>
          <w14:ligatures w14:val="standardContextual"/>
        </w:rPr>
        <w:t xml:space="preserve">Anticipo de la contribución especial 2025. Una vez en firme la liquidación oficial, los </w:t>
      </w:r>
      <w:r w:rsidR="00A13EC5">
        <w:rPr>
          <w:rFonts w:ascii="Bookman Old Style" w:eastAsia="Calibri" w:hAnsi="Bookman Old Style" w:cs="Arial"/>
          <w:kern w:val="2"/>
          <w:lang w:val="es-CO" w:eastAsia="en-US"/>
          <w14:ligatures w14:val="standardContextual"/>
        </w:rPr>
        <w:t xml:space="preserve">sujetos </w:t>
      </w:r>
      <w:r w:rsidRPr="00190A6A">
        <w:rPr>
          <w:rFonts w:ascii="Bookman Old Style" w:eastAsia="Calibri" w:hAnsi="Bookman Old Style" w:cs="Arial"/>
          <w:kern w:val="2"/>
          <w:lang w:val="es-CO" w:eastAsia="en-US"/>
          <w14:ligatures w14:val="standardContextual"/>
        </w:rPr>
        <w:t>regulados deberán pagar por concepto de anticipo de contribución especial 2025, un SESENTA POR CIENTO (60%) sobre el valor de contribución especial 2024</w:t>
      </w:r>
      <w:r w:rsidR="001361EB">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determinada en la liquidación oficial notificada.</w:t>
      </w:r>
    </w:p>
    <w:p w14:paraId="6B4D6F85" w14:textId="77777777"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La obligación del pago del anticipo por concepto de contribución especial se encuentra determinada en el segundo inciso del artículo 2.2.9.9.7 del Decreto 1150 del 18 de agosto de 2020. </w:t>
      </w:r>
    </w:p>
    <w:p w14:paraId="115EC8C7" w14:textId="7CB2B498" w:rsidR="00190A6A" w:rsidRPr="00190A6A" w:rsidRDefault="00190A6A" w:rsidP="00190A6A">
      <w:pPr>
        <w:spacing w:after="160" w:line="256" w:lineRule="auto"/>
        <w:ind w:left="0"/>
        <w:jc w:val="both"/>
        <w:rPr>
          <w:rFonts w:ascii="Bookman Old Style" w:eastAsia="Calibri" w:hAnsi="Bookman Old Style" w:cs="Arial"/>
          <w:b/>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 xml:space="preserve">PARÁGRAFO 3. </w:t>
      </w:r>
      <w:r w:rsidRPr="00190A6A">
        <w:rPr>
          <w:rFonts w:ascii="Bookman Old Style" w:eastAsia="Calibri" w:hAnsi="Bookman Old Style" w:cs="Arial"/>
          <w:kern w:val="2"/>
          <w:lang w:val="es-CO" w:eastAsia="en-US"/>
          <w14:ligatures w14:val="standardContextual"/>
        </w:rPr>
        <w:t xml:space="preserve">Una vez el acto administrativo de la liquidación oficial de la contribución especial 2024 se encuentre debidamente ejecutoriado, la misma deberá ser pagada únicamente por el contribuyente dentro del mes siguiente, </w:t>
      </w:r>
      <w:bookmarkStart w:id="2" w:name="_Hlk152603052"/>
      <w:r w:rsidRPr="00190A6A">
        <w:rPr>
          <w:rFonts w:ascii="Bookman Old Style" w:eastAsia="Calibri" w:hAnsi="Bookman Old Style" w:cs="Arial"/>
          <w:kern w:val="2"/>
          <w:lang w:val="es-CO" w:eastAsia="en-US"/>
          <w14:ligatures w14:val="standardContextual"/>
        </w:rPr>
        <w:t xml:space="preserve">en la </w:t>
      </w:r>
      <w:r w:rsidRPr="00190A6A">
        <w:rPr>
          <w:rFonts w:ascii="Bookman Old Style" w:eastAsia="Calibri" w:hAnsi="Bookman Old Style" w:cs="Arial"/>
          <w:b/>
          <w:bCs/>
          <w:kern w:val="2"/>
          <w:lang w:val="es-CO" w:eastAsia="en-US"/>
          <w14:ligatures w14:val="standardContextual"/>
        </w:rPr>
        <w:t xml:space="preserve">cuenta corriente </w:t>
      </w:r>
      <w:proofErr w:type="spellStart"/>
      <w:r w:rsidRPr="00190A6A">
        <w:rPr>
          <w:rFonts w:ascii="Bookman Old Style" w:eastAsia="Calibri" w:hAnsi="Bookman Old Style" w:cs="Arial"/>
          <w:b/>
          <w:bCs/>
          <w:kern w:val="2"/>
          <w:lang w:val="es-CO" w:eastAsia="en-US"/>
          <w14:ligatures w14:val="standardContextual"/>
        </w:rPr>
        <w:t>N°</w:t>
      </w:r>
      <w:proofErr w:type="spellEnd"/>
      <w:r w:rsidRPr="00190A6A">
        <w:rPr>
          <w:rFonts w:ascii="Bookman Old Style" w:eastAsia="Calibri" w:hAnsi="Bookman Old Style" w:cs="Arial"/>
          <w:b/>
          <w:bCs/>
          <w:kern w:val="2"/>
          <w:lang w:val="es-CO" w:eastAsia="en-US"/>
          <w14:ligatures w14:val="standardContextual"/>
        </w:rPr>
        <w:t xml:space="preserve"> 285-863536</w:t>
      </w:r>
      <w:r w:rsidRPr="00190A6A">
        <w:rPr>
          <w:rFonts w:ascii="Bookman Old Style" w:eastAsia="Calibri" w:hAnsi="Bookman Old Style" w:cs="Arial"/>
          <w:kern w:val="2"/>
          <w:lang w:val="es-CO" w:eastAsia="en-US"/>
          <w14:ligatures w14:val="standardContextual"/>
        </w:rPr>
        <w:t xml:space="preserve"> del </w:t>
      </w:r>
      <w:r w:rsidRPr="00190A6A">
        <w:rPr>
          <w:rFonts w:ascii="Bookman Old Style" w:eastAsia="Calibri" w:hAnsi="Bookman Old Style" w:cs="Arial"/>
          <w:b/>
          <w:bCs/>
          <w:kern w:val="2"/>
          <w:lang w:val="es-CO" w:eastAsia="en-US"/>
          <w14:ligatures w14:val="standardContextual"/>
        </w:rPr>
        <w:t>Banco de Occidente</w:t>
      </w:r>
      <w:r w:rsidRPr="00190A6A">
        <w:rPr>
          <w:rFonts w:ascii="Bookman Old Style" w:eastAsia="Calibri" w:hAnsi="Bookman Old Style" w:cs="Arial"/>
          <w:kern w:val="2"/>
          <w:lang w:val="es-CO" w:eastAsia="en-US"/>
          <w14:ligatures w14:val="standardContextual"/>
        </w:rPr>
        <w:t xml:space="preserve">, mediante consignación directa o transferencia electrónica, a favor del titular de la cuenta: </w:t>
      </w:r>
      <w:r w:rsidRPr="00190A6A">
        <w:rPr>
          <w:rFonts w:ascii="Bookman Old Style" w:eastAsia="Calibri" w:hAnsi="Bookman Old Style" w:cs="Arial"/>
          <w:b/>
          <w:bCs/>
          <w:kern w:val="2"/>
          <w:lang w:val="es-CO" w:eastAsia="en-US"/>
          <w14:ligatures w14:val="standardContextual"/>
        </w:rPr>
        <w:t>COMISIÓN DE REGULACIÓN DE ENERGÍA Y GAS</w:t>
      </w:r>
      <w:r w:rsidRPr="00190A6A">
        <w:rPr>
          <w:rFonts w:ascii="Bookman Old Style" w:eastAsia="Calibri" w:hAnsi="Bookman Old Style" w:cs="Arial"/>
          <w:kern w:val="2"/>
          <w:lang w:val="es-CO" w:eastAsia="en-US"/>
          <w14:ligatures w14:val="standardContextual"/>
        </w:rPr>
        <w:t xml:space="preserve">, identificada con el </w:t>
      </w:r>
      <w:proofErr w:type="spellStart"/>
      <w:r w:rsidRPr="00190A6A">
        <w:rPr>
          <w:rFonts w:ascii="Bookman Old Style" w:eastAsia="Calibri" w:hAnsi="Bookman Old Style" w:cs="Arial"/>
          <w:b/>
          <w:bCs/>
          <w:kern w:val="2"/>
          <w:lang w:val="es-CO" w:eastAsia="en-US"/>
          <w14:ligatures w14:val="standardContextual"/>
        </w:rPr>
        <w:t>NIT</w:t>
      </w:r>
      <w:proofErr w:type="spellEnd"/>
      <w:r w:rsidRPr="00190A6A">
        <w:rPr>
          <w:rFonts w:ascii="Bookman Old Style" w:eastAsia="Calibri" w:hAnsi="Bookman Old Style" w:cs="Arial"/>
          <w:b/>
          <w:bCs/>
          <w:kern w:val="2"/>
          <w:lang w:val="es-CO" w:eastAsia="en-US"/>
          <w14:ligatures w14:val="standardContextual"/>
        </w:rPr>
        <w:t xml:space="preserve"> 900034993-1</w:t>
      </w:r>
      <w:r w:rsidRPr="00190A6A">
        <w:rPr>
          <w:rFonts w:ascii="Bookman Old Style" w:eastAsia="Calibri" w:hAnsi="Bookman Old Style" w:cs="Arial"/>
          <w:kern w:val="2"/>
          <w:lang w:val="es-CO" w:eastAsia="en-US"/>
          <w14:ligatures w14:val="standardContextual"/>
        </w:rPr>
        <w:t xml:space="preserve">. </w:t>
      </w:r>
      <w:bookmarkEnd w:id="2"/>
      <w:r w:rsidRPr="00190A6A">
        <w:rPr>
          <w:rFonts w:ascii="Bookman Old Style" w:eastAsia="Calibri" w:hAnsi="Bookman Old Style" w:cs="Arial"/>
          <w:kern w:val="2"/>
          <w:lang w:val="es-CO" w:eastAsia="en-US"/>
          <w14:ligatures w14:val="standardContextual"/>
        </w:rPr>
        <w:t xml:space="preserve">Los contribuyentes deberán informar a 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sidRPr="00190A6A" w:rsidDel="009469B3">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que se efectuó el pago correspondiente, remitiendo el soporte de pago, escaneado legible en formato PDF al correo: </w:t>
      </w:r>
      <w:hyperlink r:id="rId11" w:history="1">
        <w:r w:rsidRPr="00190A6A">
          <w:rPr>
            <w:rFonts w:ascii="Bookman Old Style" w:eastAsia="Calibri" w:hAnsi="Bookman Old Style" w:cs="Arial"/>
            <w:b/>
            <w:bCs/>
            <w:color w:val="0000FF"/>
            <w:kern w:val="2"/>
            <w:u w:val="single"/>
            <w:lang w:val="es-CO" w:eastAsia="en-US"/>
            <w14:ligatures w14:val="standardContextual"/>
          </w:rPr>
          <w:t>creg@creg.gov.co</w:t>
        </w:r>
      </w:hyperlink>
      <w:r w:rsidRPr="00190A6A">
        <w:rPr>
          <w:rFonts w:ascii="Bookman Old Style" w:eastAsia="Calibri" w:hAnsi="Bookman Old Style" w:cs="Arial"/>
          <w:b/>
          <w:bCs/>
          <w:kern w:val="2"/>
          <w:lang w:val="es-CO" w:eastAsia="en-US"/>
          <w14:ligatures w14:val="standardContextual"/>
        </w:rPr>
        <w:t xml:space="preserve"> </w:t>
      </w:r>
    </w:p>
    <w:p w14:paraId="212DF08E" w14:textId="5F29E268"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 xml:space="preserve">PARÁGRAFO 4. OMISOS Y MOROSOS. </w:t>
      </w:r>
      <w:r w:rsidRPr="00190A6A">
        <w:rPr>
          <w:rFonts w:ascii="Bookman Old Style" w:eastAsia="Calibri" w:hAnsi="Bookman Old Style" w:cs="Arial"/>
          <w:bCs/>
          <w:kern w:val="2"/>
          <w:lang w:val="es-CO" w:eastAsia="en-US"/>
          <w14:ligatures w14:val="standardContextual"/>
        </w:rPr>
        <w:t xml:space="preserve">Las empresas y entidades sujetas a la regulación de 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sidRPr="00190A6A" w:rsidDel="009469B3">
        <w:rPr>
          <w:rFonts w:ascii="Bookman Old Style" w:eastAsia="Calibri" w:hAnsi="Bookman Old Style" w:cs="Arial"/>
          <w:bCs/>
          <w:kern w:val="2"/>
          <w:lang w:val="es-CO" w:eastAsia="en-US"/>
          <w14:ligatures w14:val="standardContextual"/>
        </w:rPr>
        <w:t xml:space="preserve"> </w:t>
      </w:r>
      <w:r w:rsidRPr="00190A6A">
        <w:rPr>
          <w:rFonts w:ascii="Bookman Old Style" w:eastAsia="Calibri" w:hAnsi="Bookman Old Style" w:cs="Arial"/>
          <w:bCs/>
          <w:kern w:val="2"/>
          <w:lang w:val="es-CO" w:eastAsia="en-US"/>
          <w14:ligatures w14:val="standardContextual"/>
        </w:rPr>
        <w:t>durante la vigencia 2024</w:t>
      </w:r>
      <w:r w:rsidR="00843A25">
        <w:rPr>
          <w:rFonts w:ascii="Bookman Old Style" w:eastAsia="Calibri" w:hAnsi="Bookman Old Style" w:cs="Arial"/>
          <w:bCs/>
          <w:kern w:val="2"/>
          <w:lang w:val="es-CO" w:eastAsia="en-US"/>
          <w14:ligatures w14:val="standardContextual"/>
        </w:rPr>
        <w:t>,</w:t>
      </w:r>
      <w:r w:rsidRPr="00190A6A">
        <w:rPr>
          <w:rFonts w:ascii="Bookman Old Style" w:eastAsia="Calibri" w:hAnsi="Bookman Old Style" w:cs="Arial"/>
          <w:bCs/>
          <w:kern w:val="2"/>
          <w:lang w:val="es-CO" w:eastAsia="en-US"/>
          <w14:ligatures w14:val="standardContextual"/>
        </w:rPr>
        <w:t xml:space="preserve"> que no han reportado la información financiera de la vigencia 2023 y que forman parte de la base para la liquidación de la contribución especial 2024 o que no se han inscrito en el </w:t>
      </w:r>
      <w:r w:rsidR="00843A25">
        <w:rPr>
          <w:rFonts w:ascii="Bookman Old Style" w:eastAsia="Calibri" w:hAnsi="Bookman Old Style" w:cs="Arial"/>
          <w:bCs/>
          <w:kern w:val="2"/>
          <w:lang w:val="es-CO" w:eastAsia="en-US"/>
          <w14:ligatures w14:val="standardContextual"/>
        </w:rPr>
        <w:t>R</w:t>
      </w:r>
      <w:r w:rsidRPr="00190A6A">
        <w:rPr>
          <w:rFonts w:ascii="Bookman Old Style" w:eastAsia="Calibri" w:hAnsi="Bookman Old Style" w:cs="Arial"/>
          <w:bCs/>
          <w:kern w:val="2"/>
          <w:lang w:val="es-CO" w:eastAsia="en-US"/>
          <w14:ligatures w14:val="standardContextual"/>
        </w:rPr>
        <w:t xml:space="preserve">egistro </w:t>
      </w:r>
      <w:r w:rsidR="00843A25">
        <w:rPr>
          <w:rFonts w:ascii="Bookman Old Style" w:eastAsia="Calibri" w:hAnsi="Bookman Old Style" w:cs="Arial"/>
          <w:bCs/>
          <w:kern w:val="2"/>
          <w:lang w:val="es-CO" w:eastAsia="en-US"/>
          <w14:ligatures w14:val="standardContextual"/>
        </w:rPr>
        <w:t>Ú</w:t>
      </w:r>
      <w:r w:rsidRPr="00190A6A">
        <w:rPr>
          <w:rFonts w:ascii="Bookman Old Style" w:eastAsia="Calibri" w:hAnsi="Bookman Old Style" w:cs="Arial"/>
          <w:bCs/>
          <w:kern w:val="2"/>
          <w:lang w:val="es-CO" w:eastAsia="en-US"/>
          <w14:ligatures w14:val="standardContextual"/>
        </w:rPr>
        <w:t xml:space="preserve">nico de </w:t>
      </w:r>
      <w:r w:rsidR="00843A25">
        <w:rPr>
          <w:rFonts w:ascii="Bookman Old Style" w:eastAsia="Calibri" w:hAnsi="Bookman Old Style" w:cs="Arial"/>
          <w:bCs/>
          <w:kern w:val="2"/>
          <w:lang w:val="es-CO" w:eastAsia="en-US"/>
          <w14:ligatures w14:val="standardContextual"/>
        </w:rPr>
        <w:t>P</w:t>
      </w:r>
      <w:r w:rsidRPr="00190A6A">
        <w:rPr>
          <w:rFonts w:ascii="Bookman Old Style" w:eastAsia="Calibri" w:hAnsi="Bookman Old Style" w:cs="Arial"/>
          <w:bCs/>
          <w:kern w:val="2"/>
          <w:lang w:val="es-CO" w:eastAsia="en-US"/>
          <w14:ligatures w14:val="standardContextual"/>
        </w:rPr>
        <w:t xml:space="preserve">restadores </w:t>
      </w:r>
      <w:r w:rsidR="00843A25">
        <w:rPr>
          <w:rFonts w:ascii="Bookman Old Style" w:eastAsia="Calibri" w:hAnsi="Bookman Old Style" w:cs="Arial"/>
          <w:bCs/>
          <w:kern w:val="2"/>
          <w:lang w:val="es-CO" w:eastAsia="en-US"/>
          <w14:ligatures w14:val="standardContextual"/>
        </w:rPr>
        <w:t xml:space="preserve">de Servicios Públicos </w:t>
      </w:r>
      <w:r w:rsidRPr="00190A6A">
        <w:rPr>
          <w:rFonts w:ascii="Bookman Old Style" w:eastAsia="Calibri" w:hAnsi="Bookman Old Style" w:cs="Arial"/>
          <w:bCs/>
          <w:kern w:val="2"/>
          <w:lang w:val="es-CO" w:eastAsia="en-US"/>
          <w14:ligatures w14:val="standardContextual"/>
        </w:rPr>
        <w:t>(</w:t>
      </w:r>
      <w:proofErr w:type="spellStart"/>
      <w:r w:rsidRPr="00190A6A">
        <w:rPr>
          <w:rFonts w:ascii="Bookman Old Style" w:eastAsia="Calibri" w:hAnsi="Bookman Old Style" w:cs="Arial"/>
          <w:bCs/>
          <w:kern w:val="2"/>
          <w:lang w:val="es-CO" w:eastAsia="en-US"/>
          <w14:ligatures w14:val="standardContextual"/>
        </w:rPr>
        <w:t>RUPS</w:t>
      </w:r>
      <w:proofErr w:type="spellEnd"/>
      <w:r w:rsidRPr="00190A6A">
        <w:rPr>
          <w:rFonts w:ascii="Bookman Old Style" w:eastAsia="Calibri" w:hAnsi="Bookman Old Style" w:cs="Arial"/>
          <w:bCs/>
          <w:kern w:val="2"/>
          <w:lang w:val="es-CO" w:eastAsia="en-US"/>
          <w14:ligatures w14:val="standardContextual"/>
        </w:rPr>
        <w:t>), serán tratadas como omisas, requeridas en fiscalización y se les liquidará la contribución especial con base en la información de los últimos estados financieros presentados. Los gastos reportados serán indexados al 31 de diciembre de 2023, teniendo en cuenta la variación porcentual del IPC certificado por el DANE para los años objeto de indexación.</w:t>
      </w:r>
    </w:p>
    <w:p w14:paraId="0CC7AA00" w14:textId="77777777"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Las liquidaciones que no se paguen de conformidad a los términos señalados en el presente acto administrativo se constituirán en mora.</w:t>
      </w:r>
    </w:p>
    <w:p w14:paraId="18CE1869" w14:textId="64DFAC16"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ARTÍCULO 3. RELIQUIDACIÓN.</w:t>
      </w:r>
      <w:r w:rsidRPr="00190A6A">
        <w:rPr>
          <w:rFonts w:ascii="Bookman Old Style" w:eastAsia="Calibri" w:hAnsi="Bookman Old Style" w:cs="Arial"/>
          <w:bCs/>
          <w:kern w:val="2"/>
          <w:lang w:val="es-CO" w:eastAsia="en-US"/>
          <w14:ligatures w14:val="standardContextual"/>
        </w:rPr>
        <w:t xml:space="preserve"> Si después de liquidada la contribución especial, la S</w:t>
      </w:r>
      <w:r w:rsidR="00BB500C">
        <w:rPr>
          <w:rFonts w:ascii="Bookman Old Style" w:eastAsia="Calibri" w:hAnsi="Bookman Old Style" w:cs="Arial"/>
          <w:bCs/>
          <w:kern w:val="2"/>
          <w:lang w:val="es-CO" w:eastAsia="en-US"/>
          <w14:ligatures w14:val="standardContextual"/>
        </w:rPr>
        <w:t xml:space="preserve">uperintendencia de </w:t>
      </w:r>
      <w:r w:rsidRPr="00190A6A">
        <w:rPr>
          <w:rFonts w:ascii="Bookman Old Style" w:eastAsia="Calibri" w:hAnsi="Bookman Old Style" w:cs="Arial"/>
          <w:bCs/>
          <w:kern w:val="2"/>
          <w:lang w:val="es-CO" w:eastAsia="en-US"/>
          <w14:ligatures w14:val="standardContextual"/>
        </w:rPr>
        <w:t>S</w:t>
      </w:r>
      <w:r w:rsidR="00BB500C">
        <w:rPr>
          <w:rFonts w:ascii="Bookman Old Style" w:eastAsia="Calibri" w:hAnsi="Bookman Old Style" w:cs="Arial"/>
          <w:bCs/>
          <w:kern w:val="2"/>
          <w:lang w:val="es-CO" w:eastAsia="en-US"/>
          <w14:ligatures w14:val="standardContextual"/>
        </w:rPr>
        <w:t xml:space="preserve">ervicios </w:t>
      </w:r>
      <w:r w:rsidR="00BB500C" w:rsidRPr="00190A6A">
        <w:rPr>
          <w:rFonts w:ascii="Bookman Old Style" w:eastAsia="Calibri" w:hAnsi="Bookman Old Style" w:cs="Arial"/>
          <w:bCs/>
          <w:kern w:val="2"/>
          <w:lang w:val="es-CO" w:eastAsia="en-US"/>
          <w14:ligatures w14:val="standardContextual"/>
        </w:rPr>
        <w:t>P</w:t>
      </w:r>
      <w:r w:rsidR="00BB500C">
        <w:rPr>
          <w:rFonts w:ascii="Bookman Old Style" w:eastAsia="Calibri" w:hAnsi="Bookman Old Style" w:cs="Arial"/>
          <w:bCs/>
          <w:kern w:val="2"/>
          <w:lang w:val="es-CO" w:eastAsia="en-US"/>
          <w14:ligatures w14:val="standardContextual"/>
        </w:rPr>
        <w:t xml:space="preserve">úblicos </w:t>
      </w:r>
      <w:r w:rsidRPr="00190A6A">
        <w:rPr>
          <w:rFonts w:ascii="Bookman Old Style" w:eastAsia="Calibri" w:hAnsi="Bookman Old Style" w:cs="Arial"/>
          <w:bCs/>
          <w:kern w:val="2"/>
          <w:lang w:val="es-CO" w:eastAsia="en-US"/>
          <w14:ligatures w14:val="standardContextual"/>
        </w:rPr>
        <w:t>D</w:t>
      </w:r>
      <w:r w:rsidR="00BB500C">
        <w:rPr>
          <w:rFonts w:ascii="Bookman Old Style" w:eastAsia="Calibri" w:hAnsi="Bookman Old Style" w:cs="Arial"/>
          <w:bCs/>
          <w:kern w:val="2"/>
          <w:lang w:val="es-CO" w:eastAsia="en-US"/>
          <w14:ligatures w14:val="standardContextual"/>
        </w:rPr>
        <w:t>omiciliarios</w:t>
      </w:r>
      <w:r w:rsidRPr="00190A6A">
        <w:rPr>
          <w:rFonts w:ascii="Bookman Old Style" w:eastAsia="Calibri" w:hAnsi="Bookman Old Style" w:cs="Arial"/>
          <w:bCs/>
          <w:kern w:val="2"/>
          <w:lang w:val="es-CO" w:eastAsia="en-US"/>
          <w14:ligatures w14:val="standardContextual"/>
        </w:rPr>
        <w:t xml:space="preserve"> autoriza o requiere cambios en la información financiera reportada y certificada por los prestadores, que genere variaciones a la base gravable de la liquidación </w:t>
      </w:r>
      <w:proofErr w:type="gramStart"/>
      <w:r w:rsidRPr="00190A6A">
        <w:rPr>
          <w:rFonts w:ascii="Bookman Old Style" w:eastAsia="Calibri" w:hAnsi="Bookman Old Style" w:cs="Arial"/>
          <w:bCs/>
          <w:kern w:val="2"/>
          <w:lang w:val="es-CO" w:eastAsia="en-US"/>
          <w14:ligatures w14:val="standardContextual"/>
        </w:rPr>
        <w:t>y</w:t>
      </w:r>
      <w:proofErr w:type="gramEnd"/>
      <w:r w:rsidRPr="00190A6A">
        <w:rPr>
          <w:rFonts w:ascii="Bookman Old Style" w:eastAsia="Calibri" w:hAnsi="Bookman Old Style" w:cs="Arial"/>
          <w:bCs/>
          <w:kern w:val="2"/>
          <w:lang w:val="es-CO" w:eastAsia="en-US"/>
          <w14:ligatures w14:val="standardContextual"/>
        </w:rPr>
        <w:t xml:space="preserve"> por ende, al valor del mencionado tributo, 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sidRPr="00190A6A" w:rsidDel="009469B3">
        <w:rPr>
          <w:rFonts w:ascii="Bookman Old Style" w:eastAsia="Calibri" w:hAnsi="Bookman Old Style" w:cs="Arial"/>
          <w:bCs/>
          <w:kern w:val="2"/>
          <w:lang w:val="es-CO" w:eastAsia="en-US"/>
          <w14:ligatures w14:val="standardContextual"/>
        </w:rPr>
        <w:t xml:space="preserve"> </w:t>
      </w:r>
      <w:r w:rsidRPr="00190A6A">
        <w:rPr>
          <w:rFonts w:ascii="Bookman Old Style" w:eastAsia="Calibri" w:hAnsi="Bookman Old Style" w:cs="Arial"/>
          <w:bCs/>
          <w:kern w:val="2"/>
          <w:lang w:val="es-CO" w:eastAsia="en-US"/>
          <w14:ligatures w14:val="standardContextual"/>
        </w:rPr>
        <w:t>realizará la correspondiente reliquidación, conforme a lo establecido en la Ley 1437 de 2011.</w:t>
      </w:r>
    </w:p>
    <w:p w14:paraId="358B217A" w14:textId="77777777"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p>
    <w:p w14:paraId="35901B0A" w14:textId="77777777"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t>PARÁGRAFO 1.</w:t>
      </w:r>
      <w:r w:rsidRPr="00190A6A">
        <w:rPr>
          <w:rFonts w:ascii="Bookman Old Style" w:eastAsia="Calibri" w:hAnsi="Bookman Old Style" w:cs="Arial"/>
          <w:bCs/>
          <w:kern w:val="2"/>
          <w:lang w:val="es-CO" w:eastAsia="en-US"/>
          <w14:ligatures w14:val="standardContextual"/>
        </w:rPr>
        <w:t xml:space="preserve"> La reliquidación de que trata el presente articulo no procederá, cuando el prestador no haya interpuesto los recursos procedentes contra la liquidación, ni cuando haya operado la caducidad para su control judicial.</w:t>
      </w:r>
    </w:p>
    <w:p w14:paraId="26748915" w14:textId="73D9AEF1"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kern w:val="2"/>
          <w:lang w:val="es-CO" w:eastAsia="en-US"/>
          <w14:ligatures w14:val="standardContextual"/>
        </w:rPr>
        <w:lastRenderedPageBreak/>
        <w:t xml:space="preserve">ARTÍCULO 4. NOTIFICACIÓN Y RECURSOS. </w:t>
      </w:r>
      <w:r w:rsidRPr="00190A6A">
        <w:rPr>
          <w:rFonts w:ascii="Bookman Old Style" w:eastAsia="Calibri" w:hAnsi="Bookman Old Style" w:cs="Arial"/>
          <w:bCs/>
          <w:kern w:val="2"/>
          <w:lang w:val="es-CO" w:eastAsia="en-US"/>
          <w14:ligatures w14:val="standardContextual"/>
        </w:rPr>
        <w:t xml:space="preserve">La liquidación de la contribución especial se notificará de acuerdo con lo establecido por las normas legales vigentes y contra esta procederá el recurso de reposición ante el </w:t>
      </w:r>
      <w:r w:rsidR="00095CEE" w:rsidRPr="00190A6A">
        <w:rPr>
          <w:rFonts w:ascii="Bookman Old Style" w:eastAsia="Calibri" w:hAnsi="Bookman Old Style" w:cs="Arial"/>
          <w:bCs/>
          <w:kern w:val="2"/>
          <w:lang w:val="es-CO" w:eastAsia="en-US"/>
          <w14:ligatures w14:val="standardContextual"/>
        </w:rPr>
        <w:t>director ejecutivo</w:t>
      </w:r>
      <w:r w:rsidRPr="00190A6A">
        <w:rPr>
          <w:rFonts w:ascii="Bookman Old Style" w:eastAsia="Calibri" w:hAnsi="Bookman Old Style" w:cs="Arial"/>
          <w:bCs/>
          <w:kern w:val="2"/>
          <w:lang w:val="es-CO" w:eastAsia="en-US"/>
          <w14:ligatures w14:val="standardContextual"/>
        </w:rPr>
        <w:t xml:space="preserve"> de la </w:t>
      </w:r>
      <w:r w:rsidR="009469B3" w:rsidRPr="00190A6A">
        <w:rPr>
          <w:rFonts w:ascii="Bookman Old Style" w:eastAsia="Calibri" w:hAnsi="Bookman Old Style" w:cs="Arial"/>
          <w:kern w:val="2"/>
          <w:lang w:val="es-CO" w:eastAsia="en-US"/>
          <w14:ligatures w14:val="standardContextual"/>
        </w:rPr>
        <w:t>Comisión de Regulación de Energía y Gas</w:t>
      </w:r>
      <w:r w:rsidRPr="00190A6A">
        <w:rPr>
          <w:rFonts w:ascii="Bookman Old Style" w:eastAsia="Calibri" w:hAnsi="Bookman Old Style" w:cs="Arial"/>
          <w:bCs/>
          <w:kern w:val="2"/>
          <w:lang w:val="es-CO" w:eastAsia="en-US"/>
          <w14:ligatures w14:val="standardContextual"/>
        </w:rPr>
        <w:t xml:space="preserve">, dentro de los cinco </w:t>
      </w:r>
      <w:r w:rsidR="009469B3">
        <w:rPr>
          <w:rFonts w:ascii="Bookman Old Style" w:eastAsia="Calibri" w:hAnsi="Bookman Old Style" w:cs="Arial"/>
          <w:bCs/>
          <w:kern w:val="2"/>
          <w:lang w:val="es-CO" w:eastAsia="en-US"/>
          <w14:ligatures w14:val="standardContextual"/>
        </w:rPr>
        <w:t>(</w:t>
      </w:r>
      <w:r w:rsidRPr="00190A6A">
        <w:rPr>
          <w:rFonts w:ascii="Bookman Old Style" w:eastAsia="Calibri" w:hAnsi="Bookman Old Style" w:cs="Arial"/>
          <w:bCs/>
          <w:kern w:val="2"/>
          <w:lang w:val="es-CO" w:eastAsia="en-US"/>
          <w14:ligatures w14:val="standardContextual"/>
        </w:rPr>
        <w:t>5</w:t>
      </w:r>
      <w:r w:rsidR="009469B3">
        <w:rPr>
          <w:rFonts w:ascii="Bookman Old Style" w:eastAsia="Calibri" w:hAnsi="Bookman Old Style" w:cs="Arial"/>
          <w:bCs/>
          <w:kern w:val="2"/>
          <w:lang w:val="es-CO" w:eastAsia="en-US"/>
          <w14:ligatures w14:val="standardContextual"/>
        </w:rPr>
        <w:t>)</w:t>
      </w:r>
      <w:r w:rsidRPr="00190A6A">
        <w:rPr>
          <w:rFonts w:ascii="Bookman Old Style" w:eastAsia="Calibri" w:hAnsi="Bookman Old Style" w:cs="Arial"/>
          <w:bCs/>
          <w:kern w:val="2"/>
          <w:lang w:val="es-CO" w:eastAsia="en-US"/>
          <w14:ligatures w14:val="standardContextual"/>
        </w:rPr>
        <w:t xml:space="preserve"> días hábiles y condiciones establecidas en el Código de Procedimiento Administrativo y de lo Contencioso Administrativo.</w:t>
      </w:r>
    </w:p>
    <w:p w14:paraId="3C9EB89E" w14:textId="77777777" w:rsidR="00190A6A" w:rsidRPr="00190A6A" w:rsidRDefault="00190A6A" w:rsidP="00190A6A">
      <w:pPr>
        <w:spacing w:after="160" w:line="256" w:lineRule="auto"/>
        <w:ind w:left="0"/>
        <w:jc w:val="both"/>
        <w:rPr>
          <w:rFonts w:ascii="Bookman Old Style" w:eastAsia="Calibri" w:hAnsi="Bookman Old Style" w:cs="Arial"/>
          <w:bCs/>
          <w:kern w:val="2"/>
          <w:lang w:val="es-CO" w:eastAsia="en-US"/>
          <w14:ligatures w14:val="standardContextual"/>
        </w:rPr>
      </w:pPr>
      <w:r w:rsidRPr="00190A6A">
        <w:rPr>
          <w:rFonts w:ascii="Bookman Old Style" w:eastAsia="Calibri" w:hAnsi="Bookman Old Style" w:cs="Arial"/>
          <w:b/>
          <w:bCs/>
          <w:kern w:val="2"/>
          <w:lang w:val="es-CO" w:eastAsia="en-US"/>
          <w14:ligatures w14:val="standardContextual"/>
        </w:rPr>
        <w:t>PARÁGRAFO 1. FIRMEZA Y EJECUTORIA</w:t>
      </w:r>
      <w:r w:rsidRPr="00190A6A">
        <w:rPr>
          <w:rFonts w:ascii="Bookman Old Style" w:eastAsia="Calibri" w:hAnsi="Bookman Old Style" w:cs="Arial"/>
          <w:kern w:val="2"/>
          <w:lang w:val="es-CO" w:eastAsia="en-US"/>
          <w14:ligatures w14:val="standardContextual"/>
        </w:rPr>
        <w:t>. La liquidación de la contribución especial quedará en firme de acuerdo con lo establecido en el artículo 87 del Código de Procedimiento Administrativo y de lo Contencioso Administrativo, y prestará mérito ejecutivo de conformidad con lo dispuesto en el artículo 99 del mismo compendio normativo.</w:t>
      </w:r>
    </w:p>
    <w:p w14:paraId="71A7BB28" w14:textId="1BF4965B"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bookmarkStart w:id="3" w:name="_Hlk152060662"/>
      <w:r w:rsidRPr="00190A6A">
        <w:rPr>
          <w:rFonts w:ascii="Bookman Old Style" w:eastAsia="Calibri" w:hAnsi="Bookman Old Style" w:cs="Arial"/>
          <w:b/>
          <w:bCs/>
          <w:kern w:val="2"/>
          <w:lang w:val="es-CO" w:eastAsia="en-US"/>
          <w14:ligatures w14:val="standardContextual"/>
        </w:rPr>
        <w:t xml:space="preserve">ARTÍCULO 5. REPORTE AL </w:t>
      </w:r>
      <w:proofErr w:type="spellStart"/>
      <w:r w:rsidRPr="00190A6A">
        <w:rPr>
          <w:rFonts w:ascii="Bookman Old Style" w:eastAsia="Calibri" w:hAnsi="Bookman Old Style" w:cs="Arial"/>
          <w:b/>
          <w:bCs/>
          <w:kern w:val="2"/>
          <w:lang w:val="es-CO" w:eastAsia="en-US"/>
          <w14:ligatures w14:val="standardContextual"/>
        </w:rPr>
        <w:t>BDME</w:t>
      </w:r>
      <w:proofErr w:type="spellEnd"/>
      <w:r w:rsidRPr="00190A6A">
        <w:rPr>
          <w:rFonts w:ascii="Bookman Old Style" w:eastAsia="Calibri" w:hAnsi="Bookman Old Style" w:cs="Arial"/>
          <w:kern w:val="2"/>
          <w:lang w:val="es-CO" w:eastAsia="en-US"/>
          <w14:ligatures w14:val="standardContextual"/>
        </w:rPr>
        <w:t xml:space="preserve">. </w:t>
      </w:r>
      <w:bookmarkEnd w:id="3"/>
      <w:r w:rsidRPr="00190A6A">
        <w:rPr>
          <w:rFonts w:ascii="Bookman Old Style" w:eastAsia="Calibri" w:hAnsi="Bookman Old Style" w:cs="Arial"/>
          <w:kern w:val="2"/>
          <w:lang w:val="es-CO" w:eastAsia="en-US"/>
          <w14:ligatures w14:val="standardContextual"/>
        </w:rPr>
        <w:t xml:space="preserve">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sidRPr="00190A6A" w:rsidDel="009469B3">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reportará en el Boletín de Deudores Morosos del Estado </w:t>
      </w:r>
      <w:r w:rsidR="00843A25">
        <w:rPr>
          <w:rFonts w:ascii="Bookman Old Style" w:eastAsia="Calibri" w:hAnsi="Bookman Old Style" w:cs="Arial"/>
          <w:kern w:val="2"/>
          <w:lang w:val="es-CO" w:eastAsia="en-US"/>
          <w14:ligatures w14:val="standardContextual"/>
        </w:rPr>
        <w:t>(</w:t>
      </w:r>
      <w:proofErr w:type="spellStart"/>
      <w:r w:rsidRPr="00190A6A">
        <w:rPr>
          <w:rFonts w:ascii="Bookman Old Style" w:eastAsia="Calibri" w:hAnsi="Bookman Old Style" w:cs="Arial"/>
          <w:kern w:val="2"/>
          <w:lang w:val="es-CO" w:eastAsia="en-US"/>
          <w14:ligatures w14:val="standardContextual"/>
        </w:rPr>
        <w:t>BDME</w:t>
      </w:r>
      <w:proofErr w:type="spellEnd"/>
      <w:r w:rsidR="00843A25">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de la Contaduría General de la Nación</w:t>
      </w:r>
      <w:r w:rsidR="009469B3">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w:t>
      </w:r>
      <w:proofErr w:type="spellStart"/>
      <w:r w:rsidRPr="00190A6A">
        <w:rPr>
          <w:rFonts w:ascii="Bookman Old Style" w:eastAsia="Calibri" w:hAnsi="Bookman Old Style" w:cs="Arial"/>
          <w:kern w:val="2"/>
          <w:lang w:val="es-CO" w:eastAsia="en-US"/>
          <w14:ligatures w14:val="standardContextual"/>
        </w:rPr>
        <w:t>CGN</w:t>
      </w:r>
      <w:proofErr w:type="spellEnd"/>
      <w:r w:rsidRPr="00190A6A">
        <w:rPr>
          <w:rFonts w:ascii="Bookman Old Style" w:eastAsia="Calibri" w:hAnsi="Bookman Old Style" w:cs="Arial"/>
          <w:kern w:val="2"/>
          <w:lang w:val="es-CO" w:eastAsia="en-US"/>
          <w14:ligatures w14:val="standardContextual"/>
        </w:rPr>
        <w:t xml:space="preserve">, las personas naturales y jurídicas que, a cualquier título, a una fecha de corte, tienen contraída una obligación en mora a favor de la Comisión de Regulación de Energía y Gas, según lo dispuesto y en las condiciones establecidas en el parágrafo 3º del artículo 2º de la Ley 901 de 2004, y del numeral 5º del artículo 2º de la Ley 1066 de 2006; a través del sistema CHIP de la </w:t>
      </w:r>
      <w:proofErr w:type="spellStart"/>
      <w:r w:rsidRPr="00190A6A">
        <w:rPr>
          <w:rFonts w:ascii="Bookman Old Style" w:eastAsia="Calibri" w:hAnsi="Bookman Old Style" w:cs="Arial"/>
          <w:kern w:val="2"/>
          <w:lang w:val="es-CO" w:eastAsia="en-US"/>
          <w14:ligatures w14:val="standardContextual"/>
        </w:rPr>
        <w:t>CGN</w:t>
      </w:r>
      <w:proofErr w:type="spellEnd"/>
      <w:r w:rsidRPr="00190A6A">
        <w:rPr>
          <w:rFonts w:ascii="Bookman Old Style" w:eastAsia="Calibri" w:hAnsi="Bookman Old Style" w:cs="Arial"/>
          <w:kern w:val="2"/>
          <w:lang w:val="es-CO" w:eastAsia="en-US"/>
          <w14:ligatures w14:val="standardContextual"/>
        </w:rPr>
        <w:t>, en los diez (10) primeros días de los meses de junio y de diciembre, con fecha de corte de obligación adeudada a 31 de mayo y 30 de noviembre respectivamente.</w:t>
      </w:r>
    </w:p>
    <w:p w14:paraId="59111C37" w14:textId="2C3DC4A0"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b/>
          <w:bCs/>
          <w:kern w:val="2"/>
          <w:lang w:val="es-CO" w:eastAsia="en-US"/>
          <w14:ligatures w14:val="standardContextual"/>
        </w:rPr>
        <w:t xml:space="preserve">ARTÍCULO 6. PLAZO DE PAGO OPORTUNO E INTERESES POR MORA. </w:t>
      </w:r>
      <w:r w:rsidRPr="00190A6A">
        <w:rPr>
          <w:rFonts w:ascii="Bookman Old Style" w:eastAsia="Calibri" w:hAnsi="Bookman Old Style" w:cs="Arial"/>
          <w:kern w:val="2"/>
          <w:lang w:val="es-CO" w:eastAsia="en-US"/>
          <w14:ligatures w14:val="standardContextual"/>
        </w:rPr>
        <w:t>El valor de la contribución especial deberá ser pagado dentro del mes siguiente a la fecha en que quede en firme la liquidación.</w:t>
      </w:r>
      <w:r w:rsidRPr="00190A6A">
        <w:rPr>
          <w:rFonts w:ascii="Bookman Old Style" w:eastAsia="Calibri" w:hAnsi="Bookman Old Style" w:cs="Arial"/>
          <w:b/>
          <w:bCs/>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 </w:t>
      </w:r>
    </w:p>
    <w:p w14:paraId="0A09A20E" w14:textId="4BCE427C"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kern w:val="2"/>
          <w:lang w:val="es-CO" w:eastAsia="en-US"/>
          <w14:ligatures w14:val="standardContextual"/>
        </w:rPr>
        <w:t xml:space="preserve">El no pago oportuno de la contribución a cargo, generará intereses moratorios por cada día de mora o retardo según la tasa de interés que se fije para cada mes. En esta instancia, se iniciará la etapa de cobro coactivo, donde la </w:t>
      </w:r>
      <w:r w:rsidR="009469B3" w:rsidRPr="00190A6A">
        <w:rPr>
          <w:rFonts w:ascii="Bookman Old Style" w:eastAsia="Calibri" w:hAnsi="Bookman Old Style" w:cs="Arial"/>
          <w:kern w:val="2"/>
          <w:lang w:val="es-CO" w:eastAsia="en-US"/>
          <w14:ligatures w14:val="standardContextual"/>
        </w:rPr>
        <w:t>Comisión de Regulación de Energía y Gas</w:t>
      </w:r>
      <w:r w:rsidR="009469B3" w:rsidRPr="00190A6A" w:rsidDel="009469B3">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en desarrollo de las facultades exorbitantes que le asisten</w:t>
      </w:r>
      <w:r w:rsidR="009469B3">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buscará lograr la satisfacción de las obligaciones a su favor de manera persuasiva y/o coercitiva, de conformidad a su regulación normativa</w:t>
      </w:r>
      <w:r w:rsidR="009469B3">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el Decreto 1066 de 2006, el Decreto 4473 de 2006, </w:t>
      </w:r>
      <w:r w:rsidR="009469B3">
        <w:rPr>
          <w:rFonts w:ascii="Bookman Old Style" w:eastAsia="Calibri" w:hAnsi="Bookman Old Style" w:cs="Arial"/>
          <w:kern w:val="2"/>
          <w:lang w:val="es-CO" w:eastAsia="en-US"/>
          <w14:ligatures w14:val="standardContextual"/>
        </w:rPr>
        <w:t xml:space="preserve">y </w:t>
      </w:r>
      <w:r w:rsidRPr="00190A6A">
        <w:rPr>
          <w:rFonts w:ascii="Bookman Old Style" w:eastAsia="Calibri" w:hAnsi="Bookman Old Style" w:cs="Arial"/>
          <w:kern w:val="2"/>
          <w:lang w:val="es-CO" w:eastAsia="en-US"/>
          <w14:ligatures w14:val="standardContextual"/>
        </w:rPr>
        <w:t>utilizando para ello el procedimiento descrito en el Estatuto Tributario Nacional, así como las remisiones normativas que en él se establezcan.</w:t>
      </w:r>
    </w:p>
    <w:p w14:paraId="7FC38AA9" w14:textId="385C2228"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r w:rsidRPr="00190A6A">
        <w:rPr>
          <w:rFonts w:ascii="Bookman Old Style" w:eastAsia="Calibri" w:hAnsi="Bookman Old Style" w:cs="Arial"/>
          <w:b/>
          <w:bCs/>
          <w:kern w:val="2"/>
          <w:lang w:val="es-CO" w:eastAsia="en-US"/>
          <w14:ligatures w14:val="standardContextual"/>
        </w:rPr>
        <w:t>ARTÍCULO 7. DEL RÉGIMEN SANCIONATORIO.</w:t>
      </w:r>
      <w:r w:rsidRPr="00190A6A">
        <w:rPr>
          <w:rFonts w:ascii="Bookman Old Style" w:eastAsia="Calibri" w:hAnsi="Bookman Old Style" w:cs="Arial"/>
          <w:kern w:val="2"/>
          <w:lang w:val="es-CO" w:eastAsia="en-US"/>
          <w14:ligatures w14:val="standardContextual"/>
        </w:rPr>
        <w:t xml:space="preserve"> Cualquier inconsistencia originada por irregularidades o incumplimientos en el reporte y certificación </w:t>
      </w:r>
      <w:r w:rsidR="009469B3">
        <w:rPr>
          <w:rFonts w:ascii="Bookman Old Style" w:eastAsia="Calibri" w:hAnsi="Bookman Old Style" w:cs="Arial"/>
          <w:kern w:val="2"/>
          <w:lang w:val="es-CO" w:eastAsia="en-US"/>
          <w14:ligatures w14:val="standardContextual"/>
        </w:rPr>
        <w:t xml:space="preserve">de información, </w:t>
      </w:r>
      <w:r w:rsidRPr="00190A6A">
        <w:rPr>
          <w:rFonts w:ascii="Bookman Old Style" w:eastAsia="Calibri" w:hAnsi="Bookman Old Style" w:cs="Arial"/>
          <w:kern w:val="2"/>
          <w:lang w:val="es-CO" w:eastAsia="en-US"/>
          <w14:ligatures w14:val="standardContextual"/>
        </w:rPr>
        <w:t>por</w:t>
      </w:r>
      <w:r w:rsidR="009469B3">
        <w:rPr>
          <w:rFonts w:ascii="Bookman Old Style" w:eastAsia="Calibri" w:hAnsi="Bookman Old Style" w:cs="Arial"/>
          <w:kern w:val="2"/>
          <w:lang w:val="es-CO" w:eastAsia="en-US"/>
          <w14:ligatures w14:val="standardContextual"/>
        </w:rPr>
        <w:t xml:space="preserve"> parte de</w:t>
      </w:r>
      <w:r w:rsidRPr="00190A6A">
        <w:rPr>
          <w:rFonts w:ascii="Bookman Old Style" w:eastAsia="Calibri" w:hAnsi="Bookman Old Style" w:cs="Arial"/>
          <w:kern w:val="2"/>
          <w:lang w:val="es-CO" w:eastAsia="en-US"/>
          <w14:ligatures w14:val="standardContextual"/>
        </w:rPr>
        <w:t xml:space="preserve"> los prestadores de servicios públicos domiciliarios en el SUI</w:t>
      </w:r>
      <w:r w:rsidR="009469B3">
        <w:rPr>
          <w:rFonts w:ascii="Bookman Old Style" w:eastAsia="Calibri" w:hAnsi="Bookman Old Style" w:cs="Arial"/>
          <w:kern w:val="2"/>
          <w:lang w:val="es-CO" w:eastAsia="en-US"/>
          <w14:ligatures w14:val="standardContextual"/>
        </w:rPr>
        <w:t>,</w:t>
      </w:r>
      <w:r w:rsidRPr="00190A6A">
        <w:rPr>
          <w:rFonts w:ascii="Bookman Old Style" w:eastAsia="Calibri" w:hAnsi="Bookman Old Style" w:cs="Arial"/>
          <w:kern w:val="2"/>
          <w:lang w:val="es-CO" w:eastAsia="en-US"/>
          <w14:ligatures w14:val="standardContextual"/>
        </w:rPr>
        <w:t xml:space="preserve"> será trasladada a la S</w:t>
      </w:r>
      <w:r w:rsidR="00350D9F">
        <w:rPr>
          <w:rFonts w:ascii="Bookman Old Style" w:eastAsia="Calibri" w:hAnsi="Bookman Old Style" w:cs="Arial"/>
          <w:kern w:val="2"/>
          <w:lang w:val="es-CO" w:eastAsia="en-US"/>
          <w14:ligatures w14:val="standardContextual"/>
        </w:rPr>
        <w:t xml:space="preserve">uperintendencia de </w:t>
      </w:r>
      <w:r w:rsidRPr="00190A6A">
        <w:rPr>
          <w:rFonts w:ascii="Bookman Old Style" w:eastAsia="Calibri" w:hAnsi="Bookman Old Style" w:cs="Arial"/>
          <w:kern w:val="2"/>
          <w:lang w:val="es-CO" w:eastAsia="en-US"/>
          <w14:ligatures w14:val="standardContextual"/>
        </w:rPr>
        <w:t>S</w:t>
      </w:r>
      <w:r w:rsidR="00350D9F">
        <w:rPr>
          <w:rFonts w:ascii="Bookman Old Style" w:eastAsia="Calibri" w:hAnsi="Bookman Old Style" w:cs="Arial"/>
          <w:kern w:val="2"/>
          <w:lang w:val="es-CO" w:eastAsia="en-US"/>
          <w14:ligatures w14:val="standardContextual"/>
        </w:rPr>
        <w:t xml:space="preserve">ervicios </w:t>
      </w:r>
      <w:r w:rsidRPr="00190A6A">
        <w:rPr>
          <w:rFonts w:ascii="Bookman Old Style" w:eastAsia="Calibri" w:hAnsi="Bookman Old Style" w:cs="Arial"/>
          <w:kern w:val="2"/>
          <w:lang w:val="es-CO" w:eastAsia="en-US"/>
          <w14:ligatures w14:val="standardContextual"/>
        </w:rPr>
        <w:t>P</w:t>
      </w:r>
      <w:r w:rsidR="00350D9F">
        <w:rPr>
          <w:rFonts w:ascii="Bookman Old Style" w:eastAsia="Calibri" w:hAnsi="Bookman Old Style" w:cs="Arial"/>
          <w:kern w:val="2"/>
          <w:lang w:val="es-CO" w:eastAsia="en-US"/>
          <w14:ligatures w14:val="standardContextual"/>
        </w:rPr>
        <w:t xml:space="preserve">úblicos </w:t>
      </w:r>
      <w:r w:rsidRPr="00190A6A">
        <w:rPr>
          <w:rFonts w:ascii="Bookman Old Style" w:eastAsia="Calibri" w:hAnsi="Bookman Old Style" w:cs="Arial"/>
          <w:kern w:val="2"/>
          <w:lang w:val="es-CO" w:eastAsia="en-US"/>
          <w14:ligatures w14:val="standardContextual"/>
        </w:rPr>
        <w:t>D</w:t>
      </w:r>
      <w:r w:rsidR="00350D9F">
        <w:rPr>
          <w:rFonts w:ascii="Bookman Old Style" w:eastAsia="Calibri" w:hAnsi="Bookman Old Style" w:cs="Arial"/>
          <w:kern w:val="2"/>
          <w:lang w:val="es-CO" w:eastAsia="en-US"/>
          <w14:ligatures w14:val="standardContextual"/>
        </w:rPr>
        <w:t>omiciliarios</w:t>
      </w:r>
      <w:r w:rsidRPr="00190A6A">
        <w:rPr>
          <w:rFonts w:ascii="Bookman Old Style" w:eastAsia="Calibri" w:hAnsi="Bookman Old Style" w:cs="Arial"/>
          <w:kern w:val="2"/>
          <w:lang w:val="es-CO" w:eastAsia="en-US"/>
          <w14:ligatures w14:val="standardContextual"/>
        </w:rPr>
        <w:t xml:space="preserve"> para lo de su competencia, y se dará aplicación </w:t>
      </w:r>
      <w:r w:rsidR="009469B3">
        <w:rPr>
          <w:rFonts w:ascii="Bookman Old Style" w:eastAsia="Calibri" w:hAnsi="Bookman Old Style" w:cs="Arial"/>
          <w:kern w:val="2"/>
          <w:lang w:val="es-CO" w:eastAsia="en-US"/>
          <w14:ligatures w14:val="standardContextual"/>
        </w:rPr>
        <w:t>de</w:t>
      </w:r>
      <w:r w:rsidR="009469B3" w:rsidRPr="00190A6A">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 xml:space="preserve">lo previsto en el artículo 73 y el artículo 81 de la Ley 142 de 1994, así como </w:t>
      </w:r>
      <w:r w:rsidR="009469B3">
        <w:rPr>
          <w:rFonts w:ascii="Bookman Old Style" w:eastAsia="Calibri" w:hAnsi="Bookman Old Style" w:cs="Arial"/>
          <w:kern w:val="2"/>
          <w:lang w:val="es-CO" w:eastAsia="en-US"/>
          <w14:ligatures w14:val="standardContextual"/>
        </w:rPr>
        <w:t>de</w:t>
      </w:r>
      <w:r w:rsidR="009469B3" w:rsidRPr="00190A6A">
        <w:rPr>
          <w:rFonts w:ascii="Bookman Old Style" w:eastAsia="Calibri" w:hAnsi="Bookman Old Style" w:cs="Arial"/>
          <w:kern w:val="2"/>
          <w:lang w:val="es-CO" w:eastAsia="en-US"/>
          <w14:ligatures w14:val="standardContextual"/>
        </w:rPr>
        <w:t xml:space="preserve"> </w:t>
      </w:r>
      <w:r w:rsidRPr="00190A6A">
        <w:rPr>
          <w:rFonts w:ascii="Bookman Old Style" w:eastAsia="Calibri" w:hAnsi="Bookman Old Style" w:cs="Arial"/>
          <w:kern w:val="2"/>
          <w:lang w:val="es-CO" w:eastAsia="en-US"/>
          <w14:ligatures w14:val="standardContextual"/>
        </w:rPr>
        <w:t>la Resolución CREG 064 de 1998.</w:t>
      </w:r>
    </w:p>
    <w:p w14:paraId="0BAB787C" w14:textId="77777777" w:rsidR="00190A6A" w:rsidRPr="00190A6A" w:rsidRDefault="00190A6A" w:rsidP="00190A6A">
      <w:pPr>
        <w:spacing w:after="160" w:line="256" w:lineRule="auto"/>
        <w:ind w:left="0"/>
        <w:jc w:val="both"/>
        <w:rPr>
          <w:rFonts w:ascii="Bookman Old Style" w:eastAsia="Calibri" w:hAnsi="Bookman Old Style" w:cs="Arial"/>
          <w:kern w:val="2"/>
          <w:lang w:val="es-CO" w:eastAsia="en-US"/>
          <w14:ligatures w14:val="standardContextual"/>
        </w:rPr>
      </w:pPr>
    </w:p>
    <w:p w14:paraId="650533BA" w14:textId="7A960477" w:rsidR="00190A6A" w:rsidRPr="00190A6A" w:rsidRDefault="00190A6A" w:rsidP="00190A6A">
      <w:pPr>
        <w:spacing w:after="160" w:line="256" w:lineRule="auto"/>
        <w:ind w:left="0"/>
        <w:jc w:val="both"/>
        <w:rPr>
          <w:rFonts w:ascii="Bookman Old Style" w:eastAsia="Calibri" w:hAnsi="Bookman Old Style" w:cs="Arial"/>
          <w:b/>
          <w:bCs/>
          <w:kern w:val="2"/>
          <w:lang w:val="es-CO" w:eastAsia="en-US"/>
          <w14:ligatures w14:val="standardContextual"/>
        </w:rPr>
      </w:pPr>
      <w:r w:rsidRPr="00190A6A">
        <w:rPr>
          <w:rFonts w:ascii="Bookman Old Style" w:eastAsia="Calibri" w:hAnsi="Bookman Old Style" w:cs="Arial"/>
          <w:b/>
          <w:bCs/>
          <w:kern w:val="2"/>
          <w:lang w:val="es-CO" w:eastAsia="en-US"/>
          <w14:ligatures w14:val="standardContextual"/>
        </w:rPr>
        <w:t xml:space="preserve">ARTÍCULO 8. REMISIÓN NORMATIVA. </w:t>
      </w:r>
      <w:r w:rsidR="009469B3">
        <w:rPr>
          <w:rFonts w:ascii="Bookman Old Style" w:eastAsia="Calibri" w:hAnsi="Bookman Old Style" w:cs="Arial"/>
          <w:kern w:val="2"/>
          <w:lang w:val="es-CO" w:eastAsia="en-US"/>
          <w14:ligatures w14:val="standardContextual"/>
        </w:rPr>
        <w:t>E</w:t>
      </w:r>
      <w:r w:rsidR="009469B3" w:rsidRPr="00190A6A">
        <w:rPr>
          <w:rFonts w:ascii="Bookman Old Style" w:eastAsia="Calibri" w:hAnsi="Bookman Old Style" w:cs="Arial"/>
          <w:kern w:val="2"/>
          <w:lang w:val="es-CO" w:eastAsia="en-US"/>
          <w14:ligatures w14:val="standardContextual"/>
        </w:rPr>
        <w:t>n lo no previsto en la presente resolución</w:t>
      </w:r>
      <w:r w:rsidR="009469B3">
        <w:rPr>
          <w:rFonts w:ascii="Bookman Old Style" w:eastAsia="Calibri" w:hAnsi="Bookman Old Style" w:cs="Arial"/>
          <w:kern w:val="2"/>
          <w:lang w:val="es-CO" w:eastAsia="en-US"/>
          <w14:ligatures w14:val="standardContextual"/>
        </w:rPr>
        <w:t>,</w:t>
      </w:r>
      <w:r w:rsidR="009469B3" w:rsidRPr="00190A6A">
        <w:rPr>
          <w:rFonts w:ascii="Bookman Old Style" w:eastAsia="Calibri" w:hAnsi="Bookman Old Style" w:cs="Arial"/>
          <w:kern w:val="2"/>
          <w:lang w:val="es-CO" w:eastAsia="en-US"/>
          <w14:ligatures w14:val="standardContextual"/>
        </w:rPr>
        <w:t xml:space="preserve"> </w:t>
      </w:r>
      <w:r w:rsidR="009469B3">
        <w:rPr>
          <w:rFonts w:ascii="Bookman Old Style" w:eastAsia="Calibri" w:hAnsi="Bookman Old Style" w:cs="Arial"/>
          <w:kern w:val="2"/>
          <w:lang w:val="es-CO" w:eastAsia="en-US"/>
          <w14:ligatures w14:val="standardContextual"/>
        </w:rPr>
        <w:t>s</w:t>
      </w:r>
      <w:r w:rsidRPr="00190A6A">
        <w:rPr>
          <w:rFonts w:ascii="Bookman Old Style" w:eastAsia="Calibri" w:hAnsi="Bookman Old Style" w:cs="Arial"/>
          <w:kern w:val="2"/>
          <w:lang w:val="es-CO" w:eastAsia="en-US"/>
          <w14:ligatures w14:val="standardContextual"/>
        </w:rPr>
        <w:t xml:space="preserve">e aplicará lo establecido en la Ley 142 de 1994, en el Estatuto </w:t>
      </w:r>
      <w:r w:rsidRPr="00190A6A">
        <w:rPr>
          <w:rFonts w:ascii="Bookman Old Style" w:eastAsia="Calibri" w:hAnsi="Bookman Old Style" w:cs="Arial"/>
          <w:kern w:val="2"/>
          <w:lang w:val="es-CO" w:eastAsia="en-US"/>
          <w14:ligatures w14:val="standardContextual"/>
        </w:rPr>
        <w:lastRenderedPageBreak/>
        <w:t xml:space="preserve">Tributario Nacional, en el Código de Procedimiento Administrativo y de lo Contencioso Administrativo y demás normas </w:t>
      </w:r>
      <w:proofErr w:type="gramStart"/>
      <w:r w:rsidRPr="00190A6A">
        <w:rPr>
          <w:rFonts w:ascii="Bookman Old Style" w:eastAsia="Calibri" w:hAnsi="Bookman Old Style" w:cs="Arial"/>
          <w:kern w:val="2"/>
          <w:lang w:val="es-CO" w:eastAsia="en-US"/>
          <w14:ligatures w14:val="standardContextual"/>
        </w:rPr>
        <w:t>concordantes,.</w:t>
      </w:r>
      <w:proofErr w:type="gramEnd"/>
      <w:r w:rsidRPr="00190A6A">
        <w:rPr>
          <w:rFonts w:ascii="Bookman Old Style" w:eastAsia="Calibri" w:hAnsi="Bookman Old Style" w:cs="Arial"/>
          <w:kern w:val="2"/>
          <w:lang w:val="es-CO" w:eastAsia="en-US"/>
          <w14:ligatures w14:val="standardContextual"/>
        </w:rPr>
        <w:t xml:space="preserve"> </w:t>
      </w:r>
    </w:p>
    <w:p w14:paraId="139E5458" w14:textId="162EA48C" w:rsidR="00190A6A" w:rsidRPr="00190A6A" w:rsidRDefault="00731914" w:rsidP="00190A6A">
      <w:pPr>
        <w:spacing w:after="160" w:line="256" w:lineRule="auto"/>
        <w:ind w:left="0"/>
        <w:jc w:val="both"/>
        <w:rPr>
          <w:rFonts w:ascii="Bookman Old Style" w:eastAsia="Calibri" w:hAnsi="Bookman Old Style" w:cs="Arial"/>
          <w:kern w:val="2"/>
          <w:lang w:val="es-CO" w:eastAsia="en-US"/>
          <w14:ligatures w14:val="standardContextual"/>
        </w:rPr>
      </w:pPr>
      <w:r w:rsidRPr="009C555D">
        <w:rPr>
          <w:rFonts w:ascii="Bookman Old Style" w:eastAsia="Calibri" w:hAnsi="Bookman Old Style" w:cs="Arial"/>
          <w:b/>
          <w:bCs/>
          <w:kern w:val="2"/>
          <w:lang w:val="es-CO" w:eastAsia="en-US"/>
          <w14:ligatures w14:val="standardContextual"/>
        </w:rPr>
        <w:t>ARTÍCULO 9</w:t>
      </w:r>
      <w:r w:rsidRPr="009C555D">
        <w:rPr>
          <w:rFonts w:ascii="Bookman Old Style" w:eastAsia="Calibri" w:hAnsi="Bookman Old Style" w:cs="Arial"/>
          <w:kern w:val="2"/>
          <w:lang w:val="es-CO" w:eastAsia="en-US"/>
          <w14:ligatures w14:val="standardContextual"/>
        </w:rPr>
        <w:t xml:space="preserve">. </w:t>
      </w:r>
      <w:r w:rsidRPr="009C555D">
        <w:rPr>
          <w:rFonts w:ascii="Bookman Old Style" w:eastAsia="Calibri" w:hAnsi="Bookman Old Style" w:cs="Arial"/>
          <w:b/>
          <w:bCs/>
          <w:kern w:val="2"/>
          <w:lang w:val="es-CO" w:eastAsia="en-US"/>
          <w14:ligatures w14:val="standardContextual"/>
        </w:rPr>
        <w:t>VIGENCIA.</w:t>
      </w:r>
      <w:r w:rsidRPr="009C555D">
        <w:rPr>
          <w:rFonts w:ascii="Bookman Old Style" w:eastAsia="Calibri" w:hAnsi="Bookman Old Style" w:cs="Arial"/>
          <w:kern w:val="2"/>
          <w:lang w:val="es-CO" w:eastAsia="en-US"/>
          <w14:ligatures w14:val="standardContextual"/>
        </w:rPr>
        <w:t xml:space="preserve"> </w:t>
      </w:r>
      <w:r w:rsidR="00190A6A" w:rsidRPr="00190A6A">
        <w:rPr>
          <w:rFonts w:ascii="Bookman Old Style" w:eastAsia="Calibri" w:hAnsi="Bookman Old Style" w:cs="Arial"/>
          <w:kern w:val="2"/>
          <w:lang w:val="es-CO" w:eastAsia="en-US"/>
          <w14:ligatures w14:val="standardContextual"/>
        </w:rPr>
        <w:t xml:space="preserve">La presente resolución rige a partir de la fecha de su publicación en el </w:t>
      </w:r>
      <w:r w:rsidR="00190A6A" w:rsidRPr="00190A6A">
        <w:rPr>
          <w:rFonts w:ascii="Bookman Old Style" w:eastAsia="Calibri" w:hAnsi="Bookman Old Style" w:cs="Arial"/>
          <w:i/>
          <w:iCs/>
          <w:kern w:val="2"/>
          <w:lang w:val="es-CO" w:eastAsia="en-US"/>
          <w14:ligatures w14:val="standardContextual"/>
        </w:rPr>
        <w:t>Diario Oficial</w:t>
      </w:r>
      <w:r w:rsidR="00190A6A" w:rsidRPr="00190A6A">
        <w:rPr>
          <w:rFonts w:ascii="Bookman Old Style" w:eastAsia="Calibri" w:hAnsi="Bookman Old Style" w:cs="Arial"/>
          <w:kern w:val="2"/>
          <w:lang w:val="es-CO" w:eastAsia="en-US"/>
          <w14:ligatures w14:val="standardContextual"/>
        </w:rPr>
        <w:t>.</w:t>
      </w:r>
    </w:p>
    <w:p w14:paraId="7E12335C" w14:textId="77777777" w:rsidR="00BB584C" w:rsidRPr="009C555D" w:rsidRDefault="00BB584C" w:rsidP="00BB584C">
      <w:pPr>
        <w:ind w:left="0"/>
        <w:jc w:val="both"/>
        <w:rPr>
          <w:rFonts w:ascii="Bookman Old Style" w:hAnsi="Bookman Old Style"/>
          <w:bCs/>
          <w:lang w:val="es-CO"/>
        </w:rPr>
      </w:pPr>
    </w:p>
    <w:p w14:paraId="292B1F06" w14:textId="49962001" w:rsidR="00045D3D" w:rsidRPr="009C555D" w:rsidRDefault="007E06FE" w:rsidP="00BB584C">
      <w:pPr>
        <w:jc w:val="center"/>
        <w:rPr>
          <w:rFonts w:ascii="Bookman Old Style" w:hAnsi="Bookman Old Style"/>
          <w:b/>
        </w:rPr>
      </w:pPr>
      <w:r>
        <w:rPr>
          <w:rFonts w:ascii="Bookman Old Style" w:hAnsi="Bookman Old Style"/>
          <w:b/>
        </w:rPr>
        <w:t xml:space="preserve">NOTIFÍQUESE </w:t>
      </w:r>
      <w:r w:rsidR="00190A6A" w:rsidRPr="009C555D">
        <w:rPr>
          <w:rFonts w:ascii="Bookman Old Style" w:hAnsi="Bookman Old Style"/>
          <w:b/>
        </w:rPr>
        <w:t>PUBLÍQUESE</w:t>
      </w:r>
      <w:r w:rsidR="00045D3D" w:rsidRPr="009C555D">
        <w:rPr>
          <w:rFonts w:ascii="Bookman Old Style" w:hAnsi="Bookman Old Style"/>
          <w:b/>
        </w:rPr>
        <w:t xml:space="preserve"> Y CÚMPLASE</w:t>
      </w:r>
    </w:p>
    <w:p w14:paraId="7651F574" w14:textId="77777777" w:rsidR="00045D3D" w:rsidRPr="009C555D" w:rsidRDefault="00045D3D" w:rsidP="00192278">
      <w:pPr>
        <w:ind w:left="0"/>
        <w:rPr>
          <w:rFonts w:ascii="Bookman Old Style" w:hAnsi="Bookman Old Style"/>
        </w:rPr>
      </w:pPr>
    </w:p>
    <w:p w14:paraId="4D284BF7" w14:textId="77777777" w:rsidR="008C2E3E" w:rsidRPr="009C555D" w:rsidRDefault="008C2E3E" w:rsidP="00192278">
      <w:pPr>
        <w:ind w:left="0"/>
        <w:rPr>
          <w:rFonts w:ascii="Bookman Old Style" w:hAnsi="Bookman Old Style"/>
        </w:rPr>
      </w:pPr>
    </w:p>
    <w:p w14:paraId="5DACAB74" w14:textId="7D4D94FB" w:rsidR="00114495" w:rsidRPr="00CF2186" w:rsidRDefault="00114495" w:rsidP="00114495">
      <w:pPr>
        <w:ind w:left="0"/>
        <w:rPr>
          <w:rFonts w:ascii="Bookman Old Style" w:hAnsi="Bookman Old Style"/>
        </w:rPr>
      </w:pPr>
      <w:r w:rsidRPr="00CF2186">
        <w:rPr>
          <w:rFonts w:ascii="Bookman Old Style" w:hAnsi="Bookman Old Style"/>
        </w:rPr>
        <w:t>Dada en Bogotá, D.C. a</w:t>
      </w:r>
      <w:r>
        <w:rPr>
          <w:rFonts w:ascii="Bookman Old Style" w:hAnsi="Bookman Old Style"/>
        </w:rPr>
        <w:t xml:space="preserve"> </w:t>
      </w:r>
      <w:r w:rsidR="000A5B2F">
        <w:rPr>
          <w:rFonts w:ascii="Bookman Old Style" w:hAnsi="Bookman Old Style"/>
        </w:rPr>
        <w:t>12</w:t>
      </w:r>
      <w:r>
        <w:rPr>
          <w:rFonts w:ascii="Bookman Old Style" w:hAnsi="Bookman Old Style"/>
        </w:rPr>
        <w:t xml:space="preserve"> días de </w:t>
      </w:r>
      <w:r w:rsidR="000A5B2F">
        <w:rPr>
          <w:rFonts w:ascii="Bookman Old Style" w:hAnsi="Bookman Old Style"/>
        </w:rPr>
        <w:t xml:space="preserve">diciembre </w:t>
      </w:r>
      <w:r>
        <w:rPr>
          <w:rFonts w:ascii="Bookman Old Style" w:hAnsi="Bookman Old Style"/>
        </w:rPr>
        <w:t xml:space="preserve">de 2024. </w:t>
      </w:r>
    </w:p>
    <w:p w14:paraId="443A60C0" w14:textId="77777777" w:rsidR="00114495" w:rsidRDefault="00114495" w:rsidP="00114495">
      <w:pPr>
        <w:ind w:left="0"/>
        <w:rPr>
          <w:rFonts w:ascii="Bookman Old Style" w:hAnsi="Bookman Old Style"/>
        </w:rPr>
      </w:pPr>
    </w:p>
    <w:p w14:paraId="0E9E76E7" w14:textId="77777777" w:rsidR="00114495" w:rsidRDefault="00114495" w:rsidP="00114495">
      <w:pPr>
        <w:ind w:left="0"/>
        <w:rPr>
          <w:rFonts w:ascii="Bookman Old Style" w:hAnsi="Bookman Old Style"/>
        </w:rPr>
      </w:pPr>
    </w:p>
    <w:p w14:paraId="70442487" w14:textId="77777777" w:rsidR="00114495" w:rsidRPr="00CF2186" w:rsidRDefault="00114495" w:rsidP="00114495">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114495" w:rsidRPr="00CF2186" w14:paraId="1390A863" w14:textId="77777777" w:rsidTr="00935B11">
        <w:trPr>
          <w:jc w:val="center"/>
        </w:trPr>
        <w:tc>
          <w:tcPr>
            <w:tcW w:w="5067" w:type="dxa"/>
          </w:tcPr>
          <w:p w14:paraId="013A3A1F" w14:textId="7011BECF" w:rsidR="00114495" w:rsidRPr="00CF2186" w:rsidRDefault="000F63EF" w:rsidP="00935B11">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OMAR ANDRÉS CAMACHO MORALES</w:t>
            </w:r>
          </w:p>
          <w:p w14:paraId="53CEE9DB" w14:textId="5083AD81" w:rsidR="0019616D" w:rsidRDefault="000F63EF" w:rsidP="00935B11">
            <w:pPr>
              <w:tabs>
                <w:tab w:val="left" w:pos="-720"/>
              </w:tabs>
              <w:suppressAutoHyphens/>
              <w:ind w:left="0"/>
              <w:jc w:val="center"/>
              <w:rPr>
                <w:rFonts w:ascii="Bookman Old Style" w:hAnsi="Bookman Old Style"/>
              </w:rPr>
            </w:pPr>
            <w:r>
              <w:rPr>
                <w:rFonts w:ascii="Bookman Old Style" w:hAnsi="Bookman Old Style" w:cs="Arial"/>
                <w:spacing w:val="-3"/>
              </w:rPr>
              <w:t xml:space="preserve">Ministro </w:t>
            </w:r>
            <w:r w:rsidR="00114495" w:rsidRPr="00CF2186">
              <w:rPr>
                <w:rFonts w:ascii="Bookman Old Style" w:hAnsi="Bookman Old Style"/>
              </w:rPr>
              <w:t xml:space="preserve">de Minas y Energía </w:t>
            </w:r>
          </w:p>
          <w:p w14:paraId="3A91830B" w14:textId="7983E401" w:rsidR="00114495" w:rsidRPr="00CF2186" w:rsidRDefault="00114495" w:rsidP="00935B11">
            <w:pPr>
              <w:tabs>
                <w:tab w:val="left" w:pos="-720"/>
              </w:tabs>
              <w:suppressAutoHyphens/>
              <w:ind w:left="0"/>
              <w:jc w:val="center"/>
              <w:rPr>
                <w:rFonts w:ascii="Bookman Old Style" w:hAnsi="Bookman Old Style" w:cs="Arial"/>
                <w:b/>
                <w:strike/>
                <w:spacing w:val="-3"/>
              </w:rPr>
            </w:pPr>
            <w:r w:rsidRPr="00CF2186">
              <w:rPr>
                <w:rFonts w:ascii="Bookman Old Style" w:hAnsi="Bookman Old Style"/>
              </w:rPr>
              <w:t>Presidente</w:t>
            </w:r>
          </w:p>
        </w:tc>
        <w:tc>
          <w:tcPr>
            <w:tcW w:w="4429" w:type="dxa"/>
          </w:tcPr>
          <w:p w14:paraId="7B5D1C0A" w14:textId="77777777" w:rsidR="00114495" w:rsidRPr="00CF2186" w:rsidRDefault="00114495" w:rsidP="00935B11">
            <w:pPr>
              <w:tabs>
                <w:tab w:val="left" w:pos="-720"/>
              </w:tabs>
              <w:suppressAutoHyphens/>
              <w:ind w:left="0"/>
              <w:jc w:val="center"/>
              <w:rPr>
                <w:rFonts w:ascii="Bookman Old Style" w:hAnsi="Bookman Old Style" w:cs="Arial"/>
                <w:b/>
              </w:rPr>
            </w:pPr>
            <w:r w:rsidRPr="0055014F">
              <w:rPr>
                <w:rFonts w:ascii="Bookman Old Style" w:hAnsi="Bookman Old Style" w:cs="Arial"/>
                <w:b/>
              </w:rPr>
              <w:t>ANTONIO JIM</w:t>
            </w:r>
            <w:r>
              <w:rPr>
                <w:rFonts w:ascii="Bookman Old Style" w:hAnsi="Bookman Old Style" w:cs="Arial"/>
                <w:b/>
              </w:rPr>
              <w:t>É</w:t>
            </w:r>
            <w:r w:rsidRPr="0055014F">
              <w:rPr>
                <w:rFonts w:ascii="Bookman Old Style" w:hAnsi="Bookman Old Style" w:cs="Arial"/>
                <w:b/>
              </w:rPr>
              <w:t>NEZ RIVERA</w:t>
            </w:r>
          </w:p>
          <w:p w14:paraId="3E09A877" w14:textId="77777777" w:rsidR="00114495" w:rsidRPr="00CF2186" w:rsidRDefault="00114495" w:rsidP="00935B11">
            <w:pPr>
              <w:tabs>
                <w:tab w:val="left" w:pos="-720"/>
              </w:tabs>
              <w:suppressAutoHyphens/>
              <w:ind w:left="0"/>
              <w:jc w:val="center"/>
              <w:rPr>
                <w:rFonts w:ascii="Bookman Old Style" w:hAnsi="Bookman Old Style" w:cs="Arial"/>
                <w:b/>
                <w:spacing w:val="-3"/>
              </w:rPr>
            </w:pPr>
            <w:r w:rsidRPr="00CF2186">
              <w:rPr>
                <w:rFonts w:ascii="Bookman Old Style" w:hAnsi="Bookman Old Style" w:cs="Arial"/>
                <w:spacing w:val="-3"/>
              </w:rPr>
              <w:t>Director Ejecutivo</w:t>
            </w:r>
          </w:p>
        </w:tc>
      </w:tr>
    </w:tbl>
    <w:p w14:paraId="2F98988F" w14:textId="77777777" w:rsidR="00114495" w:rsidRPr="00CF2186" w:rsidRDefault="00114495" w:rsidP="00114495">
      <w:pPr>
        <w:ind w:left="0"/>
        <w:rPr>
          <w:rFonts w:ascii="Bookman Old Style" w:hAnsi="Bookman Old Style"/>
        </w:rPr>
      </w:pPr>
    </w:p>
    <w:p w14:paraId="3F9555DD" w14:textId="77777777" w:rsidR="00C9327D" w:rsidRPr="009C555D" w:rsidRDefault="00C9327D" w:rsidP="19059A91">
      <w:pPr>
        <w:ind w:left="0"/>
        <w:rPr>
          <w:rFonts w:ascii="Bookman Old Style" w:hAnsi="Bookman Old Style"/>
        </w:rPr>
      </w:pPr>
    </w:p>
    <w:p w14:paraId="607D5177" w14:textId="4F35F3AA" w:rsidR="00BB584C" w:rsidRPr="009C555D" w:rsidRDefault="00BB584C" w:rsidP="0019616D">
      <w:pPr>
        <w:ind w:left="0"/>
        <w:rPr>
          <w:rFonts w:ascii="Bookman Old Style" w:hAnsi="Bookman Old Style" w:cs="Arial"/>
          <w:bCs/>
          <w:lang w:val="es-CO"/>
        </w:rPr>
      </w:pPr>
      <w:r w:rsidRPr="009C555D">
        <w:rPr>
          <w:rFonts w:ascii="Bookman Old Style" w:hAnsi="Bookman Old Style" w:cs="Arial"/>
          <w:bCs/>
        </w:rPr>
        <w:tab/>
      </w:r>
      <w:r w:rsidRPr="00114495">
        <w:rPr>
          <w:rFonts w:ascii="Bookman Old Style" w:hAnsi="Bookman Old Style" w:cs="Arial"/>
          <w:bCs/>
          <w:lang w:val="es-CO"/>
        </w:rPr>
        <w:t xml:space="preserve">  </w:t>
      </w:r>
    </w:p>
    <w:p w14:paraId="185A0E4A" w14:textId="5258AC91" w:rsidR="00E060BE" w:rsidRPr="009C555D" w:rsidRDefault="00E060BE" w:rsidP="008E491D">
      <w:pPr>
        <w:ind w:left="0"/>
        <w:rPr>
          <w:rFonts w:ascii="Bookman Old Style" w:hAnsi="Bookman Old Style" w:cs="Arial"/>
        </w:rPr>
      </w:pPr>
    </w:p>
    <w:sectPr w:rsidR="00E060BE" w:rsidRPr="009C555D"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034B" w14:textId="77777777" w:rsidR="0008782A" w:rsidRDefault="0008782A">
      <w:r>
        <w:separator/>
      </w:r>
    </w:p>
  </w:endnote>
  <w:endnote w:type="continuationSeparator" w:id="0">
    <w:p w14:paraId="651D4172" w14:textId="77777777" w:rsidR="0008782A" w:rsidRDefault="0008782A">
      <w:r>
        <w:continuationSeparator/>
      </w:r>
    </w:p>
  </w:endnote>
  <w:endnote w:type="continuationNotice" w:id="1">
    <w:p w14:paraId="627C6A40" w14:textId="77777777" w:rsidR="0008782A" w:rsidRDefault="0008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B173" w14:textId="77777777" w:rsidR="0008782A" w:rsidRDefault="0008782A">
      <w:r>
        <w:separator/>
      </w:r>
    </w:p>
  </w:footnote>
  <w:footnote w:type="continuationSeparator" w:id="0">
    <w:p w14:paraId="120F10CC" w14:textId="77777777" w:rsidR="0008782A" w:rsidRDefault="0008782A">
      <w:r>
        <w:continuationSeparator/>
      </w:r>
    </w:p>
  </w:footnote>
  <w:footnote w:type="continuationNotice" w:id="1">
    <w:p w14:paraId="2363A5AA" w14:textId="77777777" w:rsidR="0008782A" w:rsidRDefault="00087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13404FA5" w:rsidR="00CC51D4" w:rsidRPr="00984936" w:rsidRDefault="00CC51D4" w:rsidP="00984936">
    <w:pPr>
      <w:ind w:left="0"/>
      <w:rPr>
        <w:lang w:val="es-CO"/>
      </w:rPr>
    </w:pPr>
  </w:p>
  <w:p w14:paraId="267D8AF5" w14:textId="6A40F94E" w:rsidR="0087657D" w:rsidRPr="00951F79" w:rsidRDefault="00725FA4" w:rsidP="007E06FE">
    <w:pPr>
      <w:pStyle w:val="Ttulo1"/>
      <w:ind w:left="0" w:right="6"/>
      <w:rPr>
        <w:rFonts w:ascii="Bookman Old Style" w:hAnsi="Bookman Old Style" w:cs="Arial"/>
        <w:b w:val="0"/>
        <w:sz w:val="22"/>
        <w:szCs w:val="22"/>
      </w:rPr>
    </w:pPr>
    <w:r w:rsidRPr="00654384">
      <w:rPr>
        <w:rFonts w:ascii="Bookman Old Style" w:hAnsi="Bookman Old Style" w:cs="Arial"/>
        <w:b w:val="0"/>
        <w:sz w:val="22"/>
        <w:szCs w:val="22"/>
      </w:rPr>
      <w:t>RESOLUCIÓN No</w:t>
    </w:r>
    <w:r w:rsidRPr="00654384">
      <w:rPr>
        <w:rFonts w:ascii="Bookman Old Style" w:hAnsi="Bookman Old Style" w:cs="Arial"/>
        <w:b w:val="0"/>
        <w:sz w:val="22"/>
        <w:szCs w:val="22"/>
      </w:rPr>
      <w:tab/>
    </w:r>
    <w:r w:rsidR="007E06FE" w:rsidRPr="007E06FE">
      <w:rPr>
        <w:rFonts w:ascii="Bookman Old Style" w:hAnsi="Bookman Old Style" w:cs="Arial"/>
        <w:bCs/>
        <w:sz w:val="22"/>
        <w:szCs w:val="22"/>
        <w:u w:val="single"/>
      </w:rPr>
      <w:t>105 011</w:t>
    </w:r>
    <w:r w:rsidR="007E06FE">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7E06FE">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7E06FE" w:rsidRPr="007E06FE">
      <w:rPr>
        <w:rFonts w:ascii="Bookman Old Style" w:hAnsi="Bookman Old Style" w:cs="Arial"/>
        <w:sz w:val="22"/>
        <w:szCs w:val="22"/>
        <w:u w:val="single"/>
        <w:lang w:val="es-ES"/>
      </w:rPr>
      <w:t>12 DIC.2024</w:t>
    </w:r>
    <w:r w:rsidR="003908B3">
      <w:rPr>
        <w:rFonts w:ascii="Bookman Old Style" w:hAnsi="Bookman Old Style" w:cs="Arial"/>
        <w:b w:val="0"/>
        <w:sz w:val="22"/>
        <w:szCs w:val="22"/>
      </w:rPr>
      <w:t xml:space="preserve">    </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5006E79F">
              <wp:simplePos x="0" y="0"/>
              <wp:positionH relativeFrom="column">
                <wp:posOffset>-175260</wp:posOffset>
              </wp:positionH>
              <wp:positionV relativeFrom="paragraph">
                <wp:posOffset>139065</wp:posOffset>
              </wp:positionV>
              <wp:extent cx="6267450" cy="9900920"/>
              <wp:effectExtent l="12700" t="12700" r="1905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1ED4D"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gJCAIAAPE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" filled="f" strokeweight="1.5pt"/>
          </w:pict>
        </mc:Fallback>
      </mc:AlternateContent>
    </w:r>
  </w:p>
  <w:p w14:paraId="16086E3D" w14:textId="2C4DB1A9" w:rsidR="0044318E" w:rsidRPr="00581A75" w:rsidRDefault="00546EB5" w:rsidP="00546EB5">
    <w:pPr>
      <w:pBdr>
        <w:bottom w:val="single" w:sz="4" w:space="1" w:color="auto"/>
      </w:pBdr>
      <w:ind w:left="142" w:right="148"/>
      <w:rPr>
        <w:b/>
        <w:i/>
        <w:iCs/>
        <w:sz w:val="20"/>
        <w:szCs w:val="20"/>
      </w:rPr>
    </w:pPr>
    <w:r w:rsidRPr="00546EB5">
      <w:rPr>
        <w:rFonts w:ascii="Bookman Old Style" w:hAnsi="Bookman Old Style"/>
        <w:i/>
        <w:iCs/>
        <w:sz w:val="20"/>
        <w:szCs w:val="20"/>
      </w:rPr>
      <w:t>“Por la cual se establece el porcentaje de la contribución especial a favor de la Comisión de Regulación de Energía y Gas, CREG, que deben pagar los prestadores de los servicios públicos domiciliarios de energía eléctrica, gas natural y gas licuado de petróleo (GLP) y sus actividades complementarias, sometidas al ámbito de regulación de la Comisión para el año 2024 y se dictan otras disposiciones.”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E24E940">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5667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7F6319"/>
    <w:multiLevelType w:val="hybridMultilevel"/>
    <w:tmpl w:val="ECD68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67FE4"/>
    <w:multiLevelType w:val="hybridMultilevel"/>
    <w:tmpl w:val="56D2396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F600E"/>
    <w:multiLevelType w:val="hybridMultilevel"/>
    <w:tmpl w:val="D57A5CD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F471EEB"/>
    <w:multiLevelType w:val="multilevel"/>
    <w:tmpl w:val="49049E0E"/>
    <w:name w:val="Nueva lista 3"/>
    <w:lvl w:ilvl="0">
      <w:start w:val="1"/>
      <w:numFmt w:val="decimal"/>
      <w:pStyle w:val="Artculo"/>
      <w:suff w:val="space"/>
      <w:lvlText w:val="Artículo %1."/>
      <w:lvlJc w:val="left"/>
      <w:pPr>
        <w:ind w:left="3828" w:firstLine="0"/>
      </w:pPr>
      <w:rPr>
        <w:rFonts w:hint="default"/>
        <w:b/>
        <w:i w:val="0"/>
        <w:iCs w:val="0"/>
        <w:sz w:val="24"/>
        <w:szCs w:val="24"/>
        <w:lang w:val="es-ES"/>
      </w:rPr>
    </w:lvl>
    <w:lvl w:ilvl="1">
      <w:start w:val="1"/>
      <w:numFmt w:val="none"/>
      <w:suff w:val="nothing"/>
      <w:lvlText w:val=""/>
      <w:lvlJc w:val="left"/>
      <w:pPr>
        <w:ind w:left="3402" w:firstLine="0"/>
      </w:pPr>
      <w:rPr>
        <w:rFonts w:hint="default"/>
      </w:rPr>
    </w:lvl>
    <w:lvl w:ilvl="2">
      <w:start w:val="1"/>
      <w:numFmt w:val="none"/>
      <w:suff w:val="nothing"/>
      <w:lvlText w:val=""/>
      <w:lvlJc w:val="left"/>
      <w:pPr>
        <w:ind w:left="3402" w:firstLine="0"/>
      </w:pPr>
      <w:rPr>
        <w:rFonts w:hint="default"/>
      </w:rPr>
    </w:lvl>
    <w:lvl w:ilvl="3">
      <w:start w:val="1"/>
      <w:numFmt w:val="none"/>
      <w:suff w:val="nothing"/>
      <w:lvlText w:val=""/>
      <w:lvlJc w:val="left"/>
      <w:pPr>
        <w:ind w:left="340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3402"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402" w:firstLine="0"/>
      </w:pPr>
      <w:rPr>
        <w:rFonts w:hint="default"/>
      </w:rPr>
    </w:lvl>
    <w:lvl w:ilvl="8">
      <w:start w:val="1"/>
      <w:numFmt w:val="none"/>
      <w:suff w:val="nothing"/>
      <w:lvlText w:val=""/>
      <w:lvlJc w:val="left"/>
      <w:pPr>
        <w:ind w:left="3402" w:firstLine="0"/>
      </w:pPr>
      <w:rPr>
        <w:rFonts w:hint="default"/>
      </w:r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9525912"/>
    <w:multiLevelType w:val="hybridMultilevel"/>
    <w:tmpl w:val="8BC0B1F0"/>
    <w:lvl w:ilvl="0" w:tplc="EE9EB1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B7412A"/>
    <w:multiLevelType w:val="hybridMultilevel"/>
    <w:tmpl w:val="2D5A37E8"/>
    <w:lvl w:ilvl="0" w:tplc="78329038">
      <w:start w:val="1"/>
      <w:numFmt w:val="decimal"/>
      <w:lvlText w:val="Artículo %1."/>
      <w:lvlJc w:val="left"/>
      <w:rPr>
        <w:rFonts w:ascii="Bookman Old Style" w:hAnsi="Bookman Old Style"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D5764F7"/>
    <w:multiLevelType w:val="hybridMultilevel"/>
    <w:tmpl w:val="4D46D0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6"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4"/>
  </w:num>
  <w:num w:numId="2" w16cid:durableId="1497382030">
    <w:abstractNumId w:val="5"/>
  </w:num>
  <w:num w:numId="3" w16cid:durableId="1643658739">
    <w:abstractNumId w:val="27"/>
  </w:num>
  <w:num w:numId="4" w16cid:durableId="1416053916">
    <w:abstractNumId w:val="7"/>
  </w:num>
  <w:num w:numId="5" w16cid:durableId="1460681335">
    <w:abstractNumId w:val="20"/>
  </w:num>
  <w:num w:numId="6" w16cid:durableId="432214895">
    <w:abstractNumId w:val="4"/>
  </w:num>
  <w:num w:numId="7" w16cid:durableId="845751384">
    <w:abstractNumId w:val="3"/>
  </w:num>
  <w:num w:numId="8" w16cid:durableId="29301030">
    <w:abstractNumId w:val="23"/>
  </w:num>
  <w:num w:numId="9" w16cid:durableId="2003662021">
    <w:abstractNumId w:val="22"/>
  </w:num>
  <w:num w:numId="10" w16cid:durableId="2014674860">
    <w:abstractNumId w:val="15"/>
  </w:num>
  <w:num w:numId="11" w16cid:durableId="958032325">
    <w:abstractNumId w:val="28"/>
  </w:num>
  <w:num w:numId="12" w16cid:durableId="1838691975">
    <w:abstractNumId w:val="26"/>
  </w:num>
  <w:num w:numId="13" w16cid:durableId="273679532">
    <w:abstractNumId w:val="12"/>
  </w:num>
  <w:num w:numId="14" w16cid:durableId="2070683866">
    <w:abstractNumId w:val="2"/>
  </w:num>
  <w:num w:numId="15" w16cid:durableId="1975476040">
    <w:abstractNumId w:val="16"/>
  </w:num>
  <w:num w:numId="16" w16cid:durableId="83963299">
    <w:abstractNumId w:val="1"/>
  </w:num>
  <w:num w:numId="17" w16cid:durableId="353533871">
    <w:abstractNumId w:val="10"/>
  </w:num>
  <w:num w:numId="18" w16cid:durableId="788664195">
    <w:abstractNumId w:val="0"/>
  </w:num>
  <w:num w:numId="19" w16cid:durableId="1454788596">
    <w:abstractNumId w:val="24"/>
  </w:num>
  <w:num w:numId="20" w16cid:durableId="1999069271">
    <w:abstractNumId w:val="18"/>
  </w:num>
  <w:num w:numId="21" w16cid:durableId="1075667280">
    <w:abstractNumId w:val="8"/>
  </w:num>
  <w:num w:numId="22" w16cid:durableId="40371620">
    <w:abstractNumId w:val="9"/>
  </w:num>
  <w:num w:numId="23" w16cid:durableId="780803372">
    <w:abstractNumId w:val="25"/>
  </w:num>
  <w:num w:numId="24" w16cid:durableId="1058552320">
    <w:abstractNumId w:val="17"/>
  </w:num>
  <w:num w:numId="25" w16cid:durableId="1405028943">
    <w:abstractNumId w:val="11"/>
  </w:num>
  <w:num w:numId="26" w16cid:durableId="626357099">
    <w:abstractNumId w:val="6"/>
  </w:num>
  <w:num w:numId="27" w16cid:durableId="609314260">
    <w:abstractNumId w:val="21"/>
  </w:num>
  <w:num w:numId="28" w16cid:durableId="314842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15734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1C8"/>
    <w:rsid w:val="00006AE2"/>
    <w:rsid w:val="000076A1"/>
    <w:rsid w:val="00010FD0"/>
    <w:rsid w:val="00012259"/>
    <w:rsid w:val="00013C79"/>
    <w:rsid w:val="00013F5D"/>
    <w:rsid w:val="000148CF"/>
    <w:rsid w:val="00014D73"/>
    <w:rsid w:val="00015D53"/>
    <w:rsid w:val="00020087"/>
    <w:rsid w:val="00020189"/>
    <w:rsid w:val="00020295"/>
    <w:rsid w:val="00020465"/>
    <w:rsid w:val="00022F67"/>
    <w:rsid w:val="00023A4A"/>
    <w:rsid w:val="00025383"/>
    <w:rsid w:val="0002655C"/>
    <w:rsid w:val="00026B9C"/>
    <w:rsid w:val="00026EB7"/>
    <w:rsid w:val="000270CB"/>
    <w:rsid w:val="00027552"/>
    <w:rsid w:val="00027BAA"/>
    <w:rsid w:val="00027FC6"/>
    <w:rsid w:val="0003028B"/>
    <w:rsid w:val="000303F1"/>
    <w:rsid w:val="000324D6"/>
    <w:rsid w:val="00033DCD"/>
    <w:rsid w:val="00033EBA"/>
    <w:rsid w:val="00034EC0"/>
    <w:rsid w:val="000404A4"/>
    <w:rsid w:val="00041BC8"/>
    <w:rsid w:val="00045D3D"/>
    <w:rsid w:val="00045DC0"/>
    <w:rsid w:val="000463A1"/>
    <w:rsid w:val="000472B1"/>
    <w:rsid w:val="00047853"/>
    <w:rsid w:val="0004795A"/>
    <w:rsid w:val="00050551"/>
    <w:rsid w:val="0005070D"/>
    <w:rsid w:val="00050CEB"/>
    <w:rsid w:val="000516A9"/>
    <w:rsid w:val="00051CEA"/>
    <w:rsid w:val="00052975"/>
    <w:rsid w:val="0005405C"/>
    <w:rsid w:val="00054509"/>
    <w:rsid w:val="0005475A"/>
    <w:rsid w:val="00054BC0"/>
    <w:rsid w:val="000550A5"/>
    <w:rsid w:val="000559C5"/>
    <w:rsid w:val="00061913"/>
    <w:rsid w:val="0006248F"/>
    <w:rsid w:val="00063657"/>
    <w:rsid w:val="0006520D"/>
    <w:rsid w:val="000658C1"/>
    <w:rsid w:val="00066403"/>
    <w:rsid w:val="00067ADE"/>
    <w:rsid w:val="000704ED"/>
    <w:rsid w:val="00070838"/>
    <w:rsid w:val="00071E00"/>
    <w:rsid w:val="0007404F"/>
    <w:rsid w:val="00074E32"/>
    <w:rsid w:val="00076680"/>
    <w:rsid w:val="00076A1D"/>
    <w:rsid w:val="00076D81"/>
    <w:rsid w:val="0007706D"/>
    <w:rsid w:val="000770D7"/>
    <w:rsid w:val="00077B4F"/>
    <w:rsid w:val="000805EB"/>
    <w:rsid w:val="0008073E"/>
    <w:rsid w:val="000812F5"/>
    <w:rsid w:val="000813B1"/>
    <w:rsid w:val="00083240"/>
    <w:rsid w:val="00083C1B"/>
    <w:rsid w:val="000845C0"/>
    <w:rsid w:val="00084FB3"/>
    <w:rsid w:val="0008782A"/>
    <w:rsid w:val="000905D6"/>
    <w:rsid w:val="000915E3"/>
    <w:rsid w:val="00091CDB"/>
    <w:rsid w:val="00092E9A"/>
    <w:rsid w:val="00095CEE"/>
    <w:rsid w:val="000967FF"/>
    <w:rsid w:val="00096FAC"/>
    <w:rsid w:val="000A06A0"/>
    <w:rsid w:val="000A19AC"/>
    <w:rsid w:val="000A30E2"/>
    <w:rsid w:val="000A3F61"/>
    <w:rsid w:val="000A41B8"/>
    <w:rsid w:val="000A468C"/>
    <w:rsid w:val="000A46BE"/>
    <w:rsid w:val="000A470D"/>
    <w:rsid w:val="000A5211"/>
    <w:rsid w:val="000A5B07"/>
    <w:rsid w:val="000A5B2F"/>
    <w:rsid w:val="000A6B0F"/>
    <w:rsid w:val="000A6C62"/>
    <w:rsid w:val="000A781D"/>
    <w:rsid w:val="000B2EC9"/>
    <w:rsid w:val="000B5A2A"/>
    <w:rsid w:val="000B637B"/>
    <w:rsid w:val="000B7DBD"/>
    <w:rsid w:val="000C0042"/>
    <w:rsid w:val="000C01E5"/>
    <w:rsid w:val="000C1C20"/>
    <w:rsid w:val="000C4368"/>
    <w:rsid w:val="000C4E06"/>
    <w:rsid w:val="000C7CF4"/>
    <w:rsid w:val="000D08CB"/>
    <w:rsid w:val="000D1812"/>
    <w:rsid w:val="000D26F8"/>
    <w:rsid w:val="000D2A91"/>
    <w:rsid w:val="000D6A4A"/>
    <w:rsid w:val="000D6DCE"/>
    <w:rsid w:val="000D6DE5"/>
    <w:rsid w:val="000D6E3C"/>
    <w:rsid w:val="000D7F00"/>
    <w:rsid w:val="000E0658"/>
    <w:rsid w:val="000E1786"/>
    <w:rsid w:val="000E1A9D"/>
    <w:rsid w:val="000E3150"/>
    <w:rsid w:val="000E4752"/>
    <w:rsid w:val="000E5486"/>
    <w:rsid w:val="000E561E"/>
    <w:rsid w:val="000F18EC"/>
    <w:rsid w:val="000F1ADE"/>
    <w:rsid w:val="000F2D6B"/>
    <w:rsid w:val="000F4D23"/>
    <w:rsid w:val="000F63EF"/>
    <w:rsid w:val="000F63FF"/>
    <w:rsid w:val="000F6B27"/>
    <w:rsid w:val="000F7609"/>
    <w:rsid w:val="000F7F2D"/>
    <w:rsid w:val="0010140B"/>
    <w:rsid w:val="00101955"/>
    <w:rsid w:val="001022D9"/>
    <w:rsid w:val="001037DD"/>
    <w:rsid w:val="0010393C"/>
    <w:rsid w:val="00103B88"/>
    <w:rsid w:val="00103F23"/>
    <w:rsid w:val="00104215"/>
    <w:rsid w:val="00104306"/>
    <w:rsid w:val="00106654"/>
    <w:rsid w:val="0010793C"/>
    <w:rsid w:val="00107F61"/>
    <w:rsid w:val="00110581"/>
    <w:rsid w:val="00110700"/>
    <w:rsid w:val="00112C86"/>
    <w:rsid w:val="00112D1A"/>
    <w:rsid w:val="00114495"/>
    <w:rsid w:val="00114AFB"/>
    <w:rsid w:val="00116340"/>
    <w:rsid w:val="00116450"/>
    <w:rsid w:val="001166A6"/>
    <w:rsid w:val="00121364"/>
    <w:rsid w:val="001215A3"/>
    <w:rsid w:val="001218D8"/>
    <w:rsid w:val="001244FD"/>
    <w:rsid w:val="00125925"/>
    <w:rsid w:val="0012612D"/>
    <w:rsid w:val="00126E46"/>
    <w:rsid w:val="001270F7"/>
    <w:rsid w:val="00127232"/>
    <w:rsid w:val="00127593"/>
    <w:rsid w:val="00127957"/>
    <w:rsid w:val="00131C2A"/>
    <w:rsid w:val="00133175"/>
    <w:rsid w:val="0013447B"/>
    <w:rsid w:val="0013526C"/>
    <w:rsid w:val="00135966"/>
    <w:rsid w:val="001361D5"/>
    <w:rsid w:val="001361EB"/>
    <w:rsid w:val="00137353"/>
    <w:rsid w:val="001405C6"/>
    <w:rsid w:val="00141013"/>
    <w:rsid w:val="001414FD"/>
    <w:rsid w:val="00142B68"/>
    <w:rsid w:val="0014338C"/>
    <w:rsid w:val="00143FB5"/>
    <w:rsid w:val="001460E9"/>
    <w:rsid w:val="001500B8"/>
    <w:rsid w:val="0015151A"/>
    <w:rsid w:val="0015195A"/>
    <w:rsid w:val="0015230D"/>
    <w:rsid w:val="0015231F"/>
    <w:rsid w:val="00152CE3"/>
    <w:rsid w:val="0015358E"/>
    <w:rsid w:val="00154CE9"/>
    <w:rsid w:val="001559FE"/>
    <w:rsid w:val="001560C2"/>
    <w:rsid w:val="00156852"/>
    <w:rsid w:val="0016054C"/>
    <w:rsid w:val="00160A1C"/>
    <w:rsid w:val="001612A2"/>
    <w:rsid w:val="001613CC"/>
    <w:rsid w:val="00161A3A"/>
    <w:rsid w:val="00161FF2"/>
    <w:rsid w:val="0016313A"/>
    <w:rsid w:val="00163304"/>
    <w:rsid w:val="0016436B"/>
    <w:rsid w:val="00165BCF"/>
    <w:rsid w:val="00166AE5"/>
    <w:rsid w:val="00170534"/>
    <w:rsid w:val="00170E70"/>
    <w:rsid w:val="00172562"/>
    <w:rsid w:val="0017293B"/>
    <w:rsid w:val="0017356F"/>
    <w:rsid w:val="00173CDC"/>
    <w:rsid w:val="001755EE"/>
    <w:rsid w:val="001808E7"/>
    <w:rsid w:val="00181746"/>
    <w:rsid w:val="00182A14"/>
    <w:rsid w:val="00182D4B"/>
    <w:rsid w:val="00184E88"/>
    <w:rsid w:val="0018550E"/>
    <w:rsid w:val="001861CE"/>
    <w:rsid w:val="0018637F"/>
    <w:rsid w:val="00190A6A"/>
    <w:rsid w:val="00190DEB"/>
    <w:rsid w:val="00191068"/>
    <w:rsid w:val="0019109E"/>
    <w:rsid w:val="001910E5"/>
    <w:rsid w:val="00192278"/>
    <w:rsid w:val="0019289D"/>
    <w:rsid w:val="00192CBF"/>
    <w:rsid w:val="00192FF1"/>
    <w:rsid w:val="00194B1A"/>
    <w:rsid w:val="00194CFC"/>
    <w:rsid w:val="00195515"/>
    <w:rsid w:val="0019616D"/>
    <w:rsid w:val="0019668E"/>
    <w:rsid w:val="00197634"/>
    <w:rsid w:val="00197E7D"/>
    <w:rsid w:val="001A096E"/>
    <w:rsid w:val="001A1765"/>
    <w:rsid w:val="001A268D"/>
    <w:rsid w:val="001A29F2"/>
    <w:rsid w:val="001A33F3"/>
    <w:rsid w:val="001A4C56"/>
    <w:rsid w:val="001A5D22"/>
    <w:rsid w:val="001A5F1B"/>
    <w:rsid w:val="001A792F"/>
    <w:rsid w:val="001B099E"/>
    <w:rsid w:val="001B1C22"/>
    <w:rsid w:val="001B1DF7"/>
    <w:rsid w:val="001B24F3"/>
    <w:rsid w:val="001B34C6"/>
    <w:rsid w:val="001B3707"/>
    <w:rsid w:val="001B4B43"/>
    <w:rsid w:val="001B4CBE"/>
    <w:rsid w:val="001B509E"/>
    <w:rsid w:val="001C3FF9"/>
    <w:rsid w:val="001C4E47"/>
    <w:rsid w:val="001C583F"/>
    <w:rsid w:val="001C6929"/>
    <w:rsid w:val="001C6A95"/>
    <w:rsid w:val="001C6F44"/>
    <w:rsid w:val="001C782A"/>
    <w:rsid w:val="001C7A93"/>
    <w:rsid w:val="001D00BA"/>
    <w:rsid w:val="001D061E"/>
    <w:rsid w:val="001D0EA6"/>
    <w:rsid w:val="001D0F46"/>
    <w:rsid w:val="001D122C"/>
    <w:rsid w:val="001D31EC"/>
    <w:rsid w:val="001D4738"/>
    <w:rsid w:val="001D56C2"/>
    <w:rsid w:val="001D5867"/>
    <w:rsid w:val="001D7832"/>
    <w:rsid w:val="001E0A9C"/>
    <w:rsid w:val="001E2988"/>
    <w:rsid w:val="001E4140"/>
    <w:rsid w:val="001E4C47"/>
    <w:rsid w:val="001E6EE1"/>
    <w:rsid w:val="001E7CCB"/>
    <w:rsid w:val="001F0B57"/>
    <w:rsid w:val="001F1036"/>
    <w:rsid w:val="001F2F7B"/>
    <w:rsid w:val="001F391A"/>
    <w:rsid w:val="001F4549"/>
    <w:rsid w:val="001F5A32"/>
    <w:rsid w:val="001F5CA5"/>
    <w:rsid w:val="001F61B8"/>
    <w:rsid w:val="001F6FE0"/>
    <w:rsid w:val="0020021A"/>
    <w:rsid w:val="00200C1F"/>
    <w:rsid w:val="00200EDF"/>
    <w:rsid w:val="00202108"/>
    <w:rsid w:val="002060F1"/>
    <w:rsid w:val="00206165"/>
    <w:rsid w:val="0020634D"/>
    <w:rsid w:val="0020708A"/>
    <w:rsid w:val="00207FA6"/>
    <w:rsid w:val="00210DC1"/>
    <w:rsid w:val="0021121B"/>
    <w:rsid w:val="00211D34"/>
    <w:rsid w:val="00212E00"/>
    <w:rsid w:val="00213C23"/>
    <w:rsid w:val="00214260"/>
    <w:rsid w:val="00214F04"/>
    <w:rsid w:val="00215AC7"/>
    <w:rsid w:val="00216F48"/>
    <w:rsid w:val="00217D81"/>
    <w:rsid w:val="00220D66"/>
    <w:rsid w:val="00220F39"/>
    <w:rsid w:val="00220FF3"/>
    <w:rsid w:val="002214D0"/>
    <w:rsid w:val="00222FB8"/>
    <w:rsid w:val="00223D04"/>
    <w:rsid w:val="00223D28"/>
    <w:rsid w:val="00226A5A"/>
    <w:rsid w:val="002322AB"/>
    <w:rsid w:val="00234BE4"/>
    <w:rsid w:val="002352B9"/>
    <w:rsid w:val="002354C4"/>
    <w:rsid w:val="002408C0"/>
    <w:rsid w:val="00243EFE"/>
    <w:rsid w:val="0024552F"/>
    <w:rsid w:val="00245AED"/>
    <w:rsid w:val="0024718C"/>
    <w:rsid w:val="002476C6"/>
    <w:rsid w:val="00250047"/>
    <w:rsid w:val="002521E0"/>
    <w:rsid w:val="0025332B"/>
    <w:rsid w:val="002563D8"/>
    <w:rsid w:val="0025679A"/>
    <w:rsid w:val="002568C5"/>
    <w:rsid w:val="00256A3A"/>
    <w:rsid w:val="00261050"/>
    <w:rsid w:val="00261286"/>
    <w:rsid w:val="002633EA"/>
    <w:rsid w:val="00266CD6"/>
    <w:rsid w:val="00266D52"/>
    <w:rsid w:val="002673AC"/>
    <w:rsid w:val="00267A55"/>
    <w:rsid w:val="002705BF"/>
    <w:rsid w:val="002714B4"/>
    <w:rsid w:val="00272C93"/>
    <w:rsid w:val="002730EC"/>
    <w:rsid w:val="00273185"/>
    <w:rsid w:val="002735BA"/>
    <w:rsid w:val="00273F5D"/>
    <w:rsid w:val="00275DAB"/>
    <w:rsid w:val="0027619A"/>
    <w:rsid w:val="00276659"/>
    <w:rsid w:val="0028020C"/>
    <w:rsid w:val="00281DF5"/>
    <w:rsid w:val="0028332B"/>
    <w:rsid w:val="0028345D"/>
    <w:rsid w:val="00284379"/>
    <w:rsid w:val="00284658"/>
    <w:rsid w:val="00284BF4"/>
    <w:rsid w:val="00284F5E"/>
    <w:rsid w:val="00285132"/>
    <w:rsid w:val="00285FB4"/>
    <w:rsid w:val="00286F12"/>
    <w:rsid w:val="002879E7"/>
    <w:rsid w:val="0029004E"/>
    <w:rsid w:val="002903C0"/>
    <w:rsid w:val="0029071C"/>
    <w:rsid w:val="00290869"/>
    <w:rsid w:val="0029095F"/>
    <w:rsid w:val="00292A1C"/>
    <w:rsid w:val="002934BA"/>
    <w:rsid w:val="00293713"/>
    <w:rsid w:val="002950F7"/>
    <w:rsid w:val="00296285"/>
    <w:rsid w:val="002962F5"/>
    <w:rsid w:val="00297FC8"/>
    <w:rsid w:val="002A0277"/>
    <w:rsid w:val="002A077E"/>
    <w:rsid w:val="002A131A"/>
    <w:rsid w:val="002A3D14"/>
    <w:rsid w:val="002A4151"/>
    <w:rsid w:val="002A4878"/>
    <w:rsid w:val="002A492A"/>
    <w:rsid w:val="002A4B5D"/>
    <w:rsid w:val="002A5188"/>
    <w:rsid w:val="002A5CF0"/>
    <w:rsid w:val="002A63FA"/>
    <w:rsid w:val="002A782A"/>
    <w:rsid w:val="002B0AA7"/>
    <w:rsid w:val="002B0E0F"/>
    <w:rsid w:val="002B11E2"/>
    <w:rsid w:val="002B24B8"/>
    <w:rsid w:val="002B4932"/>
    <w:rsid w:val="002B5546"/>
    <w:rsid w:val="002B5DBF"/>
    <w:rsid w:val="002B5EEB"/>
    <w:rsid w:val="002C3679"/>
    <w:rsid w:val="002C6D24"/>
    <w:rsid w:val="002D127A"/>
    <w:rsid w:val="002D33F5"/>
    <w:rsid w:val="002D3AE9"/>
    <w:rsid w:val="002D4229"/>
    <w:rsid w:val="002D4510"/>
    <w:rsid w:val="002D61DB"/>
    <w:rsid w:val="002D646B"/>
    <w:rsid w:val="002D70F9"/>
    <w:rsid w:val="002D7AAA"/>
    <w:rsid w:val="002D7F13"/>
    <w:rsid w:val="002E1FA9"/>
    <w:rsid w:val="002E4634"/>
    <w:rsid w:val="002E4D11"/>
    <w:rsid w:val="002E5777"/>
    <w:rsid w:val="002E5EC8"/>
    <w:rsid w:val="002E5EF6"/>
    <w:rsid w:val="002E60A5"/>
    <w:rsid w:val="002E6C87"/>
    <w:rsid w:val="002E7592"/>
    <w:rsid w:val="002F0734"/>
    <w:rsid w:val="002F1021"/>
    <w:rsid w:val="002F12FF"/>
    <w:rsid w:val="002F175F"/>
    <w:rsid w:val="002F299B"/>
    <w:rsid w:val="002F46E7"/>
    <w:rsid w:val="002F56A8"/>
    <w:rsid w:val="002F64AE"/>
    <w:rsid w:val="002F72D6"/>
    <w:rsid w:val="002F75AD"/>
    <w:rsid w:val="002F79FF"/>
    <w:rsid w:val="00303AFF"/>
    <w:rsid w:val="00304716"/>
    <w:rsid w:val="0030529B"/>
    <w:rsid w:val="00305DCF"/>
    <w:rsid w:val="0030618D"/>
    <w:rsid w:val="003079AF"/>
    <w:rsid w:val="003101DA"/>
    <w:rsid w:val="00310258"/>
    <w:rsid w:val="003111C3"/>
    <w:rsid w:val="00311871"/>
    <w:rsid w:val="00311FE1"/>
    <w:rsid w:val="0031240C"/>
    <w:rsid w:val="00312AAB"/>
    <w:rsid w:val="00313B3E"/>
    <w:rsid w:val="00314757"/>
    <w:rsid w:val="00315B4E"/>
    <w:rsid w:val="003163BC"/>
    <w:rsid w:val="003211CE"/>
    <w:rsid w:val="00321591"/>
    <w:rsid w:val="00321CAA"/>
    <w:rsid w:val="0032255D"/>
    <w:rsid w:val="00322C32"/>
    <w:rsid w:val="003230CC"/>
    <w:rsid w:val="003242BC"/>
    <w:rsid w:val="0032522C"/>
    <w:rsid w:val="00325FDC"/>
    <w:rsid w:val="00326B60"/>
    <w:rsid w:val="00331175"/>
    <w:rsid w:val="003316C6"/>
    <w:rsid w:val="00331B7F"/>
    <w:rsid w:val="00332E44"/>
    <w:rsid w:val="00333489"/>
    <w:rsid w:val="003343DA"/>
    <w:rsid w:val="0033521F"/>
    <w:rsid w:val="0033543C"/>
    <w:rsid w:val="00335C5E"/>
    <w:rsid w:val="00337AE7"/>
    <w:rsid w:val="0034090E"/>
    <w:rsid w:val="003409AC"/>
    <w:rsid w:val="00341A53"/>
    <w:rsid w:val="003440D2"/>
    <w:rsid w:val="003466AA"/>
    <w:rsid w:val="003467BE"/>
    <w:rsid w:val="0035062A"/>
    <w:rsid w:val="00350B49"/>
    <w:rsid w:val="00350D9F"/>
    <w:rsid w:val="00352841"/>
    <w:rsid w:val="00352D2D"/>
    <w:rsid w:val="0035403A"/>
    <w:rsid w:val="003564E3"/>
    <w:rsid w:val="00360603"/>
    <w:rsid w:val="003611F8"/>
    <w:rsid w:val="003637DC"/>
    <w:rsid w:val="00363900"/>
    <w:rsid w:val="0036394B"/>
    <w:rsid w:val="00364200"/>
    <w:rsid w:val="00364280"/>
    <w:rsid w:val="003642E7"/>
    <w:rsid w:val="00364D1A"/>
    <w:rsid w:val="00366DB6"/>
    <w:rsid w:val="003709B5"/>
    <w:rsid w:val="00371B9F"/>
    <w:rsid w:val="00371D12"/>
    <w:rsid w:val="00371F5A"/>
    <w:rsid w:val="00372AA0"/>
    <w:rsid w:val="00372AA3"/>
    <w:rsid w:val="00372CC9"/>
    <w:rsid w:val="00373D2A"/>
    <w:rsid w:val="00374C2E"/>
    <w:rsid w:val="00375856"/>
    <w:rsid w:val="003759C2"/>
    <w:rsid w:val="00376753"/>
    <w:rsid w:val="003767B6"/>
    <w:rsid w:val="00380170"/>
    <w:rsid w:val="00380FF4"/>
    <w:rsid w:val="003818C3"/>
    <w:rsid w:val="0038226C"/>
    <w:rsid w:val="00383F01"/>
    <w:rsid w:val="003853F1"/>
    <w:rsid w:val="00386ADE"/>
    <w:rsid w:val="003876B9"/>
    <w:rsid w:val="00387E3A"/>
    <w:rsid w:val="003908B3"/>
    <w:rsid w:val="00390F4D"/>
    <w:rsid w:val="00392A14"/>
    <w:rsid w:val="00393B03"/>
    <w:rsid w:val="00395C47"/>
    <w:rsid w:val="00397219"/>
    <w:rsid w:val="00397365"/>
    <w:rsid w:val="003978C9"/>
    <w:rsid w:val="003A0A4E"/>
    <w:rsid w:val="003A105A"/>
    <w:rsid w:val="003A31F6"/>
    <w:rsid w:val="003A3571"/>
    <w:rsid w:val="003A3A04"/>
    <w:rsid w:val="003A4908"/>
    <w:rsid w:val="003A4D07"/>
    <w:rsid w:val="003A5366"/>
    <w:rsid w:val="003A66FA"/>
    <w:rsid w:val="003A69E7"/>
    <w:rsid w:val="003A7C35"/>
    <w:rsid w:val="003A7EDA"/>
    <w:rsid w:val="003B0511"/>
    <w:rsid w:val="003B1094"/>
    <w:rsid w:val="003B24AC"/>
    <w:rsid w:val="003B2CEB"/>
    <w:rsid w:val="003B4172"/>
    <w:rsid w:val="003B43F9"/>
    <w:rsid w:val="003B44B6"/>
    <w:rsid w:val="003B504C"/>
    <w:rsid w:val="003B6760"/>
    <w:rsid w:val="003B6B2E"/>
    <w:rsid w:val="003B7773"/>
    <w:rsid w:val="003C1151"/>
    <w:rsid w:val="003C12CC"/>
    <w:rsid w:val="003C29C2"/>
    <w:rsid w:val="003C3447"/>
    <w:rsid w:val="003C48AE"/>
    <w:rsid w:val="003C55AC"/>
    <w:rsid w:val="003C5D89"/>
    <w:rsid w:val="003C6808"/>
    <w:rsid w:val="003C7B3A"/>
    <w:rsid w:val="003C7CF8"/>
    <w:rsid w:val="003D076C"/>
    <w:rsid w:val="003D2080"/>
    <w:rsid w:val="003D27C0"/>
    <w:rsid w:val="003D6332"/>
    <w:rsid w:val="003E314B"/>
    <w:rsid w:val="003E43AB"/>
    <w:rsid w:val="003E5497"/>
    <w:rsid w:val="003E70F0"/>
    <w:rsid w:val="003E72B9"/>
    <w:rsid w:val="003E78B5"/>
    <w:rsid w:val="003F0400"/>
    <w:rsid w:val="003F0DD5"/>
    <w:rsid w:val="003F1D76"/>
    <w:rsid w:val="003F3269"/>
    <w:rsid w:val="003F6E2E"/>
    <w:rsid w:val="003F7380"/>
    <w:rsid w:val="003F7C6B"/>
    <w:rsid w:val="004006FC"/>
    <w:rsid w:val="00400AD5"/>
    <w:rsid w:val="00402A01"/>
    <w:rsid w:val="00402B8A"/>
    <w:rsid w:val="00403EB3"/>
    <w:rsid w:val="00406197"/>
    <w:rsid w:val="004106FE"/>
    <w:rsid w:val="00410725"/>
    <w:rsid w:val="00412C34"/>
    <w:rsid w:val="00412F7D"/>
    <w:rsid w:val="00413E31"/>
    <w:rsid w:val="00413E77"/>
    <w:rsid w:val="004143A9"/>
    <w:rsid w:val="004149D5"/>
    <w:rsid w:val="00414FCF"/>
    <w:rsid w:val="004154E5"/>
    <w:rsid w:val="00415A46"/>
    <w:rsid w:val="00415BAB"/>
    <w:rsid w:val="00415E7E"/>
    <w:rsid w:val="00415ED2"/>
    <w:rsid w:val="0042068C"/>
    <w:rsid w:val="00421543"/>
    <w:rsid w:val="00422052"/>
    <w:rsid w:val="00423517"/>
    <w:rsid w:val="00424851"/>
    <w:rsid w:val="0042506A"/>
    <w:rsid w:val="00425957"/>
    <w:rsid w:val="00426B43"/>
    <w:rsid w:val="00426DB5"/>
    <w:rsid w:val="00430317"/>
    <w:rsid w:val="00431956"/>
    <w:rsid w:val="0043200D"/>
    <w:rsid w:val="0043251E"/>
    <w:rsid w:val="00434497"/>
    <w:rsid w:val="00434848"/>
    <w:rsid w:val="00435975"/>
    <w:rsid w:val="00436AED"/>
    <w:rsid w:val="004373C2"/>
    <w:rsid w:val="00442744"/>
    <w:rsid w:val="0044309B"/>
    <w:rsid w:val="0044318E"/>
    <w:rsid w:val="00443B35"/>
    <w:rsid w:val="00443B86"/>
    <w:rsid w:val="004451CC"/>
    <w:rsid w:val="00445A70"/>
    <w:rsid w:val="00445BDF"/>
    <w:rsid w:val="00450533"/>
    <w:rsid w:val="0045090B"/>
    <w:rsid w:val="00452CD5"/>
    <w:rsid w:val="004532AD"/>
    <w:rsid w:val="00453789"/>
    <w:rsid w:val="0045488D"/>
    <w:rsid w:val="00455007"/>
    <w:rsid w:val="00456652"/>
    <w:rsid w:val="0045668C"/>
    <w:rsid w:val="004578F3"/>
    <w:rsid w:val="00457B83"/>
    <w:rsid w:val="00461887"/>
    <w:rsid w:val="00462C66"/>
    <w:rsid w:val="00462D9C"/>
    <w:rsid w:val="00464246"/>
    <w:rsid w:val="004645F9"/>
    <w:rsid w:val="00464905"/>
    <w:rsid w:val="00466A6A"/>
    <w:rsid w:val="00467CF7"/>
    <w:rsid w:val="00467E02"/>
    <w:rsid w:val="00467E6C"/>
    <w:rsid w:val="004704E5"/>
    <w:rsid w:val="00470F99"/>
    <w:rsid w:val="0047122B"/>
    <w:rsid w:val="004714A5"/>
    <w:rsid w:val="00471615"/>
    <w:rsid w:val="00472677"/>
    <w:rsid w:val="00472733"/>
    <w:rsid w:val="00472D27"/>
    <w:rsid w:val="00472E3D"/>
    <w:rsid w:val="00473B7A"/>
    <w:rsid w:val="00473CED"/>
    <w:rsid w:val="00473E91"/>
    <w:rsid w:val="00473FE7"/>
    <w:rsid w:val="00474ECC"/>
    <w:rsid w:val="0047522C"/>
    <w:rsid w:val="00477539"/>
    <w:rsid w:val="00477C1E"/>
    <w:rsid w:val="0048175C"/>
    <w:rsid w:val="004828C9"/>
    <w:rsid w:val="004833A3"/>
    <w:rsid w:val="00483D48"/>
    <w:rsid w:val="00483EF6"/>
    <w:rsid w:val="004840F2"/>
    <w:rsid w:val="0048435A"/>
    <w:rsid w:val="004847C7"/>
    <w:rsid w:val="004849D7"/>
    <w:rsid w:val="00485B31"/>
    <w:rsid w:val="00486778"/>
    <w:rsid w:val="00487A91"/>
    <w:rsid w:val="00491265"/>
    <w:rsid w:val="00491670"/>
    <w:rsid w:val="004919C6"/>
    <w:rsid w:val="00493C32"/>
    <w:rsid w:val="004945AE"/>
    <w:rsid w:val="00495099"/>
    <w:rsid w:val="004960E9"/>
    <w:rsid w:val="00497125"/>
    <w:rsid w:val="0049770A"/>
    <w:rsid w:val="00497D6B"/>
    <w:rsid w:val="004A0802"/>
    <w:rsid w:val="004A206C"/>
    <w:rsid w:val="004A2E88"/>
    <w:rsid w:val="004A3216"/>
    <w:rsid w:val="004A4999"/>
    <w:rsid w:val="004A5305"/>
    <w:rsid w:val="004A65B8"/>
    <w:rsid w:val="004A70FF"/>
    <w:rsid w:val="004B22A6"/>
    <w:rsid w:val="004B26FD"/>
    <w:rsid w:val="004B28EC"/>
    <w:rsid w:val="004B29B4"/>
    <w:rsid w:val="004B35EB"/>
    <w:rsid w:val="004B3A80"/>
    <w:rsid w:val="004B44E3"/>
    <w:rsid w:val="004C22DC"/>
    <w:rsid w:val="004C290E"/>
    <w:rsid w:val="004C44D5"/>
    <w:rsid w:val="004C4A8D"/>
    <w:rsid w:val="004C4CF7"/>
    <w:rsid w:val="004C52C5"/>
    <w:rsid w:val="004C79EA"/>
    <w:rsid w:val="004C7F1B"/>
    <w:rsid w:val="004D25FA"/>
    <w:rsid w:val="004D2A79"/>
    <w:rsid w:val="004D7634"/>
    <w:rsid w:val="004E045F"/>
    <w:rsid w:val="004E13FD"/>
    <w:rsid w:val="004E27E2"/>
    <w:rsid w:val="004E3EF0"/>
    <w:rsid w:val="004E44A2"/>
    <w:rsid w:val="004E5E3A"/>
    <w:rsid w:val="004E611A"/>
    <w:rsid w:val="004F2206"/>
    <w:rsid w:val="004F2817"/>
    <w:rsid w:val="004F539C"/>
    <w:rsid w:val="004F6460"/>
    <w:rsid w:val="00501E40"/>
    <w:rsid w:val="00501E4D"/>
    <w:rsid w:val="005030DB"/>
    <w:rsid w:val="00503CFA"/>
    <w:rsid w:val="00504C75"/>
    <w:rsid w:val="00504DDB"/>
    <w:rsid w:val="00505435"/>
    <w:rsid w:val="00507154"/>
    <w:rsid w:val="00507343"/>
    <w:rsid w:val="005117BF"/>
    <w:rsid w:val="005118E5"/>
    <w:rsid w:val="0051261E"/>
    <w:rsid w:val="00512BA2"/>
    <w:rsid w:val="0051643A"/>
    <w:rsid w:val="00522BA1"/>
    <w:rsid w:val="005231CE"/>
    <w:rsid w:val="00523C7E"/>
    <w:rsid w:val="0052441C"/>
    <w:rsid w:val="00524A8A"/>
    <w:rsid w:val="00525210"/>
    <w:rsid w:val="005259B6"/>
    <w:rsid w:val="00526EF4"/>
    <w:rsid w:val="005276B1"/>
    <w:rsid w:val="005276E9"/>
    <w:rsid w:val="005300D3"/>
    <w:rsid w:val="00530C56"/>
    <w:rsid w:val="005311B5"/>
    <w:rsid w:val="0053158D"/>
    <w:rsid w:val="00532DE1"/>
    <w:rsid w:val="00534427"/>
    <w:rsid w:val="00534732"/>
    <w:rsid w:val="00534C45"/>
    <w:rsid w:val="0054056B"/>
    <w:rsid w:val="00540916"/>
    <w:rsid w:val="005417A0"/>
    <w:rsid w:val="00541887"/>
    <w:rsid w:val="00542A10"/>
    <w:rsid w:val="00544F82"/>
    <w:rsid w:val="005457A5"/>
    <w:rsid w:val="00545EAB"/>
    <w:rsid w:val="00546EB5"/>
    <w:rsid w:val="0055014F"/>
    <w:rsid w:val="005509D2"/>
    <w:rsid w:val="005513E0"/>
    <w:rsid w:val="0055305C"/>
    <w:rsid w:val="0055313F"/>
    <w:rsid w:val="00553394"/>
    <w:rsid w:val="005542B4"/>
    <w:rsid w:val="0055454B"/>
    <w:rsid w:val="005545DC"/>
    <w:rsid w:val="00554B12"/>
    <w:rsid w:val="0055550C"/>
    <w:rsid w:val="00555C36"/>
    <w:rsid w:val="00556098"/>
    <w:rsid w:val="005570BB"/>
    <w:rsid w:val="0055740A"/>
    <w:rsid w:val="005606DC"/>
    <w:rsid w:val="00563555"/>
    <w:rsid w:val="00563F3E"/>
    <w:rsid w:val="00564691"/>
    <w:rsid w:val="005647FE"/>
    <w:rsid w:val="00567DA1"/>
    <w:rsid w:val="00571930"/>
    <w:rsid w:val="0057474A"/>
    <w:rsid w:val="005750AA"/>
    <w:rsid w:val="005763AF"/>
    <w:rsid w:val="005768B4"/>
    <w:rsid w:val="0058091E"/>
    <w:rsid w:val="00581A75"/>
    <w:rsid w:val="00581F28"/>
    <w:rsid w:val="00582F26"/>
    <w:rsid w:val="005836C2"/>
    <w:rsid w:val="00583983"/>
    <w:rsid w:val="00584B01"/>
    <w:rsid w:val="00586190"/>
    <w:rsid w:val="00586E76"/>
    <w:rsid w:val="00590363"/>
    <w:rsid w:val="00591E3A"/>
    <w:rsid w:val="0059201A"/>
    <w:rsid w:val="005921CB"/>
    <w:rsid w:val="00593C4F"/>
    <w:rsid w:val="005946A8"/>
    <w:rsid w:val="0059535D"/>
    <w:rsid w:val="005955C0"/>
    <w:rsid w:val="005977C7"/>
    <w:rsid w:val="005979BA"/>
    <w:rsid w:val="005A010C"/>
    <w:rsid w:val="005A0127"/>
    <w:rsid w:val="005A12C9"/>
    <w:rsid w:val="005A4407"/>
    <w:rsid w:val="005A5995"/>
    <w:rsid w:val="005A59EF"/>
    <w:rsid w:val="005A62EF"/>
    <w:rsid w:val="005A6EF5"/>
    <w:rsid w:val="005A7A7C"/>
    <w:rsid w:val="005B081A"/>
    <w:rsid w:val="005B1C7E"/>
    <w:rsid w:val="005B3FAA"/>
    <w:rsid w:val="005B54F0"/>
    <w:rsid w:val="005B5F9B"/>
    <w:rsid w:val="005B6437"/>
    <w:rsid w:val="005B6629"/>
    <w:rsid w:val="005C03A3"/>
    <w:rsid w:val="005C0E75"/>
    <w:rsid w:val="005C12F0"/>
    <w:rsid w:val="005C1535"/>
    <w:rsid w:val="005C1673"/>
    <w:rsid w:val="005C16FC"/>
    <w:rsid w:val="005C1B95"/>
    <w:rsid w:val="005C38E6"/>
    <w:rsid w:val="005C4695"/>
    <w:rsid w:val="005C4BE0"/>
    <w:rsid w:val="005C5AA4"/>
    <w:rsid w:val="005C6976"/>
    <w:rsid w:val="005C753F"/>
    <w:rsid w:val="005D0DD7"/>
    <w:rsid w:val="005D161D"/>
    <w:rsid w:val="005D2FDE"/>
    <w:rsid w:val="005D3227"/>
    <w:rsid w:val="005D54A5"/>
    <w:rsid w:val="005D5F57"/>
    <w:rsid w:val="005E087A"/>
    <w:rsid w:val="005E1A02"/>
    <w:rsid w:val="005E2AA8"/>
    <w:rsid w:val="005E4C17"/>
    <w:rsid w:val="005E7F84"/>
    <w:rsid w:val="005F0E08"/>
    <w:rsid w:val="005F0E41"/>
    <w:rsid w:val="005F172C"/>
    <w:rsid w:val="005F19FD"/>
    <w:rsid w:val="005F2D7D"/>
    <w:rsid w:val="005F310A"/>
    <w:rsid w:val="005F3254"/>
    <w:rsid w:val="005F39D5"/>
    <w:rsid w:val="005F424D"/>
    <w:rsid w:val="005F455F"/>
    <w:rsid w:val="005F4E53"/>
    <w:rsid w:val="005F56C8"/>
    <w:rsid w:val="005F6F41"/>
    <w:rsid w:val="005F7BC7"/>
    <w:rsid w:val="00600577"/>
    <w:rsid w:val="00600BDA"/>
    <w:rsid w:val="00601131"/>
    <w:rsid w:val="00602534"/>
    <w:rsid w:val="00602E0A"/>
    <w:rsid w:val="006049B8"/>
    <w:rsid w:val="0060513B"/>
    <w:rsid w:val="006057A8"/>
    <w:rsid w:val="00605C9F"/>
    <w:rsid w:val="006060C5"/>
    <w:rsid w:val="00606CD6"/>
    <w:rsid w:val="00607DDF"/>
    <w:rsid w:val="00610149"/>
    <w:rsid w:val="0061116A"/>
    <w:rsid w:val="006115C4"/>
    <w:rsid w:val="00612491"/>
    <w:rsid w:val="006127FA"/>
    <w:rsid w:val="00613221"/>
    <w:rsid w:val="006140E6"/>
    <w:rsid w:val="006155AF"/>
    <w:rsid w:val="00615F3C"/>
    <w:rsid w:val="006165B7"/>
    <w:rsid w:val="00616A1D"/>
    <w:rsid w:val="0061712C"/>
    <w:rsid w:val="00617B9B"/>
    <w:rsid w:val="00620729"/>
    <w:rsid w:val="00621F95"/>
    <w:rsid w:val="006226EB"/>
    <w:rsid w:val="00622B0A"/>
    <w:rsid w:val="00622CD5"/>
    <w:rsid w:val="00623203"/>
    <w:rsid w:val="006232EA"/>
    <w:rsid w:val="00623C0A"/>
    <w:rsid w:val="006258D9"/>
    <w:rsid w:val="00625DC6"/>
    <w:rsid w:val="006308E2"/>
    <w:rsid w:val="00631985"/>
    <w:rsid w:val="00631A65"/>
    <w:rsid w:val="00631EAA"/>
    <w:rsid w:val="00633289"/>
    <w:rsid w:val="00633F96"/>
    <w:rsid w:val="006344E7"/>
    <w:rsid w:val="006379B2"/>
    <w:rsid w:val="006379F3"/>
    <w:rsid w:val="00642EAA"/>
    <w:rsid w:val="006432A4"/>
    <w:rsid w:val="006437A7"/>
    <w:rsid w:val="006438B8"/>
    <w:rsid w:val="0064391D"/>
    <w:rsid w:val="0064412E"/>
    <w:rsid w:val="0064686C"/>
    <w:rsid w:val="00646B04"/>
    <w:rsid w:val="00646C32"/>
    <w:rsid w:val="00650FC3"/>
    <w:rsid w:val="00651821"/>
    <w:rsid w:val="00652488"/>
    <w:rsid w:val="00652A13"/>
    <w:rsid w:val="00654384"/>
    <w:rsid w:val="006545E4"/>
    <w:rsid w:val="006549F4"/>
    <w:rsid w:val="00656D57"/>
    <w:rsid w:val="00660B70"/>
    <w:rsid w:val="00661142"/>
    <w:rsid w:val="006623A1"/>
    <w:rsid w:val="00662C2E"/>
    <w:rsid w:val="00663015"/>
    <w:rsid w:val="0066321A"/>
    <w:rsid w:val="006642E9"/>
    <w:rsid w:val="006643E8"/>
    <w:rsid w:val="00665D50"/>
    <w:rsid w:val="00667089"/>
    <w:rsid w:val="006675CD"/>
    <w:rsid w:val="0067041B"/>
    <w:rsid w:val="006713F4"/>
    <w:rsid w:val="00671F06"/>
    <w:rsid w:val="0067358A"/>
    <w:rsid w:val="00674D8A"/>
    <w:rsid w:val="00675DE1"/>
    <w:rsid w:val="0067721E"/>
    <w:rsid w:val="00677AF8"/>
    <w:rsid w:val="00677DC9"/>
    <w:rsid w:val="00677F39"/>
    <w:rsid w:val="00683EB8"/>
    <w:rsid w:val="0068439C"/>
    <w:rsid w:val="00684D9B"/>
    <w:rsid w:val="0068510A"/>
    <w:rsid w:val="00685428"/>
    <w:rsid w:val="00687EE1"/>
    <w:rsid w:val="00690855"/>
    <w:rsid w:val="00691350"/>
    <w:rsid w:val="00693274"/>
    <w:rsid w:val="00693AAE"/>
    <w:rsid w:val="00695FB3"/>
    <w:rsid w:val="00696D77"/>
    <w:rsid w:val="00697556"/>
    <w:rsid w:val="00697DFC"/>
    <w:rsid w:val="006A0474"/>
    <w:rsid w:val="006A1492"/>
    <w:rsid w:val="006A5757"/>
    <w:rsid w:val="006A6B7F"/>
    <w:rsid w:val="006A7DD7"/>
    <w:rsid w:val="006B1782"/>
    <w:rsid w:val="006B21E6"/>
    <w:rsid w:val="006B2890"/>
    <w:rsid w:val="006B31B7"/>
    <w:rsid w:val="006B4647"/>
    <w:rsid w:val="006B4C2B"/>
    <w:rsid w:val="006B5844"/>
    <w:rsid w:val="006B6194"/>
    <w:rsid w:val="006B67E6"/>
    <w:rsid w:val="006B6D47"/>
    <w:rsid w:val="006C3007"/>
    <w:rsid w:val="006C3F18"/>
    <w:rsid w:val="006C5AFE"/>
    <w:rsid w:val="006C6879"/>
    <w:rsid w:val="006D242A"/>
    <w:rsid w:val="006D4B50"/>
    <w:rsid w:val="006D5AC7"/>
    <w:rsid w:val="006D719B"/>
    <w:rsid w:val="006D7536"/>
    <w:rsid w:val="006E01C6"/>
    <w:rsid w:val="006E2196"/>
    <w:rsid w:val="006E3489"/>
    <w:rsid w:val="006E463F"/>
    <w:rsid w:val="006E5CB7"/>
    <w:rsid w:val="006E72FB"/>
    <w:rsid w:val="006E74D1"/>
    <w:rsid w:val="006E7E5B"/>
    <w:rsid w:val="006F2EC8"/>
    <w:rsid w:val="006F3CAF"/>
    <w:rsid w:val="006F409A"/>
    <w:rsid w:val="006F40C7"/>
    <w:rsid w:val="006F58DD"/>
    <w:rsid w:val="006F5F47"/>
    <w:rsid w:val="006F6D95"/>
    <w:rsid w:val="006F7296"/>
    <w:rsid w:val="006F7903"/>
    <w:rsid w:val="007027C9"/>
    <w:rsid w:val="00705EB6"/>
    <w:rsid w:val="007065DE"/>
    <w:rsid w:val="00706B6C"/>
    <w:rsid w:val="00706F13"/>
    <w:rsid w:val="007071FD"/>
    <w:rsid w:val="007072E8"/>
    <w:rsid w:val="007073E5"/>
    <w:rsid w:val="00710085"/>
    <w:rsid w:val="00711CDA"/>
    <w:rsid w:val="00711FA9"/>
    <w:rsid w:val="0071333B"/>
    <w:rsid w:val="00713815"/>
    <w:rsid w:val="007138E5"/>
    <w:rsid w:val="0071474D"/>
    <w:rsid w:val="0071488E"/>
    <w:rsid w:val="007156E2"/>
    <w:rsid w:val="0071618D"/>
    <w:rsid w:val="0071786C"/>
    <w:rsid w:val="00721027"/>
    <w:rsid w:val="00721E8E"/>
    <w:rsid w:val="00724171"/>
    <w:rsid w:val="00724428"/>
    <w:rsid w:val="00725646"/>
    <w:rsid w:val="00725AFF"/>
    <w:rsid w:val="00725FA4"/>
    <w:rsid w:val="00726FE4"/>
    <w:rsid w:val="00727065"/>
    <w:rsid w:val="0072737A"/>
    <w:rsid w:val="007306AE"/>
    <w:rsid w:val="00730CFE"/>
    <w:rsid w:val="00731914"/>
    <w:rsid w:val="007326D4"/>
    <w:rsid w:val="00734725"/>
    <w:rsid w:val="007353A4"/>
    <w:rsid w:val="00735981"/>
    <w:rsid w:val="00735C8F"/>
    <w:rsid w:val="00740446"/>
    <w:rsid w:val="00740EB5"/>
    <w:rsid w:val="007427BF"/>
    <w:rsid w:val="007428BC"/>
    <w:rsid w:val="007438A9"/>
    <w:rsid w:val="007441A9"/>
    <w:rsid w:val="007442DE"/>
    <w:rsid w:val="007447B2"/>
    <w:rsid w:val="0074491E"/>
    <w:rsid w:val="00745031"/>
    <w:rsid w:val="00745B02"/>
    <w:rsid w:val="00750E96"/>
    <w:rsid w:val="00751DBF"/>
    <w:rsid w:val="00752B45"/>
    <w:rsid w:val="00754347"/>
    <w:rsid w:val="0075438D"/>
    <w:rsid w:val="0075471F"/>
    <w:rsid w:val="00757CFB"/>
    <w:rsid w:val="007607CA"/>
    <w:rsid w:val="0076139C"/>
    <w:rsid w:val="0076247A"/>
    <w:rsid w:val="00762B64"/>
    <w:rsid w:val="007637DB"/>
    <w:rsid w:val="007639F0"/>
    <w:rsid w:val="00764DEF"/>
    <w:rsid w:val="00765F6A"/>
    <w:rsid w:val="00767947"/>
    <w:rsid w:val="0077114E"/>
    <w:rsid w:val="00772845"/>
    <w:rsid w:val="007738EC"/>
    <w:rsid w:val="00773B38"/>
    <w:rsid w:val="007742E5"/>
    <w:rsid w:val="007746D6"/>
    <w:rsid w:val="00775964"/>
    <w:rsid w:val="007765FE"/>
    <w:rsid w:val="00782E9A"/>
    <w:rsid w:val="00784ECB"/>
    <w:rsid w:val="00785162"/>
    <w:rsid w:val="007926AC"/>
    <w:rsid w:val="0079420B"/>
    <w:rsid w:val="00794E2E"/>
    <w:rsid w:val="00795BFB"/>
    <w:rsid w:val="007970EA"/>
    <w:rsid w:val="007A03B1"/>
    <w:rsid w:val="007A124F"/>
    <w:rsid w:val="007A1DD9"/>
    <w:rsid w:val="007A20D1"/>
    <w:rsid w:val="007A3490"/>
    <w:rsid w:val="007A4EF5"/>
    <w:rsid w:val="007A6181"/>
    <w:rsid w:val="007A74B4"/>
    <w:rsid w:val="007B06DF"/>
    <w:rsid w:val="007B0B5B"/>
    <w:rsid w:val="007B2086"/>
    <w:rsid w:val="007B2760"/>
    <w:rsid w:val="007B3C6E"/>
    <w:rsid w:val="007B4201"/>
    <w:rsid w:val="007B5A60"/>
    <w:rsid w:val="007B75EE"/>
    <w:rsid w:val="007C1E71"/>
    <w:rsid w:val="007C5F00"/>
    <w:rsid w:val="007C616F"/>
    <w:rsid w:val="007C6C32"/>
    <w:rsid w:val="007C6FE5"/>
    <w:rsid w:val="007C7D0F"/>
    <w:rsid w:val="007D072E"/>
    <w:rsid w:val="007D3738"/>
    <w:rsid w:val="007D479F"/>
    <w:rsid w:val="007D71B3"/>
    <w:rsid w:val="007D756B"/>
    <w:rsid w:val="007E06FE"/>
    <w:rsid w:val="007E1B05"/>
    <w:rsid w:val="007E1DD7"/>
    <w:rsid w:val="007E246D"/>
    <w:rsid w:val="007E2C7F"/>
    <w:rsid w:val="007E362C"/>
    <w:rsid w:val="007F12B8"/>
    <w:rsid w:val="007F2B79"/>
    <w:rsid w:val="007F2CE1"/>
    <w:rsid w:val="007F3828"/>
    <w:rsid w:val="007F5984"/>
    <w:rsid w:val="007F6A96"/>
    <w:rsid w:val="00800407"/>
    <w:rsid w:val="00800F6A"/>
    <w:rsid w:val="00802AD7"/>
    <w:rsid w:val="00806018"/>
    <w:rsid w:val="00806C01"/>
    <w:rsid w:val="00806F4F"/>
    <w:rsid w:val="008109A8"/>
    <w:rsid w:val="00811688"/>
    <w:rsid w:val="00811F7B"/>
    <w:rsid w:val="008134CD"/>
    <w:rsid w:val="00813CC2"/>
    <w:rsid w:val="008148CC"/>
    <w:rsid w:val="00814A66"/>
    <w:rsid w:val="0081576E"/>
    <w:rsid w:val="0081625A"/>
    <w:rsid w:val="00817F35"/>
    <w:rsid w:val="00820327"/>
    <w:rsid w:val="008211A4"/>
    <w:rsid w:val="00821CCC"/>
    <w:rsid w:val="008227DD"/>
    <w:rsid w:val="0082458E"/>
    <w:rsid w:val="008251B4"/>
    <w:rsid w:val="008252C1"/>
    <w:rsid w:val="0082788B"/>
    <w:rsid w:val="00830843"/>
    <w:rsid w:val="00831631"/>
    <w:rsid w:val="00836B2F"/>
    <w:rsid w:val="00836C8B"/>
    <w:rsid w:val="00841F22"/>
    <w:rsid w:val="0084339F"/>
    <w:rsid w:val="00843A25"/>
    <w:rsid w:val="00843CA6"/>
    <w:rsid w:val="00843CF0"/>
    <w:rsid w:val="008447A1"/>
    <w:rsid w:val="0084486E"/>
    <w:rsid w:val="00844A59"/>
    <w:rsid w:val="008467BB"/>
    <w:rsid w:val="0084693A"/>
    <w:rsid w:val="008501F9"/>
    <w:rsid w:val="00850350"/>
    <w:rsid w:val="008512DA"/>
    <w:rsid w:val="008520E3"/>
    <w:rsid w:val="00860D74"/>
    <w:rsid w:val="008616AD"/>
    <w:rsid w:val="00862291"/>
    <w:rsid w:val="008629FD"/>
    <w:rsid w:val="00862B10"/>
    <w:rsid w:val="0086339F"/>
    <w:rsid w:val="008667A5"/>
    <w:rsid w:val="0086727A"/>
    <w:rsid w:val="00870863"/>
    <w:rsid w:val="0087089B"/>
    <w:rsid w:val="00872BC1"/>
    <w:rsid w:val="00872BF6"/>
    <w:rsid w:val="00873150"/>
    <w:rsid w:val="00873291"/>
    <w:rsid w:val="0087330B"/>
    <w:rsid w:val="00874F9F"/>
    <w:rsid w:val="0087538E"/>
    <w:rsid w:val="0087657D"/>
    <w:rsid w:val="00877418"/>
    <w:rsid w:val="00880524"/>
    <w:rsid w:val="0088069C"/>
    <w:rsid w:val="008807D5"/>
    <w:rsid w:val="00880832"/>
    <w:rsid w:val="008810AC"/>
    <w:rsid w:val="00886EE1"/>
    <w:rsid w:val="0088727D"/>
    <w:rsid w:val="0089099F"/>
    <w:rsid w:val="0089121F"/>
    <w:rsid w:val="00893C80"/>
    <w:rsid w:val="00896A4E"/>
    <w:rsid w:val="00897C75"/>
    <w:rsid w:val="008A1908"/>
    <w:rsid w:val="008A1F64"/>
    <w:rsid w:val="008A3672"/>
    <w:rsid w:val="008A40EE"/>
    <w:rsid w:val="008A48DF"/>
    <w:rsid w:val="008A5352"/>
    <w:rsid w:val="008A6959"/>
    <w:rsid w:val="008A6CF9"/>
    <w:rsid w:val="008A7EF3"/>
    <w:rsid w:val="008B2048"/>
    <w:rsid w:val="008B27D5"/>
    <w:rsid w:val="008B5829"/>
    <w:rsid w:val="008B5B9E"/>
    <w:rsid w:val="008C0328"/>
    <w:rsid w:val="008C1130"/>
    <w:rsid w:val="008C1D0A"/>
    <w:rsid w:val="008C1F8B"/>
    <w:rsid w:val="008C2437"/>
    <w:rsid w:val="008C27A3"/>
    <w:rsid w:val="008C2E3E"/>
    <w:rsid w:val="008C3179"/>
    <w:rsid w:val="008C498E"/>
    <w:rsid w:val="008C50E3"/>
    <w:rsid w:val="008C7160"/>
    <w:rsid w:val="008C7A7C"/>
    <w:rsid w:val="008D0239"/>
    <w:rsid w:val="008D0808"/>
    <w:rsid w:val="008D1511"/>
    <w:rsid w:val="008D1879"/>
    <w:rsid w:val="008D18E6"/>
    <w:rsid w:val="008D3570"/>
    <w:rsid w:val="008D3573"/>
    <w:rsid w:val="008D4D9F"/>
    <w:rsid w:val="008D6865"/>
    <w:rsid w:val="008D693D"/>
    <w:rsid w:val="008D7A9B"/>
    <w:rsid w:val="008E0060"/>
    <w:rsid w:val="008E018A"/>
    <w:rsid w:val="008E042F"/>
    <w:rsid w:val="008E0538"/>
    <w:rsid w:val="008E0AFF"/>
    <w:rsid w:val="008E2CB3"/>
    <w:rsid w:val="008E3403"/>
    <w:rsid w:val="008E40E2"/>
    <w:rsid w:val="008E491D"/>
    <w:rsid w:val="008E4AB9"/>
    <w:rsid w:val="008E507A"/>
    <w:rsid w:val="008E5917"/>
    <w:rsid w:val="008E6BEC"/>
    <w:rsid w:val="008E7091"/>
    <w:rsid w:val="008E76AC"/>
    <w:rsid w:val="008F1747"/>
    <w:rsid w:val="008F20A6"/>
    <w:rsid w:val="008F21F6"/>
    <w:rsid w:val="008F2365"/>
    <w:rsid w:val="008F2F72"/>
    <w:rsid w:val="008F3432"/>
    <w:rsid w:val="008F3F91"/>
    <w:rsid w:val="008F42E8"/>
    <w:rsid w:val="008F4D79"/>
    <w:rsid w:val="008F4E54"/>
    <w:rsid w:val="008F4E95"/>
    <w:rsid w:val="008F52A1"/>
    <w:rsid w:val="008F5403"/>
    <w:rsid w:val="008F5A50"/>
    <w:rsid w:val="00900CEC"/>
    <w:rsid w:val="009047EF"/>
    <w:rsid w:val="009058D7"/>
    <w:rsid w:val="00906230"/>
    <w:rsid w:val="00906411"/>
    <w:rsid w:val="009065FA"/>
    <w:rsid w:val="00907224"/>
    <w:rsid w:val="00910E38"/>
    <w:rsid w:val="00910E5E"/>
    <w:rsid w:val="009119CF"/>
    <w:rsid w:val="00912055"/>
    <w:rsid w:val="00912BCB"/>
    <w:rsid w:val="00912D5F"/>
    <w:rsid w:val="00912D90"/>
    <w:rsid w:val="00912ED7"/>
    <w:rsid w:val="00914BB9"/>
    <w:rsid w:val="00915193"/>
    <w:rsid w:val="009207CF"/>
    <w:rsid w:val="00921652"/>
    <w:rsid w:val="0092563B"/>
    <w:rsid w:val="00926522"/>
    <w:rsid w:val="00926DED"/>
    <w:rsid w:val="009323E6"/>
    <w:rsid w:val="00933A32"/>
    <w:rsid w:val="00935502"/>
    <w:rsid w:val="00935FD1"/>
    <w:rsid w:val="00936BD8"/>
    <w:rsid w:val="009377BB"/>
    <w:rsid w:val="00937853"/>
    <w:rsid w:val="0094376B"/>
    <w:rsid w:val="00943CFC"/>
    <w:rsid w:val="00944992"/>
    <w:rsid w:val="00945654"/>
    <w:rsid w:val="00945776"/>
    <w:rsid w:val="009468CC"/>
    <w:rsid w:val="009469B3"/>
    <w:rsid w:val="0094753F"/>
    <w:rsid w:val="00947758"/>
    <w:rsid w:val="00950B4C"/>
    <w:rsid w:val="00950C10"/>
    <w:rsid w:val="00951F79"/>
    <w:rsid w:val="00952159"/>
    <w:rsid w:val="00954570"/>
    <w:rsid w:val="00954E59"/>
    <w:rsid w:val="009574A0"/>
    <w:rsid w:val="009576E6"/>
    <w:rsid w:val="00957A5E"/>
    <w:rsid w:val="00957BFD"/>
    <w:rsid w:val="00960A91"/>
    <w:rsid w:val="00960E62"/>
    <w:rsid w:val="00962C31"/>
    <w:rsid w:val="00962DE0"/>
    <w:rsid w:val="009635E8"/>
    <w:rsid w:val="00964177"/>
    <w:rsid w:val="00964BC1"/>
    <w:rsid w:val="009678CC"/>
    <w:rsid w:val="00970822"/>
    <w:rsid w:val="0097110C"/>
    <w:rsid w:val="00971EA5"/>
    <w:rsid w:val="00974754"/>
    <w:rsid w:val="00974AB5"/>
    <w:rsid w:val="00974C7E"/>
    <w:rsid w:val="00975EB0"/>
    <w:rsid w:val="009760D8"/>
    <w:rsid w:val="00977AA9"/>
    <w:rsid w:val="00982B48"/>
    <w:rsid w:val="0098445E"/>
    <w:rsid w:val="00984936"/>
    <w:rsid w:val="009855DE"/>
    <w:rsid w:val="00986889"/>
    <w:rsid w:val="0098706D"/>
    <w:rsid w:val="009870E7"/>
    <w:rsid w:val="00987BBE"/>
    <w:rsid w:val="00987D79"/>
    <w:rsid w:val="00990E8F"/>
    <w:rsid w:val="009935FB"/>
    <w:rsid w:val="0099421A"/>
    <w:rsid w:val="009A08E8"/>
    <w:rsid w:val="009A1F8A"/>
    <w:rsid w:val="009A33A1"/>
    <w:rsid w:val="009A42E1"/>
    <w:rsid w:val="009A4915"/>
    <w:rsid w:val="009A506E"/>
    <w:rsid w:val="009A61E4"/>
    <w:rsid w:val="009A6573"/>
    <w:rsid w:val="009A698A"/>
    <w:rsid w:val="009A7DF8"/>
    <w:rsid w:val="009B151C"/>
    <w:rsid w:val="009B471C"/>
    <w:rsid w:val="009B569E"/>
    <w:rsid w:val="009B776C"/>
    <w:rsid w:val="009B7F32"/>
    <w:rsid w:val="009C0CF5"/>
    <w:rsid w:val="009C1930"/>
    <w:rsid w:val="009C22E2"/>
    <w:rsid w:val="009C37F0"/>
    <w:rsid w:val="009C40E0"/>
    <w:rsid w:val="009C555D"/>
    <w:rsid w:val="009C71A8"/>
    <w:rsid w:val="009C772E"/>
    <w:rsid w:val="009C7985"/>
    <w:rsid w:val="009C7A32"/>
    <w:rsid w:val="009C7E59"/>
    <w:rsid w:val="009D0DD0"/>
    <w:rsid w:val="009D0F10"/>
    <w:rsid w:val="009D1015"/>
    <w:rsid w:val="009D1E98"/>
    <w:rsid w:val="009D2B81"/>
    <w:rsid w:val="009D4578"/>
    <w:rsid w:val="009D4767"/>
    <w:rsid w:val="009D5499"/>
    <w:rsid w:val="009D5BA3"/>
    <w:rsid w:val="009D6961"/>
    <w:rsid w:val="009D6C6B"/>
    <w:rsid w:val="009D73F3"/>
    <w:rsid w:val="009D7A34"/>
    <w:rsid w:val="009E30F8"/>
    <w:rsid w:val="009E3282"/>
    <w:rsid w:val="009E3552"/>
    <w:rsid w:val="009E3615"/>
    <w:rsid w:val="009E4915"/>
    <w:rsid w:val="009E512C"/>
    <w:rsid w:val="009E5BC9"/>
    <w:rsid w:val="009E6653"/>
    <w:rsid w:val="009E7613"/>
    <w:rsid w:val="009E77D1"/>
    <w:rsid w:val="009E7A1A"/>
    <w:rsid w:val="009E7C47"/>
    <w:rsid w:val="009F26EE"/>
    <w:rsid w:val="009F2908"/>
    <w:rsid w:val="009F2B8C"/>
    <w:rsid w:val="009F3D32"/>
    <w:rsid w:val="009F4A54"/>
    <w:rsid w:val="009F4BEC"/>
    <w:rsid w:val="009F5595"/>
    <w:rsid w:val="009F5874"/>
    <w:rsid w:val="009F6048"/>
    <w:rsid w:val="009F74CF"/>
    <w:rsid w:val="00A0254C"/>
    <w:rsid w:val="00A03AA4"/>
    <w:rsid w:val="00A06511"/>
    <w:rsid w:val="00A06FCF"/>
    <w:rsid w:val="00A0781F"/>
    <w:rsid w:val="00A07B1F"/>
    <w:rsid w:val="00A10515"/>
    <w:rsid w:val="00A1180F"/>
    <w:rsid w:val="00A12DA2"/>
    <w:rsid w:val="00A13EC5"/>
    <w:rsid w:val="00A141EF"/>
    <w:rsid w:val="00A14692"/>
    <w:rsid w:val="00A14915"/>
    <w:rsid w:val="00A172F0"/>
    <w:rsid w:val="00A1750B"/>
    <w:rsid w:val="00A20F05"/>
    <w:rsid w:val="00A21234"/>
    <w:rsid w:val="00A22DA7"/>
    <w:rsid w:val="00A23F95"/>
    <w:rsid w:val="00A23F9A"/>
    <w:rsid w:val="00A2426B"/>
    <w:rsid w:val="00A24549"/>
    <w:rsid w:val="00A25FD7"/>
    <w:rsid w:val="00A26C18"/>
    <w:rsid w:val="00A27674"/>
    <w:rsid w:val="00A30046"/>
    <w:rsid w:val="00A324B9"/>
    <w:rsid w:val="00A32D0B"/>
    <w:rsid w:val="00A34080"/>
    <w:rsid w:val="00A3468B"/>
    <w:rsid w:val="00A36050"/>
    <w:rsid w:val="00A36D05"/>
    <w:rsid w:val="00A375FB"/>
    <w:rsid w:val="00A43AFF"/>
    <w:rsid w:val="00A43F93"/>
    <w:rsid w:val="00A4552F"/>
    <w:rsid w:val="00A45597"/>
    <w:rsid w:val="00A477BE"/>
    <w:rsid w:val="00A526C8"/>
    <w:rsid w:val="00A52C08"/>
    <w:rsid w:val="00A5348F"/>
    <w:rsid w:val="00A540F7"/>
    <w:rsid w:val="00A55140"/>
    <w:rsid w:val="00A60CCB"/>
    <w:rsid w:val="00A60E3B"/>
    <w:rsid w:val="00A62125"/>
    <w:rsid w:val="00A64657"/>
    <w:rsid w:val="00A654EB"/>
    <w:rsid w:val="00A658DC"/>
    <w:rsid w:val="00A65E65"/>
    <w:rsid w:val="00A66621"/>
    <w:rsid w:val="00A66C79"/>
    <w:rsid w:val="00A6746A"/>
    <w:rsid w:val="00A719EA"/>
    <w:rsid w:val="00A71EA2"/>
    <w:rsid w:val="00A720F1"/>
    <w:rsid w:val="00A73064"/>
    <w:rsid w:val="00A736C2"/>
    <w:rsid w:val="00A73AC7"/>
    <w:rsid w:val="00A74084"/>
    <w:rsid w:val="00A74B39"/>
    <w:rsid w:val="00A762F5"/>
    <w:rsid w:val="00A7793A"/>
    <w:rsid w:val="00A77EA8"/>
    <w:rsid w:val="00A819FE"/>
    <w:rsid w:val="00A832D8"/>
    <w:rsid w:val="00A84A83"/>
    <w:rsid w:val="00A856BA"/>
    <w:rsid w:val="00A85956"/>
    <w:rsid w:val="00A8596D"/>
    <w:rsid w:val="00A87DCA"/>
    <w:rsid w:val="00A90641"/>
    <w:rsid w:val="00A906A6"/>
    <w:rsid w:val="00A908FF"/>
    <w:rsid w:val="00A91762"/>
    <w:rsid w:val="00A92ADD"/>
    <w:rsid w:val="00A92FE2"/>
    <w:rsid w:val="00A93C8A"/>
    <w:rsid w:val="00A95453"/>
    <w:rsid w:val="00A96625"/>
    <w:rsid w:val="00A96968"/>
    <w:rsid w:val="00A97659"/>
    <w:rsid w:val="00AA1595"/>
    <w:rsid w:val="00AA17E0"/>
    <w:rsid w:val="00AA39E0"/>
    <w:rsid w:val="00AA48DF"/>
    <w:rsid w:val="00AA4CC7"/>
    <w:rsid w:val="00AA4D6F"/>
    <w:rsid w:val="00AA5E8E"/>
    <w:rsid w:val="00AA66C0"/>
    <w:rsid w:val="00AA6BE1"/>
    <w:rsid w:val="00AA786B"/>
    <w:rsid w:val="00AA7C7E"/>
    <w:rsid w:val="00AB1110"/>
    <w:rsid w:val="00AB1B45"/>
    <w:rsid w:val="00AB232B"/>
    <w:rsid w:val="00AB2A7E"/>
    <w:rsid w:val="00AB2BAD"/>
    <w:rsid w:val="00AB3A86"/>
    <w:rsid w:val="00AB4A93"/>
    <w:rsid w:val="00AB536A"/>
    <w:rsid w:val="00AB5417"/>
    <w:rsid w:val="00AB5577"/>
    <w:rsid w:val="00AB5AEA"/>
    <w:rsid w:val="00AB6587"/>
    <w:rsid w:val="00AB6A5F"/>
    <w:rsid w:val="00AB6CA7"/>
    <w:rsid w:val="00AB749C"/>
    <w:rsid w:val="00AB75BD"/>
    <w:rsid w:val="00AB7738"/>
    <w:rsid w:val="00AC0C8C"/>
    <w:rsid w:val="00AC100F"/>
    <w:rsid w:val="00AC24D5"/>
    <w:rsid w:val="00AC2FC4"/>
    <w:rsid w:val="00AC4094"/>
    <w:rsid w:val="00AC4536"/>
    <w:rsid w:val="00AC5892"/>
    <w:rsid w:val="00AC5967"/>
    <w:rsid w:val="00AC6199"/>
    <w:rsid w:val="00AC693D"/>
    <w:rsid w:val="00AC6AEA"/>
    <w:rsid w:val="00AC765F"/>
    <w:rsid w:val="00AD01E4"/>
    <w:rsid w:val="00AD0858"/>
    <w:rsid w:val="00AD0DB3"/>
    <w:rsid w:val="00AD3A44"/>
    <w:rsid w:val="00AD4474"/>
    <w:rsid w:val="00AD4F4D"/>
    <w:rsid w:val="00AD7F8A"/>
    <w:rsid w:val="00AE02E3"/>
    <w:rsid w:val="00AE07CB"/>
    <w:rsid w:val="00AE178E"/>
    <w:rsid w:val="00AE344D"/>
    <w:rsid w:val="00AE5427"/>
    <w:rsid w:val="00AE6E14"/>
    <w:rsid w:val="00AE7340"/>
    <w:rsid w:val="00AE7598"/>
    <w:rsid w:val="00AE7F38"/>
    <w:rsid w:val="00AF0615"/>
    <w:rsid w:val="00AF148A"/>
    <w:rsid w:val="00AF1BBD"/>
    <w:rsid w:val="00AF3B16"/>
    <w:rsid w:val="00AF6814"/>
    <w:rsid w:val="00AF7757"/>
    <w:rsid w:val="00B02487"/>
    <w:rsid w:val="00B03019"/>
    <w:rsid w:val="00B04164"/>
    <w:rsid w:val="00B04F8A"/>
    <w:rsid w:val="00B051B7"/>
    <w:rsid w:val="00B05887"/>
    <w:rsid w:val="00B060E6"/>
    <w:rsid w:val="00B075A4"/>
    <w:rsid w:val="00B075AB"/>
    <w:rsid w:val="00B10207"/>
    <w:rsid w:val="00B123E0"/>
    <w:rsid w:val="00B124A7"/>
    <w:rsid w:val="00B13600"/>
    <w:rsid w:val="00B141E7"/>
    <w:rsid w:val="00B155D9"/>
    <w:rsid w:val="00B15823"/>
    <w:rsid w:val="00B16C6C"/>
    <w:rsid w:val="00B172FF"/>
    <w:rsid w:val="00B21152"/>
    <w:rsid w:val="00B2190C"/>
    <w:rsid w:val="00B24879"/>
    <w:rsid w:val="00B24BE1"/>
    <w:rsid w:val="00B24F63"/>
    <w:rsid w:val="00B26C03"/>
    <w:rsid w:val="00B304BA"/>
    <w:rsid w:val="00B314E1"/>
    <w:rsid w:val="00B31865"/>
    <w:rsid w:val="00B337E5"/>
    <w:rsid w:val="00B33DEE"/>
    <w:rsid w:val="00B34E1F"/>
    <w:rsid w:val="00B351B4"/>
    <w:rsid w:val="00B36370"/>
    <w:rsid w:val="00B364F0"/>
    <w:rsid w:val="00B373FA"/>
    <w:rsid w:val="00B37912"/>
    <w:rsid w:val="00B404D6"/>
    <w:rsid w:val="00B41EB5"/>
    <w:rsid w:val="00B4328D"/>
    <w:rsid w:val="00B43BAC"/>
    <w:rsid w:val="00B45A43"/>
    <w:rsid w:val="00B46BCA"/>
    <w:rsid w:val="00B46C4D"/>
    <w:rsid w:val="00B46F72"/>
    <w:rsid w:val="00B47597"/>
    <w:rsid w:val="00B478AA"/>
    <w:rsid w:val="00B47BF9"/>
    <w:rsid w:val="00B502F1"/>
    <w:rsid w:val="00B50379"/>
    <w:rsid w:val="00B515D6"/>
    <w:rsid w:val="00B529A1"/>
    <w:rsid w:val="00B539DA"/>
    <w:rsid w:val="00B53AF8"/>
    <w:rsid w:val="00B55657"/>
    <w:rsid w:val="00B55C9B"/>
    <w:rsid w:val="00B56E83"/>
    <w:rsid w:val="00B57089"/>
    <w:rsid w:val="00B57588"/>
    <w:rsid w:val="00B61502"/>
    <w:rsid w:val="00B62D17"/>
    <w:rsid w:val="00B63919"/>
    <w:rsid w:val="00B63CD5"/>
    <w:rsid w:val="00B6769D"/>
    <w:rsid w:val="00B6796D"/>
    <w:rsid w:val="00B67D5C"/>
    <w:rsid w:val="00B707FE"/>
    <w:rsid w:val="00B70CB9"/>
    <w:rsid w:val="00B71F17"/>
    <w:rsid w:val="00B71F85"/>
    <w:rsid w:val="00B7355A"/>
    <w:rsid w:val="00B75554"/>
    <w:rsid w:val="00B7614B"/>
    <w:rsid w:val="00B76374"/>
    <w:rsid w:val="00B8244C"/>
    <w:rsid w:val="00B8650C"/>
    <w:rsid w:val="00B87806"/>
    <w:rsid w:val="00B87EC9"/>
    <w:rsid w:val="00B907D8"/>
    <w:rsid w:val="00B91A6A"/>
    <w:rsid w:val="00B91E81"/>
    <w:rsid w:val="00B92B24"/>
    <w:rsid w:val="00B954C1"/>
    <w:rsid w:val="00BA3921"/>
    <w:rsid w:val="00BA51C9"/>
    <w:rsid w:val="00BA6519"/>
    <w:rsid w:val="00BB1D90"/>
    <w:rsid w:val="00BB2C67"/>
    <w:rsid w:val="00BB346C"/>
    <w:rsid w:val="00BB3D27"/>
    <w:rsid w:val="00BB500C"/>
    <w:rsid w:val="00BB55F1"/>
    <w:rsid w:val="00BB584C"/>
    <w:rsid w:val="00BB5EC0"/>
    <w:rsid w:val="00BB6BCA"/>
    <w:rsid w:val="00BB7229"/>
    <w:rsid w:val="00BB78B9"/>
    <w:rsid w:val="00BC1814"/>
    <w:rsid w:val="00BC20D8"/>
    <w:rsid w:val="00BC38FD"/>
    <w:rsid w:val="00BC59E3"/>
    <w:rsid w:val="00BC5B54"/>
    <w:rsid w:val="00BC766F"/>
    <w:rsid w:val="00BC7A95"/>
    <w:rsid w:val="00BD0344"/>
    <w:rsid w:val="00BD097A"/>
    <w:rsid w:val="00BD0B91"/>
    <w:rsid w:val="00BD1997"/>
    <w:rsid w:val="00BD52AE"/>
    <w:rsid w:val="00BD64AA"/>
    <w:rsid w:val="00BD7A69"/>
    <w:rsid w:val="00BE09E8"/>
    <w:rsid w:val="00BE0BBA"/>
    <w:rsid w:val="00BE0D81"/>
    <w:rsid w:val="00BE1691"/>
    <w:rsid w:val="00BE17F7"/>
    <w:rsid w:val="00BE1C57"/>
    <w:rsid w:val="00BE4726"/>
    <w:rsid w:val="00BE5F57"/>
    <w:rsid w:val="00BE6A8D"/>
    <w:rsid w:val="00BE7216"/>
    <w:rsid w:val="00BF03BE"/>
    <w:rsid w:val="00BF1ECE"/>
    <w:rsid w:val="00BF377F"/>
    <w:rsid w:val="00BF44E9"/>
    <w:rsid w:val="00BF4FA9"/>
    <w:rsid w:val="00BF5986"/>
    <w:rsid w:val="00BF6E99"/>
    <w:rsid w:val="00C01567"/>
    <w:rsid w:val="00C015A9"/>
    <w:rsid w:val="00C01BAB"/>
    <w:rsid w:val="00C01D43"/>
    <w:rsid w:val="00C0219B"/>
    <w:rsid w:val="00C02518"/>
    <w:rsid w:val="00C02EA4"/>
    <w:rsid w:val="00C034CB"/>
    <w:rsid w:val="00C051A8"/>
    <w:rsid w:val="00C0545B"/>
    <w:rsid w:val="00C054BC"/>
    <w:rsid w:val="00C0590E"/>
    <w:rsid w:val="00C06399"/>
    <w:rsid w:val="00C07158"/>
    <w:rsid w:val="00C074D2"/>
    <w:rsid w:val="00C07E38"/>
    <w:rsid w:val="00C07E6B"/>
    <w:rsid w:val="00C13137"/>
    <w:rsid w:val="00C145C9"/>
    <w:rsid w:val="00C14B6C"/>
    <w:rsid w:val="00C14CE4"/>
    <w:rsid w:val="00C15513"/>
    <w:rsid w:val="00C15A11"/>
    <w:rsid w:val="00C16F5C"/>
    <w:rsid w:val="00C17897"/>
    <w:rsid w:val="00C178B1"/>
    <w:rsid w:val="00C21B15"/>
    <w:rsid w:val="00C30B1C"/>
    <w:rsid w:val="00C31075"/>
    <w:rsid w:val="00C31CC8"/>
    <w:rsid w:val="00C32407"/>
    <w:rsid w:val="00C32438"/>
    <w:rsid w:val="00C32D8F"/>
    <w:rsid w:val="00C32EAB"/>
    <w:rsid w:val="00C33D73"/>
    <w:rsid w:val="00C33EE6"/>
    <w:rsid w:val="00C3507E"/>
    <w:rsid w:val="00C37C55"/>
    <w:rsid w:val="00C409D5"/>
    <w:rsid w:val="00C4300C"/>
    <w:rsid w:val="00C435C3"/>
    <w:rsid w:val="00C44A25"/>
    <w:rsid w:val="00C44E5F"/>
    <w:rsid w:val="00C45A3E"/>
    <w:rsid w:val="00C46A87"/>
    <w:rsid w:val="00C4735E"/>
    <w:rsid w:val="00C50554"/>
    <w:rsid w:val="00C51B7C"/>
    <w:rsid w:val="00C53106"/>
    <w:rsid w:val="00C53EFE"/>
    <w:rsid w:val="00C53F68"/>
    <w:rsid w:val="00C560A7"/>
    <w:rsid w:val="00C56258"/>
    <w:rsid w:val="00C6234B"/>
    <w:rsid w:val="00C62FA7"/>
    <w:rsid w:val="00C63EAE"/>
    <w:rsid w:val="00C643A4"/>
    <w:rsid w:val="00C64CC6"/>
    <w:rsid w:val="00C6760C"/>
    <w:rsid w:val="00C71643"/>
    <w:rsid w:val="00C72E40"/>
    <w:rsid w:val="00C73260"/>
    <w:rsid w:val="00C7394C"/>
    <w:rsid w:val="00C73B76"/>
    <w:rsid w:val="00C7621B"/>
    <w:rsid w:val="00C7629F"/>
    <w:rsid w:val="00C76D0E"/>
    <w:rsid w:val="00C80ED8"/>
    <w:rsid w:val="00C81658"/>
    <w:rsid w:val="00C82874"/>
    <w:rsid w:val="00C835D6"/>
    <w:rsid w:val="00C84DD0"/>
    <w:rsid w:val="00C86374"/>
    <w:rsid w:val="00C8661B"/>
    <w:rsid w:val="00C86BE2"/>
    <w:rsid w:val="00C86E0C"/>
    <w:rsid w:val="00C9004E"/>
    <w:rsid w:val="00C900B2"/>
    <w:rsid w:val="00C9076C"/>
    <w:rsid w:val="00C90D5F"/>
    <w:rsid w:val="00C918DB"/>
    <w:rsid w:val="00C927F3"/>
    <w:rsid w:val="00C9289D"/>
    <w:rsid w:val="00C9327D"/>
    <w:rsid w:val="00C93360"/>
    <w:rsid w:val="00C9393B"/>
    <w:rsid w:val="00C93FB8"/>
    <w:rsid w:val="00C951AF"/>
    <w:rsid w:val="00C95689"/>
    <w:rsid w:val="00C976C6"/>
    <w:rsid w:val="00CA03C8"/>
    <w:rsid w:val="00CA139A"/>
    <w:rsid w:val="00CA2202"/>
    <w:rsid w:val="00CA2899"/>
    <w:rsid w:val="00CA3A3D"/>
    <w:rsid w:val="00CA3AA6"/>
    <w:rsid w:val="00CA448B"/>
    <w:rsid w:val="00CA4E51"/>
    <w:rsid w:val="00CA5274"/>
    <w:rsid w:val="00CA5749"/>
    <w:rsid w:val="00CA77FB"/>
    <w:rsid w:val="00CB0C45"/>
    <w:rsid w:val="00CB23CC"/>
    <w:rsid w:val="00CB379B"/>
    <w:rsid w:val="00CB43A6"/>
    <w:rsid w:val="00CB54F8"/>
    <w:rsid w:val="00CB5DD0"/>
    <w:rsid w:val="00CB658B"/>
    <w:rsid w:val="00CB67E4"/>
    <w:rsid w:val="00CB6871"/>
    <w:rsid w:val="00CB7A84"/>
    <w:rsid w:val="00CC0045"/>
    <w:rsid w:val="00CC058E"/>
    <w:rsid w:val="00CC15B4"/>
    <w:rsid w:val="00CC1F81"/>
    <w:rsid w:val="00CC441F"/>
    <w:rsid w:val="00CC4F08"/>
    <w:rsid w:val="00CC4F94"/>
    <w:rsid w:val="00CC51D4"/>
    <w:rsid w:val="00CC554B"/>
    <w:rsid w:val="00CC56D9"/>
    <w:rsid w:val="00CC65DA"/>
    <w:rsid w:val="00CC6D76"/>
    <w:rsid w:val="00CC714F"/>
    <w:rsid w:val="00CC74D0"/>
    <w:rsid w:val="00CD1D69"/>
    <w:rsid w:val="00CD230D"/>
    <w:rsid w:val="00CD2C3B"/>
    <w:rsid w:val="00CD3978"/>
    <w:rsid w:val="00CD44F4"/>
    <w:rsid w:val="00CD6228"/>
    <w:rsid w:val="00CD77F4"/>
    <w:rsid w:val="00CE4852"/>
    <w:rsid w:val="00CE4BF8"/>
    <w:rsid w:val="00CE53C0"/>
    <w:rsid w:val="00CE67DE"/>
    <w:rsid w:val="00CE7FEE"/>
    <w:rsid w:val="00CF02FA"/>
    <w:rsid w:val="00CF1952"/>
    <w:rsid w:val="00CF1C4C"/>
    <w:rsid w:val="00CF216E"/>
    <w:rsid w:val="00CF2186"/>
    <w:rsid w:val="00CF21B8"/>
    <w:rsid w:val="00CF21B9"/>
    <w:rsid w:val="00CF5AD4"/>
    <w:rsid w:val="00CF61E3"/>
    <w:rsid w:val="00CF6B66"/>
    <w:rsid w:val="00CF6B98"/>
    <w:rsid w:val="00CF6BF9"/>
    <w:rsid w:val="00CF6EC4"/>
    <w:rsid w:val="00D00692"/>
    <w:rsid w:val="00D0086F"/>
    <w:rsid w:val="00D00F75"/>
    <w:rsid w:val="00D018F9"/>
    <w:rsid w:val="00D01F0C"/>
    <w:rsid w:val="00D03800"/>
    <w:rsid w:val="00D065D3"/>
    <w:rsid w:val="00D06B8C"/>
    <w:rsid w:val="00D105CE"/>
    <w:rsid w:val="00D10E60"/>
    <w:rsid w:val="00D1116D"/>
    <w:rsid w:val="00D12AB8"/>
    <w:rsid w:val="00D1320D"/>
    <w:rsid w:val="00D13A3A"/>
    <w:rsid w:val="00D14C94"/>
    <w:rsid w:val="00D1535E"/>
    <w:rsid w:val="00D15FC3"/>
    <w:rsid w:val="00D175AF"/>
    <w:rsid w:val="00D178F9"/>
    <w:rsid w:val="00D2180A"/>
    <w:rsid w:val="00D225E9"/>
    <w:rsid w:val="00D24249"/>
    <w:rsid w:val="00D24DC1"/>
    <w:rsid w:val="00D2548D"/>
    <w:rsid w:val="00D26E3E"/>
    <w:rsid w:val="00D27656"/>
    <w:rsid w:val="00D342A6"/>
    <w:rsid w:val="00D34D2B"/>
    <w:rsid w:val="00D35E25"/>
    <w:rsid w:val="00D37DE7"/>
    <w:rsid w:val="00D42B44"/>
    <w:rsid w:val="00D439A5"/>
    <w:rsid w:val="00D445B6"/>
    <w:rsid w:val="00D44976"/>
    <w:rsid w:val="00D4568D"/>
    <w:rsid w:val="00D4578D"/>
    <w:rsid w:val="00D45CA6"/>
    <w:rsid w:val="00D464BF"/>
    <w:rsid w:val="00D47163"/>
    <w:rsid w:val="00D476A8"/>
    <w:rsid w:val="00D506C5"/>
    <w:rsid w:val="00D50B1D"/>
    <w:rsid w:val="00D50FC4"/>
    <w:rsid w:val="00D51BFB"/>
    <w:rsid w:val="00D52E24"/>
    <w:rsid w:val="00D53E26"/>
    <w:rsid w:val="00D54682"/>
    <w:rsid w:val="00D546A1"/>
    <w:rsid w:val="00D567A8"/>
    <w:rsid w:val="00D5700A"/>
    <w:rsid w:val="00D609DE"/>
    <w:rsid w:val="00D615BE"/>
    <w:rsid w:val="00D617E2"/>
    <w:rsid w:val="00D623FD"/>
    <w:rsid w:val="00D646BE"/>
    <w:rsid w:val="00D656DE"/>
    <w:rsid w:val="00D66689"/>
    <w:rsid w:val="00D667D3"/>
    <w:rsid w:val="00D66C60"/>
    <w:rsid w:val="00D70224"/>
    <w:rsid w:val="00D702DF"/>
    <w:rsid w:val="00D7110B"/>
    <w:rsid w:val="00D719F1"/>
    <w:rsid w:val="00D755C6"/>
    <w:rsid w:val="00D75FA1"/>
    <w:rsid w:val="00D76908"/>
    <w:rsid w:val="00D777C6"/>
    <w:rsid w:val="00D77BF8"/>
    <w:rsid w:val="00D803A7"/>
    <w:rsid w:val="00D8098F"/>
    <w:rsid w:val="00D80D1A"/>
    <w:rsid w:val="00D817BA"/>
    <w:rsid w:val="00D828BB"/>
    <w:rsid w:val="00D83F43"/>
    <w:rsid w:val="00D84D6C"/>
    <w:rsid w:val="00D85178"/>
    <w:rsid w:val="00D859E6"/>
    <w:rsid w:val="00D8789B"/>
    <w:rsid w:val="00D90485"/>
    <w:rsid w:val="00D953E8"/>
    <w:rsid w:val="00D9684B"/>
    <w:rsid w:val="00D97C23"/>
    <w:rsid w:val="00DA0602"/>
    <w:rsid w:val="00DA09FB"/>
    <w:rsid w:val="00DA166D"/>
    <w:rsid w:val="00DA1AFE"/>
    <w:rsid w:val="00DA1F52"/>
    <w:rsid w:val="00DA313C"/>
    <w:rsid w:val="00DA4183"/>
    <w:rsid w:val="00DA4306"/>
    <w:rsid w:val="00DA6AC6"/>
    <w:rsid w:val="00DB063F"/>
    <w:rsid w:val="00DB182C"/>
    <w:rsid w:val="00DB3428"/>
    <w:rsid w:val="00DB6C9F"/>
    <w:rsid w:val="00DB77C1"/>
    <w:rsid w:val="00DB7D0C"/>
    <w:rsid w:val="00DC1B3B"/>
    <w:rsid w:val="00DC2B5A"/>
    <w:rsid w:val="00DC3339"/>
    <w:rsid w:val="00DC5B40"/>
    <w:rsid w:val="00DC6524"/>
    <w:rsid w:val="00DC6CEC"/>
    <w:rsid w:val="00DC7509"/>
    <w:rsid w:val="00DC7F5D"/>
    <w:rsid w:val="00DD1F7F"/>
    <w:rsid w:val="00DD2025"/>
    <w:rsid w:val="00DD2B4B"/>
    <w:rsid w:val="00DD3217"/>
    <w:rsid w:val="00DD37CC"/>
    <w:rsid w:val="00DD4F0E"/>
    <w:rsid w:val="00DD50A4"/>
    <w:rsid w:val="00DD5CEA"/>
    <w:rsid w:val="00DD76B5"/>
    <w:rsid w:val="00DE346B"/>
    <w:rsid w:val="00DE4213"/>
    <w:rsid w:val="00DE5637"/>
    <w:rsid w:val="00DE6834"/>
    <w:rsid w:val="00DF0A44"/>
    <w:rsid w:val="00DF0BF0"/>
    <w:rsid w:val="00DF16F5"/>
    <w:rsid w:val="00DF1CB1"/>
    <w:rsid w:val="00DF3CA2"/>
    <w:rsid w:val="00DF422E"/>
    <w:rsid w:val="00DF44F9"/>
    <w:rsid w:val="00DF5E1D"/>
    <w:rsid w:val="00DF6546"/>
    <w:rsid w:val="00DF6C4F"/>
    <w:rsid w:val="00DF6CBC"/>
    <w:rsid w:val="00DF6E8B"/>
    <w:rsid w:val="00DF7266"/>
    <w:rsid w:val="00DF753F"/>
    <w:rsid w:val="00E00F25"/>
    <w:rsid w:val="00E01463"/>
    <w:rsid w:val="00E03037"/>
    <w:rsid w:val="00E03FAE"/>
    <w:rsid w:val="00E04759"/>
    <w:rsid w:val="00E05312"/>
    <w:rsid w:val="00E05855"/>
    <w:rsid w:val="00E05857"/>
    <w:rsid w:val="00E05E0A"/>
    <w:rsid w:val="00E05FBC"/>
    <w:rsid w:val="00E060BE"/>
    <w:rsid w:val="00E1049E"/>
    <w:rsid w:val="00E11CA3"/>
    <w:rsid w:val="00E149C0"/>
    <w:rsid w:val="00E164C2"/>
    <w:rsid w:val="00E17106"/>
    <w:rsid w:val="00E204A9"/>
    <w:rsid w:val="00E256FC"/>
    <w:rsid w:val="00E263B3"/>
    <w:rsid w:val="00E26B50"/>
    <w:rsid w:val="00E307AF"/>
    <w:rsid w:val="00E30D33"/>
    <w:rsid w:val="00E34458"/>
    <w:rsid w:val="00E34542"/>
    <w:rsid w:val="00E34AE8"/>
    <w:rsid w:val="00E35E07"/>
    <w:rsid w:val="00E37D35"/>
    <w:rsid w:val="00E40BC5"/>
    <w:rsid w:val="00E4176D"/>
    <w:rsid w:val="00E42FE3"/>
    <w:rsid w:val="00E43A0A"/>
    <w:rsid w:val="00E444B2"/>
    <w:rsid w:val="00E47907"/>
    <w:rsid w:val="00E479D0"/>
    <w:rsid w:val="00E507EA"/>
    <w:rsid w:val="00E529B9"/>
    <w:rsid w:val="00E52A1C"/>
    <w:rsid w:val="00E53050"/>
    <w:rsid w:val="00E530A1"/>
    <w:rsid w:val="00E534CF"/>
    <w:rsid w:val="00E53FB7"/>
    <w:rsid w:val="00E54621"/>
    <w:rsid w:val="00E54873"/>
    <w:rsid w:val="00E61040"/>
    <w:rsid w:val="00E614B1"/>
    <w:rsid w:val="00E619DD"/>
    <w:rsid w:val="00E61C30"/>
    <w:rsid w:val="00E62FA7"/>
    <w:rsid w:val="00E63920"/>
    <w:rsid w:val="00E63C75"/>
    <w:rsid w:val="00E641BB"/>
    <w:rsid w:val="00E6449E"/>
    <w:rsid w:val="00E66CD8"/>
    <w:rsid w:val="00E7011F"/>
    <w:rsid w:val="00E70775"/>
    <w:rsid w:val="00E71C3C"/>
    <w:rsid w:val="00E720EC"/>
    <w:rsid w:val="00E72C33"/>
    <w:rsid w:val="00E72C48"/>
    <w:rsid w:val="00E731AB"/>
    <w:rsid w:val="00E73350"/>
    <w:rsid w:val="00E735C5"/>
    <w:rsid w:val="00E73897"/>
    <w:rsid w:val="00E73B37"/>
    <w:rsid w:val="00E73BCC"/>
    <w:rsid w:val="00E74204"/>
    <w:rsid w:val="00E76F86"/>
    <w:rsid w:val="00E80E42"/>
    <w:rsid w:val="00E8136A"/>
    <w:rsid w:val="00E81CB4"/>
    <w:rsid w:val="00E84A37"/>
    <w:rsid w:val="00E8585B"/>
    <w:rsid w:val="00E85CF2"/>
    <w:rsid w:val="00E8627A"/>
    <w:rsid w:val="00E86D47"/>
    <w:rsid w:val="00E86E30"/>
    <w:rsid w:val="00E870EB"/>
    <w:rsid w:val="00E870EC"/>
    <w:rsid w:val="00E87D00"/>
    <w:rsid w:val="00E87F41"/>
    <w:rsid w:val="00E902D3"/>
    <w:rsid w:val="00E91E69"/>
    <w:rsid w:val="00E92110"/>
    <w:rsid w:val="00E93E6B"/>
    <w:rsid w:val="00E9466E"/>
    <w:rsid w:val="00E94BBB"/>
    <w:rsid w:val="00E9504C"/>
    <w:rsid w:val="00EA0095"/>
    <w:rsid w:val="00EA0F89"/>
    <w:rsid w:val="00EA1103"/>
    <w:rsid w:val="00EA1106"/>
    <w:rsid w:val="00EA2617"/>
    <w:rsid w:val="00EA2712"/>
    <w:rsid w:val="00EA34EF"/>
    <w:rsid w:val="00EA3F15"/>
    <w:rsid w:val="00EA4AFA"/>
    <w:rsid w:val="00EA5A73"/>
    <w:rsid w:val="00EA711B"/>
    <w:rsid w:val="00EA7847"/>
    <w:rsid w:val="00EA7DE6"/>
    <w:rsid w:val="00EA7E88"/>
    <w:rsid w:val="00EB046C"/>
    <w:rsid w:val="00EB186A"/>
    <w:rsid w:val="00EB2AC5"/>
    <w:rsid w:val="00EB2AE0"/>
    <w:rsid w:val="00EB2BE0"/>
    <w:rsid w:val="00EB2C29"/>
    <w:rsid w:val="00EB37F6"/>
    <w:rsid w:val="00EB3C52"/>
    <w:rsid w:val="00EB4C2F"/>
    <w:rsid w:val="00EB550B"/>
    <w:rsid w:val="00EB5F7D"/>
    <w:rsid w:val="00EB69D7"/>
    <w:rsid w:val="00EC0992"/>
    <w:rsid w:val="00EC20F2"/>
    <w:rsid w:val="00EC3179"/>
    <w:rsid w:val="00EC36E4"/>
    <w:rsid w:val="00EC4C8E"/>
    <w:rsid w:val="00EC6507"/>
    <w:rsid w:val="00ED4BF9"/>
    <w:rsid w:val="00EE2E6E"/>
    <w:rsid w:val="00EE3738"/>
    <w:rsid w:val="00EE5A6D"/>
    <w:rsid w:val="00EE5CBB"/>
    <w:rsid w:val="00EE7B46"/>
    <w:rsid w:val="00EF3F30"/>
    <w:rsid w:val="00EF4417"/>
    <w:rsid w:val="00EF48B3"/>
    <w:rsid w:val="00EF4A6B"/>
    <w:rsid w:val="00EF7210"/>
    <w:rsid w:val="00F01224"/>
    <w:rsid w:val="00F013C3"/>
    <w:rsid w:val="00F0612C"/>
    <w:rsid w:val="00F0759E"/>
    <w:rsid w:val="00F075B7"/>
    <w:rsid w:val="00F10E95"/>
    <w:rsid w:val="00F1202B"/>
    <w:rsid w:val="00F1283D"/>
    <w:rsid w:val="00F12E21"/>
    <w:rsid w:val="00F130B4"/>
    <w:rsid w:val="00F16A43"/>
    <w:rsid w:val="00F17F0D"/>
    <w:rsid w:val="00F210F9"/>
    <w:rsid w:val="00F22023"/>
    <w:rsid w:val="00F22144"/>
    <w:rsid w:val="00F23DD0"/>
    <w:rsid w:val="00F244FB"/>
    <w:rsid w:val="00F24B4D"/>
    <w:rsid w:val="00F25654"/>
    <w:rsid w:val="00F262E0"/>
    <w:rsid w:val="00F27380"/>
    <w:rsid w:val="00F30211"/>
    <w:rsid w:val="00F31DA9"/>
    <w:rsid w:val="00F32798"/>
    <w:rsid w:val="00F32CBD"/>
    <w:rsid w:val="00F334BD"/>
    <w:rsid w:val="00F34E0A"/>
    <w:rsid w:val="00F35E2A"/>
    <w:rsid w:val="00F360CC"/>
    <w:rsid w:val="00F3739F"/>
    <w:rsid w:val="00F37CCE"/>
    <w:rsid w:val="00F40E4A"/>
    <w:rsid w:val="00F411A5"/>
    <w:rsid w:val="00F413BD"/>
    <w:rsid w:val="00F41BAC"/>
    <w:rsid w:val="00F440B8"/>
    <w:rsid w:val="00F44818"/>
    <w:rsid w:val="00F44BB6"/>
    <w:rsid w:val="00F4515F"/>
    <w:rsid w:val="00F451FE"/>
    <w:rsid w:val="00F4591D"/>
    <w:rsid w:val="00F46780"/>
    <w:rsid w:val="00F46B0B"/>
    <w:rsid w:val="00F50FE9"/>
    <w:rsid w:val="00F51115"/>
    <w:rsid w:val="00F54430"/>
    <w:rsid w:val="00F54FB1"/>
    <w:rsid w:val="00F55DB1"/>
    <w:rsid w:val="00F5612E"/>
    <w:rsid w:val="00F5726B"/>
    <w:rsid w:val="00F578C4"/>
    <w:rsid w:val="00F57E30"/>
    <w:rsid w:val="00F629E0"/>
    <w:rsid w:val="00F64F97"/>
    <w:rsid w:val="00F6626F"/>
    <w:rsid w:val="00F663A1"/>
    <w:rsid w:val="00F72D65"/>
    <w:rsid w:val="00F72F53"/>
    <w:rsid w:val="00F7326C"/>
    <w:rsid w:val="00F74E57"/>
    <w:rsid w:val="00F76504"/>
    <w:rsid w:val="00F771A7"/>
    <w:rsid w:val="00F77D2D"/>
    <w:rsid w:val="00F810FA"/>
    <w:rsid w:val="00F8112A"/>
    <w:rsid w:val="00F821A3"/>
    <w:rsid w:val="00F838B5"/>
    <w:rsid w:val="00F85983"/>
    <w:rsid w:val="00F8600F"/>
    <w:rsid w:val="00F869EF"/>
    <w:rsid w:val="00F87339"/>
    <w:rsid w:val="00F87393"/>
    <w:rsid w:val="00F91DAF"/>
    <w:rsid w:val="00F92FD8"/>
    <w:rsid w:val="00F9314A"/>
    <w:rsid w:val="00F940B2"/>
    <w:rsid w:val="00F962EB"/>
    <w:rsid w:val="00FA0935"/>
    <w:rsid w:val="00FA0C0B"/>
    <w:rsid w:val="00FA1356"/>
    <w:rsid w:val="00FA1357"/>
    <w:rsid w:val="00FA229D"/>
    <w:rsid w:val="00FA380F"/>
    <w:rsid w:val="00FA48D8"/>
    <w:rsid w:val="00FA4A43"/>
    <w:rsid w:val="00FA6C03"/>
    <w:rsid w:val="00FA72FD"/>
    <w:rsid w:val="00FA7749"/>
    <w:rsid w:val="00FA7DE1"/>
    <w:rsid w:val="00FB31BA"/>
    <w:rsid w:val="00FB37FB"/>
    <w:rsid w:val="00FB3D7E"/>
    <w:rsid w:val="00FB41F9"/>
    <w:rsid w:val="00FB77CA"/>
    <w:rsid w:val="00FC2B61"/>
    <w:rsid w:val="00FC365C"/>
    <w:rsid w:val="00FC4F85"/>
    <w:rsid w:val="00FC58EF"/>
    <w:rsid w:val="00FC69B3"/>
    <w:rsid w:val="00FC6CB6"/>
    <w:rsid w:val="00FC7228"/>
    <w:rsid w:val="00FD0250"/>
    <w:rsid w:val="00FD17D4"/>
    <w:rsid w:val="00FD1E18"/>
    <w:rsid w:val="00FD1F91"/>
    <w:rsid w:val="00FD285D"/>
    <w:rsid w:val="00FD2A15"/>
    <w:rsid w:val="00FD2F31"/>
    <w:rsid w:val="00FD33DF"/>
    <w:rsid w:val="00FD3859"/>
    <w:rsid w:val="00FD3D6B"/>
    <w:rsid w:val="00FD44D2"/>
    <w:rsid w:val="00FD5078"/>
    <w:rsid w:val="00FD601A"/>
    <w:rsid w:val="00FD713B"/>
    <w:rsid w:val="00FD766E"/>
    <w:rsid w:val="00FE1B51"/>
    <w:rsid w:val="00FE2C52"/>
    <w:rsid w:val="00FE39D7"/>
    <w:rsid w:val="00FE3FA4"/>
    <w:rsid w:val="00FE5026"/>
    <w:rsid w:val="00FE55FF"/>
    <w:rsid w:val="00FE5DC4"/>
    <w:rsid w:val="00FE6705"/>
    <w:rsid w:val="00FE771F"/>
    <w:rsid w:val="00FE7C3D"/>
    <w:rsid w:val="00FE7C91"/>
    <w:rsid w:val="00FF2086"/>
    <w:rsid w:val="00FF269E"/>
    <w:rsid w:val="00FF2A8D"/>
    <w:rsid w:val="00FF2B92"/>
    <w:rsid w:val="00FF3469"/>
    <w:rsid w:val="00FF7DDC"/>
    <w:rsid w:val="0154F186"/>
    <w:rsid w:val="0195F4AF"/>
    <w:rsid w:val="01BAC8AF"/>
    <w:rsid w:val="01C69003"/>
    <w:rsid w:val="025991C2"/>
    <w:rsid w:val="0278B002"/>
    <w:rsid w:val="03F3BB14"/>
    <w:rsid w:val="048AE021"/>
    <w:rsid w:val="04D5CC42"/>
    <w:rsid w:val="05DCC377"/>
    <w:rsid w:val="05E117A9"/>
    <w:rsid w:val="06F23976"/>
    <w:rsid w:val="073C2A4B"/>
    <w:rsid w:val="0793E573"/>
    <w:rsid w:val="0949C51F"/>
    <w:rsid w:val="0A34ECC4"/>
    <w:rsid w:val="0B8C63E8"/>
    <w:rsid w:val="0BD670EF"/>
    <w:rsid w:val="0C0CC455"/>
    <w:rsid w:val="0CCDF5B2"/>
    <w:rsid w:val="0D4F054D"/>
    <w:rsid w:val="0E028F46"/>
    <w:rsid w:val="0E54FDA9"/>
    <w:rsid w:val="0EE16274"/>
    <w:rsid w:val="0FCA7671"/>
    <w:rsid w:val="0FD94B40"/>
    <w:rsid w:val="10F0B95B"/>
    <w:rsid w:val="10F3C50D"/>
    <w:rsid w:val="11DB6B49"/>
    <w:rsid w:val="132A9362"/>
    <w:rsid w:val="1343D070"/>
    <w:rsid w:val="137372B8"/>
    <w:rsid w:val="143D7C0D"/>
    <w:rsid w:val="160005EA"/>
    <w:rsid w:val="16279ABB"/>
    <w:rsid w:val="17301904"/>
    <w:rsid w:val="19059A91"/>
    <w:rsid w:val="19D3163B"/>
    <w:rsid w:val="19F68B41"/>
    <w:rsid w:val="1A9097D7"/>
    <w:rsid w:val="1ACE7AE8"/>
    <w:rsid w:val="1B11268B"/>
    <w:rsid w:val="1B963B9B"/>
    <w:rsid w:val="1BA2F559"/>
    <w:rsid w:val="1C2C9B14"/>
    <w:rsid w:val="1C4AD987"/>
    <w:rsid w:val="1D2542DA"/>
    <w:rsid w:val="1DA4C682"/>
    <w:rsid w:val="1E65CF0A"/>
    <w:rsid w:val="1EA3C798"/>
    <w:rsid w:val="1EA96551"/>
    <w:rsid w:val="1EB3BCB2"/>
    <w:rsid w:val="1ED8B7C3"/>
    <w:rsid w:val="1F5CBA16"/>
    <w:rsid w:val="1F9F4287"/>
    <w:rsid w:val="1FBD84BE"/>
    <w:rsid w:val="218793DF"/>
    <w:rsid w:val="2257E254"/>
    <w:rsid w:val="22ED2F11"/>
    <w:rsid w:val="241A481A"/>
    <w:rsid w:val="24754129"/>
    <w:rsid w:val="24DC2981"/>
    <w:rsid w:val="24EFF694"/>
    <w:rsid w:val="2518FF6F"/>
    <w:rsid w:val="2584B0AA"/>
    <w:rsid w:val="2686A159"/>
    <w:rsid w:val="26981431"/>
    <w:rsid w:val="26A8AD92"/>
    <w:rsid w:val="26F7FD4E"/>
    <w:rsid w:val="270166D4"/>
    <w:rsid w:val="27B0E9D3"/>
    <w:rsid w:val="27F204C7"/>
    <w:rsid w:val="287543AE"/>
    <w:rsid w:val="2971B1AA"/>
    <w:rsid w:val="2ABFE7FB"/>
    <w:rsid w:val="2BACB23A"/>
    <w:rsid w:val="2BD1F29A"/>
    <w:rsid w:val="2C771BBC"/>
    <w:rsid w:val="2CBB2427"/>
    <w:rsid w:val="2CF6C10B"/>
    <w:rsid w:val="2E3761C2"/>
    <w:rsid w:val="2FD1F7FF"/>
    <w:rsid w:val="3064BF5E"/>
    <w:rsid w:val="30FE59A2"/>
    <w:rsid w:val="31B29C3A"/>
    <w:rsid w:val="322E7489"/>
    <w:rsid w:val="32CA1664"/>
    <w:rsid w:val="33670569"/>
    <w:rsid w:val="3440B293"/>
    <w:rsid w:val="348D2E93"/>
    <w:rsid w:val="348E07F5"/>
    <w:rsid w:val="353AA993"/>
    <w:rsid w:val="355A48AC"/>
    <w:rsid w:val="3630F9EE"/>
    <w:rsid w:val="3631D89F"/>
    <w:rsid w:val="3634045E"/>
    <w:rsid w:val="36CE35B0"/>
    <w:rsid w:val="3785A13F"/>
    <w:rsid w:val="38069FCD"/>
    <w:rsid w:val="3817B7AD"/>
    <w:rsid w:val="397B2BDB"/>
    <w:rsid w:val="3C96E0F9"/>
    <w:rsid w:val="3ED58482"/>
    <w:rsid w:val="3F83203C"/>
    <w:rsid w:val="4103072C"/>
    <w:rsid w:val="4132ED51"/>
    <w:rsid w:val="44220A7F"/>
    <w:rsid w:val="449C4B85"/>
    <w:rsid w:val="45A8C4D7"/>
    <w:rsid w:val="464A5D95"/>
    <w:rsid w:val="46EDB773"/>
    <w:rsid w:val="47551E20"/>
    <w:rsid w:val="49F59453"/>
    <w:rsid w:val="4B1829D0"/>
    <w:rsid w:val="4B2A3520"/>
    <w:rsid w:val="4B49CE1C"/>
    <w:rsid w:val="4B5E9A47"/>
    <w:rsid w:val="4B66394C"/>
    <w:rsid w:val="4C9D8979"/>
    <w:rsid w:val="4CAF4A1C"/>
    <w:rsid w:val="4EC2F490"/>
    <w:rsid w:val="5088C8D0"/>
    <w:rsid w:val="53973C81"/>
    <w:rsid w:val="560C6F45"/>
    <w:rsid w:val="572DE1B1"/>
    <w:rsid w:val="59059B76"/>
    <w:rsid w:val="59171375"/>
    <w:rsid w:val="59AB2755"/>
    <w:rsid w:val="5A8CD0B4"/>
    <w:rsid w:val="5BB90E3F"/>
    <w:rsid w:val="5C2F4373"/>
    <w:rsid w:val="5C658763"/>
    <w:rsid w:val="5DB491BC"/>
    <w:rsid w:val="5E449F1D"/>
    <w:rsid w:val="5F56DBA5"/>
    <w:rsid w:val="605EB668"/>
    <w:rsid w:val="61F114C1"/>
    <w:rsid w:val="624B6C2F"/>
    <w:rsid w:val="6455A036"/>
    <w:rsid w:val="64D5A2BC"/>
    <w:rsid w:val="65D2CD48"/>
    <w:rsid w:val="65D457A3"/>
    <w:rsid w:val="65F11AEB"/>
    <w:rsid w:val="6642170B"/>
    <w:rsid w:val="66FEC53D"/>
    <w:rsid w:val="67506537"/>
    <w:rsid w:val="6778E581"/>
    <w:rsid w:val="67CAB068"/>
    <w:rsid w:val="681EC5DF"/>
    <w:rsid w:val="683F313B"/>
    <w:rsid w:val="688FCB85"/>
    <w:rsid w:val="689D1EDE"/>
    <w:rsid w:val="68A6B0FF"/>
    <w:rsid w:val="68C32E3D"/>
    <w:rsid w:val="6A735203"/>
    <w:rsid w:val="6A88E381"/>
    <w:rsid w:val="6BDE43B3"/>
    <w:rsid w:val="6BFB8E66"/>
    <w:rsid w:val="6C22D119"/>
    <w:rsid w:val="6C2546BE"/>
    <w:rsid w:val="6C6F3125"/>
    <w:rsid w:val="6C7C1815"/>
    <w:rsid w:val="6CDFC19D"/>
    <w:rsid w:val="6D07027D"/>
    <w:rsid w:val="6D0887A1"/>
    <w:rsid w:val="6DC5B2E1"/>
    <w:rsid w:val="6EFE09D9"/>
    <w:rsid w:val="6F45940D"/>
    <w:rsid w:val="71250DA0"/>
    <w:rsid w:val="7155617B"/>
    <w:rsid w:val="72CE0AD9"/>
    <w:rsid w:val="737C4C58"/>
    <w:rsid w:val="748CDC61"/>
    <w:rsid w:val="754A00EB"/>
    <w:rsid w:val="75824C78"/>
    <w:rsid w:val="75D25B0B"/>
    <w:rsid w:val="768050D1"/>
    <w:rsid w:val="77B766B3"/>
    <w:rsid w:val="77C40146"/>
    <w:rsid w:val="7835DA68"/>
    <w:rsid w:val="7856E3F2"/>
    <w:rsid w:val="789A9D4A"/>
    <w:rsid w:val="78BF8E95"/>
    <w:rsid w:val="793CCBF3"/>
    <w:rsid w:val="7A06D622"/>
    <w:rsid w:val="7A642DB6"/>
    <w:rsid w:val="7A709BA5"/>
    <w:rsid w:val="7A7DF825"/>
    <w:rsid w:val="7AACDB49"/>
    <w:rsid w:val="7D27F46D"/>
    <w:rsid w:val="7D4BEAC3"/>
    <w:rsid w:val="7DE3B554"/>
    <w:rsid w:val="7EBDDC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EC4D9E36-D436-457E-8111-AADA0816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Bullet Points,Bullet Styles para,Dot pt,F5 List Paragraph,Indicator Text,List Paragraph (numbered (a)),List Paragraph Char Char Char,List Paragraph11,List Paragraph12,MAIN CONTENT,No Spacing1,Normal numbered,Numbered Para 1,OBC Bullet"/>
    <w:basedOn w:val="Normal"/>
    <w:link w:val="PrrafodelistaCar"/>
    <w:qFormat/>
    <w:rsid w:val="001405C6"/>
    <w:pPr>
      <w:ind w:left="708"/>
    </w:pPr>
    <w:rPr>
      <w:sz w:val="20"/>
      <w:szCs w:val="20"/>
      <w:lang w:val="es-CO"/>
    </w:rPr>
  </w:style>
  <w:style w:type="character" w:customStyle="1" w:styleId="PrrafodelistaCar">
    <w:name w:val="Párrafo de lista Car"/>
    <w:aliases w:val="Bullet Points Car,Bullet Styles para Car,Dot pt Car,F5 List Paragraph Car,Indicator Text Car,List Paragraph (numbered (a)) Car,List Paragraph Char Char Char Car,List Paragraph11 Car,List Paragraph12 Car,MAIN CONTENT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C15513"/>
    <w:rPr>
      <w:color w:val="0563C1" w:themeColor="hyperlink"/>
      <w:u w:val="single"/>
    </w:rPr>
  </w:style>
  <w:style w:type="paragraph" w:customStyle="1" w:styleId="Artculo">
    <w:name w:val="Artículo"/>
    <w:basedOn w:val="Normal"/>
    <w:link w:val="ArtculoCar"/>
    <w:qFormat/>
    <w:rsid w:val="00243EFE"/>
    <w:pPr>
      <w:numPr>
        <w:numId w:val="24"/>
      </w:numPr>
      <w:spacing w:before="180" w:after="180"/>
      <w:jc w:val="both"/>
    </w:pPr>
    <w:rPr>
      <w:rFonts w:ascii="Bookman Old Style" w:hAnsi="Bookman Old Style" w:cs="Arial"/>
      <w:b/>
    </w:rPr>
  </w:style>
  <w:style w:type="character" w:customStyle="1" w:styleId="ArtculoCar">
    <w:name w:val="Artículo Car"/>
    <w:link w:val="Artculo"/>
    <w:rsid w:val="00243EFE"/>
    <w:rPr>
      <w:rFonts w:ascii="Bookman Old Style" w:hAnsi="Bookman Old Style" w:cs="Arial"/>
      <w:b/>
      <w:sz w:val="24"/>
      <w:szCs w:val="24"/>
      <w:lang w:val="es-ES" w:eastAsia="es-ES"/>
    </w:rPr>
  </w:style>
  <w:style w:type="paragraph" w:customStyle="1" w:styleId="Cordialmente">
    <w:name w:val="Cordialmente"/>
    <w:basedOn w:val="Normal"/>
    <w:qFormat/>
    <w:rsid w:val="008E491D"/>
    <w:pPr>
      <w:spacing w:before="120" w:after="480" w:line="360" w:lineRule="auto"/>
      <w:ind w:left="0"/>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8E491D"/>
    <w:rPr>
      <w:sz w:val="20"/>
      <w:szCs w:val="20"/>
    </w:rPr>
  </w:style>
  <w:style w:type="character" w:customStyle="1" w:styleId="TextonotapieCar">
    <w:name w:val="Texto nota pie Car"/>
    <w:basedOn w:val="Fuentedeprrafopredeter"/>
    <w:link w:val="Textonotapie"/>
    <w:uiPriority w:val="99"/>
    <w:semiHidden/>
    <w:rsid w:val="008E491D"/>
    <w:rPr>
      <w:lang w:val="es-ES" w:eastAsia="es-ES"/>
    </w:rPr>
  </w:style>
  <w:style w:type="character" w:styleId="Refdenotaalpie">
    <w:name w:val="footnote reference"/>
    <w:aliases w:val="Texto de nota al pie,Footnotes refss,Appel note de bas de page,Ref,de nota al pie,FC,Appel note d,Appel note de,Appel note de bas de p,Ref. de nota al pie 2,Appel note de bas de,referencia nota al pie,Pie de Página,Footnote number,f"/>
    <w:basedOn w:val="Fuentedeprrafopredeter"/>
    <w:uiPriority w:val="99"/>
    <w:unhideWhenUsed/>
    <w:qFormat/>
    <w:rsid w:val="008E491D"/>
    <w:rPr>
      <w:vertAlign w:val="superscript"/>
    </w:rPr>
  </w:style>
  <w:style w:type="character" w:styleId="Mencinsinresolver">
    <w:name w:val="Unresolved Mention"/>
    <w:basedOn w:val="Fuentedeprrafopredeter"/>
    <w:uiPriority w:val="99"/>
    <w:semiHidden/>
    <w:unhideWhenUsed/>
    <w:rsid w:val="008E491D"/>
    <w:rPr>
      <w:color w:val="605E5C"/>
      <w:shd w:val="clear" w:color="auto" w:fill="E1DFDD"/>
    </w:rPr>
  </w:style>
  <w:style w:type="character" w:styleId="Refdecomentario">
    <w:name w:val="annotation reference"/>
    <w:basedOn w:val="Fuentedeprrafopredeter"/>
    <w:uiPriority w:val="99"/>
    <w:semiHidden/>
    <w:unhideWhenUsed/>
    <w:rsid w:val="008E491D"/>
    <w:rPr>
      <w:sz w:val="16"/>
      <w:szCs w:val="16"/>
    </w:rPr>
  </w:style>
  <w:style w:type="paragraph" w:styleId="Textocomentario">
    <w:name w:val="annotation text"/>
    <w:basedOn w:val="Normal"/>
    <w:link w:val="TextocomentarioCar"/>
    <w:uiPriority w:val="99"/>
    <w:unhideWhenUsed/>
    <w:rsid w:val="008E491D"/>
    <w:rPr>
      <w:sz w:val="20"/>
      <w:szCs w:val="20"/>
    </w:rPr>
  </w:style>
  <w:style w:type="character" w:customStyle="1" w:styleId="TextocomentarioCar">
    <w:name w:val="Texto comentario Car"/>
    <w:basedOn w:val="Fuentedeprrafopredeter"/>
    <w:link w:val="Textocomentario"/>
    <w:uiPriority w:val="99"/>
    <w:rsid w:val="008E491D"/>
    <w:rPr>
      <w:lang w:val="es-ES" w:eastAsia="es-ES"/>
    </w:rPr>
  </w:style>
  <w:style w:type="paragraph" w:styleId="Asuntodelcomentario">
    <w:name w:val="annotation subject"/>
    <w:basedOn w:val="Textocomentario"/>
    <w:next w:val="Textocomentario"/>
    <w:link w:val="AsuntodelcomentarioCar"/>
    <w:uiPriority w:val="99"/>
    <w:semiHidden/>
    <w:unhideWhenUsed/>
    <w:rsid w:val="008E491D"/>
    <w:rPr>
      <w:b/>
      <w:bCs/>
    </w:rPr>
  </w:style>
  <w:style w:type="character" w:customStyle="1" w:styleId="AsuntodelcomentarioCar">
    <w:name w:val="Asunto del comentario Car"/>
    <w:basedOn w:val="TextocomentarioCar"/>
    <w:link w:val="Asuntodelcomentario"/>
    <w:uiPriority w:val="99"/>
    <w:semiHidden/>
    <w:rsid w:val="008E491D"/>
    <w:rPr>
      <w:b/>
      <w:bCs/>
      <w:lang w:val="es-ES" w:eastAsia="es-ES"/>
    </w:rPr>
  </w:style>
  <w:style w:type="paragraph" w:styleId="Revisin">
    <w:name w:val="Revision"/>
    <w:hidden/>
    <w:uiPriority w:val="99"/>
    <w:semiHidden/>
    <w:rsid w:val="008E491D"/>
    <w:rPr>
      <w:sz w:val="24"/>
      <w:szCs w:val="24"/>
      <w:lang w:val="es-ES" w:eastAsia="es-ES"/>
    </w:rPr>
  </w:style>
  <w:style w:type="table" w:customStyle="1" w:styleId="Tablaconcuadrcula1">
    <w:name w:val="Tabla con cuadrícula1"/>
    <w:basedOn w:val="Tablanormal"/>
    <w:next w:val="Tablaconcuadrcula"/>
    <w:uiPriority w:val="39"/>
    <w:rsid w:val="00190A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744536">
      <w:bodyDiv w:val="1"/>
      <w:marLeft w:val="0"/>
      <w:marRight w:val="0"/>
      <w:marTop w:val="0"/>
      <w:marBottom w:val="0"/>
      <w:divBdr>
        <w:top w:val="none" w:sz="0" w:space="0" w:color="auto"/>
        <w:left w:val="none" w:sz="0" w:space="0" w:color="auto"/>
        <w:bottom w:val="none" w:sz="0" w:space="0" w:color="auto"/>
        <w:right w:val="none" w:sz="0" w:space="0" w:color="auto"/>
      </w:divBdr>
    </w:div>
    <w:div w:id="1368677549">
      <w:bodyDiv w:val="1"/>
      <w:marLeft w:val="0"/>
      <w:marRight w:val="0"/>
      <w:marTop w:val="0"/>
      <w:marBottom w:val="0"/>
      <w:divBdr>
        <w:top w:val="none" w:sz="0" w:space="0" w:color="auto"/>
        <w:left w:val="none" w:sz="0" w:space="0" w:color="auto"/>
        <w:bottom w:val="none" w:sz="0" w:space="0" w:color="auto"/>
        <w:right w:val="none" w:sz="0" w:space="0" w:color="auto"/>
      </w:divBdr>
    </w:div>
    <w:div w:id="1402361692">
      <w:bodyDiv w:val="1"/>
      <w:marLeft w:val="0"/>
      <w:marRight w:val="0"/>
      <w:marTop w:val="0"/>
      <w:marBottom w:val="0"/>
      <w:divBdr>
        <w:top w:val="none" w:sz="0" w:space="0" w:color="auto"/>
        <w:left w:val="none" w:sz="0" w:space="0" w:color="auto"/>
        <w:bottom w:val="none" w:sz="0" w:space="0" w:color="auto"/>
        <w:right w:val="none" w:sz="0" w:space="0" w:color="auto"/>
      </w:divBdr>
    </w:div>
    <w:div w:id="1537036222">
      <w:bodyDiv w:val="1"/>
      <w:marLeft w:val="0"/>
      <w:marRight w:val="0"/>
      <w:marTop w:val="0"/>
      <w:marBottom w:val="0"/>
      <w:divBdr>
        <w:top w:val="none" w:sz="0" w:space="0" w:color="auto"/>
        <w:left w:val="none" w:sz="0" w:space="0" w:color="auto"/>
        <w:bottom w:val="none" w:sz="0" w:space="0" w:color="auto"/>
        <w:right w:val="none" w:sz="0" w:space="0" w:color="auto"/>
      </w:divBdr>
    </w:div>
    <w:div w:id="1790509656">
      <w:bodyDiv w:val="1"/>
      <w:marLeft w:val="0"/>
      <w:marRight w:val="0"/>
      <w:marTop w:val="0"/>
      <w:marBottom w:val="0"/>
      <w:divBdr>
        <w:top w:val="none" w:sz="0" w:space="0" w:color="auto"/>
        <w:left w:val="none" w:sz="0" w:space="0" w:color="auto"/>
        <w:bottom w:val="none" w:sz="0" w:space="0" w:color="auto"/>
        <w:right w:val="none" w:sz="0" w:space="0" w:color="auto"/>
      </w:divBdr>
    </w:div>
    <w:div w:id="1844006027">
      <w:bodyDiv w:val="1"/>
      <w:marLeft w:val="0"/>
      <w:marRight w:val="0"/>
      <w:marTop w:val="0"/>
      <w:marBottom w:val="0"/>
      <w:divBdr>
        <w:top w:val="none" w:sz="0" w:space="0" w:color="auto"/>
        <w:left w:val="none" w:sz="0" w:space="0" w:color="auto"/>
        <w:bottom w:val="none" w:sz="0" w:space="0" w:color="auto"/>
        <w:right w:val="none" w:sz="0" w:space="0" w:color="auto"/>
      </w:divBdr>
    </w:div>
    <w:div w:id="1927761056">
      <w:bodyDiv w:val="1"/>
      <w:marLeft w:val="0"/>
      <w:marRight w:val="0"/>
      <w:marTop w:val="0"/>
      <w:marBottom w:val="0"/>
      <w:divBdr>
        <w:top w:val="none" w:sz="0" w:space="0" w:color="auto"/>
        <w:left w:val="none" w:sz="0" w:space="0" w:color="auto"/>
        <w:bottom w:val="none" w:sz="0" w:space="0" w:color="auto"/>
        <w:right w:val="none" w:sz="0" w:space="0" w:color="auto"/>
      </w:divBdr>
    </w:div>
    <w:div w:id="20421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g@creg.gov.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C4E49-CD5E-4A4E-A38B-FDB6FCFF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5A7BE-CD31-41D9-A7E8-9EE6C1530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314</TotalTime>
  <Pages>1</Pages>
  <Words>4462</Words>
  <Characters>24544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28949</CharactersWithSpaces>
  <SharedDoc>false</SharedDoc>
  <HLinks>
    <vt:vector size="72" baseType="variant">
      <vt:variant>
        <vt:i4>393290</vt:i4>
      </vt:variant>
      <vt:variant>
        <vt:i4>39</vt:i4>
      </vt:variant>
      <vt:variant>
        <vt:i4>0</vt:i4>
      </vt:variant>
      <vt:variant>
        <vt:i4>5</vt:i4>
      </vt:variant>
      <vt:variant>
        <vt:lpwstr>https://gestornormativo.creg.gov.co/gestor/entorno/docs/decreto_2696_2004.htm</vt:lpwstr>
      </vt:variant>
      <vt:variant>
        <vt:lpwstr>11</vt:lpwstr>
      </vt:variant>
      <vt:variant>
        <vt:i4>4980792</vt:i4>
      </vt:variant>
      <vt:variant>
        <vt:i4>36</vt:i4>
      </vt:variant>
      <vt:variant>
        <vt:i4>0</vt:i4>
      </vt:variant>
      <vt:variant>
        <vt:i4>5</vt:i4>
      </vt:variant>
      <vt:variant>
        <vt:lpwstr>https://gestornormativo.creg.gov.co/gestor/entorno/docs/resolucion_creg_0137_2020.htm</vt:lpwstr>
      </vt:variant>
      <vt:variant>
        <vt:lpwstr>INICIO</vt:lpwstr>
      </vt:variant>
      <vt:variant>
        <vt:i4>5570578</vt:i4>
      </vt:variant>
      <vt:variant>
        <vt:i4>33</vt:i4>
      </vt:variant>
      <vt:variant>
        <vt:i4>0</vt:i4>
      </vt:variant>
      <vt:variant>
        <vt:i4>5</vt:i4>
      </vt:variant>
      <vt:variant>
        <vt:lpwstr>https://gestornormativo.creg.gov.co/gestor/entorno/docs/decreto_2696_2004.htm</vt:lpwstr>
      </vt:variant>
      <vt:variant>
        <vt:lpwstr>INICIO</vt:lpwstr>
      </vt:variant>
      <vt:variant>
        <vt:i4>655444</vt:i4>
      </vt:variant>
      <vt:variant>
        <vt:i4>30</vt:i4>
      </vt:variant>
      <vt:variant>
        <vt:i4>0</vt:i4>
      </vt:variant>
      <vt:variant>
        <vt:i4>5</vt:i4>
      </vt:variant>
      <vt:variant>
        <vt:lpwstr>https://gestornormativo.creg.gov.co/gestor/entorno/docs/ley_0142_1994.htm</vt:lpwstr>
      </vt:variant>
      <vt:variant>
        <vt:lpwstr>127</vt:lpwstr>
      </vt:variant>
      <vt:variant>
        <vt:i4>196699</vt:i4>
      </vt:variant>
      <vt:variant>
        <vt:i4>27</vt:i4>
      </vt:variant>
      <vt:variant>
        <vt:i4>0</vt:i4>
      </vt:variant>
      <vt:variant>
        <vt:i4>5</vt:i4>
      </vt:variant>
      <vt:variant>
        <vt:lpwstr>https://gestornormativo.creg.gov.co/gestor/entorno/docs/ley_1437_2011.htm</vt:lpwstr>
      </vt:variant>
      <vt:variant>
        <vt:lpwstr>40</vt:lpwstr>
      </vt:variant>
      <vt:variant>
        <vt:i4>524372</vt:i4>
      </vt:variant>
      <vt:variant>
        <vt:i4>24</vt:i4>
      </vt:variant>
      <vt:variant>
        <vt:i4>0</vt:i4>
      </vt:variant>
      <vt:variant>
        <vt:i4>5</vt:i4>
      </vt:variant>
      <vt:variant>
        <vt:lpwstr>https://gestornormativo.creg.gov.co/gestor/entorno/docs/ley_0142_1994.htm</vt:lpwstr>
      </vt:variant>
      <vt:variant>
        <vt:lpwstr>109</vt:lpwstr>
      </vt:variant>
      <vt:variant>
        <vt:i4>524372</vt:i4>
      </vt:variant>
      <vt:variant>
        <vt:i4>21</vt:i4>
      </vt:variant>
      <vt:variant>
        <vt:i4>0</vt:i4>
      </vt:variant>
      <vt:variant>
        <vt:i4>5</vt:i4>
      </vt:variant>
      <vt:variant>
        <vt:lpwstr>https://gestornormativo.creg.gov.co/gestor/entorno/docs/ley_0142_1994.htm</vt:lpwstr>
      </vt:variant>
      <vt:variant>
        <vt:lpwstr>108</vt:lpwstr>
      </vt:variant>
      <vt:variant>
        <vt:i4>262236</vt:i4>
      </vt:variant>
      <vt:variant>
        <vt:i4>18</vt:i4>
      </vt:variant>
      <vt:variant>
        <vt:i4>0</vt:i4>
      </vt:variant>
      <vt:variant>
        <vt:i4>5</vt:i4>
      </vt:variant>
      <vt:variant>
        <vt:lpwstr>https://gestornormativo.creg.gov.co/gestor/entorno/docs/ley_1437_2011.htm</vt:lpwstr>
      </vt:variant>
      <vt:variant>
        <vt:lpwstr>37</vt:lpwstr>
      </vt:variant>
      <vt:variant>
        <vt:i4>589908</vt:i4>
      </vt:variant>
      <vt:variant>
        <vt:i4>15</vt:i4>
      </vt:variant>
      <vt:variant>
        <vt:i4>0</vt:i4>
      </vt:variant>
      <vt:variant>
        <vt:i4>5</vt:i4>
      </vt:variant>
      <vt:variant>
        <vt:lpwstr>https://gestornormativo.creg.gov.co/gestor/entorno/docs/ley_0142_1994.htm</vt:lpwstr>
      </vt:variant>
      <vt:variant>
        <vt:lpwstr>111</vt:lpwstr>
      </vt:variant>
      <vt:variant>
        <vt:i4>5898252</vt:i4>
      </vt:variant>
      <vt:variant>
        <vt:i4>12</vt:i4>
      </vt:variant>
      <vt:variant>
        <vt:i4>0</vt:i4>
      </vt:variant>
      <vt:variant>
        <vt:i4>5</vt:i4>
      </vt:variant>
      <vt:variant>
        <vt:lpwstr>https://gestornormativo.creg.gov.co/gestor/entorno/docs/ley_0142_1994.htm</vt:lpwstr>
      </vt:variant>
      <vt:variant>
        <vt:lpwstr>INICIO</vt:lpwstr>
      </vt:variant>
      <vt:variant>
        <vt:i4>2031726</vt:i4>
      </vt:variant>
      <vt:variant>
        <vt:i4>9</vt:i4>
      </vt:variant>
      <vt:variant>
        <vt:i4>0</vt:i4>
      </vt:variant>
      <vt:variant>
        <vt:i4>5</vt:i4>
      </vt:variant>
      <vt:variant>
        <vt:lpwstr>https://gestornormativo.creg.gov.co/gestor/entorno/docs/resolucion_creg_0091_2007.htm</vt:lpwstr>
      </vt:variant>
      <vt:variant>
        <vt:lpwstr>24</vt:lpwstr>
      </vt:variant>
      <vt:variant>
        <vt:i4>1638510</vt:i4>
      </vt:variant>
      <vt:variant>
        <vt:i4>6</vt:i4>
      </vt:variant>
      <vt:variant>
        <vt:i4>0</vt:i4>
      </vt:variant>
      <vt:variant>
        <vt:i4>5</vt:i4>
      </vt:variant>
      <vt:variant>
        <vt:lpwstr>https://gestornormativo.creg.gov.co/gestor/entorno/docs/resolucion_creg_0091_2007.htm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58</cp:revision>
  <cp:lastPrinted>2024-12-19T19:31:00Z</cp:lastPrinted>
  <dcterms:created xsi:type="dcterms:W3CDTF">2024-12-13T22:36:00Z</dcterms:created>
  <dcterms:modified xsi:type="dcterms:W3CDTF">2024-12-19T19:31:00Z</dcterms:modified>
</cp:coreProperties>
</file>