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10" o:title=""/>
          </v:shape>
          <o:OLEObject Type="Embed" ProgID="PBrush" ShapeID="_x0000_s2050" DrawAspect="Content" ObjectID="_1795441346" r:id="rId11"/>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5291734E" w14:textId="77777777" w:rsidR="009C2F3D" w:rsidRPr="00B75554" w:rsidRDefault="009C2F3D" w:rsidP="009C2F3D">
      <w:pPr>
        <w:pStyle w:val="Ttulo5"/>
        <w:tabs>
          <w:tab w:val="left" w:pos="0"/>
          <w:tab w:val="right" w:pos="9356"/>
        </w:tabs>
        <w:ind w:left="0"/>
        <w:rPr>
          <w:rFonts w:ascii="Bookman Old Style" w:hAnsi="Bookman Old Style"/>
          <w:sz w:val="24"/>
          <w:szCs w:val="24"/>
          <w:lang w:val="es-CO"/>
        </w:rPr>
      </w:pPr>
      <w:r w:rsidRPr="00B75554">
        <w:rPr>
          <w:rFonts w:ascii="Bookman Old Style" w:hAnsi="Bookman Old Style"/>
          <w:sz w:val="24"/>
          <w:szCs w:val="24"/>
          <w:lang w:val="es-CO"/>
        </w:rPr>
        <w:t xml:space="preserve">PROYECTO DE RESOLUCIÓN No. </w:t>
      </w:r>
      <w:r w:rsidRPr="00906FB2">
        <w:rPr>
          <w:rFonts w:ascii="Bookman Old Style" w:hAnsi="Bookman Old Style"/>
          <w:sz w:val="32"/>
          <w:szCs w:val="32"/>
          <w:lang w:val="es-CO"/>
        </w:rPr>
        <w:fldChar w:fldCharType="begin"/>
      </w:r>
      <w:r w:rsidRPr="00906FB2">
        <w:rPr>
          <w:rFonts w:ascii="Bookman Old Style" w:hAnsi="Bookman Old Style"/>
          <w:sz w:val="32"/>
          <w:szCs w:val="32"/>
          <w:lang w:val="es-CO"/>
        </w:rPr>
        <w:instrText xml:space="preserve"> MERGEFIELD  NumeroResolucion  \* MERGEFORMAT </w:instrText>
      </w:r>
      <w:r w:rsidRPr="00906FB2">
        <w:rPr>
          <w:rFonts w:ascii="Bookman Old Style" w:hAnsi="Bookman Old Style"/>
          <w:sz w:val="32"/>
          <w:szCs w:val="32"/>
          <w:lang w:val="es-CO"/>
        </w:rPr>
        <w:fldChar w:fldCharType="separate"/>
      </w:r>
      <w:r w:rsidRPr="00906FB2">
        <w:rPr>
          <w:rFonts w:ascii="Bookman Old Style" w:hAnsi="Bookman Old Style"/>
          <w:sz w:val="32"/>
          <w:szCs w:val="32"/>
          <w:lang w:val="es-CO"/>
        </w:rPr>
        <w:t>704 003</w:t>
      </w:r>
      <w:r w:rsidRPr="00906FB2">
        <w:rPr>
          <w:rFonts w:ascii="Bookman Old Style" w:hAnsi="Bookman Old Style"/>
          <w:sz w:val="32"/>
          <w:szCs w:val="32"/>
          <w:lang w:val="es-CO"/>
        </w:rPr>
        <w:fldChar w:fldCharType="end"/>
      </w:r>
      <w:r w:rsidRPr="00906FB2">
        <w:rPr>
          <w:rFonts w:ascii="Bookman Old Style" w:hAnsi="Bookman Old Style"/>
          <w:sz w:val="32"/>
          <w:szCs w:val="32"/>
          <w:lang w:val="es-CO"/>
        </w:rPr>
        <w:t xml:space="preserve"> DE </w:t>
      </w:r>
      <w:r w:rsidRPr="00906FB2">
        <w:rPr>
          <w:rFonts w:ascii="Bookman Old Style" w:hAnsi="Bookman Old Style"/>
          <w:sz w:val="32"/>
          <w:szCs w:val="32"/>
          <w:lang w:val="es-CO"/>
        </w:rPr>
        <w:fldChar w:fldCharType="begin"/>
      </w:r>
      <w:r w:rsidRPr="00906FB2">
        <w:rPr>
          <w:rFonts w:ascii="Bookman Old Style" w:hAnsi="Bookman Old Style"/>
          <w:sz w:val="32"/>
          <w:szCs w:val="32"/>
          <w:lang w:val="es-CO"/>
        </w:rPr>
        <w:instrText xml:space="preserve"> MERGEFIELD  Anio  \* MERGEFORMAT </w:instrText>
      </w:r>
      <w:r w:rsidRPr="00906FB2">
        <w:rPr>
          <w:rFonts w:ascii="Bookman Old Style" w:hAnsi="Bookman Old Style"/>
          <w:sz w:val="32"/>
          <w:szCs w:val="32"/>
          <w:lang w:val="es-CO"/>
        </w:rPr>
        <w:fldChar w:fldCharType="separate"/>
      </w:r>
      <w:r w:rsidRPr="00906FB2">
        <w:rPr>
          <w:rFonts w:ascii="Bookman Old Style" w:hAnsi="Bookman Old Style"/>
          <w:noProof/>
          <w:sz w:val="32"/>
          <w:szCs w:val="32"/>
          <w:lang w:val="es-CO"/>
        </w:rPr>
        <w:t>2024</w:t>
      </w:r>
      <w:r w:rsidRPr="00906FB2">
        <w:rPr>
          <w:rFonts w:ascii="Bookman Old Style" w:hAnsi="Bookman Old Style"/>
          <w:sz w:val="32"/>
          <w:szCs w:val="32"/>
          <w:lang w:val="es-CO"/>
        </w:rPr>
        <w:fldChar w:fldCharType="end"/>
      </w:r>
    </w:p>
    <w:p w14:paraId="31014CD5" w14:textId="77777777" w:rsidR="009C2F3D" w:rsidRPr="00B75554" w:rsidRDefault="009C2F3D" w:rsidP="009C2F3D">
      <w:pPr>
        <w:tabs>
          <w:tab w:val="left" w:pos="0"/>
          <w:tab w:val="right" w:pos="9356"/>
        </w:tabs>
        <w:ind w:left="0"/>
        <w:jc w:val="center"/>
        <w:rPr>
          <w:rFonts w:ascii="Bookman Old Style" w:hAnsi="Bookman Old Style" w:cs="Arial"/>
          <w:b/>
          <w:snapToGrid w:val="0"/>
          <w:color w:val="000000"/>
          <w:lang w:val="es-CO"/>
        </w:rPr>
      </w:pPr>
    </w:p>
    <w:p w14:paraId="19ED4486" w14:textId="51A4461A" w:rsidR="009C2F3D" w:rsidRPr="00906FB2" w:rsidRDefault="009C2F3D" w:rsidP="009C2F3D">
      <w:pPr>
        <w:pStyle w:val="Ttulo3"/>
        <w:tabs>
          <w:tab w:val="left" w:pos="0"/>
          <w:tab w:val="right" w:pos="9356"/>
        </w:tabs>
        <w:ind w:left="0"/>
        <w:rPr>
          <w:rFonts w:ascii="Bookman Old Style" w:hAnsi="Bookman Old Style"/>
          <w:bCs/>
          <w:szCs w:val="24"/>
          <w:lang w:val="es-CO"/>
        </w:rPr>
      </w:pPr>
      <w:r w:rsidRPr="00906FB2">
        <w:rPr>
          <w:rFonts w:ascii="Bookman Old Style" w:hAnsi="Bookman Old Style"/>
          <w:bCs/>
          <w:szCs w:val="24"/>
          <w:lang w:val="es-CO"/>
        </w:rPr>
        <w:t>(</w:t>
      </w:r>
      <w:r w:rsidR="001B3B70" w:rsidRPr="00906FB2">
        <w:rPr>
          <w:rFonts w:ascii="Bookman Old Style" w:hAnsi="Bookman Old Style"/>
          <w:bCs/>
          <w:szCs w:val="24"/>
          <w:lang w:val="es-CO"/>
        </w:rPr>
        <w:t>28</w:t>
      </w:r>
      <w:r w:rsidRPr="00906FB2">
        <w:rPr>
          <w:rFonts w:ascii="Bookman Old Style" w:hAnsi="Bookman Old Style"/>
          <w:bCs/>
          <w:szCs w:val="24"/>
          <w:lang w:val="es-CO"/>
        </w:rPr>
        <w:t xml:space="preserve"> </w:t>
      </w:r>
      <w:r w:rsidR="001B3B70" w:rsidRPr="00906FB2">
        <w:rPr>
          <w:rFonts w:ascii="Bookman Old Style" w:hAnsi="Bookman Old Style"/>
          <w:bCs/>
          <w:szCs w:val="24"/>
          <w:lang w:val="es-CO"/>
        </w:rPr>
        <w:t>NOV</w:t>
      </w:r>
      <w:r w:rsidRPr="00906FB2">
        <w:rPr>
          <w:rFonts w:ascii="Bookman Old Style" w:hAnsi="Bookman Old Style"/>
          <w:bCs/>
          <w:szCs w:val="24"/>
          <w:lang w:val="es-CO"/>
        </w:rPr>
        <w:t>. 2024)</w:t>
      </w:r>
    </w:p>
    <w:p w14:paraId="3E6A848C" w14:textId="77777777" w:rsidR="009C2F3D" w:rsidRPr="00B75554" w:rsidRDefault="009C2F3D" w:rsidP="009C2F3D">
      <w:pPr>
        <w:spacing w:line="259" w:lineRule="auto"/>
        <w:ind w:left="142" w:right="142"/>
        <w:jc w:val="both"/>
        <w:rPr>
          <w:rFonts w:ascii="Bookman Old Style" w:hAnsi="Bookman Old Style"/>
          <w:lang w:val="es-CO"/>
        </w:rPr>
      </w:pPr>
    </w:p>
    <w:p w14:paraId="176BCDB9" w14:textId="7ADA0E50" w:rsidR="009C2F3D" w:rsidRPr="00B75554" w:rsidRDefault="009C2F3D" w:rsidP="009C2F3D">
      <w:pPr>
        <w:spacing w:line="259" w:lineRule="auto"/>
        <w:ind w:left="0" w:right="142"/>
        <w:jc w:val="both"/>
        <w:rPr>
          <w:rFonts w:ascii="Bookman Old Style" w:hAnsi="Bookman Old Style"/>
          <w:lang w:val="es-CO"/>
        </w:rPr>
      </w:pPr>
      <w:r w:rsidRPr="00B75554">
        <w:rPr>
          <w:rFonts w:ascii="Bookman Old Style" w:hAnsi="Bookman Old Style"/>
          <w:lang w:val="es-CO"/>
        </w:rPr>
        <w:t xml:space="preserve">La Comisión de Regulación de Energía y Gas, en su </w:t>
      </w:r>
      <w:r>
        <w:rPr>
          <w:rFonts w:ascii="Bookman Old Style" w:hAnsi="Bookman Old Style"/>
          <w:lang w:val="es-CO"/>
        </w:rPr>
        <w:t>s</w:t>
      </w:r>
      <w:r w:rsidRPr="00B75554">
        <w:rPr>
          <w:rFonts w:ascii="Bookman Old Style" w:hAnsi="Bookman Old Style"/>
          <w:lang w:val="es-CO"/>
        </w:rPr>
        <w:t xml:space="preserve">esión No. </w:t>
      </w:r>
      <w:r w:rsidR="001B3B70" w:rsidRPr="00906FB2">
        <w:rPr>
          <w:rFonts w:ascii="Bookman Old Style" w:hAnsi="Bookman Old Style"/>
          <w:lang w:val="es-CO"/>
        </w:rPr>
        <w:t>1360</w:t>
      </w:r>
      <w:r w:rsidRPr="00906FB2">
        <w:rPr>
          <w:rFonts w:ascii="Bookman Old Style" w:hAnsi="Bookman Old Style"/>
          <w:lang w:val="es-CO"/>
        </w:rPr>
        <w:t xml:space="preserve"> del </w:t>
      </w:r>
      <w:r w:rsidR="0072140F" w:rsidRPr="00906FB2">
        <w:rPr>
          <w:rFonts w:ascii="Bookman Old Style" w:hAnsi="Bookman Old Style"/>
          <w:lang w:val="es-CO"/>
        </w:rPr>
        <w:t>28</w:t>
      </w:r>
      <w:r w:rsidRPr="00906FB2">
        <w:rPr>
          <w:rFonts w:ascii="Bookman Old Style" w:hAnsi="Bookman Old Style"/>
          <w:lang w:val="es-CO"/>
        </w:rPr>
        <w:t xml:space="preserve"> de </w:t>
      </w:r>
      <w:r w:rsidR="0072140F" w:rsidRPr="00906FB2">
        <w:rPr>
          <w:rFonts w:ascii="Bookman Old Style" w:hAnsi="Bookman Old Style"/>
          <w:lang w:val="es-CO"/>
        </w:rPr>
        <w:t>noviembre</w:t>
      </w:r>
      <w:r w:rsidRPr="00906FB2">
        <w:rPr>
          <w:rFonts w:ascii="Bookman Old Style" w:hAnsi="Bookman Old Style"/>
          <w:lang w:val="es-CO"/>
        </w:rPr>
        <w:t xml:space="preserve"> de 2024</w:t>
      </w:r>
      <w:r w:rsidRPr="00B75554">
        <w:rPr>
          <w:rFonts w:ascii="Bookman Old Style" w:hAnsi="Bookman Old Style"/>
          <w:lang w:val="es-CO"/>
        </w:rPr>
        <w:t xml:space="preserve">, aprobó someter a consulta pública el presente proyecto de resolución </w:t>
      </w:r>
      <w:r>
        <w:rPr>
          <w:rFonts w:ascii="Bookman Old Style" w:hAnsi="Bookman Old Style"/>
          <w:lang w:val="es-CO"/>
        </w:rPr>
        <w:t xml:space="preserve">por </w:t>
      </w:r>
      <w:r w:rsidR="00C420A4">
        <w:rPr>
          <w:rFonts w:ascii="Bookman Old Style" w:hAnsi="Bookman Old Style"/>
          <w:lang w:val="es-CO"/>
        </w:rPr>
        <w:t>quince</w:t>
      </w:r>
      <w:r w:rsidRPr="00C52F60">
        <w:rPr>
          <w:rFonts w:ascii="Bookman Old Style" w:hAnsi="Bookman Old Style"/>
          <w:lang w:val="es-CO"/>
        </w:rPr>
        <w:t xml:space="preserve"> (</w:t>
      </w:r>
      <w:r w:rsidR="00C420A4">
        <w:rPr>
          <w:rFonts w:ascii="Bookman Old Style" w:hAnsi="Bookman Old Style"/>
          <w:lang w:val="es-CO"/>
        </w:rPr>
        <w:t>15</w:t>
      </w:r>
      <w:r w:rsidRPr="00C52F60">
        <w:rPr>
          <w:rFonts w:ascii="Bookman Old Style" w:hAnsi="Bookman Old Style"/>
          <w:lang w:val="es-CO"/>
        </w:rPr>
        <w:t>) días hábiles, contados a partir del día siguiente a su publicación en el portal web de la CREG.</w:t>
      </w:r>
    </w:p>
    <w:p w14:paraId="1DBFE409" w14:textId="77777777" w:rsidR="009C2F3D" w:rsidRPr="00B75554" w:rsidRDefault="009C2F3D" w:rsidP="009C2F3D">
      <w:pPr>
        <w:spacing w:line="259" w:lineRule="auto"/>
        <w:ind w:left="0" w:right="142"/>
        <w:jc w:val="both"/>
        <w:rPr>
          <w:rFonts w:ascii="Bookman Old Style" w:hAnsi="Bookman Old Style"/>
          <w:lang w:val="es-CO"/>
        </w:rPr>
      </w:pPr>
    </w:p>
    <w:p w14:paraId="659BFF17" w14:textId="77777777" w:rsidR="009C2F3D" w:rsidRPr="00B75554" w:rsidRDefault="009C2F3D" w:rsidP="009C2F3D">
      <w:pPr>
        <w:spacing w:line="259" w:lineRule="auto"/>
        <w:ind w:left="0" w:right="142"/>
        <w:jc w:val="both"/>
        <w:rPr>
          <w:rFonts w:ascii="Bookman Old Style" w:hAnsi="Bookman Old Style"/>
          <w:lang w:val="es-CO"/>
        </w:rPr>
      </w:pPr>
      <w:r w:rsidRPr="00B75554">
        <w:rPr>
          <w:rFonts w:ascii="Bookman Old Style" w:hAnsi="Bookman Old Style"/>
          <w:lang w:val="es-CO"/>
        </w:rPr>
        <w:t>Se invita a los agentes regulados, usuarios, autoridades competentes y demás interesados, para que remitan sus observaciones o sugerencias sobre la propuesta, dentro del plazo establecido.</w:t>
      </w:r>
    </w:p>
    <w:p w14:paraId="2C95FCAF" w14:textId="77777777" w:rsidR="009C2F3D" w:rsidRPr="00B75554" w:rsidRDefault="009C2F3D" w:rsidP="009C2F3D">
      <w:pPr>
        <w:spacing w:line="259" w:lineRule="auto"/>
        <w:ind w:left="0" w:right="142"/>
        <w:jc w:val="both"/>
        <w:rPr>
          <w:rFonts w:ascii="Bookman Old Style" w:hAnsi="Bookman Old Style"/>
          <w:lang w:val="es-CO"/>
        </w:rPr>
      </w:pPr>
    </w:p>
    <w:p w14:paraId="110B8B8F" w14:textId="7F343B77" w:rsidR="009C2F3D" w:rsidRPr="00B75554" w:rsidRDefault="009C2F3D" w:rsidP="009C2F3D">
      <w:pPr>
        <w:spacing w:line="259" w:lineRule="auto"/>
        <w:ind w:left="0" w:right="142"/>
        <w:jc w:val="both"/>
        <w:rPr>
          <w:rFonts w:ascii="Bookman Old Style" w:hAnsi="Bookman Old Style"/>
          <w:lang w:val="es-CO"/>
        </w:rPr>
      </w:pPr>
      <w:r w:rsidRPr="00B75554">
        <w:rPr>
          <w:rFonts w:ascii="Bookman Old Style" w:hAnsi="Bookman Old Style"/>
          <w:lang w:val="es-CO"/>
        </w:rPr>
        <w:t xml:space="preserve">Los interesados podrán dirigir sus comentarios al director ejecutivo de la Comisión de Regulación de Energía y Gas, al correo electrónico </w:t>
      </w:r>
      <w:hyperlink r:id="rId12" w:history="1">
        <w:r w:rsidRPr="00B75554">
          <w:rPr>
            <w:rStyle w:val="Hipervnculo"/>
            <w:rFonts w:ascii="Bookman Old Style" w:hAnsi="Bookman Old Style"/>
            <w:lang w:val="es-CO"/>
          </w:rPr>
          <w:t>creg@creg.gov.co</w:t>
        </w:r>
      </w:hyperlink>
      <w:r w:rsidRPr="00B75554">
        <w:rPr>
          <w:rFonts w:ascii="Bookman Old Style" w:hAnsi="Bookman Old Style"/>
          <w:lang w:val="es-CO"/>
        </w:rPr>
        <w:t>, identificando el mensaje con el siguiente asunto: “</w:t>
      </w:r>
      <w:r w:rsidRPr="00B75554">
        <w:rPr>
          <w:rFonts w:ascii="Bookman Old Style" w:hAnsi="Bookman Old Style"/>
          <w:i/>
          <w:iCs/>
          <w:lang w:val="es-CO"/>
        </w:rPr>
        <w:t xml:space="preserve">Proyecto de resolución 704 </w:t>
      </w:r>
      <w:r w:rsidR="00906FB2">
        <w:rPr>
          <w:rFonts w:ascii="Bookman Old Style" w:hAnsi="Bookman Old Style"/>
          <w:i/>
          <w:iCs/>
          <w:lang w:val="es-CO"/>
        </w:rPr>
        <w:t>003</w:t>
      </w:r>
      <w:r w:rsidRPr="00B75554">
        <w:rPr>
          <w:rFonts w:ascii="Bookman Old Style" w:hAnsi="Bookman Old Style"/>
          <w:i/>
          <w:iCs/>
          <w:lang w:val="es-CO"/>
        </w:rPr>
        <w:t xml:space="preserve"> de 2024 –</w:t>
      </w:r>
      <w:r w:rsidR="002538F5" w:rsidRPr="002538F5">
        <w:rPr>
          <w:rFonts w:ascii="Bookman Old Style" w:hAnsi="Bookman Old Style"/>
          <w:lang w:val="es-CO"/>
        </w:rPr>
        <w:t xml:space="preserve"> </w:t>
      </w:r>
      <w:r w:rsidR="002538F5" w:rsidRPr="002538F5">
        <w:rPr>
          <w:rFonts w:ascii="Bookman Old Style" w:hAnsi="Bookman Old Style"/>
          <w:i/>
          <w:iCs/>
          <w:lang w:val="es-CO"/>
        </w:rPr>
        <w:t xml:space="preserve">Por la cual se </w:t>
      </w:r>
      <w:r w:rsidR="009D3F6B">
        <w:rPr>
          <w:rFonts w:ascii="Bookman Old Style" w:hAnsi="Bookman Old Style"/>
          <w:i/>
          <w:iCs/>
          <w:lang w:val="es-CO"/>
        </w:rPr>
        <w:t>adiciona</w:t>
      </w:r>
      <w:r w:rsidR="0053551C">
        <w:rPr>
          <w:rFonts w:ascii="Bookman Old Style" w:hAnsi="Bookman Old Style"/>
          <w:i/>
          <w:iCs/>
          <w:lang w:val="es-CO"/>
        </w:rPr>
        <w:t xml:space="preserve"> </w:t>
      </w:r>
      <w:r w:rsidR="002538F5" w:rsidRPr="002538F5">
        <w:rPr>
          <w:rFonts w:ascii="Bookman Old Style" w:hAnsi="Bookman Old Style"/>
          <w:i/>
          <w:iCs/>
          <w:lang w:val="es-CO"/>
        </w:rPr>
        <w:t>el artículo 1 de la Resolución 180088 de 2003 proferida por el Ministerio de Minas y Energía</w:t>
      </w:r>
      <w:r w:rsidR="002538F5">
        <w:rPr>
          <w:rFonts w:ascii="Bookman Old Style" w:hAnsi="Bookman Old Style"/>
          <w:i/>
          <w:iCs/>
          <w:lang w:val="es-CO"/>
        </w:rPr>
        <w:t>”</w:t>
      </w:r>
      <w:r w:rsidR="00F87574">
        <w:rPr>
          <w:rFonts w:ascii="Bookman Old Style" w:hAnsi="Bookman Old Style"/>
          <w:i/>
          <w:iCs/>
          <w:lang w:val="es-CO"/>
        </w:rPr>
        <w:t xml:space="preserve"> </w:t>
      </w:r>
      <w:r w:rsidR="00F87574" w:rsidRPr="006D6044">
        <w:rPr>
          <w:rFonts w:ascii="Bookman Old Style" w:hAnsi="Bookman Old Style"/>
          <w:lang w:val="es-CO"/>
        </w:rPr>
        <w:t xml:space="preserve">en el formato adjunto </w:t>
      </w:r>
      <w:r w:rsidR="00F87574" w:rsidRPr="009F2528">
        <w:t>“</w:t>
      </w:r>
      <w:r w:rsidR="00F87574" w:rsidRPr="006D6044">
        <w:rPr>
          <w:rFonts w:ascii="Bookman Old Style" w:hAnsi="Bookman Old Style"/>
          <w:i/>
          <w:lang w:val="es-CO"/>
        </w:rPr>
        <w:t>comentarios_</w:t>
      </w:r>
      <w:r w:rsidR="00094111" w:rsidRPr="006D6044">
        <w:rPr>
          <w:rFonts w:ascii="Bookman Old Style" w:hAnsi="Bookman Old Style"/>
          <w:i/>
          <w:lang w:val="es-CO"/>
        </w:rPr>
        <w:t>T_Entregas</w:t>
      </w:r>
      <w:r w:rsidR="00094111" w:rsidRPr="002E12C9">
        <w:rPr>
          <w:rFonts w:ascii="Bookman Old Style" w:hAnsi="Bookman Old Style" w:cs="Arial"/>
          <w:iCs/>
          <w:lang w:val="es-CO"/>
        </w:rPr>
        <w:t xml:space="preserve"> locales</w:t>
      </w:r>
      <w:r w:rsidR="00F87574" w:rsidRPr="009F2528">
        <w:t>.xlsx”.</w:t>
      </w:r>
    </w:p>
    <w:p w14:paraId="02F5B974" w14:textId="77777777" w:rsidR="009C2F3D" w:rsidRPr="00B75554" w:rsidRDefault="009C2F3D" w:rsidP="009C2F3D">
      <w:pPr>
        <w:spacing w:line="259" w:lineRule="auto"/>
        <w:ind w:left="0" w:right="142"/>
        <w:jc w:val="both"/>
        <w:rPr>
          <w:rFonts w:ascii="Bookman Old Style" w:hAnsi="Bookman Old Style"/>
          <w:lang w:val="es-CO"/>
        </w:rPr>
      </w:pPr>
    </w:p>
    <w:p w14:paraId="27D85C14" w14:textId="77777777" w:rsidR="009C2F3D" w:rsidRDefault="009C2F3D" w:rsidP="009C2F3D">
      <w:pPr>
        <w:spacing w:line="259" w:lineRule="auto"/>
        <w:ind w:left="0" w:right="142"/>
        <w:jc w:val="both"/>
        <w:rPr>
          <w:rFonts w:ascii="Bookman Old Style" w:hAnsi="Bookman Old Style"/>
          <w:lang w:val="es-CO"/>
        </w:rPr>
      </w:pPr>
      <w:r w:rsidRPr="00B75554">
        <w:rPr>
          <w:rFonts w:ascii="Bookman Old Style" w:hAnsi="Bookman Old Style"/>
          <w:lang w:val="es-CO"/>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325122F1" w14:textId="77777777" w:rsidR="009C2F3D" w:rsidRPr="00B75554" w:rsidRDefault="009C2F3D" w:rsidP="009C2F3D">
      <w:pPr>
        <w:spacing w:line="259" w:lineRule="auto"/>
        <w:ind w:left="0" w:right="142"/>
        <w:jc w:val="both"/>
        <w:rPr>
          <w:rFonts w:ascii="Bookman Old Style" w:hAnsi="Bookman Old Style"/>
          <w:lang w:val="es-CO"/>
        </w:rPr>
      </w:pPr>
    </w:p>
    <w:p w14:paraId="6DB64074" w14:textId="77777777" w:rsidR="009C2F3D" w:rsidRPr="00B75554" w:rsidRDefault="009C2F3D" w:rsidP="009C2F3D">
      <w:pPr>
        <w:rPr>
          <w:lang w:val="es-CO"/>
        </w:rPr>
      </w:pPr>
    </w:p>
    <w:p w14:paraId="03D3983B" w14:textId="77777777" w:rsidR="009C2F3D" w:rsidRPr="00B75554" w:rsidRDefault="009C2F3D" w:rsidP="009C2F3D">
      <w:pPr>
        <w:ind w:left="0"/>
        <w:jc w:val="center"/>
        <w:rPr>
          <w:rFonts w:ascii="Bookman Old Style" w:hAnsi="Bookman Old Style" w:cs="Arial"/>
          <w:b/>
          <w:color w:val="000000" w:themeColor="text1"/>
          <w:lang w:val="es-CO" w:eastAsia="es-CO"/>
        </w:rPr>
      </w:pPr>
      <w:r w:rsidRPr="00B75554">
        <w:rPr>
          <w:rFonts w:ascii="Bookman Old Style" w:hAnsi="Bookman Old Style" w:cs="Arial"/>
          <w:b/>
          <w:color w:val="000000" w:themeColor="text1"/>
          <w:lang w:val="es-CO" w:eastAsia="es-CO"/>
        </w:rPr>
        <w:t>PROYECTO DE RESOLUCIÓN</w:t>
      </w:r>
    </w:p>
    <w:p w14:paraId="6783CD19" w14:textId="77777777" w:rsidR="009C2F3D" w:rsidRPr="00B75554" w:rsidRDefault="009C2F3D" w:rsidP="009C2F3D">
      <w:pPr>
        <w:ind w:left="0"/>
        <w:rPr>
          <w:rFonts w:ascii="Bookman Old Style" w:hAnsi="Bookman Old Style"/>
          <w:bCs/>
          <w:lang w:val="es-CO"/>
        </w:rPr>
      </w:pPr>
    </w:p>
    <w:p w14:paraId="466024BA" w14:textId="14C264CA" w:rsidR="009C2F3D" w:rsidRPr="00B75554" w:rsidRDefault="009C2F3D" w:rsidP="009C2F3D">
      <w:pPr>
        <w:ind w:left="0" w:right="51"/>
        <w:jc w:val="center"/>
        <w:rPr>
          <w:rFonts w:ascii="Bookman Old Style" w:hAnsi="Bookman Old Style"/>
          <w:lang w:val="es-CO"/>
        </w:rPr>
      </w:pPr>
      <w:bookmarkStart w:id="0" w:name="_Hlk182489601"/>
      <w:r w:rsidRPr="00B75554">
        <w:rPr>
          <w:rFonts w:ascii="Bookman Old Style" w:hAnsi="Bookman Old Style"/>
          <w:lang w:val="es-CO"/>
        </w:rPr>
        <w:t>Por la cual se</w:t>
      </w:r>
      <w:r w:rsidR="009D3F6B">
        <w:rPr>
          <w:rFonts w:ascii="Bookman Old Style" w:hAnsi="Bookman Old Style"/>
          <w:lang w:val="es-CO"/>
        </w:rPr>
        <w:t xml:space="preserve"> adiciona</w:t>
      </w:r>
      <w:r w:rsidR="008A5FF9">
        <w:rPr>
          <w:rFonts w:ascii="Bookman Old Style" w:hAnsi="Bookman Old Style"/>
          <w:lang w:val="es-CO"/>
        </w:rPr>
        <w:t xml:space="preserve"> el artículo 1 de la Resolución </w:t>
      </w:r>
      <w:r w:rsidR="002538F5">
        <w:rPr>
          <w:rFonts w:ascii="Bookman Old Style" w:hAnsi="Bookman Old Style"/>
          <w:lang w:val="es-CO"/>
        </w:rPr>
        <w:t>180088 de 2003 proferida por el Ministerio de Minas y Energía</w:t>
      </w:r>
      <w:bookmarkEnd w:id="0"/>
    </w:p>
    <w:p w14:paraId="716DDBF1" w14:textId="77777777" w:rsidR="009C2F3D" w:rsidRPr="00B75554" w:rsidRDefault="009C2F3D" w:rsidP="009C2F3D">
      <w:pPr>
        <w:ind w:left="0" w:right="51"/>
        <w:jc w:val="center"/>
        <w:rPr>
          <w:rFonts w:ascii="Bookman Old Style" w:hAnsi="Bookman Old Style"/>
          <w:lang w:val="es-CO"/>
        </w:rPr>
      </w:pPr>
    </w:p>
    <w:p w14:paraId="1E9BADBB" w14:textId="77777777" w:rsidR="009C2F3D" w:rsidRPr="00B75554" w:rsidRDefault="009C2F3D" w:rsidP="009C2F3D">
      <w:pPr>
        <w:ind w:left="0" w:right="51"/>
        <w:jc w:val="center"/>
        <w:rPr>
          <w:rFonts w:ascii="Bookman Old Style" w:hAnsi="Bookman Old Style"/>
          <w:b/>
          <w:lang w:val="es-CO"/>
        </w:rPr>
      </w:pPr>
      <w:r w:rsidRPr="00B75554">
        <w:rPr>
          <w:rFonts w:ascii="Bookman Old Style" w:hAnsi="Bookman Old Style"/>
          <w:b/>
          <w:lang w:val="es-CO"/>
        </w:rPr>
        <w:t>LA COMISIÓN DE REGULACIÓN DE ENERGÍA Y GAS</w:t>
      </w:r>
    </w:p>
    <w:p w14:paraId="5564981A" w14:textId="77777777" w:rsidR="009C2F3D" w:rsidRPr="00B75554" w:rsidRDefault="009C2F3D" w:rsidP="009C2F3D">
      <w:pPr>
        <w:ind w:left="0" w:right="51"/>
        <w:rPr>
          <w:rFonts w:ascii="Bookman Old Style" w:hAnsi="Bookman Old Style"/>
          <w:lang w:val="es-CO"/>
        </w:rPr>
      </w:pPr>
    </w:p>
    <w:p w14:paraId="0F2C0DFE" w14:textId="77777777" w:rsidR="009C2F3D" w:rsidRPr="00B75554" w:rsidRDefault="009C2F3D" w:rsidP="009C2F3D">
      <w:pPr>
        <w:ind w:left="0" w:right="51"/>
        <w:rPr>
          <w:rFonts w:ascii="Bookman Old Style" w:hAnsi="Bookman Old Style"/>
          <w:lang w:val="es-CO"/>
        </w:rPr>
      </w:pPr>
    </w:p>
    <w:p w14:paraId="28217602" w14:textId="77777777" w:rsidR="009C2F3D" w:rsidRPr="00B75554" w:rsidRDefault="009C2F3D" w:rsidP="009C2F3D">
      <w:pPr>
        <w:ind w:left="0" w:right="51"/>
        <w:jc w:val="center"/>
        <w:rPr>
          <w:rFonts w:ascii="Bookman Old Style" w:hAnsi="Bookman Old Style"/>
          <w:lang w:val="es-CO"/>
        </w:rPr>
      </w:pPr>
      <w:r w:rsidRPr="00B75554">
        <w:rPr>
          <w:rFonts w:ascii="Bookman Old Style" w:hAnsi="Bookman Old Style" w:cs="Arial"/>
          <w:bCs/>
          <w:spacing w:val="-3"/>
          <w:lang w:val="es-CO"/>
        </w:rPr>
        <w:t>En ejercicio de sus atribuciones legales, en especial las conferidas por los Decretos 4130 de 2011, 1260 de 2013 y 1073 de 2015, y la Resolución 40193 de 2021, y,</w:t>
      </w:r>
    </w:p>
    <w:p w14:paraId="26B8EF10" w14:textId="77777777" w:rsidR="009C2F3D" w:rsidRPr="00B75554" w:rsidRDefault="009C2F3D" w:rsidP="009C2F3D">
      <w:pPr>
        <w:ind w:right="51"/>
        <w:rPr>
          <w:rFonts w:ascii="Bookman Old Style" w:hAnsi="Bookman Old Style"/>
          <w:lang w:val="es-CO"/>
        </w:rPr>
      </w:pPr>
    </w:p>
    <w:p w14:paraId="285A875E" w14:textId="77777777" w:rsidR="0052795F" w:rsidRDefault="0052795F" w:rsidP="00BB68D2">
      <w:pPr>
        <w:ind w:left="0" w:right="51"/>
        <w:rPr>
          <w:rFonts w:ascii="Bookman Old Style" w:hAnsi="Bookman Old Style"/>
          <w:b/>
          <w:lang w:val="es-CO"/>
        </w:rPr>
      </w:pPr>
    </w:p>
    <w:p w14:paraId="71B67919" w14:textId="143DF7DD" w:rsidR="009C2F3D" w:rsidRPr="00B75554" w:rsidRDefault="009C2F3D" w:rsidP="009C2F3D">
      <w:pPr>
        <w:ind w:right="51"/>
        <w:jc w:val="center"/>
        <w:rPr>
          <w:rFonts w:ascii="Bookman Old Style" w:hAnsi="Bookman Old Style"/>
          <w:b/>
          <w:lang w:val="es-CO"/>
        </w:rPr>
      </w:pPr>
      <w:r w:rsidRPr="00B75554">
        <w:rPr>
          <w:rFonts w:ascii="Bookman Old Style" w:hAnsi="Bookman Old Style"/>
          <w:b/>
          <w:lang w:val="es-CO"/>
        </w:rPr>
        <w:t>CONSIDERANDO:</w:t>
      </w:r>
    </w:p>
    <w:p w14:paraId="0050B03E" w14:textId="77777777" w:rsidR="009C2F3D" w:rsidRPr="00B75554" w:rsidRDefault="009C2F3D" w:rsidP="009C2F3D">
      <w:pPr>
        <w:ind w:right="51"/>
        <w:jc w:val="center"/>
        <w:rPr>
          <w:rFonts w:ascii="Bookman Old Style" w:hAnsi="Bookman Old Style"/>
          <w:b/>
          <w:lang w:val="es-CO"/>
        </w:rPr>
      </w:pPr>
    </w:p>
    <w:p w14:paraId="3285ED40" w14:textId="77777777" w:rsidR="009C2F3D" w:rsidRPr="00B75554" w:rsidRDefault="009C2F3D" w:rsidP="009C2F3D">
      <w:pPr>
        <w:ind w:left="0"/>
        <w:jc w:val="both"/>
        <w:rPr>
          <w:rFonts w:ascii="Bookman Old Style" w:hAnsi="Bookman Old Style"/>
          <w:bCs/>
          <w:lang w:val="es-CO"/>
        </w:rPr>
      </w:pPr>
      <w:r>
        <w:rPr>
          <w:rFonts w:ascii="Bookman Old Style" w:hAnsi="Bookman Old Style"/>
          <w:bCs/>
          <w:lang w:val="es-CO"/>
        </w:rPr>
        <w:lastRenderedPageBreak/>
        <w:t>E</w:t>
      </w:r>
      <w:r w:rsidRPr="00B75554">
        <w:rPr>
          <w:rFonts w:ascii="Bookman Old Style" w:hAnsi="Bookman Old Style"/>
          <w:bCs/>
          <w:lang w:val="es-CO"/>
        </w:rPr>
        <w:t>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56EB88F7" w14:textId="77777777" w:rsidR="009C2F3D" w:rsidRPr="00B75554" w:rsidRDefault="009C2F3D" w:rsidP="009C2F3D">
      <w:pPr>
        <w:ind w:left="0"/>
        <w:jc w:val="both"/>
        <w:rPr>
          <w:rFonts w:ascii="Bookman Old Style" w:hAnsi="Bookman Old Style"/>
          <w:bCs/>
          <w:lang w:val="es-CO"/>
        </w:rPr>
      </w:pPr>
    </w:p>
    <w:p w14:paraId="24F2565B" w14:textId="77777777" w:rsidR="009C2F3D" w:rsidRPr="00264F18" w:rsidRDefault="009C2F3D" w:rsidP="009C2F3D">
      <w:pPr>
        <w:ind w:left="0"/>
        <w:jc w:val="both"/>
        <w:rPr>
          <w:rFonts w:ascii="Bookman Old Style" w:hAnsi="Bookman Old Style"/>
          <w:bCs/>
          <w:lang w:val="es-CO"/>
        </w:rPr>
      </w:pPr>
      <w:r w:rsidRPr="00264F18">
        <w:rPr>
          <w:rFonts w:ascii="Bookman Old Style" w:hAnsi="Bookman Old Style"/>
          <w:bCs/>
          <w:lang w:val="es-CO"/>
        </w:rPr>
        <w:t xml:space="preserve">De acuerdo con lo dispuesto en el </w:t>
      </w:r>
      <w:r w:rsidRPr="00B75554">
        <w:rPr>
          <w:rFonts w:ascii="Bookman Old Style" w:hAnsi="Bookman Old Style"/>
          <w:bCs/>
          <w:lang w:val="es-CO"/>
        </w:rPr>
        <w:t>artículo 365 de la misma Carta Política</w:t>
      </w:r>
      <w:r>
        <w:rPr>
          <w:rFonts w:ascii="Bookman Old Style" w:hAnsi="Bookman Old Style"/>
          <w:bCs/>
          <w:lang w:val="es-CO"/>
        </w:rPr>
        <w:t xml:space="preserve"> de Colombia,</w:t>
      </w:r>
      <w:r w:rsidRPr="00B75554">
        <w:rPr>
          <w:rFonts w:ascii="Bookman Old Style" w:hAnsi="Bookman Old Style"/>
          <w:bCs/>
          <w:lang w:val="es-CO"/>
        </w:rPr>
        <w:t xml:space="preserve"> establece que los servicios </w:t>
      </w:r>
      <w:r>
        <w:rPr>
          <w:rFonts w:ascii="Bookman Old Style" w:hAnsi="Bookman Old Style"/>
          <w:bCs/>
          <w:lang w:val="es-CO"/>
        </w:rPr>
        <w:t>p</w:t>
      </w:r>
      <w:r w:rsidRPr="00B75554">
        <w:rPr>
          <w:rFonts w:ascii="Bookman Old Style" w:hAnsi="Bookman Old Style"/>
          <w:bCs/>
          <w:lang w:val="es-CO"/>
        </w:rPr>
        <w:t>úblicos son inherentes a la finalidad social del Estado y es deber de este, asegurar su prestación eficiente a todos los habitantes del territorio nacional.</w:t>
      </w:r>
      <w:r>
        <w:rPr>
          <w:rFonts w:ascii="Bookman Old Style" w:hAnsi="Bookman Old Style"/>
          <w:bCs/>
          <w:lang w:val="es-CO"/>
        </w:rPr>
        <w:t xml:space="preserve"> </w:t>
      </w:r>
      <w:r w:rsidRPr="00264F18">
        <w:rPr>
          <w:rFonts w:ascii="Bookman Old Style" w:hAnsi="Bookman Old Style"/>
          <w:bCs/>
          <w:lang w:val="es-CO"/>
        </w:rPr>
        <w:t>Así mismo se constituyó la facultad del Estado de mantener la regulación, el control y la vigilancia de los servicios públicos.</w:t>
      </w:r>
    </w:p>
    <w:p w14:paraId="7FE7A6BD" w14:textId="77777777" w:rsidR="009C2F3D" w:rsidRPr="00B75554" w:rsidRDefault="009C2F3D" w:rsidP="009C2F3D">
      <w:pPr>
        <w:ind w:left="0"/>
        <w:jc w:val="both"/>
        <w:rPr>
          <w:rFonts w:ascii="Bookman Old Style" w:hAnsi="Bookman Old Style"/>
          <w:bCs/>
          <w:lang w:val="es-CO"/>
        </w:rPr>
      </w:pPr>
    </w:p>
    <w:p w14:paraId="74F49E03" w14:textId="77777777" w:rsidR="009C2F3D" w:rsidRPr="004C49B0" w:rsidRDefault="009C2F3D" w:rsidP="009C2F3D">
      <w:pPr>
        <w:ind w:left="0"/>
        <w:jc w:val="both"/>
        <w:rPr>
          <w:rFonts w:ascii="Bookman Old Style" w:hAnsi="Bookman Old Style"/>
          <w:bCs/>
        </w:rPr>
      </w:pPr>
      <w:r>
        <w:rPr>
          <w:rFonts w:ascii="Bookman Old Style" w:hAnsi="Bookman Old Style"/>
          <w:bCs/>
        </w:rPr>
        <w:t>En virtud</w:t>
      </w:r>
      <w:r w:rsidRPr="004C49B0">
        <w:rPr>
          <w:rFonts w:ascii="Bookman Old Style" w:hAnsi="Bookman Old Style"/>
          <w:bCs/>
        </w:rPr>
        <w:t xml:space="preserve"> del artículo 212 del Decreto 1056 de 1953, Código de Petróleos, el transporte y la distribución del petróleo y sus derivados constituyen un servicio público, y las personas o entidades dedicadas a esa actividad deben ejercerlas de conformidad con los reglamentos que dicte el Gobierno en guarda de los intereses generales.</w:t>
      </w:r>
    </w:p>
    <w:p w14:paraId="60111E9C" w14:textId="77777777" w:rsidR="001625FF" w:rsidRDefault="001625FF" w:rsidP="009C2F3D">
      <w:pPr>
        <w:ind w:left="0"/>
        <w:jc w:val="both"/>
        <w:rPr>
          <w:rFonts w:ascii="Bookman Old Style" w:hAnsi="Bookman Old Style"/>
          <w:bCs/>
        </w:rPr>
      </w:pPr>
    </w:p>
    <w:p w14:paraId="3C1C2B7F" w14:textId="77777777" w:rsidR="009C2F3D" w:rsidRPr="004C49B0" w:rsidRDefault="009C2F3D" w:rsidP="009C2F3D">
      <w:pPr>
        <w:ind w:left="0"/>
        <w:jc w:val="both"/>
        <w:rPr>
          <w:rFonts w:ascii="Bookman Old Style" w:hAnsi="Bookman Old Style"/>
          <w:bCs/>
        </w:rPr>
      </w:pPr>
      <w:r w:rsidRPr="00264F18">
        <w:rPr>
          <w:rFonts w:ascii="Bookman Old Style" w:hAnsi="Bookman Old Style"/>
          <w:bCs/>
        </w:rPr>
        <w:t>Conforme lo establecido en el artículo 1° de la Ley 39 de 1987, la distribución de combustibles líquidos derivados del petróleo es un servicio público que se prestará de acuerdo con la Ley. Así mismo, en el artículo 2° de la referida Ley definió como agentes de la cadena de distribución de combustibles líquidos derivados del petróleo, con la excepción del gas licuado de petróleo, al Refinador, Importador, Almacenador, Distribuidor Mayorista, Transportador, Distribuidor Minorista y Gran Consumidor.</w:t>
      </w:r>
    </w:p>
    <w:p w14:paraId="1FBD69FA" w14:textId="77777777" w:rsidR="009C2F3D" w:rsidRDefault="009C2F3D" w:rsidP="009C2F3D">
      <w:pPr>
        <w:ind w:left="0"/>
        <w:jc w:val="both"/>
        <w:rPr>
          <w:rFonts w:ascii="Bookman Old Style" w:hAnsi="Bookman Old Style"/>
          <w:bCs/>
        </w:rPr>
      </w:pPr>
    </w:p>
    <w:p w14:paraId="40975032" w14:textId="77777777" w:rsidR="009C2F3D" w:rsidRDefault="009C2F3D" w:rsidP="009C2F3D">
      <w:pPr>
        <w:ind w:left="0"/>
        <w:jc w:val="both"/>
        <w:rPr>
          <w:rFonts w:ascii="Bookman Old Style" w:hAnsi="Bookman Old Style"/>
          <w:bCs/>
        </w:rPr>
      </w:pPr>
      <w:r w:rsidRPr="001C3715">
        <w:rPr>
          <w:rFonts w:ascii="Bookman Old Style" w:hAnsi="Bookman Old Style"/>
          <w:bCs/>
        </w:rPr>
        <w:t>Según lo previsto en los artículos 1° y 4° de la Ley 26 de 1989, debido a la naturaleza del servicio público de la distribución de combustibles líquidos derivados de petróleo, fijado por la Ley 39 de 1987, el Gobierno podrá determinar horarios, precios, márgenes de comercialización, calidad, calibraciones, condiciones de seguridad, relaciones contractuales y demás condiciones que influyen en la mejor prestación de este servicio público.</w:t>
      </w:r>
    </w:p>
    <w:p w14:paraId="152924E9" w14:textId="77777777" w:rsidR="00BB68D2" w:rsidRDefault="00BB68D2" w:rsidP="009C2F3D">
      <w:pPr>
        <w:ind w:left="0"/>
        <w:jc w:val="both"/>
        <w:rPr>
          <w:rFonts w:ascii="Bookman Old Style" w:hAnsi="Bookman Old Style"/>
          <w:bCs/>
        </w:rPr>
      </w:pPr>
    </w:p>
    <w:p w14:paraId="4EF2E995" w14:textId="243B5DB1" w:rsidR="00BB68D2" w:rsidRDefault="00BB68D2" w:rsidP="00BB68D2">
      <w:pPr>
        <w:ind w:left="0"/>
        <w:jc w:val="both"/>
        <w:rPr>
          <w:rFonts w:ascii="Bookman Old Style" w:hAnsi="Bookman Old Style"/>
          <w:bCs/>
        </w:rPr>
      </w:pPr>
      <w:r w:rsidRPr="00BB68D2">
        <w:rPr>
          <w:rFonts w:ascii="Bookman Old Style" w:hAnsi="Bookman Old Style"/>
          <w:bCs/>
        </w:rPr>
        <w:t>A través de la Resolución 180088 de 2003 y sus modificaciones, el Ministerio de Minas y Energía ha reglamentado las tarifas máximas en pesos por kilómetro-galón para el sistema de poliductos.</w:t>
      </w:r>
      <w:r w:rsidR="00362C39">
        <w:rPr>
          <w:rFonts w:ascii="Bookman Old Style" w:hAnsi="Bookman Old Style"/>
          <w:bCs/>
        </w:rPr>
        <w:t xml:space="preserve"> En la parte motiva de esta resolución se señala que “</w:t>
      </w:r>
      <w:r w:rsidR="00362C39" w:rsidRPr="00362C39">
        <w:rPr>
          <w:rFonts w:ascii="Bookman Old Style" w:hAnsi="Bookman Old Style"/>
          <w:bCs/>
          <w:sz w:val="22"/>
          <w:szCs w:val="22"/>
        </w:rPr>
        <w:t>Que las tarifas de transporte se fijaron teniendo en cuenta la amortización del capital invertido en la construcción, los gastos de sostenimiento, administración y operación y una ganancia equitativa sobre la base de utilidades que, en otros países, y especialmente en Estados Unidos, tengan las empresas semejantes de transporte de combustibles por poliductos</w:t>
      </w:r>
      <w:r w:rsidR="00362C39">
        <w:rPr>
          <w:rFonts w:ascii="Bookman Old Style" w:hAnsi="Bookman Old Style"/>
          <w:bCs/>
          <w:sz w:val="22"/>
          <w:szCs w:val="22"/>
        </w:rPr>
        <w:t>.</w:t>
      </w:r>
      <w:r w:rsidR="00362C39">
        <w:rPr>
          <w:rFonts w:ascii="Bookman Old Style" w:hAnsi="Bookman Old Style"/>
          <w:bCs/>
        </w:rPr>
        <w:t>”</w:t>
      </w:r>
    </w:p>
    <w:p w14:paraId="76786331" w14:textId="77777777" w:rsidR="00362C39" w:rsidRDefault="00362C39" w:rsidP="00BB68D2">
      <w:pPr>
        <w:ind w:left="0"/>
        <w:jc w:val="both"/>
        <w:rPr>
          <w:rFonts w:ascii="Bookman Old Style" w:hAnsi="Bookman Old Style"/>
          <w:bCs/>
        </w:rPr>
      </w:pPr>
    </w:p>
    <w:p w14:paraId="37B09B76" w14:textId="7A92E0E1" w:rsidR="00362C39" w:rsidRDefault="00362C39" w:rsidP="00BB68D2">
      <w:pPr>
        <w:ind w:left="0"/>
        <w:jc w:val="both"/>
        <w:rPr>
          <w:rFonts w:ascii="Bookman Old Style" w:hAnsi="Bookman Old Style"/>
          <w:bCs/>
        </w:rPr>
      </w:pPr>
      <w:r>
        <w:rPr>
          <w:rFonts w:ascii="Bookman Old Style" w:hAnsi="Bookman Old Style"/>
          <w:bCs/>
        </w:rPr>
        <w:t xml:space="preserve">El artículo 1 de la Resolución 180088 de 2003, fue modificado y adicionado por las </w:t>
      </w:r>
      <w:r w:rsidR="00573C35">
        <w:rPr>
          <w:rFonts w:ascii="Bookman Old Style" w:hAnsi="Bookman Old Style"/>
          <w:bCs/>
        </w:rPr>
        <w:t>r</w:t>
      </w:r>
      <w:r>
        <w:rPr>
          <w:rFonts w:ascii="Bookman Old Style" w:hAnsi="Bookman Old Style"/>
          <w:bCs/>
        </w:rPr>
        <w:t>esoluciones 1817</w:t>
      </w:r>
      <w:r w:rsidR="00573C35">
        <w:rPr>
          <w:rFonts w:ascii="Bookman Old Style" w:hAnsi="Bookman Old Style"/>
          <w:bCs/>
        </w:rPr>
        <w:t>01 y 180230 de 2003 y la resolución 181300 de 2007.</w:t>
      </w:r>
    </w:p>
    <w:p w14:paraId="348FC68C" w14:textId="77777777" w:rsidR="00573C35" w:rsidRDefault="00573C35" w:rsidP="00BB68D2">
      <w:pPr>
        <w:ind w:left="0"/>
        <w:jc w:val="both"/>
        <w:rPr>
          <w:rFonts w:ascii="Bookman Old Style" w:hAnsi="Bookman Old Style"/>
          <w:bCs/>
        </w:rPr>
      </w:pPr>
    </w:p>
    <w:p w14:paraId="1D313EC6" w14:textId="5FF1F865" w:rsidR="00573C35" w:rsidRDefault="00573C35" w:rsidP="00BB68D2">
      <w:pPr>
        <w:ind w:left="0"/>
        <w:jc w:val="both"/>
        <w:rPr>
          <w:rFonts w:ascii="Bookman Old Style" w:hAnsi="Bookman Old Style"/>
          <w:bCs/>
        </w:rPr>
      </w:pPr>
      <w:r>
        <w:rPr>
          <w:rFonts w:ascii="Bookman Old Style" w:hAnsi="Bookman Old Style"/>
          <w:bCs/>
        </w:rPr>
        <w:t xml:space="preserve">En la parte motiva de la resolución 181300 de 2007 se señaló que era </w:t>
      </w:r>
      <w:r w:rsidRPr="00573C35">
        <w:rPr>
          <w:rFonts w:ascii="Bookman Old Style" w:hAnsi="Bookman Old Style"/>
          <w:bCs/>
        </w:rPr>
        <w:t>necesario revisar lo señalado en el artículo </w:t>
      </w:r>
      <w:r>
        <w:rPr>
          <w:rFonts w:ascii="Bookman Old Style" w:hAnsi="Bookman Old Style"/>
          <w:bCs/>
        </w:rPr>
        <w:t>1</w:t>
      </w:r>
      <w:r w:rsidRPr="00573C35">
        <w:rPr>
          <w:rFonts w:ascii="Bookman Old Style" w:hAnsi="Bookman Old Style"/>
          <w:bCs/>
        </w:rPr>
        <w:t xml:space="preserve"> de la Resolución 18 0088 del 30 de enero de 2003, en el sentido de ajustar la tarifa para entregas en Cartagena, con el fin de remunerar el programa de inversión en los muelles y en el sistema de entregas en la Refinería de Cartagena, que permitirá ofrecerle</w:t>
      </w:r>
      <w:r w:rsidR="00696C3F">
        <w:rPr>
          <w:rFonts w:ascii="Bookman Old Style" w:hAnsi="Bookman Old Style"/>
          <w:bCs/>
        </w:rPr>
        <w:t>s</w:t>
      </w:r>
      <w:r w:rsidRPr="00573C35">
        <w:rPr>
          <w:rFonts w:ascii="Bookman Old Style" w:hAnsi="Bookman Old Style"/>
          <w:bCs/>
        </w:rPr>
        <w:t xml:space="preserve"> a los clientes de ventas locales una mejor confiabilidad en la medición y oportunidad en las entregas</w:t>
      </w:r>
      <w:r>
        <w:rPr>
          <w:rFonts w:ascii="Bookman Old Style" w:hAnsi="Bookman Old Style"/>
          <w:bCs/>
        </w:rPr>
        <w:t>.</w:t>
      </w:r>
    </w:p>
    <w:p w14:paraId="2B89215F" w14:textId="77777777" w:rsidR="00BB68D2" w:rsidRDefault="00BB68D2" w:rsidP="009C2F3D">
      <w:pPr>
        <w:ind w:left="0"/>
        <w:jc w:val="both"/>
        <w:rPr>
          <w:rFonts w:ascii="Bookman Old Style" w:hAnsi="Bookman Old Style"/>
          <w:bCs/>
        </w:rPr>
      </w:pPr>
    </w:p>
    <w:p w14:paraId="1BAE42B3" w14:textId="77777777" w:rsidR="00BB68D2" w:rsidRPr="00BB68D2" w:rsidRDefault="00BB68D2" w:rsidP="00BB68D2">
      <w:pPr>
        <w:ind w:left="0"/>
        <w:jc w:val="both"/>
        <w:rPr>
          <w:rFonts w:ascii="Bookman Old Style" w:hAnsi="Bookman Old Style"/>
          <w:bCs/>
        </w:rPr>
      </w:pPr>
      <w:r w:rsidRPr="00BB68D2">
        <w:rPr>
          <w:rFonts w:ascii="Bookman Old Style" w:hAnsi="Bookman Old Style"/>
          <w:bCs/>
        </w:rPr>
        <w:lastRenderedPageBreak/>
        <w:t>El artículo 2.2.1.1.2.2.1.4 del Decreto 1073 de 2015, por medio del cual se expide el Decreto Único Reglamentario del Sector Administrativo de Minas y Energía, definió al Transportador como: “Toda persona natural o jurídica que ejerce la actividad de transporte de combustibles líquidos derivados del petróleo y alcohol carburante, en los términos del artículo 2.2.1.1.2.2.3.85 y siguientes del presente decreto.”</w:t>
      </w:r>
    </w:p>
    <w:p w14:paraId="07419D6E" w14:textId="77777777" w:rsidR="00BB68D2" w:rsidRPr="00BB68D2" w:rsidRDefault="00BB68D2" w:rsidP="00BB68D2">
      <w:pPr>
        <w:ind w:left="0"/>
        <w:jc w:val="both"/>
        <w:rPr>
          <w:rFonts w:ascii="Bookman Old Style" w:hAnsi="Bookman Old Style"/>
          <w:bCs/>
        </w:rPr>
      </w:pPr>
    </w:p>
    <w:p w14:paraId="7B41349D" w14:textId="77777777" w:rsidR="00BB68D2" w:rsidRDefault="00BB68D2" w:rsidP="00BB68D2">
      <w:pPr>
        <w:ind w:left="0"/>
        <w:jc w:val="both"/>
        <w:rPr>
          <w:rFonts w:ascii="Bookman Old Style" w:hAnsi="Bookman Old Style"/>
          <w:bCs/>
        </w:rPr>
      </w:pPr>
      <w:r w:rsidRPr="00BB68D2">
        <w:rPr>
          <w:rFonts w:ascii="Bookman Old Style" w:hAnsi="Bookman Old Style"/>
          <w:bCs/>
        </w:rPr>
        <w:t>Los parágrafos 1 y 2 del artículo 2.2.1.1.2.2.1.1 del mencionado Decreto 1073 de 2005, establecieron que el transporte, la refinación, almacenamiento y manejo, son considerados servicios públicos conforme a la ley y presente decreto y demás disposiciones que reglamenten la materia. Así mismo, determinó que los agentes de la cadena de distribución de combustibles deben prestar el servicio en forma regular, adecuada y eficiente conforme las características propias de los servicios públicos.</w:t>
      </w:r>
    </w:p>
    <w:p w14:paraId="1596B957" w14:textId="77777777" w:rsidR="00BB68D2" w:rsidRPr="00BB68D2" w:rsidRDefault="00BB68D2" w:rsidP="00BB68D2">
      <w:pPr>
        <w:ind w:left="0"/>
        <w:jc w:val="both"/>
        <w:rPr>
          <w:rFonts w:ascii="Bookman Old Style" w:hAnsi="Bookman Old Style"/>
          <w:bCs/>
        </w:rPr>
      </w:pPr>
    </w:p>
    <w:p w14:paraId="163D7477" w14:textId="413C70AB" w:rsidR="00BB68D2" w:rsidRPr="00BB68D2" w:rsidRDefault="00BB68D2" w:rsidP="00BB68D2">
      <w:pPr>
        <w:ind w:left="0"/>
        <w:jc w:val="both"/>
        <w:rPr>
          <w:rFonts w:ascii="Bookman Old Style" w:hAnsi="Bookman Old Style"/>
          <w:bCs/>
        </w:rPr>
      </w:pPr>
      <w:r w:rsidRPr="00BB68D2">
        <w:rPr>
          <w:rFonts w:ascii="Bookman Old Style" w:hAnsi="Bookman Old Style"/>
          <w:bCs/>
        </w:rPr>
        <w:t>Adicionalmente, el artículo 2.2.1.1.2.2.1.3 señaló a la CREG como la autoridad de regulación para las actividades de refinación, importación, almacenamiento, distribución y transporte de los combustibles líquidos derivados del petróleo.</w:t>
      </w:r>
    </w:p>
    <w:p w14:paraId="4EA9BB51" w14:textId="77777777" w:rsidR="00BB68D2" w:rsidRPr="00BB68D2" w:rsidRDefault="00BB68D2" w:rsidP="00BB68D2">
      <w:pPr>
        <w:ind w:left="0"/>
        <w:jc w:val="both"/>
        <w:rPr>
          <w:rFonts w:ascii="Bookman Old Style" w:hAnsi="Bookman Old Style"/>
          <w:bCs/>
        </w:rPr>
      </w:pPr>
    </w:p>
    <w:p w14:paraId="3BCDB82C" w14:textId="77777777" w:rsidR="009C2F3D" w:rsidRPr="00264F18" w:rsidRDefault="009C2F3D" w:rsidP="009C2F3D">
      <w:pPr>
        <w:ind w:left="0"/>
        <w:jc w:val="both"/>
        <w:rPr>
          <w:rFonts w:ascii="Bookman Old Style" w:hAnsi="Bookman Old Style"/>
          <w:bCs/>
        </w:rPr>
      </w:pPr>
      <w:r w:rsidRPr="00264F18">
        <w:rPr>
          <w:rFonts w:ascii="Bookman Old Style" w:hAnsi="Bookman Old Style"/>
          <w:bCs/>
        </w:rPr>
        <w:t xml:space="preserve">Mediante el Decreto Ley 4130 de 2011, se reasignaron funciones del Ministerio de Minas y Energía a distintas entidades que conforman el sector de minas y energía entre las cuales le fueron asignadas a la Comisión de Regulación de Energía y Gas, CREG, la función de regular las actividades de refinación, importación, almacenamiento, distribución y transporte de combustibles líquidos derivados del petróleo. </w:t>
      </w:r>
    </w:p>
    <w:p w14:paraId="4D63D9A5" w14:textId="77777777" w:rsidR="00BB68D2" w:rsidRPr="009F2528" w:rsidRDefault="00BB68D2" w:rsidP="00BB68D2">
      <w:pPr>
        <w:rPr>
          <w:rFonts w:eastAsia="Arial"/>
        </w:rPr>
      </w:pPr>
    </w:p>
    <w:p w14:paraId="0AA1746F" w14:textId="77777777" w:rsidR="00BB68D2" w:rsidRPr="00BB68D2" w:rsidRDefault="00BB68D2" w:rsidP="00BB68D2">
      <w:pPr>
        <w:ind w:left="0"/>
        <w:jc w:val="both"/>
        <w:rPr>
          <w:rFonts w:ascii="Bookman Old Style" w:hAnsi="Bookman Old Style"/>
          <w:bCs/>
        </w:rPr>
      </w:pPr>
      <w:r w:rsidRPr="00BB68D2">
        <w:rPr>
          <w:rFonts w:ascii="Bookman Old Style" w:hAnsi="Bookman Old Style"/>
          <w:bCs/>
        </w:rPr>
        <w:t>El artículo 2.2.1.1.2.2.3.85. del Decreto 1073 de 2015 señala como medios para realizar el transporte de combustibles líquidos derivados del petróleo los siguientes: (i) terrestre, (ii) por poliductos, (iii) por vía marítima, (iv) por vía fluvial, (v) por vía férrea y (vi) por vía aérea;</w:t>
      </w:r>
    </w:p>
    <w:p w14:paraId="6EFC8E41" w14:textId="77777777" w:rsidR="00BB68D2" w:rsidRPr="009F2528" w:rsidRDefault="00BB68D2" w:rsidP="00BB68D2">
      <w:pPr>
        <w:rPr>
          <w:rFonts w:eastAsia="Arial"/>
        </w:rPr>
      </w:pPr>
    </w:p>
    <w:p w14:paraId="69EA3BD6" w14:textId="77777777" w:rsidR="00BB68D2" w:rsidRPr="00BB68D2" w:rsidRDefault="00BB68D2" w:rsidP="00BB68D2">
      <w:pPr>
        <w:ind w:left="0"/>
        <w:jc w:val="both"/>
        <w:rPr>
          <w:rFonts w:ascii="Bookman Old Style" w:hAnsi="Bookman Old Style"/>
          <w:bCs/>
        </w:rPr>
      </w:pPr>
      <w:r w:rsidRPr="00BB68D2">
        <w:rPr>
          <w:rFonts w:ascii="Bookman Old Style" w:hAnsi="Bookman Old Style"/>
          <w:bCs/>
        </w:rPr>
        <w:t>El Decreto 1260 de 2013</w:t>
      </w:r>
      <w:r w:rsidRPr="009F2528">
        <w:rPr>
          <w:rStyle w:val="Refdenotaalpie"/>
          <w:rFonts w:eastAsia="Arial"/>
        </w:rPr>
        <w:footnoteReference w:id="2"/>
      </w:r>
      <w:r w:rsidRPr="009F2528">
        <w:rPr>
          <w:rFonts w:eastAsia="Arial"/>
        </w:rPr>
        <w:t xml:space="preserve">, por el </w:t>
      </w:r>
      <w:r w:rsidRPr="00BB68D2">
        <w:rPr>
          <w:rFonts w:ascii="Bookman Old Style" w:hAnsi="Bookman Old Style"/>
          <w:bCs/>
        </w:rPr>
        <w:t xml:space="preserve">cual se modifica la estructura de la Comisión de Regulación de Energía y Gas, CREG, estableció dentro de su objeto, la expedición de la regulación económica referente a las actividades de refinación, importación, almacenamiento, distribución, y transporte de combustibles líquidos derivados de hidrocarburos. </w:t>
      </w:r>
    </w:p>
    <w:p w14:paraId="5A06740E" w14:textId="77777777" w:rsidR="00BB68D2" w:rsidRPr="00BB68D2" w:rsidRDefault="00BB68D2" w:rsidP="00BB68D2">
      <w:pPr>
        <w:ind w:left="0"/>
        <w:jc w:val="both"/>
        <w:rPr>
          <w:rFonts w:ascii="Bookman Old Style" w:hAnsi="Bookman Old Style"/>
          <w:bCs/>
        </w:rPr>
      </w:pPr>
    </w:p>
    <w:p w14:paraId="449F2BD4" w14:textId="77777777" w:rsidR="00BB68D2" w:rsidRPr="00BB68D2" w:rsidRDefault="00BB68D2" w:rsidP="00BB68D2">
      <w:pPr>
        <w:ind w:left="0"/>
        <w:jc w:val="both"/>
        <w:rPr>
          <w:rFonts w:ascii="Bookman Old Style" w:hAnsi="Bookman Old Style"/>
          <w:bCs/>
        </w:rPr>
      </w:pPr>
      <w:r w:rsidRPr="00BB68D2">
        <w:rPr>
          <w:rFonts w:ascii="Bookman Old Style" w:hAnsi="Bookman Old Style"/>
          <w:bCs/>
        </w:rPr>
        <w:t xml:space="preserve">Además, asignó a la CREG las funciones de definir los criterios y condiciones a los que deben sujetarse los agentes de la cadena de distribución de combustibles en sus relaciones contractuales y niveles de integración empresarial, y definir metodología y establecer fórmulas para fijar los precios y las tarifas de transporte de combustibles por poliducto. </w:t>
      </w:r>
    </w:p>
    <w:p w14:paraId="1B7A7934" w14:textId="77777777" w:rsidR="00387F62" w:rsidRDefault="00387F62" w:rsidP="009C2F3D">
      <w:pPr>
        <w:ind w:left="0"/>
        <w:jc w:val="both"/>
        <w:rPr>
          <w:rFonts w:ascii="Bookman Old Style" w:hAnsi="Bookman Old Style"/>
          <w:bCs/>
          <w:lang w:val="es-CO"/>
        </w:rPr>
      </w:pPr>
    </w:p>
    <w:p w14:paraId="39CC553C" w14:textId="1ABB38B0" w:rsidR="009C2F3D" w:rsidRPr="00385BC5" w:rsidRDefault="009C2F3D" w:rsidP="009C2F3D">
      <w:pPr>
        <w:ind w:left="0"/>
        <w:jc w:val="both"/>
        <w:rPr>
          <w:rFonts w:ascii="Bookman Old Style" w:hAnsi="Bookman Old Style"/>
          <w:bCs/>
        </w:rPr>
      </w:pPr>
      <w:r w:rsidRPr="00385BC5">
        <w:rPr>
          <w:rFonts w:ascii="Bookman Old Style" w:hAnsi="Bookman Old Style"/>
          <w:bCs/>
        </w:rPr>
        <w:t>El Ministerio de Hacienda y Crédito Público y el Ministerio de Minas y Energía a través de la Resolución 40193 del 21 de junio 2021 delegaron en la CREG funciones de regulación económica respecto de la cadena de distribución de combustibles líquidos. En particular, en su artículo primero, menciona lo siguiente:</w:t>
      </w:r>
    </w:p>
    <w:p w14:paraId="6EEEB33D" w14:textId="77777777" w:rsidR="009C2F3D" w:rsidRPr="00B75554" w:rsidRDefault="009C2F3D" w:rsidP="009C2F3D">
      <w:pPr>
        <w:ind w:left="0"/>
        <w:jc w:val="both"/>
        <w:rPr>
          <w:rFonts w:ascii="Bookman Old Style" w:hAnsi="Bookman Old Style"/>
          <w:bCs/>
          <w:lang w:val="es-CO"/>
        </w:rPr>
      </w:pPr>
    </w:p>
    <w:p w14:paraId="565F2032" w14:textId="77777777" w:rsidR="009C2F3D" w:rsidRPr="00385BC5" w:rsidRDefault="009C2F3D" w:rsidP="00385BC5">
      <w:pPr>
        <w:ind w:left="284" w:right="425"/>
        <w:jc w:val="both"/>
        <w:rPr>
          <w:rFonts w:ascii="Bookman Old Style" w:hAnsi="Bookman Old Style"/>
          <w:bCs/>
          <w:i/>
          <w:iCs/>
          <w:sz w:val="22"/>
          <w:szCs w:val="22"/>
          <w:lang w:val="es-CO"/>
        </w:rPr>
      </w:pPr>
      <w:r w:rsidRPr="00385BC5">
        <w:rPr>
          <w:rFonts w:ascii="Bookman Old Style" w:hAnsi="Bookman Old Style"/>
          <w:bCs/>
          <w:sz w:val="22"/>
          <w:szCs w:val="22"/>
          <w:lang w:val="es-CO"/>
        </w:rPr>
        <w:lastRenderedPageBreak/>
        <w:t>“</w:t>
      </w:r>
      <w:r w:rsidRPr="00385BC5">
        <w:rPr>
          <w:rFonts w:ascii="Bookman Old Style" w:hAnsi="Bookman Old Style"/>
          <w:bCs/>
          <w:i/>
          <w:iCs/>
          <w:sz w:val="22"/>
          <w:szCs w:val="22"/>
          <w:lang w:val="es-CO"/>
        </w:rPr>
        <w:t>Establecer las metodologías para la determinación de las tarifas y márgenes asociados a la remuneración de toda la cadena, esto es, transporte, logística, comercialización y distribución de los combustibles líquidos derivados del petróleo y de los biocombustibles destinados a la mezcla con dichos combustibles. Lo anterior, con excepción del ingreso al productor o importador de la Gasolina Motor Corriente, el ACPM-Diésel y los biocombustibles, tanto de origen nacional como importado, los cuales seguirán siendo fijados por los Ministerios de Minas y Energía y Hacienda y Crédito Público de manera conjunta.</w:t>
      </w:r>
    </w:p>
    <w:p w14:paraId="1A6313E1" w14:textId="77777777" w:rsidR="009C2F3D" w:rsidRPr="00385BC5" w:rsidRDefault="009C2F3D" w:rsidP="00385BC5">
      <w:pPr>
        <w:ind w:left="284" w:right="425"/>
        <w:jc w:val="both"/>
        <w:rPr>
          <w:rFonts w:ascii="Bookman Old Style" w:hAnsi="Bookman Old Style"/>
          <w:bCs/>
          <w:i/>
          <w:iCs/>
          <w:sz w:val="22"/>
          <w:szCs w:val="22"/>
          <w:lang w:val="es-CO"/>
        </w:rPr>
      </w:pPr>
    </w:p>
    <w:p w14:paraId="65FE5FED" w14:textId="77777777" w:rsidR="009C2F3D" w:rsidRPr="00385BC5" w:rsidRDefault="009C2F3D" w:rsidP="00385BC5">
      <w:pPr>
        <w:ind w:left="284" w:right="425"/>
        <w:jc w:val="both"/>
        <w:rPr>
          <w:rFonts w:ascii="Bookman Old Style" w:hAnsi="Bookman Old Style"/>
          <w:bCs/>
          <w:i/>
          <w:iCs/>
          <w:sz w:val="22"/>
          <w:szCs w:val="22"/>
          <w:lang w:val="es-CO"/>
        </w:rPr>
      </w:pPr>
      <w:r w:rsidRPr="00385BC5">
        <w:rPr>
          <w:rFonts w:ascii="Bookman Old Style" w:hAnsi="Bookman Old Style"/>
          <w:bCs/>
          <w:i/>
          <w:iCs/>
          <w:sz w:val="22"/>
          <w:szCs w:val="22"/>
          <w:lang w:val="es-CO"/>
        </w:rPr>
        <w:t>Respecto a los productos señalados, las actividades y tarifas objeto de regulación son:</w:t>
      </w:r>
    </w:p>
    <w:p w14:paraId="6AB2E1FC" w14:textId="77777777" w:rsidR="009C2F3D" w:rsidRPr="00385BC5" w:rsidRDefault="009C2F3D" w:rsidP="00385BC5">
      <w:pPr>
        <w:ind w:left="708" w:right="425"/>
        <w:jc w:val="both"/>
        <w:rPr>
          <w:rFonts w:ascii="Bookman Old Style" w:hAnsi="Bookman Old Style"/>
          <w:bCs/>
          <w:i/>
          <w:iCs/>
          <w:sz w:val="22"/>
          <w:szCs w:val="22"/>
          <w:lang w:val="es-CO"/>
        </w:rPr>
      </w:pPr>
    </w:p>
    <w:p w14:paraId="6B94670C" w14:textId="3D3BFAE0" w:rsidR="009C2F3D" w:rsidRPr="00385BC5" w:rsidRDefault="00385BC5" w:rsidP="00385BC5">
      <w:pPr>
        <w:pStyle w:val="Prrafodelista"/>
        <w:numPr>
          <w:ilvl w:val="0"/>
          <w:numId w:val="37"/>
        </w:numPr>
        <w:ind w:right="709"/>
        <w:jc w:val="both"/>
        <w:rPr>
          <w:rFonts w:ascii="Bookman Old Style" w:hAnsi="Bookman Old Style"/>
          <w:bCs/>
          <w:i/>
          <w:iCs/>
          <w:sz w:val="22"/>
          <w:szCs w:val="22"/>
        </w:rPr>
      </w:pPr>
      <w:r w:rsidRPr="00385BC5">
        <w:rPr>
          <w:rFonts w:ascii="Bookman Old Style" w:hAnsi="Bookman Old Style"/>
          <w:bCs/>
          <w:i/>
          <w:iCs/>
          <w:sz w:val="22"/>
          <w:szCs w:val="22"/>
        </w:rPr>
        <w:t xml:space="preserve">Transporte de combustibles líquidos a través de poliductos. </w:t>
      </w:r>
      <w:r w:rsidR="009C2F3D" w:rsidRPr="00385BC5">
        <w:rPr>
          <w:rFonts w:ascii="Bookman Old Style" w:hAnsi="Bookman Old Style"/>
          <w:bCs/>
          <w:i/>
          <w:iCs/>
          <w:sz w:val="22"/>
          <w:szCs w:val="22"/>
        </w:rPr>
        <w:t>(…)</w:t>
      </w:r>
    </w:p>
    <w:p w14:paraId="4B404004" w14:textId="77777777" w:rsidR="00385BC5" w:rsidRDefault="00385BC5" w:rsidP="009C2F3D">
      <w:pPr>
        <w:ind w:left="0"/>
        <w:jc w:val="both"/>
        <w:rPr>
          <w:rFonts w:ascii="Bookman Old Style" w:hAnsi="Bookman Old Style"/>
          <w:bCs/>
          <w:lang w:val="es-CO"/>
        </w:rPr>
      </w:pPr>
    </w:p>
    <w:p w14:paraId="6FC28F92" w14:textId="4A2CE332" w:rsidR="001646BE" w:rsidRDefault="00DE4366" w:rsidP="009C2F3D">
      <w:pPr>
        <w:ind w:left="0"/>
        <w:jc w:val="both"/>
        <w:rPr>
          <w:rFonts w:ascii="Bookman Old Style" w:hAnsi="Bookman Old Style"/>
          <w:bCs/>
          <w:lang w:val="es-CO"/>
        </w:rPr>
      </w:pPr>
      <w:r>
        <w:rPr>
          <w:rFonts w:ascii="Bookman Old Style" w:hAnsi="Bookman Old Style"/>
          <w:bCs/>
          <w:lang w:val="es-CO"/>
        </w:rPr>
        <w:t>A</w:t>
      </w:r>
      <w:r w:rsidR="00A030CD">
        <w:rPr>
          <w:rFonts w:ascii="Bookman Old Style" w:hAnsi="Bookman Old Style"/>
          <w:bCs/>
          <w:lang w:val="es-CO"/>
        </w:rPr>
        <w:t xml:space="preserve"> través del radicado </w:t>
      </w:r>
      <w:r w:rsidR="000A655F" w:rsidRPr="000A655F">
        <w:rPr>
          <w:rFonts w:ascii="Bookman Old Style" w:hAnsi="Bookman Old Style"/>
          <w:bCs/>
          <w:lang w:val="es-CO"/>
        </w:rPr>
        <w:t>E2021009510</w:t>
      </w:r>
      <w:r w:rsidR="006C44C4">
        <w:rPr>
          <w:rFonts w:ascii="Bookman Old Style" w:hAnsi="Bookman Old Style"/>
          <w:bCs/>
          <w:lang w:val="es-CO"/>
        </w:rPr>
        <w:t xml:space="preserve">, </w:t>
      </w:r>
      <w:r w:rsidR="00506579">
        <w:rPr>
          <w:rFonts w:ascii="Bookman Old Style" w:hAnsi="Bookman Old Style"/>
          <w:bCs/>
          <w:lang w:val="es-CO"/>
        </w:rPr>
        <w:t xml:space="preserve">se </w:t>
      </w:r>
      <w:r w:rsidR="00446C92">
        <w:rPr>
          <w:rFonts w:ascii="Bookman Old Style" w:hAnsi="Bookman Old Style"/>
          <w:bCs/>
          <w:lang w:val="es-CO"/>
        </w:rPr>
        <w:t xml:space="preserve">presentó ante la </w:t>
      </w:r>
      <w:r w:rsidR="00776579">
        <w:rPr>
          <w:rFonts w:ascii="Bookman Old Style" w:hAnsi="Bookman Old Style"/>
          <w:bCs/>
          <w:lang w:val="es-CO"/>
        </w:rPr>
        <w:t>Comisión de Regulaci</w:t>
      </w:r>
      <w:r w:rsidR="00B1367E">
        <w:rPr>
          <w:rFonts w:ascii="Bookman Old Style" w:hAnsi="Bookman Old Style"/>
          <w:bCs/>
          <w:lang w:val="es-CO"/>
        </w:rPr>
        <w:t>ón de Energía y Gas, solicitud</w:t>
      </w:r>
      <w:r w:rsidR="00776579">
        <w:rPr>
          <w:rFonts w:ascii="Bookman Old Style" w:hAnsi="Bookman Old Style"/>
          <w:bCs/>
          <w:lang w:val="es-CO"/>
        </w:rPr>
        <w:t xml:space="preserve"> </w:t>
      </w:r>
      <w:r w:rsidR="00446C92">
        <w:rPr>
          <w:rFonts w:ascii="Bookman Old Style" w:hAnsi="Bookman Old Style"/>
          <w:bCs/>
          <w:lang w:val="es-CO"/>
        </w:rPr>
        <w:t xml:space="preserve">para que se revisara </w:t>
      </w:r>
      <w:r w:rsidR="00FE1755">
        <w:rPr>
          <w:rFonts w:ascii="Bookman Old Style" w:hAnsi="Bookman Old Style"/>
          <w:bCs/>
          <w:lang w:val="es-CO"/>
        </w:rPr>
        <w:t xml:space="preserve">la tarifa que </w:t>
      </w:r>
      <w:r w:rsidR="003A6276">
        <w:rPr>
          <w:rFonts w:ascii="Bookman Old Style" w:hAnsi="Bookman Old Style"/>
          <w:bCs/>
          <w:lang w:val="es-CO"/>
        </w:rPr>
        <w:t xml:space="preserve">la Refinería de Cartagena </w:t>
      </w:r>
      <w:r w:rsidR="00AF7DF2">
        <w:rPr>
          <w:rFonts w:ascii="Bookman Old Style" w:hAnsi="Bookman Old Style"/>
          <w:bCs/>
          <w:lang w:val="es-CO"/>
        </w:rPr>
        <w:t>S</w:t>
      </w:r>
      <w:r w:rsidR="001C6C11">
        <w:rPr>
          <w:rFonts w:ascii="Bookman Old Style" w:hAnsi="Bookman Old Style"/>
          <w:bCs/>
          <w:lang w:val="es-CO"/>
        </w:rPr>
        <w:t>A (</w:t>
      </w:r>
      <w:r w:rsidR="000565A7">
        <w:rPr>
          <w:rFonts w:ascii="Bookman Old Style" w:hAnsi="Bookman Old Style"/>
          <w:bCs/>
          <w:lang w:val="es-CO"/>
        </w:rPr>
        <w:t>R</w:t>
      </w:r>
      <w:r w:rsidR="001C6C11">
        <w:rPr>
          <w:rFonts w:ascii="Bookman Old Style" w:hAnsi="Bookman Old Style"/>
          <w:bCs/>
          <w:lang w:val="es-CO"/>
        </w:rPr>
        <w:t>EFICAR)</w:t>
      </w:r>
      <w:r w:rsidR="00FC664D">
        <w:rPr>
          <w:rFonts w:ascii="Bookman Old Style" w:hAnsi="Bookman Old Style"/>
          <w:bCs/>
          <w:lang w:val="es-CO"/>
        </w:rPr>
        <w:t xml:space="preserve"> cobra </w:t>
      </w:r>
      <w:r w:rsidR="001C6C11">
        <w:rPr>
          <w:rFonts w:ascii="Bookman Old Style" w:hAnsi="Bookman Old Style"/>
          <w:bCs/>
          <w:lang w:val="es-CO"/>
        </w:rPr>
        <w:t xml:space="preserve">por concepto de </w:t>
      </w:r>
      <w:r w:rsidR="00FC3A35">
        <w:rPr>
          <w:rFonts w:ascii="Bookman Old Style" w:hAnsi="Bookman Old Style"/>
          <w:bCs/>
          <w:lang w:val="es-CO"/>
        </w:rPr>
        <w:t>las entregas de sus volúmenes</w:t>
      </w:r>
      <w:r w:rsidR="001646BE">
        <w:rPr>
          <w:rFonts w:ascii="Bookman Old Style" w:hAnsi="Bookman Old Style"/>
          <w:bCs/>
          <w:lang w:val="es-CO"/>
        </w:rPr>
        <w:t>.</w:t>
      </w:r>
    </w:p>
    <w:p w14:paraId="76AA5E0C" w14:textId="77777777" w:rsidR="001646BE" w:rsidRDefault="001646BE" w:rsidP="009C2F3D">
      <w:pPr>
        <w:ind w:left="0"/>
        <w:jc w:val="both"/>
        <w:rPr>
          <w:rFonts w:ascii="Bookman Old Style" w:hAnsi="Bookman Old Style"/>
          <w:bCs/>
          <w:lang w:val="es-CO"/>
        </w:rPr>
      </w:pPr>
    </w:p>
    <w:p w14:paraId="33315B4F" w14:textId="0DC1DF41" w:rsidR="001646BE" w:rsidRDefault="003D7879" w:rsidP="009C2F3D">
      <w:pPr>
        <w:ind w:left="0"/>
        <w:jc w:val="both"/>
        <w:rPr>
          <w:rFonts w:ascii="Bookman Old Style" w:hAnsi="Bookman Old Style"/>
          <w:bCs/>
          <w:lang w:val="es-CO"/>
        </w:rPr>
      </w:pPr>
      <w:r>
        <w:rPr>
          <w:rFonts w:ascii="Bookman Old Style" w:hAnsi="Bookman Old Style"/>
          <w:bCs/>
          <w:lang w:val="es-CO"/>
        </w:rPr>
        <w:t xml:space="preserve">A partir de lo anterior, la Comisión </w:t>
      </w:r>
      <w:r w:rsidR="00CE58E8">
        <w:rPr>
          <w:rFonts w:ascii="Bookman Old Style" w:hAnsi="Bookman Old Style"/>
          <w:bCs/>
          <w:lang w:val="es-CO"/>
        </w:rPr>
        <w:t>de Regulación de Energía y Gas</w:t>
      </w:r>
      <w:r w:rsidR="003C7044">
        <w:rPr>
          <w:rFonts w:ascii="Bookman Old Style" w:hAnsi="Bookman Old Style"/>
          <w:bCs/>
          <w:lang w:val="es-CO"/>
        </w:rPr>
        <w:t>,</w:t>
      </w:r>
      <w:r w:rsidR="00CE58E8">
        <w:rPr>
          <w:rFonts w:ascii="Bookman Old Style" w:hAnsi="Bookman Old Style"/>
          <w:bCs/>
          <w:lang w:val="es-CO"/>
        </w:rPr>
        <w:t xml:space="preserve"> </w:t>
      </w:r>
      <w:r>
        <w:rPr>
          <w:rFonts w:ascii="Bookman Old Style" w:hAnsi="Bookman Old Style"/>
          <w:bCs/>
          <w:lang w:val="es-CO"/>
        </w:rPr>
        <w:t>inició el recaudo de los elementos de juicio que consideró pertinente</w:t>
      </w:r>
      <w:r w:rsidR="00EC3279">
        <w:rPr>
          <w:rFonts w:ascii="Bookman Old Style" w:hAnsi="Bookman Old Style"/>
          <w:bCs/>
          <w:lang w:val="es-CO"/>
        </w:rPr>
        <w:t>s</w:t>
      </w:r>
      <w:r>
        <w:rPr>
          <w:rFonts w:ascii="Bookman Old Style" w:hAnsi="Bookman Old Style"/>
          <w:bCs/>
          <w:lang w:val="es-CO"/>
        </w:rPr>
        <w:t xml:space="preserve">, </w:t>
      </w:r>
      <w:r w:rsidR="00EC3279">
        <w:rPr>
          <w:rFonts w:ascii="Bookman Old Style" w:hAnsi="Bookman Old Style"/>
          <w:bCs/>
          <w:lang w:val="es-CO"/>
        </w:rPr>
        <w:t xml:space="preserve">destacándose </w:t>
      </w:r>
      <w:r w:rsidR="00F560A4">
        <w:rPr>
          <w:rFonts w:ascii="Bookman Old Style" w:hAnsi="Bookman Old Style"/>
          <w:bCs/>
          <w:lang w:val="es-CO"/>
        </w:rPr>
        <w:t xml:space="preserve">la </w:t>
      </w:r>
      <w:r w:rsidR="0028070D">
        <w:rPr>
          <w:rFonts w:ascii="Bookman Old Style" w:hAnsi="Bookman Old Style"/>
          <w:bCs/>
          <w:lang w:val="es-CO"/>
        </w:rPr>
        <w:t xml:space="preserve">visita técnica </w:t>
      </w:r>
      <w:r w:rsidR="00F560A4">
        <w:rPr>
          <w:rFonts w:ascii="Bookman Old Style" w:hAnsi="Bookman Old Style"/>
          <w:bCs/>
          <w:lang w:val="es-CO"/>
        </w:rPr>
        <w:t xml:space="preserve">realizada </w:t>
      </w:r>
      <w:r w:rsidR="0028070D">
        <w:rPr>
          <w:rFonts w:ascii="Bookman Old Style" w:hAnsi="Bookman Old Style"/>
          <w:bCs/>
          <w:lang w:val="es-CO"/>
        </w:rPr>
        <w:t xml:space="preserve">el </w:t>
      </w:r>
      <w:r w:rsidR="000C32EE">
        <w:rPr>
          <w:rFonts w:ascii="Bookman Old Style" w:hAnsi="Bookman Old Style"/>
          <w:bCs/>
          <w:lang w:val="es-CO"/>
        </w:rPr>
        <w:t>5 de noviembre de 2024</w:t>
      </w:r>
      <w:r w:rsidR="00397005">
        <w:rPr>
          <w:rFonts w:ascii="Bookman Old Style" w:hAnsi="Bookman Old Style"/>
          <w:bCs/>
          <w:lang w:val="es-CO"/>
        </w:rPr>
        <w:t>.</w:t>
      </w:r>
      <w:r w:rsidR="000C32EE">
        <w:rPr>
          <w:rFonts w:ascii="Bookman Old Style" w:hAnsi="Bookman Old Style"/>
          <w:bCs/>
          <w:lang w:val="es-CO"/>
        </w:rPr>
        <w:t xml:space="preserve"> </w:t>
      </w:r>
    </w:p>
    <w:p w14:paraId="3577E322" w14:textId="77777777" w:rsidR="001646BE" w:rsidRDefault="001646BE" w:rsidP="009C2F3D">
      <w:pPr>
        <w:ind w:left="0"/>
        <w:jc w:val="both"/>
        <w:rPr>
          <w:rFonts w:ascii="Bookman Old Style" w:hAnsi="Bookman Old Style"/>
          <w:bCs/>
          <w:lang w:val="es-CO"/>
        </w:rPr>
      </w:pPr>
    </w:p>
    <w:p w14:paraId="30D66BE8" w14:textId="780A2A8E" w:rsidR="00385BC5" w:rsidRDefault="00F560A4" w:rsidP="009C2F3D">
      <w:pPr>
        <w:ind w:left="0"/>
        <w:jc w:val="both"/>
        <w:rPr>
          <w:rFonts w:ascii="Bookman Old Style" w:hAnsi="Bookman Old Style"/>
          <w:bCs/>
          <w:lang w:val="es-CO"/>
        </w:rPr>
      </w:pPr>
      <w:r>
        <w:rPr>
          <w:rFonts w:ascii="Bookman Old Style" w:hAnsi="Bookman Old Style"/>
          <w:bCs/>
          <w:lang w:val="es-CO"/>
        </w:rPr>
        <w:t xml:space="preserve">Analizados los elementos </w:t>
      </w:r>
      <w:r w:rsidR="00CE58E8">
        <w:rPr>
          <w:rFonts w:ascii="Bookman Old Style" w:hAnsi="Bookman Old Style"/>
          <w:bCs/>
          <w:lang w:val="es-CO"/>
        </w:rPr>
        <w:t xml:space="preserve">recaudados, </w:t>
      </w:r>
      <w:r w:rsidR="004E6475">
        <w:rPr>
          <w:rFonts w:ascii="Bookman Old Style" w:hAnsi="Bookman Old Style"/>
          <w:bCs/>
          <w:lang w:val="es-CO"/>
        </w:rPr>
        <w:t xml:space="preserve">se encontró </w:t>
      </w:r>
      <w:r w:rsidR="009669E0">
        <w:rPr>
          <w:rFonts w:ascii="Bookman Old Style" w:hAnsi="Bookman Old Style"/>
          <w:bCs/>
          <w:lang w:val="es-CO"/>
        </w:rPr>
        <w:t xml:space="preserve">que </w:t>
      </w:r>
      <w:r w:rsidR="00CF5674">
        <w:rPr>
          <w:rFonts w:ascii="Bookman Old Style" w:hAnsi="Bookman Old Style"/>
          <w:bCs/>
          <w:lang w:val="es-CO"/>
        </w:rPr>
        <w:t xml:space="preserve">existen inversiones realizadas por </w:t>
      </w:r>
      <w:r w:rsidR="00854521">
        <w:rPr>
          <w:rFonts w:ascii="Bookman Old Style" w:hAnsi="Bookman Old Style"/>
          <w:bCs/>
          <w:lang w:val="es-CO"/>
        </w:rPr>
        <w:t>agentes distintos al refinador</w:t>
      </w:r>
      <w:r w:rsidR="00B46E6C">
        <w:rPr>
          <w:rFonts w:ascii="Bookman Old Style" w:hAnsi="Bookman Old Style"/>
          <w:bCs/>
          <w:lang w:val="es-CO"/>
        </w:rPr>
        <w:t>,</w:t>
      </w:r>
      <w:r w:rsidR="00854521">
        <w:rPr>
          <w:rFonts w:ascii="Bookman Old Style" w:hAnsi="Bookman Old Style"/>
          <w:bCs/>
          <w:lang w:val="es-CO"/>
        </w:rPr>
        <w:t xml:space="preserve"> por lo cual es necesario, </w:t>
      </w:r>
      <w:r w:rsidR="00642A17">
        <w:rPr>
          <w:rFonts w:ascii="Bookman Old Style" w:hAnsi="Bookman Old Style"/>
          <w:bCs/>
          <w:lang w:val="es-CO"/>
        </w:rPr>
        <w:t>adici</w:t>
      </w:r>
      <w:r w:rsidR="002D20CC">
        <w:rPr>
          <w:rFonts w:ascii="Bookman Old Style" w:hAnsi="Bookman Old Style"/>
          <w:bCs/>
          <w:lang w:val="es-CO"/>
        </w:rPr>
        <w:t>o</w:t>
      </w:r>
      <w:r w:rsidR="00642A17">
        <w:rPr>
          <w:rFonts w:ascii="Bookman Old Style" w:hAnsi="Bookman Old Style"/>
          <w:bCs/>
          <w:lang w:val="es-CO"/>
        </w:rPr>
        <w:t>n</w:t>
      </w:r>
      <w:r w:rsidR="002D20CC">
        <w:rPr>
          <w:rFonts w:ascii="Bookman Old Style" w:hAnsi="Bookman Old Style"/>
          <w:bCs/>
          <w:lang w:val="es-CO"/>
        </w:rPr>
        <w:t>ar</w:t>
      </w:r>
      <w:r w:rsidR="00642A17">
        <w:rPr>
          <w:rFonts w:ascii="Bookman Old Style" w:hAnsi="Bookman Old Style"/>
          <w:bCs/>
          <w:lang w:val="es-CO"/>
        </w:rPr>
        <w:t xml:space="preserve"> el artículo 1 de la Resolución 180088 de 2003, </w:t>
      </w:r>
      <w:r w:rsidR="00032D1F">
        <w:rPr>
          <w:rFonts w:ascii="Bookman Old Style" w:hAnsi="Bookman Old Style"/>
          <w:bCs/>
          <w:lang w:val="es-CO"/>
        </w:rPr>
        <w:t xml:space="preserve">para </w:t>
      </w:r>
      <w:r w:rsidR="002A27B2">
        <w:rPr>
          <w:rFonts w:ascii="Bookman Old Style" w:hAnsi="Bookman Old Style"/>
          <w:bCs/>
          <w:lang w:val="es-CO"/>
        </w:rPr>
        <w:t xml:space="preserve">que </w:t>
      </w:r>
      <w:r w:rsidR="00032D1F">
        <w:rPr>
          <w:rFonts w:ascii="Bookman Old Style" w:hAnsi="Bookman Old Style"/>
          <w:bCs/>
          <w:lang w:val="es-CO"/>
        </w:rPr>
        <w:t>sea posible</w:t>
      </w:r>
      <w:r w:rsidR="002A27B2">
        <w:rPr>
          <w:rFonts w:ascii="Bookman Old Style" w:hAnsi="Bookman Old Style"/>
          <w:bCs/>
          <w:lang w:val="es-CO"/>
        </w:rPr>
        <w:t xml:space="preserve"> revisar </w:t>
      </w:r>
      <w:r w:rsidR="00867C3E">
        <w:rPr>
          <w:rFonts w:ascii="Bookman Old Style" w:hAnsi="Bookman Old Style"/>
          <w:bCs/>
          <w:lang w:val="es-CO"/>
        </w:rPr>
        <w:t xml:space="preserve">el valor eficiente al valor de </w:t>
      </w:r>
      <w:r w:rsidR="00867C3E" w:rsidRPr="005B21DF">
        <w:rPr>
          <w:rFonts w:ascii="Bookman Old Style" w:hAnsi="Bookman Old Style" w:cs="Arial"/>
          <w:iCs/>
          <w:lang w:val="es-CO"/>
        </w:rPr>
        <w:t xml:space="preserve">cobro </w:t>
      </w:r>
      <w:r w:rsidR="00867C3E">
        <w:rPr>
          <w:rFonts w:ascii="Bookman Old Style" w:hAnsi="Bookman Old Style" w:cs="Arial"/>
          <w:iCs/>
          <w:lang w:val="es-CO"/>
        </w:rPr>
        <w:t>“</w:t>
      </w:r>
      <w:r w:rsidR="00867C3E" w:rsidRPr="005B21DF">
        <w:rPr>
          <w:rFonts w:ascii="Bookman Old Style" w:hAnsi="Bookman Old Style" w:cs="Arial"/>
          <w:iCs/>
          <w:lang w:val="es-CO"/>
        </w:rPr>
        <w:t>Entregas locales y en muelles</w:t>
      </w:r>
      <w:r w:rsidR="00867C3E">
        <w:rPr>
          <w:rFonts w:ascii="Bookman Old Style" w:hAnsi="Bookman Old Style" w:cs="Arial"/>
          <w:iCs/>
          <w:lang w:val="es-CO"/>
        </w:rPr>
        <w:t>”</w:t>
      </w:r>
      <w:r w:rsidR="00867C3E">
        <w:rPr>
          <w:rFonts w:ascii="Bookman Old Style" w:hAnsi="Bookman Old Style"/>
          <w:bCs/>
          <w:lang w:val="es-CO"/>
        </w:rPr>
        <w:t xml:space="preserve"> ante </w:t>
      </w:r>
      <w:r w:rsidR="002A27B2">
        <w:rPr>
          <w:rFonts w:ascii="Bookman Old Style" w:hAnsi="Bookman Old Style"/>
          <w:bCs/>
          <w:lang w:val="es-CO"/>
        </w:rPr>
        <w:t xml:space="preserve">este tipo de situaciones donde </w:t>
      </w:r>
      <w:r w:rsidR="00CC5123">
        <w:rPr>
          <w:rFonts w:ascii="Bookman Old Style" w:hAnsi="Bookman Old Style"/>
          <w:bCs/>
          <w:lang w:val="es-CO"/>
        </w:rPr>
        <w:t xml:space="preserve">exista infraestructura construida directamente </w:t>
      </w:r>
      <w:r w:rsidR="00867C3E">
        <w:rPr>
          <w:rFonts w:ascii="Bookman Old Style" w:hAnsi="Bookman Old Style"/>
          <w:bCs/>
          <w:lang w:val="es-CO"/>
        </w:rPr>
        <w:t>por terceros.</w:t>
      </w:r>
    </w:p>
    <w:p w14:paraId="047EB653" w14:textId="77777777" w:rsidR="00013B52" w:rsidRDefault="00013B52" w:rsidP="009C2F3D">
      <w:pPr>
        <w:ind w:left="0"/>
        <w:jc w:val="both"/>
        <w:rPr>
          <w:rFonts w:ascii="Bookman Old Style" w:hAnsi="Bookman Old Style"/>
          <w:bCs/>
          <w:lang w:val="es-CO"/>
        </w:rPr>
      </w:pPr>
    </w:p>
    <w:p w14:paraId="0C4DCF6C" w14:textId="77777777" w:rsidR="00013B52" w:rsidRDefault="00013B52" w:rsidP="009C2F3D">
      <w:pPr>
        <w:ind w:left="0"/>
        <w:jc w:val="both"/>
        <w:rPr>
          <w:rFonts w:ascii="Bookman Old Style" w:hAnsi="Bookman Old Style"/>
          <w:bCs/>
          <w:lang w:val="es-CO"/>
        </w:rPr>
      </w:pPr>
    </w:p>
    <w:p w14:paraId="2D7C7E97" w14:textId="1074557C" w:rsidR="009C2F3D" w:rsidRDefault="009C2F3D" w:rsidP="009C2F3D">
      <w:pPr>
        <w:ind w:left="0"/>
        <w:jc w:val="both"/>
        <w:rPr>
          <w:rFonts w:ascii="Bookman Old Style" w:hAnsi="Bookman Old Style"/>
          <w:bCs/>
          <w:lang w:val="es-CO"/>
        </w:rPr>
      </w:pPr>
      <w:r>
        <w:rPr>
          <w:rFonts w:ascii="Bookman Old Style" w:hAnsi="Bookman Old Style"/>
          <w:bCs/>
          <w:lang w:val="es-CO"/>
        </w:rPr>
        <w:t>En consecuencia,</w:t>
      </w:r>
    </w:p>
    <w:p w14:paraId="16CC1A02" w14:textId="77777777" w:rsidR="009C2F3D" w:rsidRPr="00B75554" w:rsidRDefault="009C2F3D" w:rsidP="009C2F3D">
      <w:pPr>
        <w:suppressAutoHyphens/>
        <w:jc w:val="center"/>
        <w:rPr>
          <w:rFonts w:ascii="Bookman Old Style" w:hAnsi="Bookman Old Style"/>
          <w:spacing w:val="-3"/>
          <w:lang w:val="es-CO"/>
        </w:rPr>
      </w:pPr>
      <w:r w:rsidRPr="00B75554">
        <w:rPr>
          <w:rFonts w:ascii="Bookman Old Style" w:hAnsi="Bookman Old Style"/>
          <w:b/>
          <w:spacing w:val="-3"/>
          <w:lang w:val="es-CO"/>
        </w:rPr>
        <w:t>RESUELVE:</w:t>
      </w:r>
    </w:p>
    <w:p w14:paraId="2F0E8AEE" w14:textId="77777777" w:rsidR="009C2F3D" w:rsidRPr="00B75554" w:rsidRDefault="009C2F3D" w:rsidP="009C2F3D">
      <w:pPr>
        <w:jc w:val="center"/>
        <w:rPr>
          <w:rFonts w:ascii="Bookman Old Style" w:hAnsi="Bookman Old Style"/>
          <w:lang w:val="es-CO"/>
        </w:rPr>
      </w:pPr>
    </w:p>
    <w:p w14:paraId="0B7E8E39" w14:textId="2756FF13" w:rsidR="005B0026" w:rsidRPr="005B0026" w:rsidRDefault="009C2F3D" w:rsidP="008D44BC">
      <w:pPr>
        <w:ind w:left="0"/>
        <w:jc w:val="both"/>
        <w:rPr>
          <w:rFonts w:ascii="Bookman Old Style" w:hAnsi="Bookman Old Style" w:cs="Arial"/>
          <w:iCs/>
          <w:lang w:val="es-CO"/>
        </w:rPr>
      </w:pPr>
      <w:r w:rsidRPr="00B75554">
        <w:rPr>
          <w:rFonts w:ascii="Bookman Old Style" w:hAnsi="Bookman Old Style" w:cs="Arial"/>
          <w:b/>
          <w:bCs/>
          <w:iCs/>
          <w:lang w:val="es-CO"/>
        </w:rPr>
        <w:t xml:space="preserve">ARTÍCULO 1. </w:t>
      </w:r>
      <w:r w:rsidR="00696C3F">
        <w:rPr>
          <w:rFonts w:ascii="Bookman Old Style" w:hAnsi="Bookman Old Style" w:cs="Arial"/>
          <w:b/>
          <w:bCs/>
          <w:iCs/>
          <w:lang w:val="es-CO"/>
        </w:rPr>
        <w:t xml:space="preserve">Objeto. </w:t>
      </w:r>
      <w:r w:rsidR="009D3F6B">
        <w:rPr>
          <w:rFonts w:ascii="Bookman Old Style" w:hAnsi="Bookman Old Style" w:cs="Arial"/>
          <w:iCs/>
          <w:lang w:val="es-CO"/>
        </w:rPr>
        <w:t>Adiciona</w:t>
      </w:r>
      <w:r w:rsidR="00696C3F">
        <w:rPr>
          <w:rFonts w:ascii="Bookman Old Style" w:hAnsi="Bookman Old Style" w:cs="Arial"/>
          <w:iCs/>
          <w:lang w:val="es-CO"/>
        </w:rPr>
        <w:t xml:space="preserve"> </w:t>
      </w:r>
      <w:r w:rsidR="005B0026" w:rsidRPr="005B0026">
        <w:rPr>
          <w:rFonts w:ascii="Bookman Old Style" w:hAnsi="Bookman Old Style" w:cs="Arial"/>
          <w:iCs/>
          <w:lang w:val="es-CO"/>
        </w:rPr>
        <w:t>el artículo </w:t>
      </w:r>
      <w:r w:rsidR="006B0DA1">
        <w:rPr>
          <w:rFonts w:ascii="Bookman Old Style" w:hAnsi="Bookman Old Style" w:cs="Arial"/>
          <w:iCs/>
          <w:lang w:val="es-CO"/>
        </w:rPr>
        <w:t>1</w:t>
      </w:r>
      <w:r w:rsidR="005B0026" w:rsidRPr="005B0026">
        <w:rPr>
          <w:rFonts w:ascii="Bookman Old Style" w:hAnsi="Bookman Old Style" w:cs="Arial"/>
          <w:iCs/>
          <w:lang w:val="es-CO"/>
        </w:rPr>
        <w:t xml:space="preserve"> de la Resolución </w:t>
      </w:r>
      <w:r w:rsidR="24319A08" w:rsidRPr="47C4709E">
        <w:rPr>
          <w:rFonts w:ascii="Bookman Old Style" w:hAnsi="Bookman Old Style" w:cs="Arial"/>
          <w:lang w:val="es-CO"/>
        </w:rPr>
        <w:t xml:space="preserve">MME </w:t>
      </w:r>
      <w:r w:rsidR="005B0026" w:rsidRPr="005B0026">
        <w:rPr>
          <w:rFonts w:ascii="Bookman Old Style" w:hAnsi="Bookman Old Style" w:cs="Arial"/>
          <w:iCs/>
          <w:lang w:val="es-CO"/>
        </w:rPr>
        <w:t>18 0088 del 30 de enero de 2003, modificado y adicionado por los artículos 1 de las Resoluciones </w:t>
      </w:r>
      <w:hyperlink r:id="rId13" w:anchor="1">
        <w:r w:rsidR="005B0026" w:rsidRPr="47C4709E">
          <w:rPr>
            <w:rFonts w:ascii="Bookman Old Style" w:hAnsi="Bookman Old Style" w:cs="Arial"/>
            <w:lang w:val="es-CO"/>
          </w:rPr>
          <w:t>181701</w:t>
        </w:r>
      </w:hyperlink>
      <w:r w:rsidR="005B0026" w:rsidRPr="005B0026">
        <w:rPr>
          <w:rFonts w:ascii="Bookman Old Style" w:hAnsi="Bookman Old Style" w:cs="Arial"/>
          <w:iCs/>
          <w:lang w:val="es-CO"/>
        </w:rPr>
        <w:t> y </w:t>
      </w:r>
      <w:hyperlink r:id="rId14" w:anchor="1">
        <w:r w:rsidR="005B0026" w:rsidRPr="47C4709E">
          <w:rPr>
            <w:rFonts w:ascii="Bookman Old Style" w:hAnsi="Bookman Old Style" w:cs="Arial"/>
            <w:lang w:val="es-CO"/>
          </w:rPr>
          <w:t>180230</w:t>
        </w:r>
      </w:hyperlink>
      <w:r w:rsidR="005B0026" w:rsidRPr="005B0026">
        <w:rPr>
          <w:rFonts w:ascii="Bookman Old Style" w:hAnsi="Bookman Old Style" w:cs="Arial"/>
          <w:iCs/>
          <w:lang w:val="es-CO"/>
        </w:rPr>
        <w:t xml:space="preserve"> del 22 de diciembre de 2003 y 27 de febrero de 2006, respectivamente, el sentido de </w:t>
      </w:r>
      <w:r w:rsidR="00850A23">
        <w:rPr>
          <w:rFonts w:ascii="Bookman Old Style" w:hAnsi="Bookman Old Style" w:cs="Arial"/>
          <w:iCs/>
          <w:lang w:val="es-CO"/>
        </w:rPr>
        <w:t xml:space="preserve">incluir los </w:t>
      </w:r>
      <w:r w:rsidR="007E485B">
        <w:rPr>
          <w:rFonts w:ascii="Bookman Old Style" w:hAnsi="Bookman Old Style" w:cs="Arial"/>
          <w:iCs/>
          <w:lang w:val="es-CO"/>
        </w:rPr>
        <w:t>siguientes parágr</w:t>
      </w:r>
      <w:r w:rsidR="00E331FB">
        <w:rPr>
          <w:rFonts w:ascii="Bookman Old Style" w:hAnsi="Bookman Old Style" w:cs="Arial"/>
          <w:iCs/>
          <w:lang w:val="es-CO"/>
        </w:rPr>
        <w:t>af</w:t>
      </w:r>
      <w:r w:rsidR="008D44BC">
        <w:rPr>
          <w:rFonts w:ascii="Bookman Old Style" w:hAnsi="Bookman Old Style" w:cs="Arial"/>
          <w:iCs/>
          <w:lang w:val="es-CO"/>
        </w:rPr>
        <w:t xml:space="preserve">os: </w:t>
      </w:r>
    </w:p>
    <w:p w14:paraId="17DE0A37" w14:textId="3DAA0B58" w:rsidR="00385BC5" w:rsidRDefault="00385BC5" w:rsidP="00385BC5">
      <w:pPr>
        <w:ind w:left="0"/>
        <w:jc w:val="both"/>
        <w:rPr>
          <w:rFonts w:ascii="Bookman Old Style" w:hAnsi="Bookman Old Style" w:cs="Arial"/>
          <w:b/>
          <w:bCs/>
          <w:iCs/>
          <w:lang w:val="es-CO"/>
        </w:rPr>
      </w:pPr>
    </w:p>
    <w:p w14:paraId="6719D39E" w14:textId="772CC8E5" w:rsidR="00C90D09" w:rsidRPr="002E12C9" w:rsidRDefault="00C90D09" w:rsidP="008D44BC">
      <w:pPr>
        <w:ind w:left="284"/>
        <w:jc w:val="both"/>
        <w:rPr>
          <w:rFonts w:ascii="Bookman Old Style" w:hAnsi="Bookman Old Style" w:cs="Arial"/>
          <w:iCs/>
          <w:lang w:val="es-CO"/>
        </w:rPr>
      </w:pPr>
      <w:r w:rsidRPr="00C90D09">
        <w:rPr>
          <w:rFonts w:ascii="Bookman Old Style" w:hAnsi="Bookman Old Style" w:cs="Arial"/>
          <w:b/>
          <w:bCs/>
          <w:iCs/>
          <w:lang w:val="es-CO"/>
        </w:rPr>
        <w:t>Parágrafo 3</w:t>
      </w:r>
      <w:r w:rsidRPr="00C90D09">
        <w:rPr>
          <w:rFonts w:ascii="Bookman Old Style" w:hAnsi="Bookman Old Style" w:cs="Arial"/>
          <w:iCs/>
          <w:lang w:val="es-CO"/>
        </w:rPr>
        <w:t xml:space="preserve">. </w:t>
      </w:r>
      <w:r w:rsidR="002E12C9" w:rsidRPr="002E12C9">
        <w:rPr>
          <w:rFonts w:ascii="Bookman Old Style" w:hAnsi="Bookman Old Style" w:cs="Arial"/>
          <w:iCs/>
          <w:lang w:val="es-CO"/>
        </w:rPr>
        <w:t xml:space="preserve">Los agentes que hayan realizado </w:t>
      </w:r>
      <w:r w:rsidR="2E4C7E55" w:rsidRPr="73A7BB2B">
        <w:rPr>
          <w:rFonts w:ascii="Bookman Old Style" w:hAnsi="Bookman Old Style" w:cs="Arial"/>
          <w:lang w:val="es-CO"/>
        </w:rPr>
        <w:t xml:space="preserve">o realicen </w:t>
      </w:r>
      <w:r w:rsidR="002E12C9" w:rsidRPr="002E12C9">
        <w:rPr>
          <w:rFonts w:ascii="Bookman Old Style" w:hAnsi="Bookman Old Style" w:cs="Arial"/>
          <w:iCs/>
          <w:lang w:val="es-CO"/>
        </w:rPr>
        <w:t>inversiones para construir infraestructura de transporte para conectarse a la refinería, podrán estar exentos del cobro (Entregas locales y en muelles) parcial o totalmente.</w:t>
      </w:r>
    </w:p>
    <w:p w14:paraId="12D2BAAA" w14:textId="77777777" w:rsidR="008D44BC" w:rsidRPr="008D44BC" w:rsidRDefault="008D44BC" w:rsidP="008D44BC">
      <w:pPr>
        <w:ind w:left="284"/>
        <w:jc w:val="both"/>
        <w:rPr>
          <w:rFonts w:ascii="Bookman Old Style" w:hAnsi="Bookman Old Style" w:cs="Arial"/>
          <w:iCs/>
          <w:lang w:val="es-CO"/>
        </w:rPr>
      </w:pPr>
    </w:p>
    <w:p w14:paraId="64D84E14" w14:textId="4B684F66" w:rsidR="00C90D09" w:rsidRPr="00C90D09" w:rsidRDefault="00C90D09" w:rsidP="008D44BC">
      <w:pPr>
        <w:ind w:left="284"/>
        <w:jc w:val="both"/>
        <w:rPr>
          <w:rFonts w:ascii="Bookman Old Style" w:hAnsi="Bookman Old Style" w:cs="Arial"/>
          <w:iCs/>
          <w:lang w:val="es-CO"/>
        </w:rPr>
      </w:pPr>
      <w:r w:rsidRPr="00C90D09">
        <w:rPr>
          <w:rFonts w:ascii="Bookman Old Style" w:hAnsi="Bookman Old Style" w:cs="Arial"/>
          <w:b/>
          <w:bCs/>
          <w:iCs/>
          <w:lang w:val="es-CO"/>
        </w:rPr>
        <w:t>Parágrafo 4</w:t>
      </w:r>
      <w:r w:rsidRPr="00C90D09">
        <w:rPr>
          <w:rFonts w:ascii="Bookman Old Style" w:hAnsi="Bookman Old Style" w:cs="Arial"/>
          <w:iCs/>
          <w:lang w:val="es-CO"/>
        </w:rPr>
        <w:t xml:space="preserve">. </w:t>
      </w:r>
      <w:r w:rsidR="005B21DF" w:rsidRPr="005B21DF">
        <w:rPr>
          <w:rFonts w:ascii="Bookman Old Style" w:hAnsi="Bookman Old Style" w:cs="Arial"/>
          <w:iCs/>
          <w:lang w:val="es-CO"/>
        </w:rPr>
        <w:t>La Comisión de Regulación de Energía y Gas – CREG mediante actuación particular determinará la tarifa aplicable para el cobro (Entregas locales y en muelles)</w:t>
      </w:r>
      <w:r w:rsidR="00CB48A4">
        <w:rPr>
          <w:rFonts w:ascii="Bookman Old Style" w:hAnsi="Bookman Old Style" w:cs="Arial"/>
          <w:iCs/>
          <w:lang w:val="es-CO"/>
        </w:rPr>
        <w:t xml:space="preserve"> cuando aplique</w:t>
      </w:r>
      <w:r w:rsidR="00E157CE">
        <w:rPr>
          <w:rFonts w:ascii="Bookman Old Style" w:hAnsi="Bookman Old Style" w:cs="Arial"/>
          <w:iCs/>
          <w:lang w:val="es-CO"/>
        </w:rPr>
        <w:t>.</w:t>
      </w:r>
    </w:p>
    <w:p w14:paraId="660E7F0E" w14:textId="77777777" w:rsidR="00C90D09" w:rsidRDefault="00C90D09" w:rsidP="00385BC5">
      <w:pPr>
        <w:ind w:left="0"/>
        <w:jc w:val="both"/>
        <w:rPr>
          <w:rFonts w:ascii="Bookman Old Style" w:hAnsi="Bookman Old Style" w:cs="Arial"/>
          <w:b/>
          <w:bCs/>
          <w:iCs/>
          <w:lang w:val="es-CO"/>
        </w:rPr>
      </w:pPr>
    </w:p>
    <w:p w14:paraId="2E93BD0A" w14:textId="77777777" w:rsidR="00385BC5" w:rsidRPr="00281A22" w:rsidRDefault="00385BC5" w:rsidP="00385BC5">
      <w:pPr>
        <w:ind w:left="0"/>
        <w:jc w:val="both"/>
        <w:rPr>
          <w:rFonts w:ascii="Bookman Old Style" w:hAnsi="Bookman Old Style" w:cs="Arial"/>
          <w:iCs/>
          <w:lang w:val="es-CO"/>
        </w:rPr>
      </w:pPr>
    </w:p>
    <w:p w14:paraId="344A53E1" w14:textId="7EA51B5B" w:rsidR="00696C3F" w:rsidRDefault="009C2F3D" w:rsidP="009C2F3D">
      <w:pPr>
        <w:ind w:left="0"/>
        <w:jc w:val="both"/>
        <w:rPr>
          <w:rFonts w:ascii="Bookman Old Style" w:hAnsi="Bookman Old Style" w:cs="Arial"/>
          <w:iCs/>
          <w:lang w:val="es-CO"/>
        </w:rPr>
      </w:pPr>
      <w:r w:rsidRPr="00B75554">
        <w:rPr>
          <w:rFonts w:ascii="Bookman Old Style" w:hAnsi="Bookman Old Style" w:cs="Arial"/>
          <w:b/>
          <w:bCs/>
          <w:iCs/>
          <w:lang w:val="es-CO"/>
        </w:rPr>
        <w:t xml:space="preserve">ARTÍCULO </w:t>
      </w:r>
      <w:r w:rsidR="00696C3F">
        <w:rPr>
          <w:rFonts w:ascii="Bookman Old Style" w:hAnsi="Bookman Old Style" w:cs="Arial"/>
          <w:b/>
          <w:bCs/>
          <w:iCs/>
          <w:lang w:val="es-CO"/>
        </w:rPr>
        <w:t>2</w:t>
      </w:r>
      <w:r w:rsidRPr="00B75554">
        <w:rPr>
          <w:rFonts w:ascii="Bookman Old Style" w:hAnsi="Bookman Old Style" w:cs="Arial"/>
          <w:b/>
          <w:bCs/>
          <w:iCs/>
          <w:lang w:val="es-CO"/>
        </w:rPr>
        <w:t>. V</w:t>
      </w:r>
      <w:r w:rsidR="00696C3F">
        <w:rPr>
          <w:rFonts w:ascii="Bookman Old Style" w:hAnsi="Bookman Old Style" w:cs="Arial"/>
          <w:b/>
          <w:bCs/>
          <w:iCs/>
          <w:lang w:val="es-CO"/>
        </w:rPr>
        <w:t>igencia</w:t>
      </w:r>
      <w:r w:rsidRPr="00B75554">
        <w:rPr>
          <w:rFonts w:ascii="Bookman Old Style" w:hAnsi="Bookman Old Style" w:cs="Arial"/>
          <w:b/>
          <w:bCs/>
          <w:iCs/>
          <w:lang w:val="es-CO"/>
        </w:rPr>
        <w:t>.</w:t>
      </w:r>
      <w:r w:rsidRPr="00B75554">
        <w:rPr>
          <w:rFonts w:ascii="Bookman Old Style" w:hAnsi="Bookman Old Style" w:cs="Arial"/>
          <w:iCs/>
          <w:lang w:val="es-CO"/>
        </w:rPr>
        <w:t xml:space="preserve"> La presente resolución rige a partir de su fecha de publicación en el Diario Oficial</w:t>
      </w:r>
      <w:r w:rsidR="00696C3F">
        <w:rPr>
          <w:rFonts w:ascii="Bookman Old Style" w:hAnsi="Bookman Old Style" w:cs="Arial"/>
          <w:iCs/>
          <w:lang w:val="es-CO"/>
        </w:rPr>
        <w:t>.</w:t>
      </w:r>
    </w:p>
    <w:p w14:paraId="3C8C9617" w14:textId="77777777" w:rsidR="00696C3F" w:rsidRDefault="00696C3F" w:rsidP="009C2F3D">
      <w:pPr>
        <w:ind w:left="0"/>
        <w:jc w:val="both"/>
        <w:rPr>
          <w:rFonts w:ascii="Bookman Old Style" w:hAnsi="Bookman Old Style" w:cs="Arial"/>
          <w:iCs/>
          <w:lang w:val="es-CO"/>
        </w:rPr>
      </w:pPr>
    </w:p>
    <w:p w14:paraId="4166B252" w14:textId="2280A6D2" w:rsidR="009C2F3D" w:rsidRPr="00B75554" w:rsidRDefault="009C2F3D" w:rsidP="009C2F3D">
      <w:pPr>
        <w:ind w:left="0"/>
        <w:jc w:val="both"/>
        <w:rPr>
          <w:rFonts w:ascii="Bookman Old Style" w:hAnsi="Bookman Old Style" w:cs="Arial"/>
          <w:iCs/>
          <w:lang w:val="es-CO"/>
        </w:rPr>
      </w:pPr>
      <w:r w:rsidRPr="00B75554">
        <w:rPr>
          <w:rFonts w:ascii="Bookman Old Style" w:hAnsi="Bookman Old Style" w:cs="Arial"/>
          <w:iCs/>
          <w:lang w:val="es-CO"/>
        </w:rPr>
        <w:t xml:space="preserve"> </w:t>
      </w:r>
    </w:p>
    <w:p w14:paraId="2DE28F55" w14:textId="191BB35C" w:rsidR="00E060BE" w:rsidRPr="00B75554" w:rsidRDefault="009C2F3D" w:rsidP="009C2F3D">
      <w:pPr>
        <w:jc w:val="center"/>
        <w:rPr>
          <w:rFonts w:ascii="Bookman Old Style" w:hAnsi="Bookman Old Style"/>
          <w:b/>
          <w:lang w:val="es-CO"/>
        </w:rPr>
      </w:pPr>
      <w:r w:rsidRPr="00B75554">
        <w:rPr>
          <w:rFonts w:ascii="Bookman Old Style" w:hAnsi="Bookman Old Style"/>
          <w:b/>
          <w:lang w:val="es-CO"/>
        </w:rPr>
        <w:t>PUBLÍQUESE Y CÚMPLASE</w:t>
      </w:r>
    </w:p>
    <w:sectPr w:rsidR="00E060BE" w:rsidRPr="00B75554" w:rsidSect="005A59EF">
      <w:headerReference w:type="default" r:id="rId15"/>
      <w:headerReference w:type="first" r:id="rId16"/>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8970B" w14:textId="77777777" w:rsidR="008B6709" w:rsidRDefault="008B6709">
      <w:r>
        <w:separator/>
      </w:r>
    </w:p>
  </w:endnote>
  <w:endnote w:type="continuationSeparator" w:id="0">
    <w:p w14:paraId="2BE40EA2" w14:textId="77777777" w:rsidR="008B6709" w:rsidRDefault="008B6709">
      <w:r>
        <w:continuationSeparator/>
      </w:r>
    </w:p>
  </w:endnote>
  <w:endnote w:type="continuationNotice" w:id="1">
    <w:p w14:paraId="406A1A3E" w14:textId="77777777" w:rsidR="008B6709" w:rsidRDefault="008B6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4D2F6" w14:textId="77777777" w:rsidR="008B6709" w:rsidRDefault="008B6709">
      <w:r>
        <w:separator/>
      </w:r>
    </w:p>
  </w:footnote>
  <w:footnote w:type="continuationSeparator" w:id="0">
    <w:p w14:paraId="7124BE63" w14:textId="77777777" w:rsidR="008B6709" w:rsidRDefault="008B6709">
      <w:r>
        <w:continuationSeparator/>
      </w:r>
    </w:p>
  </w:footnote>
  <w:footnote w:type="continuationNotice" w:id="1">
    <w:p w14:paraId="4D5857D9" w14:textId="77777777" w:rsidR="008B6709" w:rsidRDefault="008B6709"/>
  </w:footnote>
  <w:footnote w:id="2">
    <w:p w14:paraId="29614FB0" w14:textId="77777777" w:rsidR="00BB68D2" w:rsidRPr="00974017" w:rsidRDefault="00BB68D2" w:rsidP="00BB68D2">
      <w:pPr>
        <w:pStyle w:val="Textonotapie"/>
        <w:spacing w:line="240" w:lineRule="auto"/>
        <w:contextualSpacing/>
        <w:rPr>
          <w:lang w:val="es-CO"/>
        </w:rPr>
      </w:pPr>
      <w:r>
        <w:rPr>
          <w:rStyle w:val="Refdenotaalpie"/>
        </w:rPr>
        <w:footnoteRef/>
      </w:r>
      <w:r>
        <w:t xml:space="preserve"> </w:t>
      </w:r>
      <w:r>
        <w:rPr>
          <w:lang w:val="es-CO"/>
        </w:rPr>
        <w:t xml:space="preserve">Artículo </w:t>
      </w:r>
      <w:r w:rsidRPr="00974017">
        <w:rPr>
          <w:lang w:val="es-CO"/>
        </w:rPr>
        <w:t>1.2.1.1.3.1.1</w:t>
      </w:r>
      <w:r>
        <w:rPr>
          <w:lang w:val="es-CO"/>
        </w:rPr>
        <w:t xml:space="preserve"> del Decreto 1073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0B9C0E61" w:rsidR="0087657D" w:rsidRPr="00951F79" w:rsidRDefault="0052795F"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906FB2" w:rsidRPr="00906FB2">
      <w:rPr>
        <w:rFonts w:ascii="Bookman Old Style" w:hAnsi="Bookman Old Style" w:cs="Arial"/>
        <w:bCs/>
        <w:sz w:val="22"/>
        <w:szCs w:val="22"/>
        <w:u w:val="single"/>
      </w:rPr>
      <w:t>704 003</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906FB2">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906FB2" w:rsidRPr="00906FB2">
      <w:rPr>
        <w:rFonts w:ascii="Bookman Old Style" w:hAnsi="Bookman Old Style" w:cs="Arial"/>
        <w:bCs/>
        <w:sz w:val="22"/>
        <w:szCs w:val="22"/>
        <w:u w:val="single"/>
      </w:rPr>
      <w:t>28 NOV.2024</w:t>
    </w:r>
    <w:r w:rsidR="00906FB2">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16086E3D" w14:textId="094052A1" w:rsidR="0044318E" w:rsidRDefault="00DF16F5" w:rsidP="00030FCB">
    <w:pPr>
      <w:ind w:left="142" w:right="148"/>
      <w:rPr>
        <w:rFonts w:ascii="Bookman Old Style" w:hAnsi="Bookman Old Style"/>
        <w:sz w:val="22"/>
        <w:szCs w:val="22"/>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93018"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4B10360F" w14:textId="77777777" w:rsidR="003F6EEE" w:rsidRPr="00045D3D" w:rsidRDefault="003F6EEE" w:rsidP="003F6EEE">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E9662"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CA564A"/>
    <w:multiLevelType w:val="hybridMultilevel"/>
    <w:tmpl w:val="E50A6A0A"/>
    <w:lvl w:ilvl="0" w:tplc="7D36DF8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9290F84"/>
    <w:multiLevelType w:val="hybridMultilevel"/>
    <w:tmpl w:val="B8D2CBEE"/>
    <w:lvl w:ilvl="0" w:tplc="7186BF0C">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EA13BE"/>
    <w:multiLevelType w:val="hybridMultilevel"/>
    <w:tmpl w:val="10B43C0E"/>
    <w:lvl w:ilvl="0" w:tplc="682E2CDA">
      <w:start w:val="1"/>
      <w:numFmt w:val="lowerRoman"/>
      <w:lvlText w:val="%1)"/>
      <w:lvlJc w:val="left"/>
      <w:pPr>
        <w:ind w:left="1080"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535030"/>
    <w:multiLevelType w:val="hybridMultilevel"/>
    <w:tmpl w:val="94AABAD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C91BBC"/>
    <w:multiLevelType w:val="hybridMultilevel"/>
    <w:tmpl w:val="75C6CD50"/>
    <w:lvl w:ilvl="0" w:tplc="7186BF0C">
      <w:numFmt w:val="bullet"/>
      <w:lvlText w:val="-"/>
      <w:lvlJc w:val="left"/>
      <w:pPr>
        <w:ind w:left="1800" w:hanging="360"/>
      </w:pPr>
      <w:rPr>
        <w:rFonts w:ascii="Bookman Old Style" w:eastAsia="Times New Roman" w:hAnsi="Bookman Old Style"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72078"/>
    <w:multiLevelType w:val="hybridMultilevel"/>
    <w:tmpl w:val="0F4E766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450A62"/>
    <w:multiLevelType w:val="hybridMultilevel"/>
    <w:tmpl w:val="1388A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9"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1" w15:restartNumberingAfterBreak="0">
    <w:nsid w:val="4BFF4887"/>
    <w:multiLevelType w:val="hybridMultilevel"/>
    <w:tmpl w:val="94AABAD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C54A20"/>
    <w:multiLevelType w:val="hybridMultilevel"/>
    <w:tmpl w:val="0172D676"/>
    <w:lvl w:ilvl="0" w:tplc="7D7C737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4" w15:restartNumberingAfterBreak="0">
    <w:nsid w:val="5851691F"/>
    <w:multiLevelType w:val="hybridMultilevel"/>
    <w:tmpl w:val="81ECB28A"/>
    <w:lvl w:ilvl="0" w:tplc="240A000B">
      <w:start w:val="1"/>
      <w:numFmt w:val="bullet"/>
      <w:lvlText w:val=""/>
      <w:lvlJc w:val="left"/>
      <w:pPr>
        <w:ind w:left="360" w:hanging="360"/>
      </w:pPr>
      <w:rPr>
        <w:rFonts w:ascii="Wingdings" w:hAnsi="Wingdings" w:hint="default"/>
      </w:rPr>
    </w:lvl>
    <w:lvl w:ilvl="1" w:tplc="E57694EE">
      <w:start w:val="1"/>
      <w:numFmt w:val="lowerRoman"/>
      <w:lvlText w:val="%2)"/>
      <w:lvlJc w:val="left"/>
      <w:pPr>
        <w:ind w:left="720" w:hanging="360"/>
      </w:pPr>
      <w:rPr>
        <w:rFonts w:ascii="Bookman Old Style" w:hAnsi="Bookman Old Style"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7352BE2"/>
    <w:multiLevelType w:val="hybridMultilevel"/>
    <w:tmpl w:val="9F52748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0E31F7"/>
    <w:multiLevelType w:val="hybridMultilevel"/>
    <w:tmpl w:val="4098722E"/>
    <w:lvl w:ilvl="0" w:tplc="F7C4A834">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2" w15:restartNumberingAfterBreak="0">
    <w:nsid w:val="73C51132"/>
    <w:multiLevelType w:val="hybridMultilevel"/>
    <w:tmpl w:val="D234CB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7B4929"/>
    <w:multiLevelType w:val="hybridMultilevel"/>
    <w:tmpl w:val="94AABADC"/>
    <w:lvl w:ilvl="0" w:tplc="475E48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8915D5"/>
    <w:multiLevelType w:val="hybridMultilevel"/>
    <w:tmpl w:val="98CE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60953670">
    <w:abstractNumId w:val="18"/>
  </w:num>
  <w:num w:numId="2" w16cid:durableId="1497382030">
    <w:abstractNumId w:val="7"/>
  </w:num>
  <w:num w:numId="3" w16cid:durableId="1643658739">
    <w:abstractNumId w:val="34"/>
  </w:num>
  <w:num w:numId="4" w16cid:durableId="1416053916">
    <w:abstractNumId w:val="11"/>
  </w:num>
  <w:num w:numId="5" w16cid:durableId="1460681335">
    <w:abstractNumId w:val="25"/>
  </w:num>
  <w:num w:numId="6" w16cid:durableId="432214895">
    <w:abstractNumId w:val="5"/>
  </w:num>
  <w:num w:numId="7" w16cid:durableId="845751384">
    <w:abstractNumId w:val="4"/>
  </w:num>
  <w:num w:numId="8" w16cid:durableId="29301030">
    <w:abstractNumId w:val="27"/>
  </w:num>
  <w:num w:numId="9" w16cid:durableId="2003662021">
    <w:abstractNumId w:val="26"/>
  </w:num>
  <w:num w:numId="10" w16cid:durableId="2014674860">
    <w:abstractNumId w:val="19"/>
  </w:num>
  <w:num w:numId="11" w16cid:durableId="958032325">
    <w:abstractNumId w:val="35"/>
  </w:num>
  <w:num w:numId="12" w16cid:durableId="1838691975">
    <w:abstractNumId w:val="30"/>
  </w:num>
  <w:num w:numId="13" w16cid:durableId="273679532">
    <w:abstractNumId w:val="15"/>
  </w:num>
  <w:num w:numId="14" w16cid:durableId="2070683866">
    <w:abstractNumId w:val="3"/>
  </w:num>
  <w:num w:numId="15" w16cid:durableId="1975476040">
    <w:abstractNumId w:val="20"/>
  </w:num>
  <w:num w:numId="16" w16cid:durableId="83963299">
    <w:abstractNumId w:val="1"/>
  </w:num>
  <w:num w:numId="17" w16cid:durableId="353533871">
    <w:abstractNumId w:val="14"/>
  </w:num>
  <w:num w:numId="18" w16cid:durableId="788664195">
    <w:abstractNumId w:val="0"/>
  </w:num>
  <w:num w:numId="19" w16cid:durableId="1454788596">
    <w:abstractNumId w:val="29"/>
  </w:num>
  <w:num w:numId="20" w16cid:durableId="1999069271">
    <w:abstractNumId w:val="23"/>
  </w:num>
  <w:num w:numId="21" w16cid:durableId="1075667280">
    <w:abstractNumId w:val="12"/>
  </w:num>
  <w:num w:numId="22" w16cid:durableId="40371620">
    <w:abstractNumId w:val="13"/>
  </w:num>
  <w:num w:numId="23" w16cid:durableId="634259047">
    <w:abstractNumId w:val="17"/>
  </w:num>
  <w:num w:numId="24" w16cid:durableId="1936860488">
    <w:abstractNumId w:val="32"/>
  </w:num>
  <w:num w:numId="25" w16cid:durableId="1020400117">
    <w:abstractNumId w:val="33"/>
  </w:num>
  <w:num w:numId="26" w16cid:durableId="1771003412">
    <w:abstractNumId w:val="36"/>
  </w:num>
  <w:num w:numId="27" w16cid:durableId="484325564">
    <w:abstractNumId w:val="22"/>
  </w:num>
  <w:num w:numId="28" w16cid:durableId="1622955341">
    <w:abstractNumId w:val="6"/>
  </w:num>
  <w:num w:numId="29" w16cid:durableId="1073043221">
    <w:abstractNumId w:val="10"/>
  </w:num>
  <w:num w:numId="30" w16cid:durableId="2020696576">
    <w:abstractNumId w:val="24"/>
  </w:num>
  <w:num w:numId="31" w16cid:durableId="606547888">
    <w:abstractNumId w:val="8"/>
  </w:num>
  <w:num w:numId="32" w16cid:durableId="1502428914">
    <w:abstractNumId w:val="16"/>
  </w:num>
  <w:num w:numId="33" w16cid:durableId="620495198">
    <w:abstractNumId w:val="21"/>
  </w:num>
  <w:num w:numId="34" w16cid:durableId="1967275731">
    <w:abstractNumId w:val="9"/>
  </w:num>
  <w:num w:numId="35" w16cid:durableId="933781941">
    <w:abstractNumId w:val="28"/>
  </w:num>
  <w:num w:numId="36" w16cid:durableId="1256357398">
    <w:abstractNumId w:val="2"/>
  </w:num>
  <w:num w:numId="37" w16cid:durableId="2253424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13B52"/>
    <w:rsid w:val="0001738F"/>
    <w:rsid w:val="00025383"/>
    <w:rsid w:val="00030FCB"/>
    <w:rsid w:val="00032D1F"/>
    <w:rsid w:val="00045D3D"/>
    <w:rsid w:val="000565A7"/>
    <w:rsid w:val="00063657"/>
    <w:rsid w:val="00076680"/>
    <w:rsid w:val="00076A1D"/>
    <w:rsid w:val="0008073E"/>
    <w:rsid w:val="00090213"/>
    <w:rsid w:val="00091CDB"/>
    <w:rsid w:val="00094111"/>
    <w:rsid w:val="000A19AC"/>
    <w:rsid w:val="000A655F"/>
    <w:rsid w:val="000B2EC9"/>
    <w:rsid w:val="000C0068"/>
    <w:rsid w:val="000C06DC"/>
    <w:rsid w:val="000C32EE"/>
    <w:rsid w:val="000D26F8"/>
    <w:rsid w:val="000D786B"/>
    <w:rsid w:val="00106654"/>
    <w:rsid w:val="0013526C"/>
    <w:rsid w:val="001405C6"/>
    <w:rsid w:val="00141013"/>
    <w:rsid w:val="001616D8"/>
    <w:rsid w:val="00161B88"/>
    <w:rsid w:val="001625FF"/>
    <w:rsid w:val="001646BE"/>
    <w:rsid w:val="00192CBF"/>
    <w:rsid w:val="00192FF1"/>
    <w:rsid w:val="0019607B"/>
    <w:rsid w:val="001A5F1B"/>
    <w:rsid w:val="001A61E1"/>
    <w:rsid w:val="001B1C22"/>
    <w:rsid w:val="001B34C6"/>
    <w:rsid w:val="001B3B70"/>
    <w:rsid w:val="001B5619"/>
    <w:rsid w:val="001B64D9"/>
    <w:rsid w:val="001C6C11"/>
    <w:rsid w:val="001D449B"/>
    <w:rsid w:val="001D7832"/>
    <w:rsid w:val="00210DC1"/>
    <w:rsid w:val="00211D34"/>
    <w:rsid w:val="00214F04"/>
    <w:rsid w:val="002238DA"/>
    <w:rsid w:val="002352B9"/>
    <w:rsid w:val="002538F5"/>
    <w:rsid w:val="00253C7D"/>
    <w:rsid w:val="00266CD6"/>
    <w:rsid w:val="002673AC"/>
    <w:rsid w:val="00272D47"/>
    <w:rsid w:val="0027329C"/>
    <w:rsid w:val="00275DAB"/>
    <w:rsid w:val="0028033C"/>
    <w:rsid w:val="0028070D"/>
    <w:rsid w:val="00284042"/>
    <w:rsid w:val="002903C0"/>
    <w:rsid w:val="002A27B2"/>
    <w:rsid w:val="002A782A"/>
    <w:rsid w:val="002B11E2"/>
    <w:rsid w:val="002B24B8"/>
    <w:rsid w:val="002B3C24"/>
    <w:rsid w:val="002C7863"/>
    <w:rsid w:val="002D20CC"/>
    <w:rsid w:val="002D3AE9"/>
    <w:rsid w:val="002D4510"/>
    <w:rsid w:val="002E12C9"/>
    <w:rsid w:val="002F0734"/>
    <w:rsid w:val="002F175F"/>
    <w:rsid w:val="002F46E7"/>
    <w:rsid w:val="003075FB"/>
    <w:rsid w:val="003101DA"/>
    <w:rsid w:val="003111C3"/>
    <w:rsid w:val="0031283E"/>
    <w:rsid w:val="00314757"/>
    <w:rsid w:val="003163BC"/>
    <w:rsid w:val="003211CE"/>
    <w:rsid w:val="0032594D"/>
    <w:rsid w:val="00330CDE"/>
    <w:rsid w:val="00350898"/>
    <w:rsid w:val="0035403A"/>
    <w:rsid w:val="00362C39"/>
    <w:rsid w:val="0036394B"/>
    <w:rsid w:val="00363C63"/>
    <w:rsid w:val="0036482E"/>
    <w:rsid w:val="00366DB6"/>
    <w:rsid w:val="00370827"/>
    <w:rsid w:val="003709B5"/>
    <w:rsid w:val="003759C2"/>
    <w:rsid w:val="00381E24"/>
    <w:rsid w:val="00384F34"/>
    <w:rsid w:val="00385BC5"/>
    <w:rsid w:val="00387F62"/>
    <w:rsid w:val="00397005"/>
    <w:rsid w:val="00397365"/>
    <w:rsid w:val="003A2237"/>
    <w:rsid w:val="003A31F6"/>
    <w:rsid w:val="003A6208"/>
    <w:rsid w:val="003A6276"/>
    <w:rsid w:val="003C3447"/>
    <w:rsid w:val="003C7044"/>
    <w:rsid w:val="003C741F"/>
    <w:rsid w:val="003D076C"/>
    <w:rsid w:val="003D7879"/>
    <w:rsid w:val="003E78B5"/>
    <w:rsid w:val="003F2798"/>
    <w:rsid w:val="003F6EEE"/>
    <w:rsid w:val="003F7135"/>
    <w:rsid w:val="0041053B"/>
    <w:rsid w:val="004145B7"/>
    <w:rsid w:val="00415BAB"/>
    <w:rsid w:val="00415ED2"/>
    <w:rsid w:val="0042068C"/>
    <w:rsid w:val="00432ACB"/>
    <w:rsid w:val="0044318E"/>
    <w:rsid w:val="00443B35"/>
    <w:rsid w:val="00446C92"/>
    <w:rsid w:val="0045488D"/>
    <w:rsid w:val="00456E50"/>
    <w:rsid w:val="004602C6"/>
    <w:rsid w:val="00465858"/>
    <w:rsid w:val="0047122B"/>
    <w:rsid w:val="00473B7A"/>
    <w:rsid w:val="00482613"/>
    <w:rsid w:val="00486072"/>
    <w:rsid w:val="004960E9"/>
    <w:rsid w:val="004A2E88"/>
    <w:rsid w:val="004A5305"/>
    <w:rsid w:val="004A63AB"/>
    <w:rsid w:val="004B0A8C"/>
    <w:rsid w:val="004C0940"/>
    <w:rsid w:val="004C7BA3"/>
    <w:rsid w:val="004D7634"/>
    <w:rsid w:val="004E611A"/>
    <w:rsid w:val="004E6475"/>
    <w:rsid w:val="004F6460"/>
    <w:rsid w:val="00506579"/>
    <w:rsid w:val="0052795F"/>
    <w:rsid w:val="005300D3"/>
    <w:rsid w:val="0053551C"/>
    <w:rsid w:val="00542A10"/>
    <w:rsid w:val="00544F82"/>
    <w:rsid w:val="005509D2"/>
    <w:rsid w:val="0055215D"/>
    <w:rsid w:val="0055D20E"/>
    <w:rsid w:val="00573C35"/>
    <w:rsid w:val="00593C4F"/>
    <w:rsid w:val="005946A8"/>
    <w:rsid w:val="005A4407"/>
    <w:rsid w:val="005A59EF"/>
    <w:rsid w:val="005A609B"/>
    <w:rsid w:val="005B0026"/>
    <w:rsid w:val="005B1C7E"/>
    <w:rsid w:val="005B21DF"/>
    <w:rsid w:val="005C157A"/>
    <w:rsid w:val="005C44A4"/>
    <w:rsid w:val="005C6976"/>
    <w:rsid w:val="005F6F41"/>
    <w:rsid w:val="00625DC6"/>
    <w:rsid w:val="00642A17"/>
    <w:rsid w:val="0064391D"/>
    <w:rsid w:val="00651821"/>
    <w:rsid w:val="00654384"/>
    <w:rsid w:val="006675CD"/>
    <w:rsid w:val="00670984"/>
    <w:rsid w:val="00672661"/>
    <w:rsid w:val="00684D9B"/>
    <w:rsid w:val="0068510A"/>
    <w:rsid w:val="00696C3F"/>
    <w:rsid w:val="00697556"/>
    <w:rsid w:val="006A7620"/>
    <w:rsid w:val="006B0DA1"/>
    <w:rsid w:val="006B2E1A"/>
    <w:rsid w:val="006B4647"/>
    <w:rsid w:val="006B4C2B"/>
    <w:rsid w:val="006B6194"/>
    <w:rsid w:val="006B6D47"/>
    <w:rsid w:val="006C44C4"/>
    <w:rsid w:val="006C5AFE"/>
    <w:rsid w:val="006D6044"/>
    <w:rsid w:val="006F2EC8"/>
    <w:rsid w:val="006F6D95"/>
    <w:rsid w:val="00706F13"/>
    <w:rsid w:val="007072E8"/>
    <w:rsid w:val="0070765D"/>
    <w:rsid w:val="0071618D"/>
    <w:rsid w:val="0072140F"/>
    <w:rsid w:val="00725FA4"/>
    <w:rsid w:val="00740446"/>
    <w:rsid w:val="007438A9"/>
    <w:rsid w:val="0074491E"/>
    <w:rsid w:val="00747FF0"/>
    <w:rsid w:val="0075097D"/>
    <w:rsid w:val="00755FBB"/>
    <w:rsid w:val="0076247A"/>
    <w:rsid w:val="00775964"/>
    <w:rsid w:val="00776579"/>
    <w:rsid w:val="007765FE"/>
    <w:rsid w:val="00782AB0"/>
    <w:rsid w:val="00794E2E"/>
    <w:rsid w:val="00795BFB"/>
    <w:rsid w:val="007A6181"/>
    <w:rsid w:val="007B2760"/>
    <w:rsid w:val="007B39ED"/>
    <w:rsid w:val="007B5A60"/>
    <w:rsid w:val="007D2DA8"/>
    <w:rsid w:val="007E12D9"/>
    <w:rsid w:val="007E485B"/>
    <w:rsid w:val="00806C01"/>
    <w:rsid w:val="008148CC"/>
    <w:rsid w:val="0081512C"/>
    <w:rsid w:val="008211A4"/>
    <w:rsid w:val="008258CD"/>
    <w:rsid w:val="008468EE"/>
    <w:rsid w:val="0084693A"/>
    <w:rsid w:val="00850A23"/>
    <w:rsid w:val="00854521"/>
    <w:rsid w:val="00867C3E"/>
    <w:rsid w:val="00873150"/>
    <w:rsid w:val="0087561C"/>
    <w:rsid w:val="0087657D"/>
    <w:rsid w:val="008807D5"/>
    <w:rsid w:val="00880832"/>
    <w:rsid w:val="00886EE1"/>
    <w:rsid w:val="0088727D"/>
    <w:rsid w:val="00897C75"/>
    <w:rsid w:val="008A5FF9"/>
    <w:rsid w:val="008B6709"/>
    <w:rsid w:val="008C1130"/>
    <w:rsid w:val="008C6000"/>
    <w:rsid w:val="008D18E6"/>
    <w:rsid w:val="008D44BC"/>
    <w:rsid w:val="008D6782"/>
    <w:rsid w:val="008D7A9B"/>
    <w:rsid w:val="008E0060"/>
    <w:rsid w:val="008E7091"/>
    <w:rsid w:val="008E76AC"/>
    <w:rsid w:val="008F103E"/>
    <w:rsid w:val="008F21F6"/>
    <w:rsid w:val="009002F9"/>
    <w:rsid w:val="00904102"/>
    <w:rsid w:val="00906FB2"/>
    <w:rsid w:val="009100E9"/>
    <w:rsid w:val="00913AEA"/>
    <w:rsid w:val="009166AE"/>
    <w:rsid w:val="00942B2B"/>
    <w:rsid w:val="009466FF"/>
    <w:rsid w:val="0095190E"/>
    <w:rsid w:val="00951F79"/>
    <w:rsid w:val="00952A12"/>
    <w:rsid w:val="00954B44"/>
    <w:rsid w:val="00966704"/>
    <w:rsid w:val="009669E0"/>
    <w:rsid w:val="00974AB5"/>
    <w:rsid w:val="00982A91"/>
    <w:rsid w:val="0098706D"/>
    <w:rsid w:val="009935FB"/>
    <w:rsid w:val="00996F61"/>
    <w:rsid w:val="009A74A8"/>
    <w:rsid w:val="009C2F3D"/>
    <w:rsid w:val="009C635D"/>
    <w:rsid w:val="009D3F6B"/>
    <w:rsid w:val="009F4A2E"/>
    <w:rsid w:val="009F4A54"/>
    <w:rsid w:val="009F4BEC"/>
    <w:rsid w:val="009F5874"/>
    <w:rsid w:val="00A030CD"/>
    <w:rsid w:val="00A06511"/>
    <w:rsid w:val="00A138D4"/>
    <w:rsid w:val="00A147BC"/>
    <w:rsid w:val="00A2084E"/>
    <w:rsid w:val="00A25FD7"/>
    <w:rsid w:val="00A43AFF"/>
    <w:rsid w:val="00A63B48"/>
    <w:rsid w:val="00A7793A"/>
    <w:rsid w:val="00A86FE3"/>
    <w:rsid w:val="00A87126"/>
    <w:rsid w:val="00A91BF8"/>
    <w:rsid w:val="00AA4CC7"/>
    <w:rsid w:val="00AA5E8E"/>
    <w:rsid w:val="00AB2BAD"/>
    <w:rsid w:val="00AB6CA7"/>
    <w:rsid w:val="00AC3B8F"/>
    <w:rsid w:val="00AD01E4"/>
    <w:rsid w:val="00AD0858"/>
    <w:rsid w:val="00AE02E3"/>
    <w:rsid w:val="00AE7340"/>
    <w:rsid w:val="00AF1BBD"/>
    <w:rsid w:val="00AF7DF2"/>
    <w:rsid w:val="00B0571E"/>
    <w:rsid w:val="00B0795E"/>
    <w:rsid w:val="00B10207"/>
    <w:rsid w:val="00B10481"/>
    <w:rsid w:val="00B1367E"/>
    <w:rsid w:val="00B141E7"/>
    <w:rsid w:val="00B171D6"/>
    <w:rsid w:val="00B17B10"/>
    <w:rsid w:val="00B351B4"/>
    <w:rsid w:val="00B46BCA"/>
    <w:rsid w:val="00B46E6C"/>
    <w:rsid w:val="00B478AA"/>
    <w:rsid w:val="00B60E72"/>
    <w:rsid w:val="00B87806"/>
    <w:rsid w:val="00B87EC9"/>
    <w:rsid w:val="00BB63F4"/>
    <w:rsid w:val="00BB68D2"/>
    <w:rsid w:val="00BC38FD"/>
    <w:rsid w:val="00C034CB"/>
    <w:rsid w:val="00C051A8"/>
    <w:rsid w:val="00C054BC"/>
    <w:rsid w:val="00C17897"/>
    <w:rsid w:val="00C2076C"/>
    <w:rsid w:val="00C409D5"/>
    <w:rsid w:val="00C420A4"/>
    <w:rsid w:val="00C435C3"/>
    <w:rsid w:val="00C44E5F"/>
    <w:rsid w:val="00C51B7C"/>
    <w:rsid w:val="00C6234B"/>
    <w:rsid w:val="00C63B41"/>
    <w:rsid w:val="00C63EAE"/>
    <w:rsid w:val="00C73260"/>
    <w:rsid w:val="00C7629F"/>
    <w:rsid w:val="00C8036F"/>
    <w:rsid w:val="00C8661B"/>
    <w:rsid w:val="00C90D09"/>
    <w:rsid w:val="00C92189"/>
    <w:rsid w:val="00CA03C8"/>
    <w:rsid w:val="00CA139A"/>
    <w:rsid w:val="00CA2899"/>
    <w:rsid w:val="00CA3A3D"/>
    <w:rsid w:val="00CA3AA6"/>
    <w:rsid w:val="00CA70F0"/>
    <w:rsid w:val="00CA77FB"/>
    <w:rsid w:val="00CB379B"/>
    <w:rsid w:val="00CB48A4"/>
    <w:rsid w:val="00CB5DD0"/>
    <w:rsid w:val="00CC0A05"/>
    <w:rsid w:val="00CC5123"/>
    <w:rsid w:val="00CC51D4"/>
    <w:rsid w:val="00CC65DA"/>
    <w:rsid w:val="00CD2169"/>
    <w:rsid w:val="00CE58E8"/>
    <w:rsid w:val="00CF21B9"/>
    <w:rsid w:val="00CF5674"/>
    <w:rsid w:val="00CF6BF9"/>
    <w:rsid w:val="00D03800"/>
    <w:rsid w:val="00D065D3"/>
    <w:rsid w:val="00D1025C"/>
    <w:rsid w:val="00D14C94"/>
    <w:rsid w:val="00D217CA"/>
    <w:rsid w:val="00D237AB"/>
    <w:rsid w:val="00D342A6"/>
    <w:rsid w:val="00D43C3F"/>
    <w:rsid w:val="00D45CA6"/>
    <w:rsid w:val="00D464BF"/>
    <w:rsid w:val="00D53E26"/>
    <w:rsid w:val="00D553F9"/>
    <w:rsid w:val="00D67CBB"/>
    <w:rsid w:val="00D763BD"/>
    <w:rsid w:val="00D77FDC"/>
    <w:rsid w:val="00D83F43"/>
    <w:rsid w:val="00D91007"/>
    <w:rsid w:val="00DB182C"/>
    <w:rsid w:val="00DB3A75"/>
    <w:rsid w:val="00DB5B8B"/>
    <w:rsid w:val="00DD0F38"/>
    <w:rsid w:val="00DD4F0E"/>
    <w:rsid w:val="00DD744F"/>
    <w:rsid w:val="00DE4366"/>
    <w:rsid w:val="00DE4781"/>
    <w:rsid w:val="00DF0BF0"/>
    <w:rsid w:val="00DF16F5"/>
    <w:rsid w:val="00DF3CA2"/>
    <w:rsid w:val="00DF753F"/>
    <w:rsid w:val="00E01463"/>
    <w:rsid w:val="00E05E0A"/>
    <w:rsid w:val="00E060BE"/>
    <w:rsid w:val="00E102DC"/>
    <w:rsid w:val="00E157CE"/>
    <w:rsid w:val="00E331FB"/>
    <w:rsid w:val="00E33793"/>
    <w:rsid w:val="00E41C6D"/>
    <w:rsid w:val="00E51F62"/>
    <w:rsid w:val="00E534CF"/>
    <w:rsid w:val="00E63920"/>
    <w:rsid w:val="00E811AE"/>
    <w:rsid w:val="00E81CB4"/>
    <w:rsid w:val="00E8585B"/>
    <w:rsid w:val="00E86B63"/>
    <w:rsid w:val="00E87B99"/>
    <w:rsid w:val="00E87F41"/>
    <w:rsid w:val="00E90573"/>
    <w:rsid w:val="00E913E7"/>
    <w:rsid w:val="00E949C7"/>
    <w:rsid w:val="00EA3F15"/>
    <w:rsid w:val="00EA7847"/>
    <w:rsid w:val="00EB4C2F"/>
    <w:rsid w:val="00EB77D6"/>
    <w:rsid w:val="00EC3279"/>
    <w:rsid w:val="00ED281B"/>
    <w:rsid w:val="00EE076B"/>
    <w:rsid w:val="00EE2E6E"/>
    <w:rsid w:val="00EE5C44"/>
    <w:rsid w:val="00EF167C"/>
    <w:rsid w:val="00F04759"/>
    <w:rsid w:val="00F0759E"/>
    <w:rsid w:val="00F16A43"/>
    <w:rsid w:val="00F425B3"/>
    <w:rsid w:val="00F46780"/>
    <w:rsid w:val="00F55DB1"/>
    <w:rsid w:val="00F560A4"/>
    <w:rsid w:val="00F67C84"/>
    <w:rsid w:val="00F77D2D"/>
    <w:rsid w:val="00F8133D"/>
    <w:rsid w:val="00F821A3"/>
    <w:rsid w:val="00F87129"/>
    <w:rsid w:val="00F87574"/>
    <w:rsid w:val="00F9314A"/>
    <w:rsid w:val="00F940B2"/>
    <w:rsid w:val="00FB15E1"/>
    <w:rsid w:val="00FB43FE"/>
    <w:rsid w:val="00FC3A35"/>
    <w:rsid w:val="00FC58EF"/>
    <w:rsid w:val="00FC664D"/>
    <w:rsid w:val="00FD3258"/>
    <w:rsid w:val="00FD33DF"/>
    <w:rsid w:val="00FD3AA7"/>
    <w:rsid w:val="00FD751D"/>
    <w:rsid w:val="00FE1755"/>
    <w:rsid w:val="00FE39D7"/>
    <w:rsid w:val="00FE6395"/>
    <w:rsid w:val="103D7FA5"/>
    <w:rsid w:val="24319A08"/>
    <w:rsid w:val="2E4C7E55"/>
    <w:rsid w:val="4018A19E"/>
    <w:rsid w:val="47C4709E"/>
    <w:rsid w:val="57D7CD4C"/>
    <w:rsid w:val="64FE2801"/>
    <w:rsid w:val="73A7BB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C0ABDFF1-5C70-4854-9F71-0630EF9A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NormalWeb">
    <w:name w:val="Normal (Web)"/>
    <w:basedOn w:val="Normal"/>
    <w:uiPriority w:val="99"/>
    <w:unhideWhenUsed/>
    <w:rsid w:val="009C2F3D"/>
    <w:pPr>
      <w:spacing w:before="100" w:beforeAutospacing="1" w:after="100" w:afterAutospacing="1"/>
      <w:ind w:left="0"/>
    </w:pPr>
    <w:rPr>
      <w:rFonts w:eastAsiaTheme="minorEastAsia"/>
      <w:lang w:val="es-CO" w:eastAsia="es-CO"/>
    </w:rPr>
  </w:style>
  <w:style w:type="paragraph" w:styleId="Revisin">
    <w:name w:val="Revision"/>
    <w:hidden/>
    <w:uiPriority w:val="99"/>
    <w:semiHidden/>
    <w:rsid w:val="009C2F3D"/>
    <w:rPr>
      <w:sz w:val="24"/>
      <w:szCs w:val="24"/>
      <w:lang w:val="es-ES" w:eastAsia="es-ES"/>
    </w:rPr>
  </w:style>
  <w:style w:type="character" w:styleId="Hipervnculo">
    <w:name w:val="Hyperlink"/>
    <w:basedOn w:val="Fuentedeprrafopredeter"/>
    <w:uiPriority w:val="99"/>
    <w:unhideWhenUsed/>
    <w:rsid w:val="009C2F3D"/>
    <w:rPr>
      <w:color w:val="0563C1" w:themeColor="hyperlink"/>
      <w:u w:val="single"/>
    </w:rPr>
  </w:style>
  <w:style w:type="character" w:styleId="Mencinsinresolver">
    <w:name w:val="Unresolved Mention"/>
    <w:basedOn w:val="Fuentedeprrafopredeter"/>
    <w:uiPriority w:val="99"/>
    <w:semiHidden/>
    <w:unhideWhenUsed/>
    <w:rsid w:val="009C2F3D"/>
    <w:rPr>
      <w:color w:val="605E5C"/>
      <w:shd w:val="clear" w:color="auto" w:fill="E1DFDD"/>
    </w:rPr>
  </w:style>
  <w:style w:type="character" w:styleId="Refdecomentario">
    <w:name w:val="annotation reference"/>
    <w:basedOn w:val="Fuentedeprrafopredeter"/>
    <w:uiPriority w:val="99"/>
    <w:semiHidden/>
    <w:unhideWhenUsed/>
    <w:rsid w:val="009C2F3D"/>
    <w:rPr>
      <w:sz w:val="16"/>
      <w:szCs w:val="16"/>
    </w:rPr>
  </w:style>
  <w:style w:type="paragraph" w:styleId="Textocomentario">
    <w:name w:val="annotation text"/>
    <w:basedOn w:val="Normal"/>
    <w:link w:val="TextocomentarioCar"/>
    <w:uiPriority w:val="99"/>
    <w:unhideWhenUsed/>
    <w:rsid w:val="009C2F3D"/>
    <w:rPr>
      <w:sz w:val="20"/>
      <w:szCs w:val="20"/>
    </w:rPr>
  </w:style>
  <w:style w:type="character" w:customStyle="1" w:styleId="TextocomentarioCar">
    <w:name w:val="Texto comentario Car"/>
    <w:basedOn w:val="Fuentedeprrafopredeter"/>
    <w:link w:val="Textocomentario"/>
    <w:uiPriority w:val="99"/>
    <w:rsid w:val="009C2F3D"/>
    <w:rPr>
      <w:lang w:val="es-ES" w:eastAsia="es-ES"/>
    </w:rPr>
  </w:style>
  <w:style w:type="paragraph" w:styleId="Asuntodelcomentario">
    <w:name w:val="annotation subject"/>
    <w:basedOn w:val="Textocomentario"/>
    <w:next w:val="Textocomentario"/>
    <w:link w:val="AsuntodelcomentarioCar"/>
    <w:uiPriority w:val="99"/>
    <w:semiHidden/>
    <w:unhideWhenUsed/>
    <w:rsid w:val="009C2F3D"/>
    <w:rPr>
      <w:b/>
      <w:bCs/>
    </w:rPr>
  </w:style>
  <w:style w:type="character" w:customStyle="1" w:styleId="AsuntodelcomentarioCar">
    <w:name w:val="Asunto del comentario Car"/>
    <w:basedOn w:val="TextocomentarioCar"/>
    <w:link w:val="Asuntodelcomentario"/>
    <w:uiPriority w:val="99"/>
    <w:semiHidden/>
    <w:rsid w:val="009C2F3D"/>
    <w:rPr>
      <w:b/>
      <w:bCs/>
      <w:lang w:val="es-ES" w:eastAsia="es-ES"/>
    </w:rPr>
  </w:style>
  <w:style w:type="character" w:styleId="Textodelmarcadordeposicin">
    <w:name w:val="Placeholder Text"/>
    <w:basedOn w:val="Fuentedeprrafopredeter"/>
    <w:uiPriority w:val="99"/>
    <w:semiHidden/>
    <w:rsid w:val="009C2F3D"/>
    <w:rPr>
      <w:color w:val="666666"/>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B68D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BB68D2"/>
    <w:pPr>
      <w:widowControl w:val="0"/>
      <w:adjustRightInd w:val="0"/>
      <w:spacing w:line="360" w:lineRule="atLeast"/>
      <w:ind w:left="0"/>
      <w:jc w:val="both"/>
      <w:textAlignment w:val="baseline"/>
    </w:pPr>
    <w:rPr>
      <w:rFonts w:ascii="Bookman Old Style" w:hAnsi="Bookman Old Style"/>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BB68D2"/>
    <w:rPr>
      <w:rFonts w:ascii="Bookman Old Style" w:hAnsi="Bookman Old Sty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96753">
      <w:bodyDiv w:val="1"/>
      <w:marLeft w:val="0"/>
      <w:marRight w:val="0"/>
      <w:marTop w:val="0"/>
      <w:marBottom w:val="0"/>
      <w:divBdr>
        <w:top w:val="none" w:sz="0" w:space="0" w:color="auto"/>
        <w:left w:val="none" w:sz="0" w:space="0" w:color="auto"/>
        <w:bottom w:val="none" w:sz="0" w:space="0" w:color="auto"/>
        <w:right w:val="none" w:sz="0" w:space="0" w:color="auto"/>
      </w:divBdr>
      <w:divsChild>
        <w:div w:id="291984594">
          <w:marLeft w:val="0"/>
          <w:marRight w:val="0"/>
          <w:marTop w:val="0"/>
          <w:marBottom w:val="0"/>
          <w:divBdr>
            <w:top w:val="none" w:sz="0" w:space="0" w:color="auto"/>
            <w:left w:val="none" w:sz="0" w:space="0" w:color="auto"/>
            <w:bottom w:val="none" w:sz="0" w:space="0" w:color="auto"/>
            <w:right w:val="none" w:sz="0" w:space="0" w:color="auto"/>
          </w:divBdr>
        </w:div>
        <w:div w:id="490021515">
          <w:marLeft w:val="0"/>
          <w:marRight w:val="0"/>
          <w:marTop w:val="0"/>
          <w:marBottom w:val="0"/>
          <w:divBdr>
            <w:top w:val="none" w:sz="0" w:space="0" w:color="auto"/>
            <w:left w:val="none" w:sz="0" w:space="0" w:color="auto"/>
            <w:bottom w:val="none" w:sz="0" w:space="0" w:color="auto"/>
            <w:right w:val="none" w:sz="0" w:space="0" w:color="auto"/>
          </w:divBdr>
        </w:div>
      </w:divsChild>
    </w:div>
    <w:div w:id="1351882520">
      <w:bodyDiv w:val="1"/>
      <w:marLeft w:val="0"/>
      <w:marRight w:val="0"/>
      <w:marTop w:val="0"/>
      <w:marBottom w:val="0"/>
      <w:divBdr>
        <w:top w:val="none" w:sz="0" w:space="0" w:color="auto"/>
        <w:left w:val="none" w:sz="0" w:space="0" w:color="auto"/>
        <w:bottom w:val="none" w:sz="0" w:space="0" w:color="auto"/>
        <w:right w:val="none" w:sz="0" w:space="0" w:color="auto"/>
      </w:divBdr>
      <w:divsChild>
        <w:div w:id="1829206246">
          <w:marLeft w:val="0"/>
          <w:marRight w:val="0"/>
          <w:marTop w:val="0"/>
          <w:marBottom w:val="0"/>
          <w:divBdr>
            <w:top w:val="none" w:sz="0" w:space="0" w:color="auto"/>
            <w:left w:val="none" w:sz="0" w:space="0" w:color="auto"/>
            <w:bottom w:val="none" w:sz="0" w:space="0" w:color="auto"/>
            <w:right w:val="none" w:sz="0" w:space="0" w:color="auto"/>
          </w:divBdr>
        </w:div>
        <w:div w:id="770777984">
          <w:marLeft w:val="0"/>
          <w:marRight w:val="0"/>
          <w:marTop w:val="0"/>
          <w:marBottom w:val="0"/>
          <w:divBdr>
            <w:top w:val="none" w:sz="0" w:space="0" w:color="auto"/>
            <w:left w:val="none" w:sz="0" w:space="0" w:color="auto"/>
            <w:bottom w:val="none" w:sz="0" w:space="0" w:color="auto"/>
            <w:right w:val="none" w:sz="0" w:space="0" w:color="auto"/>
          </w:divBdr>
        </w:div>
        <w:div w:id="2032998550">
          <w:marLeft w:val="0"/>
          <w:marRight w:val="0"/>
          <w:marTop w:val="0"/>
          <w:marBottom w:val="0"/>
          <w:divBdr>
            <w:top w:val="none" w:sz="0" w:space="0" w:color="auto"/>
            <w:left w:val="none" w:sz="0" w:space="0" w:color="auto"/>
            <w:bottom w:val="none" w:sz="0" w:space="0" w:color="auto"/>
            <w:right w:val="none" w:sz="0" w:space="0" w:color="auto"/>
          </w:divBdr>
        </w:div>
      </w:divsChild>
    </w:div>
    <w:div w:id="1806124561">
      <w:bodyDiv w:val="1"/>
      <w:marLeft w:val="0"/>
      <w:marRight w:val="0"/>
      <w:marTop w:val="0"/>
      <w:marBottom w:val="0"/>
      <w:divBdr>
        <w:top w:val="none" w:sz="0" w:space="0" w:color="auto"/>
        <w:left w:val="none" w:sz="0" w:space="0" w:color="auto"/>
        <w:bottom w:val="none" w:sz="0" w:space="0" w:color="auto"/>
        <w:right w:val="none" w:sz="0" w:space="0" w:color="auto"/>
      </w:divBdr>
      <w:divsChild>
        <w:div w:id="1425805117">
          <w:marLeft w:val="0"/>
          <w:marRight w:val="0"/>
          <w:marTop w:val="0"/>
          <w:marBottom w:val="0"/>
          <w:divBdr>
            <w:top w:val="none" w:sz="0" w:space="0" w:color="auto"/>
            <w:left w:val="none" w:sz="0" w:space="0" w:color="auto"/>
            <w:bottom w:val="none" w:sz="0" w:space="0" w:color="auto"/>
            <w:right w:val="none" w:sz="0" w:space="0" w:color="auto"/>
          </w:divBdr>
        </w:div>
        <w:div w:id="707069755">
          <w:marLeft w:val="0"/>
          <w:marRight w:val="0"/>
          <w:marTop w:val="0"/>
          <w:marBottom w:val="0"/>
          <w:divBdr>
            <w:top w:val="none" w:sz="0" w:space="0" w:color="auto"/>
            <w:left w:val="none" w:sz="0" w:space="0" w:color="auto"/>
            <w:bottom w:val="none" w:sz="0" w:space="0" w:color="auto"/>
            <w:right w:val="none" w:sz="0" w:space="0" w:color="auto"/>
          </w:divBdr>
        </w:div>
      </w:divsChild>
    </w:div>
    <w:div w:id="2130973844">
      <w:bodyDiv w:val="1"/>
      <w:marLeft w:val="0"/>
      <w:marRight w:val="0"/>
      <w:marTop w:val="0"/>
      <w:marBottom w:val="0"/>
      <w:divBdr>
        <w:top w:val="none" w:sz="0" w:space="0" w:color="auto"/>
        <w:left w:val="none" w:sz="0" w:space="0" w:color="auto"/>
        <w:bottom w:val="none" w:sz="0" w:space="0" w:color="auto"/>
        <w:right w:val="none" w:sz="0" w:space="0" w:color="auto"/>
      </w:divBdr>
      <w:divsChild>
        <w:div w:id="997732790">
          <w:marLeft w:val="0"/>
          <w:marRight w:val="0"/>
          <w:marTop w:val="0"/>
          <w:marBottom w:val="0"/>
          <w:divBdr>
            <w:top w:val="none" w:sz="0" w:space="0" w:color="auto"/>
            <w:left w:val="none" w:sz="0" w:space="0" w:color="auto"/>
            <w:bottom w:val="none" w:sz="0" w:space="0" w:color="auto"/>
            <w:right w:val="none" w:sz="0" w:space="0" w:color="auto"/>
          </w:divBdr>
        </w:div>
        <w:div w:id="538931275">
          <w:marLeft w:val="0"/>
          <w:marRight w:val="0"/>
          <w:marTop w:val="0"/>
          <w:marBottom w:val="0"/>
          <w:divBdr>
            <w:top w:val="none" w:sz="0" w:space="0" w:color="auto"/>
            <w:left w:val="none" w:sz="0" w:space="0" w:color="auto"/>
            <w:bottom w:val="none" w:sz="0" w:space="0" w:color="auto"/>
            <w:right w:val="none" w:sz="0" w:space="0" w:color="auto"/>
          </w:divBdr>
        </w:div>
        <w:div w:id="66879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stornormativo.creg.gov.co/gestor/entorno/docs/resolucion_minminas_181701_2003.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eg@creg.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estornormativo.creg.gov.co/gestor/entorno/docs/resolucion_minminas_180230_200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7E8A62412EF6438163AAA848577C8F" ma:contentTypeVersion="12" ma:contentTypeDescription="Crear nuevo documento." ma:contentTypeScope="" ma:versionID="f8451a12e4d4a9a6a48bddf10e35dcaf">
  <xsd:schema xmlns:xsd="http://www.w3.org/2001/XMLSchema" xmlns:xs="http://www.w3.org/2001/XMLSchema" xmlns:p="http://schemas.microsoft.com/office/2006/metadata/properties" xmlns:ns2="42bad5c8-f21c-4033-bcca-b19e3a0f8c62" xmlns:ns3="dfa0fb86-b2ee-47b6-8f9c-1dc3f8d2caed" targetNamespace="http://schemas.microsoft.com/office/2006/metadata/properties" ma:root="true" ma:fieldsID="1967bebbcf48ec0aa9feb414a50a9fd1" ns2:_="" ns3:_="">
    <xsd:import namespace="42bad5c8-f21c-4033-bcca-b19e3a0f8c62"/>
    <xsd:import namespace="dfa0fb86-b2ee-47b6-8f9c-1dc3f8d2ca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ad5c8-f21c-4033-bcca-b19e3a0f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0fb86-b2ee-47b6-8f9c-1dc3f8d2cae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bad5c8-f21c-4033-bcca-b19e3a0f8c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512B3-294F-4F59-A6B5-BAD580745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ad5c8-f21c-4033-bcca-b19e3a0f8c62"/>
    <ds:schemaRef ds:uri="dfa0fb86-b2ee-47b6-8f9c-1dc3f8d2c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BDB1-381F-4CE6-93AB-AEF26192E035}">
  <ds:schemaRefs>
    <ds:schemaRef ds:uri="http://schemas.microsoft.com/office/2006/metadata/properties"/>
    <ds:schemaRef ds:uri="http://schemas.microsoft.com/office/infopath/2007/PartnerControls"/>
    <ds:schemaRef ds:uri="42bad5c8-f21c-4033-bcca-b19e3a0f8c62"/>
  </ds:schemaRefs>
</ds:datastoreItem>
</file>

<file path=customXml/itemProps3.xml><?xml version="1.0" encoding="utf-8"?>
<ds:datastoreItem xmlns:ds="http://schemas.openxmlformats.org/officeDocument/2006/customXml" ds:itemID="{4F2B8D14-C442-449D-BD65-A98B0547D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3</TotalTime>
  <Pages>1</Pages>
  <Words>1646</Words>
  <Characters>9057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10682</CharactersWithSpaces>
  <SharedDoc>false</SharedDoc>
  <HLinks>
    <vt:vector size="24" baseType="variant">
      <vt:variant>
        <vt:i4>1900635</vt:i4>
      </vt:variant>
      <vt:variant>
        <vt:i4>15</vt:i4>
      </vt:variant>
      <vt:variant>
        <vt:i4>0</vt:i4>
      </vt:variant>
      <vt:variant>
        <vt:i4>5</vt:i4>
      </vt:variant>
      <vt:variant>
        <vt:lpwstr>https://gestornormativo.creg.gov.co/gestor/entorno/docs/resolucion_minminas_180230_2006.htm</vt:lpwstr>
      </vt:variant>
      <vt:variant>
        <vt:lpwstr>1</vt:lpwstr>
      </vt:variant>
      <vt:variant>
        <vt:i4>1638492</vt:i4>
      </vt:variant>
      <vt:variant>
        <vt:i4>12</vt:i4>
      </vt:variant>
      <vt:variant>
        <vt:i4>0</vt:i4>
      </vt:variant>
      <vt:variant>
        <vt:i4>5</vt:i4>
      </vt:variant>
      <vt:variant>
        <vt:lpwstr>https://gestornormativo.creg.gov.co/gestor/entorno/docs/resolucion_minminas_181701_2003.htm</vt:lpwstr>
      </vt:variant>
      <vt:variant>
        <vt:lpwstr>1</vt:lpwstr>
      </vt:variant>
      <vt:variant>
        <vt:i4>1507413</vt:i4>
      </vt:variant>
      <vt:variant>
        <vt:i4>9</vt:i4>
      </vt:variant>
      <vt:variant>
        <vt:i4>0</vt:i4>
      </vt:variant>
      <vt:variant>
        <vt:i4>5</vt:i4>
      </vt:variant>
      <vt:variant>
        <vt:lpwstr>https://gestornormativo.creg.gov.co/gestor/entorno/docs/resolucion_minminas_180088_2003.htm</vt:lpwstr>
      </vt:variant>
      <vt:variant>
        <vt:lpwstr>1</vt:lpwstr>
      </vt:variant>
      <vt:variant>
        <vt:i4>4390966</vt:i4>
      </vt:variant>
      <vt:variant>
        <vt:i4>6</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5</cp:revision>
  <cp:lastPrinted>2024-12-11T21:56:00Z</cp:lastPrinted>
  <dcterms:created xsi:type="dcterms:W3CDTF">2024-11-28T21:11:00Z</dcterms:created>
  <dcterms:modified xsi:type="dcterms:W3CDTF">2024-12-11T21:56:00Z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0x0101003D7E8A62412EF6438163AAA848577C8F</vt:lpwstr>
  </property>
  <property fmtid="{D5CDD505-2E9C-101B-9397-08002B2CF9AE}" pid="3" name="MediaServiceImageTags">
    <vt:lpwstr/>
  </property>
</Properties>
</file>