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68816" w14:textId="77777777" w:rsidR="00267363" w:rsidRDefault="00267363" w:rsidP="00267363">
      <w:pPr>
        <w:spacing w:before="0" w:after="0"/>
      </w:pPr>
    </w:p>
    <w:p w14:paraId="43F8BB7E" w14:textId="6D37D7EC" w:rsidR="00BA6D78" w:rsidRPr="00423CDC" w:rsidRDefault="00BA6D78" w:rsidP="00267363">
      <w:pPr>
        <w:spacing w:before="0"/>
        <w:rPr>
          <w:rFonts w:ascii="Arial" w:hAnsi="Arial" w:cs="Arial"/>
        </w:rPr>
      </w:pPr>
      <w:r w:rsidRPr="00423CDC">
        <w:rPr>
          <w:rFonts w:ascii="Arial" w:hAnsi="Arial" w:cs="Arial"/>
        </w:rPr>
        <w:t xml:space="preserve">Bogotá D. C., </w:t>
      </w:r>
      <w:r w:rsidR="004D10D6" w:rsidRPr="004D10D6">
        <w:rPr>
          <w:rFonts w:ascii="Arial" w:hAnsi="Arial" w:cs="Arial"/>
        </w:rPr>
        <w:t>21</w:t>
      </w:r>
      <w:r w:rsidR="00423CDC" w:rsidRPr="004D10D6">
        <w:rPr>
          <w:rFonts w:ascii="Arial" w:hAnsi="Arial" w:cs="Arial"/>
        </w:rPr>
        <w:t xml:space="preserve"> de </w:t>
      </w:r>
      <w:r w:rsidR="00CC2862" w:rsidRPr="004D10D6">
        <w:rPr>
          <w:rFonts w:ascii="Arial" w:hAnsi="Arial" w:cs="Arial"/>
        </w:rPr>
        <w:t>noviembre</w:t>
      </w:r>
      <w:r w:rsidR="00423CDC" w:rsidRPr="004D10D6">
        <w:rPr>
          <w:rFonts w:ascii="Arial" w:hAnsi="Arial" w:cs="Arial"/>
        </w:rPr>
        <w:t xml:space="preserve"> de 202</w:t>
      </w:r>
      <w:r w:rsidR="00BC3A2E" w:rsidRPr="004D10D6">
        <w:rPr>
          <w:rFonts w:ascii="Arial" w:hAnsi="Arial" w:cs="Arial"/>
        </w:rPr>
        <w:t>4</w:t>
      </w:r>
    </w:p>
    <w:p w14:paraId="4BF6BC04" w14:textId="77777777" w:rsidR="00BA6D78" w:rsidRPr="00423CDC" w:rsidRDefault="00BA6D78" w:rsidP="00BA6D78">
      <w:pPr>
        <w:rPr>
          <w:rFonts w:ascii="Arial" w:hAnsi="Arial" w:cs="Arial"/>
        </w:rPr>
      </w:pPr>
    </w:p>
    <w:p w14:paraId="2DF36FC6" w14:textId="0228F5D9" w:rsidR="00BA6D78" w:rsidRPr="00BA6D78" w:rsidRDefault="00BA6D78" w:rsidP="00267363">
      <w:pPr>
        <w:pStyle w:val="Ttulo5"/>
        <w:spacing w:before="240" w:after="240" w:line="220" w:lineRule="atLeast"/>
        <w:ind w:left="720"/>
        <w:jc w:val="center"/>
        <w:rPr>
          <w:rFonts w:ascii="Arial" w:eastAsia="Times New Roman" w:hAnsi="Arial" w:cs="Arial"/>
          <w:b/>
          <w:bCs/>
          <w:i/>
          <w:iCs/>
          <w:noProof/>
          <w:color w:val="auto"/>
          <w:spacing w:val="-5"/>
          <w:kern w:val="60"/>
          <w:sz w:val="40"/>
          <w:szCs w:val="40"/>
        </w:rPr>
      </w:pPr>
      <w:r w:rsidRPr="00A63908">
        <w:rPr>
          <w:rFonts w:ascii="Arial" w:eastAsia="Times New Roman" w:hAnsi="Arial" w:cs="Arial"/>
          <w:b/>
          <w:bCs/>
          <w:i/>
          <w:iCs/>
          <w:noProof/>
          <w:color w:val="auto"/>
          <w:spacing w:val="-5"/>
          <w:kern w:val="60"/>
          <w:sz w:val="40"/>
          <w:szCs w:val="40"/>
        </w:rPr>
        <w:t xml:space="preserve">CIRCULAR No. </w:t>
      </w:r>
      <w:r w:rsidRPr="004D10D6">
        <w:rPr>
          <w:rFonts w:ascii="Arial" w:eastAsia="Times New Roman" w:hAnsi="Arial" w:cs="Arial"/>
          <w:b/>
          <w:bCs/>
          <w:i/>
          <w:iCs/>
          <w:noProof/>
          <w:color w:val="auto"/>
          <w:spacing w:val="-5"/>
          <w:kern w:val="60"/>
          <w:sz w:val="40"/>
          <w:szCs w:val="40"/>
        </w:rPr>
        <w:fldChar w:fldCharType="begin"/>
      </w:r>
      <w:r w:rsidRPr="00A63908">
        <w:rPr>
          <w:rFonts w:ascii="Arial" w:eastAsia="Times New Roman" w:hAnsi="Arial" w:cs="Arial"/>
          <w:b/>
          <w:bCs/>
          <w:i/>
          <w:iCs/>
          <w:noProof/>
          <w:color w:val="auto"/>
          <w:spacing w:val="-5"/>
          <w:kern w:val="60"/>
          <w:sz w:val="40"/>
          <w:szCs w:val="40"/>
        </w:rPr>
        <w:instrText xml:space="preserve"> MERGEFIELD  NumeroCircular  \* MERGEFORMAT </w:instrText>
      </w:r>
      <w:r w:rsidRPr="004D10D6">
        <w:rPr>
          <w:rFonts w:ascii="Arial" w:eastAsia="Times New Roman" w:hAnsi="Arial" w:cs="Arial"/>
          <w:b/>
          <w:bCs/>
          <w:i/>
          <w:iCs/>
          <w:noProof/>
          <w:color w:val="auto"/>
          <w:spacing w:val="-5"/>
          <w:kern w:val="60"/>
          <w:sz w:val="40"/>
          <w:szCs w:val="40"/>
        </w:rPr>
        <w:fldChar w:fldCharType="separate"/>
      </w:r>
      <w:r w:rsidR="004D10D6" w:rsidRPr="004D10D6">
        <w:rPr>
          <w:rFonts w:ascii="Arial" w:eastAsia="Times New Roman" w:hAnsi="Arial" w:cs="Arial"/>
          <w:b/>
          <w:bCs/>
          <w:i/>
          <w:iCs/>
          <w:noProof/>
          <w:color w:val="auto"/>
          <w:spacing w:val="-5"/>
          <w:kern w:val="60"/>
          <w:sz w:val="40"/>
          <w:szCs w:val="40"/>
        </w:rPr>
        <w:t>096</w:t>
      </w:r>
      <w:r w:rsidRPr="004D10D6">
        <w:rPr>
          <w:rFonts w:ascii="Arial" w:eastAsia="Times New Roman" w:hAnsi="Arial" w:cs="Arial"/>
          <w:b/>
          <w:bCs/>
          <w:i/>
          <w:iCs/>
          <w:noProof/>
          <w:color w:val="auto"/>
          <w:spacing w:val="-5"/>
          <w:kern w:val="60"/>
          <w:sz w:val="40"/>
          <w:szCs w:val="40"/>
        </w:rPr>
        <w:t xml:space="preserve"> de 202</w:t>
      </w:r>
      <w:r w:rsidR="00BC3A2E" w:rsidRPr="004D10D6">
        <w:rPr>
          <w:rFonts w:ascii="Arial" w:eastAsia="Times New Roman" w:hAnsi="Arial" w:cs="Arial"/>
          <w:b/>
          <w:bCs/>
          <w:i/>
          <w:iCs/>
          <w:noProof/>
          <w:color w:val="auto"/>
          <w:spacing w:val="-5"/>
          <w:kern w:val="60"/>
          <w:sz w:val="40"/>
          <w:szCs w:val="40"/>
        </w:rPr>
        <w:t>4</w:t>
      </w:r>
      <w:r w:rsidRPr="004D10D6">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222291B4" w14:textId="77777777" w:rsidR="001026E8" w:rsidRPr="00AD22D6" w:rsidRDefault="001026E8" w:rsidP="001026E8">
      <w:pPr>
        <w:pStyle w:val="Ttulo5"/>
        <w:spacing w:before="0" w:line="220" w:lineRule="atLeast"/>
        <w:ind w:left="720"/>
        <w:jc w:val="center"/>
        <w:rPr>
          <w:rFonts w:ascii="Helvetica" w:eastAsia="Times New Roman" w:hAnsi="Helvetica" w:cs="Helvetica"/>
          <w:b/>
          <w:bCs/>
          <w:i/>
          <w:iCs/>
          <w:noProof/>
          <w:color w:val="auto"/>
          <w:spacing w:val="-5"/>
          <w:kern w:val="60"/>
        </w:rPr>
      </w:pPr>
    </w:p>
    <w:p w14:paraId="233C670E" w14:textId="74129637" w:rsidR="001026E8" w:rsidRPr="00AD22D6" w:rsidRDefault="001026E8" w:rsidP="001026E8">
      <w:pPr>
        <w:tabs>
          <w:tab w:val="left" w:pos="709"/>
        </w:tabs>
        <w:ind w:left="1418" w:hanging="1418"/>
        <w:rPr>
          <w:rFonts w:ascii="Helvetica" w:eastAsia="Times New Roman" w:hAnsi="Helvetica" w:cs="Helvetica"/>
          <w:bCs/>
          <w:spacing w:val="-5"/>
        </w:rPr>
      </w:pPr>
      <w:r w:rsidRPr="00AD22D6">
        <w:rPr>
          <w:rFonts w:ascii="Helvetica" w:hAnsi="Helvetica" w:cs="Helvetica"/>
          <w:bCs/>
        </w:rPr>
        <w:t>PARA:</w:t>
      </w:r>
      <w:r w:rsidRPr="00AD22D6">
        <w:rPr>
          <w:rFonts w:ascii="Helvetica" w:hAnsi="Helvetica" w:cs="Helvetica"/>
          <w:bCs/>
        </w:rPr>
        <w:tab/>
      </w:r>
      <w:r w:rsidR="00333766">
        <w:rPr>
          <w:rFonts w:ascii="Helvetica" w:hAnsi="Helvetica" w:cs="Helvetica"/>
          <w:bCs/>
        </w:rPr>
        <w:t xml:space="preserve">Usuarios, </w:t>
      </w:r>
      <w:r w:rsidR="00333766" w:rsidRPr="00AD22D6">
        <w:rPr>
          <w:rFonts w:ascii="Helvetica" w:hAnsi="Helvetica" w:cs="Helvetica"/>
          <w:bCs/>
        </w:rPr>
        <w:t xml:space="preserve">Prestadores De Los Servicios Públicos Domiciliarios De Energía Eléctrica, Gas Combustible </w:t>
      </w:r>
      <w:r w:rsidR="00333766">
        <w:rPr>
          <w:rFonts w:ascii="Helvetica" w:hAnsi="Helvetica" w:cs="Helvetica"/>
          <w:bCs/>
        </w:rPr>
        <w:t>Y</w:t>
      </w:r>
      <w:r w:rsidR="00333766" w:rsidRPr="00AD22D6">
        <w:rPr>
          <w:rFonts w:ascii="Helvetica" w:hAnsi="Helvetica" w:cs="Helvetica"/>
          <w:bCs/>
        </w:rPr>
        <w:t xml:space="preserve"> Combustibles Líquidos, Entidades Relacionadas Y Demás Interesados</w:t>
      </w:r>
      <w:r w:rsidR="00333766" w:rsidRPr="00AD22D6" w:rsidDel="00E145E0">
        <w:rPr>
          <w:rFonts w:ascii="Helvetica" w:hAnsi="Helvetica" w:cs="Helvetica"/>
          <w:bCs/>
        </w:rPr>
        <w:t xml:space="preserve"> </w:t>
      </w:r>
    </w:p>
    <w:p w14:paraId="6B01909F" w14:textId="5AF9AF6A" w:rsidR="001026E8" w:rsidRPr="00AD22D6" w:rsidRDefault="001026E8" w:rsidP="00267363">
      <w:pPr>
        <w:tabs>
          <w:tab w:val="left" w:pos="709"/>
        </w:tabs>
        <w:ind w:left="1418" w:hanging="1418"/>
        <w:rPr>
          <w:rFonts w:ascii="Helvetica" w:hAnsi="Helvetica" w:cs="Helvetica"/>
          <w:bCs/>
        </w:rPr>
      </w:pPr>
      <w:r w:rsidRPr="00AD22D6">
        <w:rPr>
          <w:rFonts w:ascii="Helvetica" w:hAnsi="Helvetica" w:cs="Helvetica"/>
          <w:bCs/>
        </w:rPr>
        <w:t>DE:</w:t>
      </w:r>
      <w:r w:rsidRPr="00AD22D6">
        <w:rPr>
          <w:rFonts w:ascii="Helvetica" w:hAnsi="Helvetica" w:cs="Helvetica"/>
          <w:bCs/>
        </w:rPr>
        <w:tab/>
      </w:r>
      <w:r w:rsidR="00267363">
        <w:rPr>
          <w:rFonts w:ascii="Helvetica" w:hAnsi="Helvetica" w:cs="Helvetica"/>
          <w:bCs/>
        </w:rPr>
        <w:tab/>
      </w:r>
      <w:r w:rsidRPr="00AD22D6">
        <w:rPr>
          <w:rFonts w:ascii="Helvetica" w:hAnsi="Helvetica" w:cs="Helvetica"/>
          <w:bCs/>
        </w:rPr>
        <w:fldChar w:fldCharType="begin"/>
      </w:r>
      <w:r w:rsidRPr="00AD22D6">
        <w:rPr>
          <w:rFonts w:ascii="Helvetica" w:hAnsi="Helvetica" w:cs="Helvetica"/>
          <w:bCs/>
        </w:rPr>
        <w:instrText xml:space="preserve"> MERGEFIELD  Remitente  \* MERGEFORMAT </w:instrText>
      </w:r>
      <w:r w:rsidRPr="00AD22D6">
        <w:rPr>
          <w:rFonts w:ascii="Helvetica" w:hAnsi="Helvetica" w:cs="Helvetica"/>
          <w:bCs/>
        </w:rPr>
        <w:fldChar w:fldCharType="separate"/>
      </w:r>
      <w:r w:rsidR="00333766" w:rsidRPr="00AD22D6">
        <w:rPr>
          <w:rFonts w:ascii="Helvetica" w:hAnsi="Helvetica" w:cs="Helvetica"/>
          <w:bCs/>
          <w:noProof/>
        </w:rPr>
        <w:t>Dirección Ejecutiva</w:t>
      </w:r>
      <w:r w:rsidRPr="00AD22D6">
        <w:rPr>
          <w:rFonts w:ascii="Helvetica" w:hAnsi="Helvetica" w:cs="Helvetica"/>
          <w:bCs/>
        </w:rPr>
        <w:fldChar w:fldCharType="end"/>
      </w:r>
    </w:p>
    <w:p w14:paraId="623024F1" w14:textId="77777777" w:rsidR="002C597A" w:rsidRDefault="00D47ABA" w:rsidP="00D16B57">
      <w:pPr>
        <w:tabs>
          <w:tab w:val="left" w:pos="1418"/>
        </w:tabs>
        <w:ind w:left="1418" w:hanging="1418"/>
        <w:rPr>
          <w:rFonts w:ascii="Helvetica" w:hAnsi="Helvetica" w:cs="Helvetica"/>
          <w:bCs/>
        </w:rPr>
      </w:pPr>
      <w:r w:rsidRPr="00D47ABA">
        <w:rPr>
          <w:rFonts w:ascii="Helvetica" w:hAnsi="Helvetica" w:cs="Helvetica"/>
          <w:bCs/>
        </w:rPr>
        <w:t>ASUNTO:</w:t>
      </w:r>
      <w:r w:rsidRPr="00D47ABA">
        <w:rPr>
          <w:rFonts w:ascii="Helvetica" w:hAnsi="Helvetica" w:cs="Helvetica"/>
          <w:bCs/>
        </w:rPr>
        <w:tab/>
      </w:r>
    </w:p>
    <w:p w14:paraId="3000A982" w14:textId="602ABA0B" w:rsidR="00D47ABA" w:rsidRDefault="00D47ABA" w:rsidP="00D16B57">
      <w:pPr>
        <w:tabs>
          <w:tab w:val="left" w:pos="1418"/>
        </w:tabs>
        <w:ind w:left="1418" w:hanging="1418"/>
        <w:rPr>
          <w:rFonts w:ascii="Helvetica" w:hAnsi="Helvetica" w:cs="Helvetica"/>
          <w:bCs/>
        </w:rPr>
      </w:pPr>
      <w:r w:rsidRPr="00D47ABA">
        <w:rPr>
          <w:rFonts w:ascii="Helvetica" w:hAnsi="Helvetica" w:cs="Helvetica"/>
          <w:bCs/>
        </w:rPr>
        <w:t>Consulta pública de la Agenda Regulatoria Indicativa para el año 2025</w:t>
      </w:r>
    </w:p>
    <w:p w14:paraId="5C5929FB" w14:textId="77777777" w:rsidR="001026E8" w:rsidRPr="00AD22D6" w:rsidRDefault="001026E8" w:rsidP="001026E8">
      <w:pPr>
        <w:pStyle w:val="Textoindependiente"/>
        <w:spacing w:after="0" w:line="240" w:lineRule="auto"/>
        <w:rPr>
          <w:rFonts w:ascii="Helvetica" w:hAnsi="Helvetica" w:cs="Helvetica"/>
          <w:sz w:val="24"/>
          <w:szCs w:val="24"/>
        </w:rPr>
      </w:pPr>
    </w:p>
    <w:p w14:paraId="7ACF0AD2" w14:textId="72C5B963" w:rsidR="007234AC" w:rsidRPr="007234AC" w:rsidRDefault="00526EAE" w:rsidP="007234AC">
      <w:pPr>
        <w:autoSpaceDE w:val="0"/>
        <w:autoSpaceDN w:val="0"/>
        <w:adjustRightInd w:val="0"/>
        <w:jc w:val="both"/>
        <w:rPr>
          <w:rFonts w:ascii="Helvetica" w:eastAsia="SimSun" w:hAnsi="Helvetica" w:cs="Helvetica"/>
          <w:color w:val="000000"/>
          <w:lang w:eastAsia="es-CO"/>
        </w:rPr>
      </w:pPr>
      <w:r w:rsidRPr="00D63F04">
        <w:rPr>
          <w:rFonts w:ascii="Helvetica" w:eastAsia="SimSun" w:hAnsi="Helvetica" w:cs="Helvetica"/>
          <w:color w:val="000000"/>
          <w:lang w:eastAsia="es-CO"/>
        </w:rPr>
        <w:t xml:space="preserve">El Director Ejecutivo de la Comisión de Regulación de Energía y Gas (CREG) </w:t>
      </w:r>
      <w:r w:rsidR="007234AC" w:rsidRPr="007234AC">
        <w:rPr>
          <w:rFonts w:ascii="Helvetica" w:eastAsia="SimSun" w:hAnsi="Helvetica" w:cs="Helvetica"/>
          <w:color w:val="000000"/>
          <w:lang w:eastAsia="es-CO"/>
        </w:rPr>
        <w:t xml:space="preserve">informa que en la sesión </w:t>
      </w:r>
      <w:r w:rsidR="009E565C">
        <w:rPr>
          <w:rFonts w:ascii="Helvetica" w:eastAsia="SimSun" w:hAnsi="Helvetica" w:cs="Helvetica"/>
          <w:color w:val="000000"/>
          <w:lang w:eastAsia="es-CO"/>
        </w:rPr>
        <w:t xml:space="preserve">1358 </w:t>
      </w:r>
      <w:r w:rsidR="007234AC" w:rsidRPr="007234AC">
        <w:rPr>
          <w:rFonts w:ascii="Helvetica" w:eastAsia="SimSun" w:hAnsi="Helvetica" w:cs="Helvetica"/>
          <w:color w:val="000000"/>
          <w:lang w:eastAsia="es-CO"/>
        </w:rPr>
        <w:t>celebrada el 21 de noviembre de 2024 se aprobó someter a consulta pública la Agenda Regulatoria Indicativa para el año 2025. La consulta estará abierta durante diez (10) días hábiles contados a partir de la fecha de publicación de la presente circular.</w:t>
      </w:r>
    </w:p>
    <w:p w14:paraId="51C8BCEE" w14:textId="1A7BE78C" w:rsidR="007234AC" w:rsidRPr="007234AC" w:rsidRDefault="007234AC" w:rsidP="007234AC">
      <w:pPr>
        <w:autoSpaceDE w:val="0"/>
        <w:autoSpaceDN w:val="0"/>
        <w:adjustRightInd w:val="0"/>
        <w:jc w:val="both"/>
        <w:rPr>
          <w:rFonts w:ascii="Helvetica" w:eastAsia="SimSun" w:hAnsi="Helvetica" w:cs="Helvetica"/>
          <w:color w:val="000000"/>
          <w:lang w:eastAsia="es-CO"/>
        </w:rPr>
      </w:pPr>
      <w:r w:rsidRPr="007234AC">
        <w:rPr>
          <w:rFonts w:ascii="Helvetica" w:eastAsia="SimSun" w:hAnsi="Helvetica" w:cs="Helvetica"/>
          <w:color w:val="000000"/>
          <w:lang w:eastAsia="es-CO"/>
        </w:rPr>
        <w:t xml:space="preserve">Para la construcción y planeación de esta agenda, la Comisión tuvo en cuenta las disposiciones nacionales orientadas a la Transición Energética Justa, priorizando iniciativas que fomenten la diversificación </w:t>
      </w:r>
      <w:r w:rsidR="00052552">
        <w:rPr>
          <w:rFonts w:ascii="Helvetica" w:eastAsia="SimSun" w:hAnsi="Helvetica" w:cs="Helvetica"/>
          <w:color w:val="000000"/>
          <w:lang w:eastAsia="es-CO"/>
        </w:rPr>
        <w:t xml:space="preserve">y optimización </w:t>
      </w:r>
      <w:r w:rsidRPr="007234AC">
        <w:rPr>
          <w:rFonts w:ascii="Helvetica" w:eastAsia="SimSun" w:hAnsi="Helvetica" w:cs="Helvetica"/>
          <w:color w:val="000000"/>
          <w:lang w:eastAsia="es-CO"/>
        </w:rPr>
        <w:t xml:space="preserve">de la matriz energética, la inclusión de energías renovables y </w:t>
      </w:r>
      <w:r w:rsidR="00052552">
        <w:rPr>
          <w:rFonts w:ascii="Helvetica" w:eastAsia="SimSun" w:hAnsi="Helvetica" w:cs="Helvetica"/>
          <w:color w:val="000000"/>
          <w:lang w:eastAsia="es-CO"/>
        </w:rPr>
        <w:t>la revisión de metodologías tarifarias</w:t>
      </w:r>
      <w:r w:rsidRPr="007234AC">
        <w:rPr>
          <w:rFonts w:ascii="Helvetica" w:eastAsia="SimSun" w:hAnsi="Helvetica" w:cs="Helvetica"/>
          <w:color w:val="000000"/>
          <w:lang w:eastAsia="es-CO"/>
        </w:rPr>
        <w:t>. Adicionalmente, se consideraron los lineamientos para el uso eficiente y competitivo de los recursos energéticos.</w:t>
      </w:r>
    </w:p>
    <w:p w14:paraId="5D9DE14C" w14:textId="77777777" w:rsidR="007234AC" w:rsidRPr="007234AC" w:rsidRDefault="007234AC" w:rsidP="007234AC">
      <w:pPr>
        <w:autoSpaceDE w:val="0"/>
        <w:autoSpaceDN w:val="0"/>
        <w:adjustRightInd w:val="0"/>
        <w:jc w:val="both"/>
        <w:rPr>
          <w:rFonts w:ascii="Helvetica" w:eastAsia="SimSun" w:hAnsi="Helvetica" w:cs="Helvetica"/>
          <w:color w:val="000000"/>
          <w:lang w:eastAsia="es-CO"/>
        </w:rPr>
      </w:pPr>
      <w:r w:rsidRPr="007234AC">
        <w:rPr>
          <w:rFonts w:ascii="Helvetica" w:eastAsia="SimSun" w:hAnsi="Helvetica" w:cs="Helvetica"/>
          <w:color w:val="000000"/>
          <w:lang w:eastAsia="es-CO"/>
        </w:rPr>
        <w:lastRenderedPageBreak/>
        <w:t>La Agenda Regulatoria Indicativa está diseñada como una herramienta dinámica que guía los esfuerzos regulatorios de la Comisión para atender las necesidades del sector y de los usuarios. En este contexto, se invita a las partes interesadas a presentar sus comentarios y aportes, los cuales serán fundamentales para consolidar una regulación que responda a los desafíos actuales del sector energético.</w:t>
      </w:r>
    </w:p>
    <w:p w14:paraId="141931BA" w14:textId="7996FF4B" w:rsidR="00A45468" w:rsidRPr="00A45468" w:rsidRDefault="00A45468" w:rsidP="00A45468">
      <w:pPr>
        <w:autoSpaceDE w:val="0"/>
        <w:autoSpaceDN w:val="0"/>
        <w:adjustRightInd w:val="0"/>
        <w:jc w:val="both"/>
        <w:rPr>
          <w:rFonts w:ascii="Helvetica" w:eastAsia="SimSun" w:hAnsi="Helvetica" w:cs="Helvetica"/>
          <w:color w:val="000000"/>
          <w:lang w:eastAsia="es-CO"/>
        </w:rPr>
      </w:pPr>
      <w:r w:rsidRPr="00A45468">
        <w:rPr>
          <w:rFonts w:ascii="Helvetica" w:eastAsia="SimSun" w:hAnsi="Helvetica" w:cs="Helvetica"/>
          <w:color w:val="000000"/>
          <w:lang w:eastAsia="es-CO"/>
        </w:rPr>
        <w:t xml:space="preserve">En el anexo se describen los </w:t>
      </w:r>
      <w:r w:rsidR="00060F2C">
        <w:rPr>
          <w:rFonts w:ascii="Helvetica" w:eastAsia="SimSun" w:hAnsi="Helvetica" w:cs="Helvetica"/>
          <w:color w:val="000000"/>
          <w:lang w:eastAsia="es-CO"/>
        </w:rPr>
        <w:t xml:space="preserve">proyectos de resolución y los </w:t>
      </w:r>
      <w:r w:rsidRPr="00A45468">
        <w:rPr>
          <w:rFonts w:ascii="Helvetica" w:eastAsia="SimSun" w:hAnsi="Helvetica" w:cs="Helvetica"/>
          <w:color w:val="000000"/>
          <w:lang w:eastAsia="es-CO"/>
        </w:rPr>
        <w:t xml:space="preserve">documentos que </w:t>
      </w:r>
      <w:r w:rsidR="00060F2C">
        <w:rPr>
          <w:rFonts w:ascii="Helvetica" w:eastAsia="SimSun" w:hAnsi="Helvetica" w:cs="Helvetica"/>
          <w:color w:val="000000"/>
          <w:lang w:eastAsia="es-CO"/>
        </w:rPr>
        <w:t xml:space="preserve">la CREG se propone emitir siguiendo el procedimiento de la metodología de Análisis de impacto normativo, </w:t>
      </w:r>
      <w:r>
        <w:rPr>
          <w:rFonts w:ascii="Helvetica" w:eastAsia="SimSun" w:hAnsi="Helvetica" w:cs="Helvetica"/>
          <w:color w:val="000000"/>
          <w:lang w:eastAsia="es-CO"/>
        </w:rPr>
        <w:t>para el año</w:t>
      </w:r>
      <w:r w:rsidRPr="00A45468">
        <w:rPr>
          <w:rFonts w:ascii="Helvetica" w:eastAsia="SimSun" w:hAnsi="Helvetica" w:cs="Helvetica"/>
          <w:color w:val="000000"/>
          <w:lang w:eastAsia="es-CO"/>
        </w:rPr>
        <w:t xml:space="preserve"> 202</w:t>
      </w:r>
      <w:r>
        <w:rPr>
          <w:rFonts w:ascii="Helvetica" w:eastAsia="SimSun" w:hAnsi="Helvetica" w:cs="Helvetica"/>
          <w:color w:val="000000"/>
          <w:lang w:eastAsia="es-CO"/>
        </w:rPr>
        <w:t xml:space="preserve">5. </w:t>
      </w:r>
      <w:r w:rsidRPr="00A45468">
        <w:rPr>
          <w:rFonts w:ascii="Helvetica" w:eastAsia="SimSun" w:hAnsi="Helvetica" w:cs="Helvetica"/>
          <w:color w:val="000000"/>
          <w:lang w:eastAsia="es-CO"/>
        </w:rPr>
        <w:t>Estos documentos están organizados según el tipo correspondiente a las diferentes etapas de la metodología de análisis de impacto normativo, de la siguiente manera:</w:t>
      </w:r>
    </w:p>
    <w:p w14:paraId="259562E5" w14:textId="77777777" w:rsidR="00A45468" w:rsidRPr="00A45468" w:rsidRDefault="00A45468" w:rsidP="00A45468">
      <w:pPr>
        <w:numPr>
          <w:ilvl w:val="0"/>
          <w:numId w:val="2"/>
        </w:numPr>
        <w:autoSpaceDE w:val="0"/>
        <w:autoSpaceDN w:val="0"/>
        <w:adjustRightInd w:val="0"/>
        <w:jc w:val="both"/>
        <w:rPr>
          <w:rFonts w:ascii="Helvetica" w:eastAsia="SimSun" w:hAnsi="Helvetica" w:cs="Helvetica"/>
          <w:color w:val="000000"/>
          <w:lang w:eastAsia="es-CO"/>
        </w:rPr>
      </w:pPr>
      <w:r w:rsidRPr="00A45468">
        <w:rPr>
          <w:rFonts w:ascii="Helvetica" w:eastAsia="SimSun" w:hAnsi="Helvetica" w:cs="Helvetica"/>
          <w:b/>
          <w:bCs/>
          <w:color w:val="000000"/>
          <w:lang w:eastAsia="es-CO"/>
        </w:rPr>
        <w:t>Documento tipo 1</w:t>
      </w:r>
      <w:r w:rsidRPr="00A45468">
        <w:rPr>
          <w:rFonts w:ascii="Helvetica" w:eastAsia="SimSun" w:hAnsi="Helvetica" w:cs="Helvetica"/>
          <w:color w:val="000000"/>
          <w:lang w:eastAsia="es-CO"/>
        </w:rPr>
        <w:t>: Proporciona información general y un diagnóstico del contexto. Incluye la definición del problema regulatorio, sus objetivos, causas y consecuencias.</w:t>
      </w:r>
    </w:p>
    <w:p w14:paraId="6EFFB91D" w14:textId="77777777" w:rsidR="00A45468" w:rsidRPr="00A45468" w:rsidRDefault="00A45468" w:rsidP="00A45468">
      <w:pPr>
        <w:numPr>
          <w:ilvl w:val="0"/>
          <w:numId w:val="2"/>
        </w:numPr>
        <w:autoSpaceDE w:val="0"/>
        <w:autoSpaceDN w:val="0"/>
        <w:adjustRightInd w:val="0"/>
        <w:jc w:val="both"/>
        <w:rPr>
          <w:rFonts w:ascii="Helvetica" w:eastAsia="SimSun" w:hAnsi="Helvetica" w:cs="Helvetica"/>
          <w:color w:val="000000"/>
          <w:lang w:eastAsia="es-CO"/>
        </w:rPr>
      </w:pPr>
      <w:r w:rsidRPr="00A45468">
        <w:rPr>
          <w:rFonts w:ascii="Helvetica" w:eastAsia="SimSun" w:hAnsi="Helvetica" w:cs="Helvetica"/>
          <w:b/>
          <w:bCs/>
          <w:color w:val="000000"/>
          <w:lang w:eastAsia="es-CO"/>
        </w:rPr>
        <w:t>Documento tipo 2</w:t>
      </w:r>
      <w:r w:rsidRPr="00A45468">
        <w:rPr>
          <w:rFonts w:ascii="Helvetica" w:eastAsia="SimSun" w:hAnsi="Helvetica" w:cs="Helvetica"/>
          <w:color w:val="000000"/>
          <w:lang w:eastAsia="es-CO"/>
        </w:rPr>
        <w:t>: Contiene todo lo especificado en el Documento tipo 1 e incorpora las alternativas regulatorias identificadas, su respectivo análisis de impacto y cualquier información complementaria relevante, si la hubiera.</w:t>
      </w:r>
    </w:p>
    <w:p w14:paraId="636D8A24" w14:textId="77777777" w:rsidR="00A45468" w:rsidRPr="00A45468" w:rsidRDefault="00A45468" w:rsidP="00A45468">
      <w:pPr>
        <w:numPr>
          <w:ilvl w:val="0"/>
          <w:numId w:val="2"/>
        </w:numPr>
        <w:autoSpaceDE w:val="0"/>
        <w:autoSpaceDN w:val="0"/>
        <w:adjustRightInd w:val="0"/>
        <w:jc w:val="both"/>
        <w:rPr>
          <w:rFonts w:ascii="Helvetica" w:eastAsia="SimSun" w:hAnsi="Helvetica" w:cs="Helvetica"/>
          <w:color w:val="000000"/>
          <w:lang w:eastAsia="es-CO"/>
        </w:rPr>
      </w:pPr>
      <w:r w:rsidRPr="00A45468">
        <w:rPr>
          <w:rFonts w:ascii="Helvetica" w:eastAsia="SimSun" w:hAnsi="Helvetica" w:cs="Helvetica"/>
          <w:b/>
          <w:bCs/>
          <w:color w:val="000000"/>
          <w:lang w:eastAsia="es-CO"/>
        </w:rPr>
        <w:t>Documento tipo 3</w:t>
      </w:r>
      <w:r w:rsidRPr="00A45468">
        <w:rPr>
          <w:rFonts w:ascii="Helvetica" w:eastAsia="SimSun" w:hAnsi="Helvetica" w:cs="Helvetica"/>
          <w:color w:val="000000"/>
          <w:lang w:eastAsia="es-CO"/>
        </w:rPr>
        <w:t>: Presenta la propuesta regulatoria para consulta pública, acompañada del documento técnico de soporte. Incluye detalles sobre la implementación, seguimiento de la propuesta y conclusiones con recomendaciones dirigidas a la CREG.</w:t>
      </w:r>
    </w:p>
    <w:p w14:paraId="7C59639C" w14:textId="77777777" w:rsidR="00A45468" w:rsidRPr="00A45468" w:rsidRDefault="00A45468" w:rsidP="00A45468">
      <w:pPr>
        <w:numPr>
          <w:ilvl w:val="0"/>
          <w:numId w:val="2"/>
        </w:numPr>
        <w:autoSpaceDE w:val="0"/>
        <w:autoSpaceDN w:val="0"/>
        <w:adjustRightInd w:val="0"/>
        <w:jc w:val="both"/>
        <w:rPr>
          <w:rFonts w:ascii="Helvetica" w:eastAsia="SimSun" w:hAnsi="Helvetica" w:cs="Helvetica"/>
          <w:color w:val="000000"/>
          <w:lang w:eastAsia="es-CO"/>
        </w:rPr>
      </w:pPr>
      <w:r w:rsidRPr="00A45468">
        <w:rPr>
          <w:rFonts w:ascii="Helvetica" w:eastAsia="SimSun" w:hAnsi="Helvetica" w:cs="Helvetica"/>
          <w:b/>
          <w:bCs/>
          <w:color w:val="000000"/>
          <w:lang w:eastAsia="es-CO"/>
        </w:rPr>
        <w:t>Documento tipo 4</w:t>
      </w:r>
      <w:r w:rsidRPr="00A45468">
        <w:rPr>
          <w:rFonts w:ascii="Helvetica" w:eastAsia="SimSun" w:hAnsi="Helvetica" w:cs="Helvetica"/>
          <w:color w:val="000000"/>
          <w:lang w:eastAsia="es-CO"/>
        </w:rPr>
        <w:t>: Contiene la resolución definitiva junto con su documento de soporte. Integra los resultados de la consulta pública, el análisis de comentarios recibidos, las modificaciones efectuadas a la propuesta inicial y la recomendación final dirigida a la CREG.</w:t>
      </w:r>
    </w:p>
    <w:p w14:paraId="0C4F6464" w14:textId="61911371" w:rsidR="00A45468" w:rsidRPr="00A45468" w:rsidRDefault="00A45468" w:rsidP="00A45468">
      <w:pPr>
        <w:autoSpaceDE w:val="0"/>
        <w:autoSpaceDN w:val="0"/>
        <w:adjustRightInd w:val="0"/>
        <w:jc w:val="both"/>
        <w:rPr>
          <w:rFonts w:ascii="Helvetica" w:eastAsia="SimSun" w:hAnsi="Helvetica" w:cs="Helvetica"/>
          <w:color w:val="000000"/>
          <w:lang w:eastAsia="es-CO"/>
        </w:rPr>
      </w:pPr>
      <w:r w:rsidRPr="00A45468">
        <w:rPr>
          <w:rFonts w:ascii="Helvetica" w:eastAsia="SimSun" w:hAnsi="Helvetica" w:cs="Helvetica"/>
          <w:color w:val="000000"/>
          <w:lang w:eastAsia="es-CO"/>
        </w:rPr>
        <w:lastRenderedPageBreak/>
        <w:t xml:space="preserve">Se aclara que, además de las actividades de carácter general </w:t>
      </w:r>
      <w:r w:rsidR="001738A4">
        <w:rPr>
          <w:rFonts w:ascii="Helvetica" w:eastAsia="SimSun" w:hAnsi="Helvetica" w:cs="Helvetica"/>
          <w:color w:val="000000"/>
          <w:lang w:eastAsia="es-CO"/>
        </w:rPr>
        <w:t>propuestas</w:t>
      </w:r>
      <w:r w:rsidRPr="00A45468">
        <w:rPr>
          <w:rFonts w:ascii="Helvetica" w:eastAsia="SimSun" w:hAnsi="Helvetica" w:cs="Helvetica"/>
          <w:color w:val="000000"/>
          <w:lang w:eastAsia="es-CO"/>
        </w:rPr>
        <w:t xml:space="preserve"> en esta circular, la Comisión continuará atendiendo las actuaciones particulares que correspondan.</w:t>
      </w:r>
    </w:p>
    <w:p w14:paraId="3B74A615" w14:textId="441B6D96" w:rsidR="007234AC" w:rsidRPr="007234AC" w:rsidRDefault="005B5FF0" w:rsidP="005B5FF0">
      <w:pPr>
        <w:autoSpaceDE w:val="0"/>
        <w:autoSpaceDN w:val="0"/>
        <w:adjustRightInd w:val="0"/>
        <w:jc w:val="both"/>
        <w:rPr>
          <w:rFonts w:ascii="Helvetica" w:eastAsia="SimSun" w:hAnsi="Helvetica" w:cs="Helvetica"/>
          <w:color w:val="000000"/>
          <w:lang w:eastAsia="es-CO"/>
        </w:rPr>
      </w:pPr>
      <w:r w:rsidRPr="005B5FF0">
        <w:rPr>
          <w:rFonts w:ascii="Helvetica" w:eastAsia="SimSun" w:hAnsi="Helvetica" w:cs="Helvetica"/>
          <w:color w:val="000000"/>
          <w:lang w:eastAsia="es-CO"/>
        </w:rPr>
        <w:t xml:space="preserve">Las observaciones y sugerencias deberán ser enviadas dentro del plazo establecido al correo electrónico </w:t>
      </w:r>
      <w:hyperlink r:id="rId8" w:history="1">
        <w:r w:rsidR="006C1C6E" w:rsidRPr="00641DBE">
          <w:rPr>
            <w:rStyle w:val="Hipervnculo"/>
            <w:rFonts w:ascii="Helvetica" w:eastAsia="SimSun" w:hAnsi="Helvetica" w:cs="Helvetica"/>
            <w:lang w:eastAsia="es-CO"/>
          </w:rPr>
          <w:t>creg@creg.gov.co</w:t>
        </w:r>
      </w:hyperlink>
      <w:r w:rsidR="006C1C6E">
        <w:rPr>
          <w:rFonts w:ascii="Helvetica" w:eastAsia="SimSun" w:hAnsi="Helvetica" w:cs="Helvetica"/>
          <w:color w:val="000000"/>
          <w:lang w:eastAsia="es-CO"/>
        </w:rPr>
        <w:t xml:space="preserve">, con copia a </w:t>
      </w:r>
      <w:hyperlink r:id="rId9" w:history="1">
        <w:r w:rsidR="006C1C6E" w:rsidRPr="00641DBE">
          <w:rPr>
            <w:rStyle w:val="Hipervnculo"/>
            <w:rFonts w:ascii="Helvetica" w:eastAsia="SimSun" w:hAnsi="Helvetica" w:cs="Helvetica"/>
            <w:lang w:eastAsia="es-CO"/>
          </w:rPr>
          <w:t>maria.ospina@creg.gov.co</w:t>
        </w:r>
      </w:hyperlink>
      <w:r w:rsidR="006C1C6E">
        <w:rPr>
          <w:rFonts w:ascii="Helvetica" w:eastAsia="SimSun" w:hAnsi="Helvetica" w:cs="Helvetica"/>
          <w:color w:val="000000"/>
          <w:lang w:eastAsia="es-CO"/>
        </w:rPr>
        <w:t xml:space="preserve">. </w:t>
      </w:r>
      <w:r w:rsidRPr="005B5FF0">
        <w:rPr>
          <w:rFonts w:ascii="Helvetica" w:eastAsia="SimSun" w:hAnsi="Helvetica" w:cs="Helvetica"/>
          <w:color w:val="000000"/>
          <w:lang w:eastAsia="es-CO"/>
        </w:rPr>
        <w:t>Estas deberán presentarse utilizando el formato en Excel dispuesto para este propósito, el cual se encuentra adjunto a la presente circular.</w:t>
      </w:r>
    </w:p>
    <w:p w14:paraId="1D304BB2" w14:textId="742EB30E" w:rsidR="00AA68C2" w:rsidRDefault="007234AC" w:rsidP="007234AC">
      <w:pPr>
        <w:autoSpaceDE w:val="0"/>
        <w:autoSpaceDN w:val="0"/>
        <w:adjustRightInd w:val="0"/>
        <w:jc w:val="both"/>
        <w:rPr>
          <w:rFonts w:ascii="Helvetica" w:eastAsia="SimSun" w:hAnsi="Helvetica" w:cs="Helvetica"/>
          <w:color w:val="000000"/>
          <w:lang w:eastAsia="es-CO"/>
        </w:rPr>
      </w:pPr>
      <w:r w:rsidRPr="007234AC">
        <w:rPr>
          <w:rFonts w:ascii="Helvetica" w:eastAsia="SimSun" w:hAnsi="Helvetica" w:cs="Helvetica"/>
          <w:color w:val="000000"/>
          <w:lang w:eastAsia="es-CO"/>
        </w:rPr>
        <w:t xml:space="preserve">Agradecemos su activa </w:t>
      </w:r>
      <w:r w:rsidR="00A507DC">
        <w:rPr>
          <w:rFonts w:ascii="Helvetica" w:eastAsia="SimSun" w:hAnsi="Helvetica" w:cs="Helvetica"/>
          <w:color w:val="000000"/>
          <w:lang w:eastAsia="es-CO"/>
        </w:rPr>
        <w:t xml:space="preserve">participación </w:t>
      </w:r>
      <w:r w:rsidRPr="007234AC">
        <w:rPr>
          <w:rFonts w:ascii="Helvetica" w:eastAsia="SimSun" w:hAnsi="Helvetica" w:cs="Helvetica"/>
          <w:color w:val="000000"/>
          <w:lang w:eastAsia="es-CO"/>
        </w:rPr>
        <w:t>en este proceso de construcción conjunta.</w:t>
      </w:r>
    </w:p>
    <w:p w14:paraId="2294693D" w14:textId="77777777" w:rsidR="00982706" w:rsidRDefault="00982706" w:rsidP="001026E8">
      <w:pPr>
        <w:pStyle w:val="Cordialmente"/>
        <w:spacing w:before="0" w:after="0" w:line="240" w:lineRule="auto"/>
        <w:rPr>
          <w:rFonts w:ascii="Helvetica" w:hAnsi="Helvetica" w:cs="Helvetica"/>
          <w:lang w:eastAsia="es-CO"/>
        </w:rPr>
      </w:pPr>
    </w:p>
    <w:p w14:paraId="08A7A4F4" w14:textId="27CDF09C" w:rsidR="001026E8" w:rsidRPr="00AD22D6" w:rsidRDefault="006B2598" w:rsidP="001026E8">
      <w:pPr>
        <w:pStyle w:val="Cordialmente"/>
        <w:spacing w:before="0" w:after="0" w:line="240" w:lineRule="auto"/>
        <w:rPr>
          <w:rFonts w:ascii="Helvetica" w:hAnsi="Helvetica" w:cs="Helvetica"/>
          <w:lang w:eastAsia="es-CO"/>
        </w:rPr>
      </w:pPr>
      <w:r>
        <w:rPr>
          <w:rFonts w:ascii="Helvetica" w:hAnsi="Helvetica" w:cs="Helvetica"/>
          <w:lang w:eastAsia="es-CO"/>
        </w:rPr>
        <w:t>Atentamente</w:t>
      </w:r>
      <w:r w:rsidR="001026E8" w:rsidRPr="00AD22D6">
        <w:rPr>
          <w:rFonts w:ascii="Helvetica" w:hAnsi="Helvetica" w:cs="Helvetica"/>
          <w:lang w:eastAsia="es-CO"/>
        </w:rPr>
        <w:t>,</w:t>
      </w:r>
    </w:p>
    <w:p w14:paraId="226FDD37" w14:textId="77777777" w:rsidR="001026E8" w:rsidRDefault="001026E8" w:rsidP="001026E8">
      <w:pPr>
        <w:pStyle w:val="Cordialmente"/>
        <w:spacing w:before="0" w:after="0" w:line="240" w:lineRule="auto"/>
        <w:rPr>
          <w:rFonts w:ascii="Helvetica" w:hAnsi="Helvetica" w:cs="Helvetica"/>
          <w:lang w:eastAsia="es-CO"/>
        </w:rPr>
      </w:pPr>
    </w:p>
    <w:p w14:paraId="38863FC7" w14:textId="77777777" w:rsidR="001026E8" w:rsidRPr="00AD22D6" w:rsidRDefault="001026E8" w:rsidP="001026E8">
      <w:pPr>
        <w:pStyle w:val="Cordialmente"/>
        <w:spacing w:before="0" w:after="0" w:line="240" w:lineRule="auto"/>
        <w:rPr>
          <w:rFonts w:ascii="Helvetica" w:hAnsi="Helvetica" w:cs="Helvetica"/>
          <w:lang w:eastAsia="es-CO"/>
        </w:rPr>
      </w:pPr>
    </w:p>
    <w:p w14:paraId="114982FF" w14:textId="130FDBA6" w:rsidR="001026E8" w:rsidRPr="006B2598" w:rsidRDefault="007F4F05" w:rsidP="006B2598">
      <w:pPr>
        <w:pStyle w:val="Cordialmente"/>
        <w:spacing w:before="0" w:after="120" w:line="240" w:lineRule="auto"/>
        <w:jc w:val="center"/>
        <w:rPr>
          <w:rFonts w:ascii="Helvetica" w:eastAsia="Times New Roman" w:hAnsi="Helvetica" w:cs="Helvetica"/>
          <w:b/>
          <w:bCs/>
        </w:rPr>
      </w:pPr>
      <w:r>
        <w:rPr>
          <w:rFonts w:ascii="Helvetica" w:eastAsia="Times New Roman" w:hAnsi="Helvetica" w:cs="Helvetica"/>
          <w:b/>
          <w:bCs/>
        </w:rPr>
        <w:t>ANTONIO JIMÉNEZ RIVERA</w:t>
      </w:r>
    </w:p>
    <w:p w14:paraId="4C3331F9" w14:textId="77777777" w:rsidR="001026E8" w:rsidRDefault="001026E8" w:rsidP="001026E8">
      <w:pPr>
        <w:spacing w:before="0" w:after="0" w:line="240" w:lineRule="auto"/>
        <w:jc w:val="center"/>
        <w:rPr>
          <w:rFonts w:ascii="Helvetica" w:eastAsia="Times New Roman" w:hAnsi="Helvetica" w:cs="Helvetica"/>
        </w:rPr>
      </w:pPr>
      <w:r w:rsidRPr="00AD22D6">
        <w:rPr>
          <w:rFonts w:ascii="Helvetica" w:eastAsia="Times New Roman" w:hAnsi="Helvetica" w:cs="Helvetica"/>
        </w:rPr>
        <w:t>Director Ejecutivo</w:t>
      </w:r>
    </w:p>
    <w:p w14:paraId="4E17D76F" w14:textId="77777777" w:rsidR="004D10D6" w:rsidRDefault="004D10D6" w:rsidP="001026E8">
      <w:pPr>
        <w:spacing w:before="0" w:after="0" w:line="240" w:lineRule="auto"/>
        <w:jc w:val="center"/>
        <w:rPr>
          <w:rFonts w:ascii="Helvetica" w:eastAsia="Times New Roman" w:hAnsi="Helvetica" w:cs="Helvetica"/>
        </w:rPr>
      </w:pPr>
    </w:p>
    <w:p w14:paraId="185A4E5A" w14:textId="0F61F9D8" w:rsidR="004D10D6" w:rsidRPr="004D10D6" w:rsidRDefault="004D10D6" w:rsidP="008F52DB">
      <w:pPr>
        <w:rPr>
          <w:sz w:val="16"/>
          <w:szCs w:val="16"/>
        </w:rPr>
      </w:pPr>
    </w:p>
    <w:p w14:paraId="3437E93F" w14:textId="77777777" w:rsidR="004D10D6" w:rsidRPr="00AD22D6" w:rsidRDefault="004D10D6" w:rsidP="001026E8">
      <w:pPr>
        <w:spacing w:before="0" w:after="0" w:line="240" w:lineRule="auto"/>
        <w:jc w:val="center"/>
        <w:rPr>
          <w:rFonts w:ascii="Helvetica" w:eastAsia="Times New Roman" w:hAnsi="Helvetica" w:cs="Helvetica"/>
        </w:rPr>
      </w:pPr>
    </w:p>
    <w:p w14:paraId="63110648" w14:textId="77777777" w:rsidR="001026E8" w:rsidRPr="00AD22D6" w:rsidRDefault="001026E8" w:rsidP="001026E8">
      <w:pPr>
        <w:pStyle w:val="Textoindependiente"/>
        <w:spacing w:after="0" w:line="240" w:lineRule="auto"/>
        <w:rPr>
          <w:rFonts w:ascii="Helvetica" w:hAnsi="Helvetica" w:cs="Helvetica"/>
          <w:sz w:val="24"/>
          <w:szCs w:val="24"/>
        </w:rPr>
      </w:pPr>
    </w:p>
    <w:p w14:paraId="49708DAE" w14:textId="77777777" w:rsidR="001026E8" w:rsidRPr="00AD22D6" w:rsidRDefault="001026E8" w:rsidP="001026E8">
      <w:pPr>
        <w:spacing w:before="0" w:after="0" w:line="240" w:lineRule="auto"/>
        <w:jc w:val="both"/>
        <w:rPr>
          <w:rFonts w:ascii="Helvetica" w:hAnsi="Helvetica" w:cs="Helvetica"/>
        </w:rPr>
      </w:pPr>
    </w:p>
    <w:p w14:paraId="1E1C77E0" w14:textId="77777777" w:rsidR="004F1CF7" w:rsidRPr="00E145E0" w:rsidRDefault="004F1CF7" w:rsidP="001026E8">
      <w:pPr>
        <w:spacing w:before="0" w:after="0"/>
        <w:rPr>
          <w:rFonts w:ascii="Helvetica" w:hAnsi="Helvetica" w:cs="Helvetica"/>
        </w:rPr>
      </w:pPr>
    </w:p>
    <w:p w14:paraId="4710DDE2" w14:textId="77777777" w:rsidR="00A151DE" w:rsidRDefault="00A151DE" w:rsidP="001026E8">
      <w:pPr>
        <w:tabs>
          <w:tab w:val="left" w:pos="709"/>
        </w:tabs>
        <w:ind w:left="1418" w:hanging="1418"/>
        <w:jc w:val="both"/>
        <w:rPr>
          <w:rFonts w:cs="Arial"/>
        </w:rPr>
        <w:sectPr w:rsidR="00A151DE" w:rsidSect="008B0943">
          <w:headerReference w:type="default" r:id="rId10"/>
          <w:footerReference w:type="default" r:id="rId11"/>
          <w:headerReference w:type="first" r:id="rId12"/>
          <w:footerReference w:type="first" r:id="rId13"/>
          <w:pgSz w:w="12240" w:h="15840"/>
          <w:pgMar w:top="1979" w:right="1418" w:bottom="1985" w:left="1418" w:header="1560" w:footer="709" w:gutter="0"/>
          <w:cols w:space="708"/>
          <w:titlePg/>
          <w:docGrid w:linePitch="360"/>
        </w:sectPr>
      </w:pPr>
    </w:p>
    <w:p w14:paraId="7CBE25EF" w14:textId="77777777" w:rsidR="001738A4" w:rsidRDefault="006B2598" w:rsidP="00A151DE">
      <w:pPr>
        <w:rPr>
          <w:b/>
          <w:bCs/>
          <w:lang w:val="es-MX"/>
        </w:rPr>
      </w:pPr>
      <w:r>
        <w:rPr>
          <w:b/>
          <w:bCs/>
          <w:lang w:val="es-MX"/>
        </w:rPr>
        <w:lastRenderedPageBreak/>
        <w:t>ANEXO</w:t>
      </w:r>
      <w:r w:rsidR="001738A4">
        <w:rPr>
          <w:b/>
          <w:bCs/>
          <w:lang w:val="es-MX"/>
        </w:rPr>
        <w:t>,</w:t>
      </w:r>
    </w:p>
    <w:p w14:paraId="0C8A8FFD" w14:textId="6F9A66D3" w:rsidR="00EE08EF" w:rsidRPr="001738A4" w:rsidRDefault="00237B86" w:rsidP="001738A4">
      <w:pPr>
        <w:pStyle w:val="Prrafodelista"/>
        <w:numPr>
          <w:ilvl w:val="0"/>
          <w:numId w:val="3"/>
        </w:numPr>
        <w:rPr>
          <w:b/>
          <w:bCs/>
          <w:lang w:val="es-MX"/>
        </w:rPr>
      </w:pPr>
      <w:r w:rsidRPr="001738A4">
        <w:rPr>
          <w:b/>
          <w:bCs/>
          <w:lang w:val="es-MX"/>
        </w:rPr>
        <w:t xml:space="preserve">TEMAS </w:t>
      </w:r>
      <w:r w:rsidR="001738A4">
        <w:rPr>
          <w:b/>
          <w:bCs/>
          <w:lang w:val="es-MX"/>
        </w:rPr>
        <w:t xml:space="preserve">DE CARÁCTER </w:t>
      </w:r>
      <w:r w:rsidRPr="001738A4">
        <w:rPr>
          <w:b/>
          <w:bCs/>
          <w:lang w:val="es-MX"/>
        </w:rPr>
        <w:t>GENERAL</w:t>
      </w:r>
    </w:p>
    <w:tbl>
      <w:tblPr>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2978"/>
        <w:gridCol w:w="3402"/>
        <w:gridCol w:w="1299"/>
        <w:gridCol w:w="1559"/>
        <w:gridCol w:w="1200"/>
        <w:gridCol w:w="1200"/>
        <w:gridCol w:w="1200"/>
        <w:gridCol w:w="1200"/>
      </w:tblGrid>
      <w:tr w:rsidR="005776EF" w:rsidRPr="00EE08EF" w14:paraId="0D992DDC" w14:textId="77777777" w:rsidTr="00FC2B65">
        <w:trPr>
          <w:trHeight w:val="1160"/>
          <w:tblHeader/>
        </w:trPr>
        <w:tc>
          <w:tcPr>
            <w:tcW w:w="680" w:type="dxa"/>
            <w:shd w:val="clear" w:color="000000" w:fill="E8E8E8"/>
            <w:vAlign w:val="center"/>
            <w:hideMark/>
          </w:tcPr>
          <w:p w14:paraId="3AC28765"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No</w:t>
            </w:r>
          </w:p>
        </w:tc>
        <w:tc>
          <w:tcPr>
            <w:tcW w:w="2978" w:type="dxa"/>
            <w:shd w:val="clear" w:color="000000" w:fill="E8E8E8"/>
            <w:vAlign w:val="center"/>
            <w:hideMark/>
          </w:tcPr>
          <w:p w14:paraId="53D10728"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NOMBRE PROYECTO</w:t>
            </w:r>
          </w:p>
        </w:tc>
        <w:tc>
          <w:tcPr>
            <w:tcW w:w="3402" w:type="dxa"/>
            <w:shd w:val="clear" w:color="000000" w:fill="E8E8E8"/>
            <w:vAlign w:val="center"/>
            <w:hideMark/>
          </w:tcPr>
          <w:p w14:paraId="150C5EBA" w14:textId="77777777" w:rsidR="00EE08EF" w:rsidRPr="00EE08EF" w:rsidRDefault="00EE08EF" w:rsidP="00EE08EF">
            <w:pPr>
              <w:spacing w:before="0" w:after="0" w:line="240" w:lineRule="auto"/>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DESCRIPCIÓN DEL PROYECTO</w:t>
            </w:r>
          </w:p>
        </w:tc>
        <w:tc>
          <w:tcPr>
            <w:tcW w:w="1299" w:type="dxa"/>
            <w:shd w:val="clear" w:color="000000" w:fill="E8E8E8"/>
            <w:vAlign w:val="center"/>
            <w:hideMark/>
          </w:tcPr>
          <w:p w14:paraId="169ACD34"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SECTOR</w:t>
            </w:r>
          </w:p>
        </w:tc>
        <w:tc>
          <w:tcPr>
            <w:tcW w:w="1559" w:type="dxa"/>
            <w:shd w:val="clear" w:color="000000" w:fill="E8E8E8"/>
            <w:vAlign w:val="center"/>
            <w:hideMark/>
          </w:tcPr>
          <w:p w14:paraId="4BBF103E"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MACROTEMA</w:t>
            </w:r>
          </w:p>
        </w:tc>
        <w:tc>
          <w:tcPr>
            <w:tcW w:w="1200" w:type="dxa"/>
            <w:shd w:val="clear" w:color="000000" w:fill="E8E8E8"/>
            <w:noWrap/>
            <w:vAlign w:val="center"/>
            <w:hideMark/>
          </w:tcPr>
          <w:p w14:paraId="7BDEF7E1"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1 trim</w:t>
            </w:r>
          </w:p>
        </w:tc>
        <w:tc>
          <w:tcPr>
            <w:tcW w:w="1200" w:type="dxa"/>
            <w:shd w:val="clear" w:color="000000" w:fill="E8E8E8"/>
            <w:noWrap/>
            <w:vAlign w:val="center"/>
            <w:hideMark/>
          </w:tcPr>
          <w:p w14:paraId="33D87F61"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2 trim</w:t>
            </w:r>
          </w:p>
        </w:tc>
        <w:tc>
          <w:tcPr>
            <w:tcW w:w="1200" w:type="dxa"/>
            <w:shd w:val="clear" w:color="000000" w:fill="E8E8E8"/>
            <w:noWrap/>
            <w:vAlign w:val="center"/>
            <w:hideMark/>
          </w:tcPr>
          <w:p w14:paraId="139B83D5"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3 trim</w:t>
            </w:r>
          </w:p>
        </w:tc>
        <w:tc>
          <w:tcPr>
            <w:tcW w:w="1200" w:type="dxa"/>
            <w:shd w:val="clear" w:color="000000" w:fill="E8E8E8"/>
            <w:noWrap/>
            <w:vAlign w:val="center"/>
            <w:hideMark/>
          </w:tcPr>
          <w:p w14:paraId="501D42D1" w14:textId="77777777" w:rsidR="00EE08EF" w:rsidRPr="00EE08EF" w:rsidRDefault="00EE08EF" w:rsidP="00EE08EF">
            <w:pPr>
              <w:spacing w:before="0" w:after="0" w:line="240" w:lineRule="auto"/>
              <w:jc w:val="center"/>
              <w:rPr>
                <w:rFonts w:ascii="Aptos Narrow" w:eastAsia="Times New Roman" w:hAnsi="Aptos Narrow" w:cs="Times New Roman"/>
                <w:b/>
                <w:bCs/>
                <w:color w:val="000000"/>
                <w:sz w:val="20"/>
                <w:szCs w:val="20"/>
                <w:lang w:eastAsia="es-CO"/>
              </w:rPr>
            </w:pPr>
            <w:r w:rsidRPr="00EE08EF">
              <w:rPr>
                <w:rFonts w:ascii="Aptos Narrow" w:eastAsia="Times New Roman" w:hAnsi="Aptos Narrow" w:cs="Times New Roman"/>
                <w:b/>
                <w:bCs/>
                <w:color w:val="000000"/>
                <w:sz w:val="20"/>
                <w:szCs w:val="20"/>
                <w:lang w:eastAsia="es-CO"/>
              </w:rPr>
              <w:t>4 trim</w:t>
            </w:r>
          </w:p>
        </w:tc>
      </w:tr>
      <w:tr w:rsidR="00535165" w:rsidRPr="00EE08EF" w14:paraId="29BCA3CC" w14:textId="77777777" w:rsidTr="00FC2B65">
        <w:trPr>
          <w:trHeight w:val="1663"/>
        </w:trPr>
        <w:tc>
          <w:tcPr>
            <w:tcW w:w="680" w:type="dxa"/>
            <w:shd w:val="clear" w:color="auto" w:fill="auto"/>
            <w:noWrap/>
            <w:vAlign w:val="center"/>
            <w:hideMark/>
          </w:tcPr>
          <w:p w14:paraId="488113E8"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w:t>
            </w:r>
          </w:p>
        </w:tc>
        <w:tc>
          <w:tcPr>
            <w:tcW w:w="2978" w:type="dxa"/>
            <w:shd w:val="clear" w:color="auto" w:fill="auto"/>
            <w:vAlign w:val="center"/>
            <w:hideMark/>
          </w:tcPr>
          <w:p w14:paraId="7BF96832" w14:textId="6BEA2FF6" w:rsidR="00D9674C" w:rsidRDefault="00755ACA" w:rsidP="00EE08EF">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DESARROLLO DEL </w:t>
            </w:r>
            <w:r w:rsidR="00EE08EF" w:rsidRPr="00EE08EF">
              <w:rPr>
                <w:rFonts w:ascii="Aptos Narrow" w:eastAsia="Times New Roman" w:hAnsi="Aptos Narrow" w:cs="Times New Roman"/>
                <w:color w:val="000000"/>
                <w:sz w:val="20"/>
                <w:szCs w:val="20"/>
                <w:lang w:eastAsia="es-CO"/>
              </w:rPr>
              <w:t>NUEVO REGLAMENTO DEL M</w:t>
            </w:r>
            <w:r w:rsidR="000009F8">
              <w:rPr>
                <w:rFonts w:ascii="Aptos Narrow" w:eastAsia="Times New Roman" w:hAnsi="Aptos Narrow" w:cs="Times New Roman"/>
                <w:color w:val="000000"/>
                <w:sz w:val="20"/>
                <w:szCs w:val="20"/>
                <w:lang w:eastAsia="es-CO"/>
              </w:rPr>
              <w:t>ERCADO DE ENERGÍA MAYORISTA</w:t>
            </w:r>
            <w:r w:rsidR="00D9674C">
              <w:rPr>
                <w:rFonts w:ascii="Aptos Narrow" w:eastAsia="Times New Roman" w:hAnsi="Aptos Narrow" w:cs="Times New Roman"/>
                <w:color w:val="000000"/>
                <w:sz w:val="20"/>
                <w:szCs w:val="20"/>
                <w:lang w:eastAsia="es-CO"/>
              </w:rPr>
              <w:t>.</w:t>
            </w:r>
          </w:p>
          <w:p w14:paraId="1AE593F5" w14:textId="3F57C0C1"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p>
        </w:tc>
        <w:tc>
          <w:tcPr>
            <w:tcW w:w="3402" w:type="dxa"/>
            <w:shd w:val="clear" w:color="auto" w:fill="auto"/>
            <w:vAlign w:val="center"/>
            <w:hideMark/>
          </w:tcPr>
          <w:p w14:paraId="7469EE53" w14:textId="4BF3693A"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Desarrollo del nuevo reglamento del mercado de energía mayorista.</w:t>
            </w:r>
            <w:r w:rsidR="000009F8">
              <w:rPr>
                <w:rFonts w:ascii="Aptos Narrow" w:eastAsia="Times New Roman" w:hAnsi="Aptos Narrow" w:cs="Times New Roman"/>
                <w:color w:val="000000"/>
                <w:sz w:val="20"/>
                <w:szCs w:val="20"/>
                <w:lang w:eastAsia="es-CO"/>
              </w:rPr>
              <w:t xml:space="preserve"> </w:t>
            </w:r>
            <w:r w:rsidR="000009F8" w:rsidRPr="000009F8">
              <w:rPr>
                <w:rFonts w:ascii="Aptos Narrow" w:eastAsia="Times New Roman" w:hAnsi="Aptos Narrow" w:cs="Times New Roman"/>
                <w:color w:val="000000"/>
                <w:sz w:val="20"/>
                <w:szCs w:val="20"/>
                <w:lang w:eastAsia="es-CO"/>
              </w:rPr>
              <w:t>Propuesta de modernización: despacho vinculante y mercado intradiario.</w:t>
            </w:r>
          </w:p>
        </w:tc>
        <w:tc>
          <w:tcPr>
            <w:tcW w:w="1299" w:type="dxa"/>
            <w:shd w:val="clear" w:color="auto" w:fill="auto"/>
            <w:noWrap/>
            <w:vAlign w:val="center"/>
            <w:hideMark/>
          </w:tcPr>
          <w:p w14:paraId="1EE8DB91"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663C156D"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2A0EE8F1"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90B2013"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ADA270F"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7E194017"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73A25F3A" w14:textId="77777777" w:rsidTr="00FC2B65">
        <w:trPr>
          <w:trHeight w:val="870"/>
        </w:trPr>
        <w:tc>
          <w:tcPr>
            <w:tcW w:w="680" w:type="dxa"/>
            <w:shd w:val="clear" w:color="auto" w:fill="auto"/>
            <w:noWrap/>
            <w:vAlign w:val="center"/>
            <w:hideMark/>
          </w:tcPr>
          <w:p w14:paraId="44E4A340"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p>
        </w:tc>
        <w:tc>
          <w:tcPr>
            <w:tcW w:w="2978" w:type="dxa"/>
            <w:shd w:val="clear" w:color="auto" w:fill="auto"/>
            <w:vAlign w:val="center"/>
            <w:hideMark/>
          </w:tcPr>
          <w:p w14:paraId="1257956F" w14:textId="6E7C0236" w:rsidR="00EE08EF" w:rsidRPr="00EE08EF" w:rsidRDefault="00205FE1" w:rsidP="00EE08EF">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AJUSTE DE LA </w:t>
            </w:r>
            <w:r w:rsidR="00EE08EF" w:rsidRPr="00EE08EF">
              <w:rPr>
                <w:rFonts w:ascii="Aptos Narrow" w:eastAsia="Times New Roman" w:hAnsi="Aptos Narrow" w:cs="Times New Roman"/>
                <w:color w:val="000000"/>
                <w:sz w:val="20"/>
                <w:szCs w:val="20"/>
                <w:lang w:eastAsia="es-CO"/>
              </w:rPr>
              <w:t>REMUNERACIÓN DE PLANTAS EN PRUEBAS</w:t>
            </w:r>
            <w:r w:rsidR="000009F8">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450C8C3B"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Redefinir la remuneración de las plantas que se declaren en pruebas.</w:t>
            </w:r>
          </w:p>
        </w:tc>
        <w:tc>
          <w:tcPr>
            <w:tcW w:w="1299" w:type="dxa"/>
            <w:shd w:val="clear" w:color="auto" w:fill="auto"/>
            <w:noWrap/>
            <w:vAlign w:val="center"/>
            <w:hideMark/>
          </w:tcPr>
          <w:p w14:paraId="0D6C832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6F07990"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22744F9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31E6298"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FB93C0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2040DE71"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64594DCF" w14:textId="77777777" w:rsidTr="00FC2B65">
        <w:trPr>
          <w:trHeight w:val="1550"/>
        </w:trPr>
        <w:tc>
          <w:tcPr>
            <w:tcW w:w="680" w:type="dxa"/>
            <w:shd w:val="clear" w:color="auto" w:fill="auto"/>
            <w:noWrap/>
            <w:vAlign w:val="center"/>
            <w:hideMark/>
          </w:tcPr>
          <w:p w14:paraId="372C2D88"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34DB7ED1" w14:textId="4431119B" w:rsidR="00EE08EF" w:rsidRPr="00EE08EF" w:rsidRDefault="00205FE1" w:rsidP="00EE08EF">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DEFINICIÓN DE </w:t>
            </w:r>
            <w:r w:rsidR="00EE08EF" w:rsidRPr="00EE08EF">
              <w:rPr>
                <w:rFonts w:ascii="Aptos Narrow" w:eastAsia="Times New Roman" w:hAnsi="Aptos Narrow" w:cs="Times New Roman"/>
                <w:color w:val="000000"/>
                <w:sz w:val="20"/>
                <w:szCs w:val="20"/>
                <w:lang w:eastAsia="es-CO"/>
              </w:rPr>
              <w:t>REGLAS PARA LA AUDITORÍA DE PARÁMETROS TÉCNICOS DE LAS PLANTAS DE GENERACIÓN</w:t>
            </w:r>
            <w:r w:rsidR="003C4748">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639CEB8B" w14:textId="7E0A56A1"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Establecer las condiciones, requisitos y procedimientos de auditoría de los parámetros técnicos de las plantas </w:t>
            </w:r>
            <w:r w:rsidR="00FA376A" w:rsidRPr="00EE08EF">
              <w:rPr>
                <w:rFonts w:ascii="Aptos Narrow" w:eastAsia="Times New Roman" w:hAnsi="Aptos Narrow" w:cs="Times New Roman"/>
                <w:color w:val="000000"/>
                <w:sz w:val="20"/>
                <w:szCs w:val="20"/>
                <w:lang w:eastAsia="es-CO"/>
              </w:rPr>
              <w:t>despachadas</w:t>
            </w:r>
            <w:r w:rsidRPr="00EE08EF">
              <w:rPr>
                <w:rFonts w:ascii="Aptos Narrow" w:eastAsia="Times New Roman" w:hAnsi="Aptos Narrow" w:cs="Times New Roman"/>
                <w:color w:val="000000"/>
                <w:sz w:val="20"/>
                <w:szCs w:val="20"/>
                <w:lang w:eastAsia="es-CO"/>
              </w:rPr>
              <w:t xml:space="preserve"> centralmente.</w:t>
            </w:r>
          </w:p>
        </w:tc>
        <w:tc>
          <w:tcPr>
            <w:tcW w:w="1299" w:type="dxa"/>
            <w:shd w:val="clear" w:color="auto" w:fill="auto"/>
            <w:noWrap/>
            <w:vAlign w:val="center"/>
            <w:hideMark/>
          </w:tcPr>
          <w:p w14:paraId="1605289D"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5EF3BED6"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47ED139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D15B816"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75440638"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DAF97A4"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47F8982A" w14:textId="77777777" w:rsidTr="00FC2B65">
        <w:trPr>
          <w:trHeight w:val="2200"/>
        </w:trPr>
        <w:tc>
          <w:tcPr>
            <w:tcW w:w="680" w:type="dxa"/>
            <w:shd w:val="clear" w:color="auto" w:fill="auto"/>
            <w:noWrap/>
            <w:vAlign w:val="center"/>
            <w:hideMark/>
          </w:tcPr>
          <w:p w14:paraId="510AF93B"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4</w:t>
            </w:r>
          </w:p>
        </w:tc>
        <w:tc>
          <w:tcPr>
            <w:tcW w:w="2978" w:type="dxa"/>
            <w:shd w:val="clear" w:color="auto" w:fill="auto"/>
            <w:vAlign w:val="center"/>
            <w:hideMark/>
          </w:tcPr>
          <w:p w14:paraId="2D083004" w14:textId="5277CF23" w:rsidR="00EE08EF" w:rsidRPr="00EE08EF" w:rsidRDefault="00205FE1" w:rsidP="00EE08EF">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DEFINIC</w:t>
            </w:r>
            <w:r w:rsidR="00C22ACC">
              <w:rPr>
                <w:rFonts w:ascii="Aptos Narrow" w:eastAsia="Times New Roman" w:hAnsi="Aptos Narrow" w:cs="Times New Roman"/>
                <w:color w:val="000000"/>
                <w:sz w:val="20"/>
                <w:szCs w:val="20"/>
                <w:lang w:eastAsia="es-CO"/>
              </w:rPr>
              <w:t xml:space="preserve">IÓN DE </w:t>
            </w:r>
            <w:r w:rsidR="00EE08EF" w:rsidRPr="00EE08EF">
              <w:rPr>
                <w:rFonts w:ascii="Aptos Narrow" w:eastAsia="Times New Roman" w:hAnsi="Aptos Narrow" w:cs="Times New Roman"/>
                <w:color w:val="000000"/>
                <w:sz w:val="20"/>
                <w:szCs w:val="20"/>
                <w:lang w:eastAsia="es-CO"/>
              </w:rPr>
              <w:t>CONDICIONES SIMÉTRICAS PARA LA LIQUIDACIÓN DE LAS GENERACIONES DE SEGURIDAD DE RECURSOS HÍDRICOS Y TÉRMICOS</w:t>
            </w:r>
            <w:r w:rsidR="003C4748">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E26CC4A" w14:textId="1815C119"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Definir las condiciones simétricas para liquidación de las generaciones de seguridad de </w:t>
            </w:r>
            <w:r w:rsidR="00FA376A" w:rsidRPr="00EE08EF">
              <w:rPr>
                <w:rFonts w:ascii="Aptos Narrow" w:eastAsia="Times New Roman" w:hAnsi="Aptos Narrow" w:cs="Times New Roman"/>
                <w:color w:val="000000"/>
                <w:sz w:val="20"/>
                <w:szCs w:val="20"/>
                <w:lang w:eastAsia="es-CO"/>
              </w:rPr>
              <w:t>recursos</w:t>
            </w:r>
            <w:r w:rsidRPr="00EE08EF">
              <w:rPr>
                <w:rFonts w:ascii="Aptos Narrow" w:eastAsia="Times New Roman" w:hAnsi="Aptos Narrow" w:cs="Times New Roman"/>
                <w:color w:val="000000"/>
                <w:sz w:val="20"/>
                <w:szCs w:val="20"/>
                <w:lang w:eastAsia="es-CO"/>
              </w:rPr>
              <w:t xml:space="preserve"> </w:t>
            </w:r>
            <w:r w:rsidR="00FA376A" w:rsidRPr="00EE08EF">
              <w:rPr>
                <w:rFonts w:ascii="Aptos Narrow" w:eastAsia="Times New Roman" w:hAnsi="Aptos Narrow" w:cs="Times New Roman"/>
                <w:color w:val="000000"/>
                <w:sz w:val="20"/>
                <w:szCs w:val="20"/>
                <w:lang w:eastAsia="es-CO"/>
              </w:rPr>
              <w:t>hídricos</w:t>
            </w:r>
            <w:r w:rsidRPr="00EE08EF">
              <w:rPr>
                <w:rFonts w:ascii="Aptos Narrow" w:eastAsia="Times New Roman" w:hAnsi="Aptos Narrow" w:cs="Times New Roman"/>
                <w:color w:val="000000"/>
                <w:sz w:val="20"/>
                <w:szCs w:val="20"/>
                <w:lang w:eastAsia="es-CO"/>
              </w:rPr>
              <w:t xml:space="preserve"> y térmicos de que trata el literal d) del artículo 8 del Decreto 929 de 2023. Se precisa un estudio para analizar las posibilidades técnicas como jurídicas y de interpretación del decreto. </w:t>
            </w:r>
          </w:p>
        </w:tc>
        <w:tc>
          <w:tcPr>
            <w:tcW w:w="1299" w:type="dxa"/>
            <w:shd w:val="clear" w:color="auto" w:fill="auto"/>
            <w:noWrap/>
            <w:vAlign w:val="center"/>
            <w:hideMark/>
          </w:tcPr>
          <w:p w14:paraId="21780DA0"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5AF6554"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04CF15D2"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784C5A6"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B9F392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660BB28"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535165" w:rsidRPr="00EE08EF" w14:paraId="57F733EE" w14:textId="77777777" w:rsidTr="00FC2B65">
        <w:trPr>
          <w:trHeight w:val="1843"/>
        </w:trPr>
        <w:tc>
          <w:tcPr>
            <w:tcW w:w="680" w:type="dxa"/>
            <w:shd w:val="clear" w:color="auto" w:fill="auto"/>
            <w:noWrap/>
            <w:vAlign w:val="center"/>
            <w:hideMark/>
          </w:tcPr>
          <w:p w14:paraId="26F26AA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5</w:t>
            </w:r>
          </w:p>
        </w:tc>
        <w:tc>
          <w:tcPr>
            <w:tcW w:w="2978" w:type="dxa"/>
            <w:shd w:val="clear" w:color="auto" w:fill="auto"/>
            <w:vAlign w:val="center"/>
            <w:hideMark/>
          </w:tcPr>
          <w:p w14:paraId="3CF2A259" w14:textId="1A0D0D0C"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VALORACIÓN ECONÓMICA DE LOS VERTIMIENTOS Y VALORACIÓN DE GENERACIÓN POR CUMPLIMIMIENTO DE CAUDALES AMBIENTALES</w:t>
            </w:r>
            <w:r w:rsidR="003C4748">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434AF8B6"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Desarrollar las disposiciones del decreto 929 2023 art 8 literal c), correspondientes a la valoración económica de los vertimientos de acuerdo con las condiciones técnicas o ambientales que los sustenten.</w:t>
            </w:r>
          </w:p>
        </w:tc>
        <w:tc>
          <w:tcPr>
            <w:tcW w:w="1299" w:type="dxa"/>
            <w:shd w:val="clear" w:color="auto" w:fill="auto"/>
            <w:noWrap/>
            <w:vAlign w:val="center"/>
            <w:hideMark/>
          </w:tcPr>
          <w:p w14:paraId="2E3449CA"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26FFA4E6"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3865CF37"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4CB4BA5"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621CA8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963E28F"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535165" w:rsidRPr="00EE08EF" w14:paraId="446A4B20" w14:textId="77777777" w:rsidTr="00FC2B65">
        <w:trPr>
          <w:trHeight w:val="1610"/>
        </w:trPr>
        <w:tc>
          <w:tcPr>
            <w:tcW w:w="680" w:type="dxa"/>
            <w:shd w:val="clear" w:color="auto" w:fill="auto"/>
            <w:noWrap/>
            <w:vAlign w:val="center"/>
            <w:hideMark/>
          </w:tcPr>
          <w:p w14:paraId="41902334"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51A35164" w14:textId="18CAA8B3"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AJUSTE</w:t>
            </w:r>
            <w:r w:rsidR="00C22ACC">
              <w:rPr>
                <w:rFonts w:ascii="Aptos Narrow" w:eastAsia="Times New Roman" w:hAnsi="Aptos Narrow" w:cs="Times New Roman"/>
                <w:color w:val="000000"/>
                <w:sz w:val="20"/>
                <w:szCs w:val="20"/>
                <w:lang w:eastAsia="es-CO"/>
              </w:rPr>
              <w:t xml:space="preserve"> DE</w:t>
            </w:r>
            <w:r w:rsidRPr="00EE08EF">
              <w:rPr>
                <w:rFonts w:ascii="Aptos Narrow" w:eastAsia="Times New Roman" w:hAnsi="Aptos Narrow" w:cs="Times New Roman"/>
                <w:color w:val="000000"/>
                <w:sz w:val="20"/>
                <w:szCs w:val="20"/>
                <w:lang w:eastAsia="es-CO"/>
              </w:rPr>
              <w:t xml:space="preserve"> DESVIACIONES </w:t>
            </w:r>
            <w:r w:rsidR="00C22ACC">
              <w:rPr>
                <w:rFonts w:ascii="Aptos Narrow" w:eastAsia="Times New Roman" w:hAnsi="Aptos Narrow" w:cs="Times New Roman"/>
                <w:color w:val="000000"/>
                <w:sz w:val="20"/>
                <w:szCs w:val="20"/>
                <w:lang w:eastAsia="es-CO"/>
              </w:rPr>
              <w:t xml:space="preserve">PARA </w:t>
            </w:r>
            <w:r w:rsidRPr="00EE08EF">
              <w:rPr>
                <w:rFonts w:ascii="Aptos Narrow" w:eastAsia="Times New Roman" w:hAnsi="Aptos Narrow" w:cs="Times New Roman"/>
                <w:color w:val="000000"/>
                <w:sz w:val="20"/>
                <w:szCs w:val="20"/>
                <w:lang w:eastAsia="es-CO"/>
              </w:rPr>
              <w:t>PLANTAS VARIABLES (SOLAR</w:t>
            </w:r>
            <w:r w:rsidR="003C4748">
              <w:rPr>
                <w:rFonts w:ascii="Aptos Narrow" w:eastAsia="Times New Roman" w:hAnsi="Aptos Narrow" w:cs="Times New Roman"/>
                <w:color w:val="000000"/>
                <w:sz w:val="20"/>
                <w:szCs w:val="20"/>
                <w:lang w:eastAsia="es-CO"/>
              </w:rPr>
              <w:t>ES</w:t>
            </w:r>
            <w:r w:rsidRPr="00EE08EF">
              <w:rPr>
                <w:rFonts w:ascii="Aptos Narrow" w:eastAsia="Times New Roman" w:hAnsi="Aptos Narrow" w:cs="Times New Roman"/>
                <w:color w:val="000000"/>
                <w:sz w:val="20"/>
                <w:szCs w:val="20"/>
                <w:lang w:eastAsia="es-CO"/>
              </w:rPr>
              <w:t>, EÓLICAS)</w:t>
            </w:r>
            <w:r w:rsidR="003C4748">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1763875"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una medida transitoria para definir las desviaciones máximas permitidas a las plantas variables y cuantificar su valor en pesos sin impactar su viabilidad financiera.</w:t>
            </w:r>
          </w:p>
        </w:tc>
        <w:tc>
          <w:tcPr>
            <w:tcW w:w="1299" w:type="dxa"/>
            <w:shd w:val="clear" w:color="auto" w:fill="auto"/>
            <w:noWrap/>
            <w:vAlign w:val="center"/>
            <w:hideMark/>
          </w:tcPr>
          <w:p w14:paraId="2F608CCA"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2605E246"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4AC661F2"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37A86030"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17ED65F"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9F2D88D"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21BD33A6" w14:textId="77777777" w:rsidTr="00FC2B65">
        <w:trPr>
          <w:trHeight w:val="2170"/>
        </w:trPr>
        <w:tc>
          <w:tcPr>
            <w:tcW w:w="680" w:type="dxa"/>
            <w:shd w:val="clear" w:color="auto" w:fill="auto"/>
            <w:noWrap/>
            <w:vAlign w:val="center"/>
            <w:hideMark/>
          </w:tcPr>
          <w:p w14:paraId="3CD0E36A"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7</w:t>
            </w:r>
          </w:p>
        </w:tc>
        <w:tc>
          <w:tcPr>
            <w:tcW w:w="2978" w:type="dxa"/>
            <w:shd w:val="clear" w:color="auto" w:fill="auto"/>
            <w:vAlign w:val="center"/>
            <w:hideMark/>
          </w:tcPr>
          <w:p w14:paraId="34B13CB7" w14:textId="3BF69AF1" w:rsidR="00EE08EF" w:rsidRPr="00EE08EF" w:rsidRDefault="00227E4D" w:rsidP="00EE08EF">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CONVOCAT</w:t>
            </w:r>
            <w:r w:rsidR="004856A3">
              <w:rPr>
                <w:rFonts w:ascii="Aptos Narrow" w:eastAsia="Times New Roman" w:hAnsi="Aptos Narrow" w:cs="Times New Roman"/>
                <w:color w:val="000000"/>
                <w:sz w:val="20"/>
                <w:szCs w:val="20"/>
                <w:lang w:eastAsia="es-CO"/>
              </w:rPr>
              <w:t xml:space="preserve">ORIA </w:t>
            </w:r>
            <w:r w:rsidR="00EE08EF" w:rsidRPr="00EE08EF">
              <w:rPr>
                <w:rFonts w:ascii="Aptos Narrow" w:eastAsia="Times New Roman" w:hAnsi="Aptos Narrow" w:cs="Times New Roman"/>
                <w:color w:val="000000"/>
                <w:sz w:val="20"/>
                <w:szCs w:val="20"/>
                <w:lang w:eastAsia="es-CO"/>
              </w:rPr>
              <w:t xml:space="preserve">SUBASTA DE EXPANSIÓN </w:t>
            </w:r>
            <w:r w:rsidR="00480F5C">
              <w:rPr>
                <w:rFonts w:ascii="Aptos Narrow" w:eastAsia="Times New Roman" w:hAnsi="Aptos Narrow" w:cs="Times New Roman"/>
                <w:color w:val="000000"/>
                <w:sz w:val="20"/>
                <w:szCs w:val="20"/>
                <w:lang w:eastAsia="es-CO"/>
              </w:rPr>
              <w:t xml:space="preserve">DEL </w:t>
            </w:r>
            <w:r w:rsidR="003B4EC5">
              <w:rPr>
                <w:rFonts w:ascii="Aptos Narrow" w:eastAsia="Times New Roman" w:hAnsi="Aptos Narrow" w:cs="Times New Roman"/>
                <w:color w:val="000000"/>
                <w:sz w:val="20"/>
                <w:szCs w:val="20"/>
                <w:lang w:eastAsia="es-CO"/>
              </w:rPr>
              <w:t xml:space="preserve">CXC </w:t>
            </w:r>
            <w:r w:rsidR="00EE08EF" w:rsidRPr="00EE08EF">
              <w:rPr>
                <w:rFonts w:ascii="Aptos Narrow" w:eastAsia="Times New Roman" w:hAnsi="Aptos Narrow" w:cs="Times New Roman"/>
                <w:color w:val="000000"/>
                <w:sz w:val="20"/>
                <w:szCs w:val="20"/>
                <w:lang w:eastAsia="es-CO"/>
              </w:rPr>
              <w:t>PARA EL PERIODO 2028-2029</w:t>
            </w:r>
            <w:r w:rsidR="003C4748">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E72FED7"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Adelantar el balance de demanda esperada y oferta de energía firme para convocar subasta de expansión para el período 2028-2029 mediante la cual se incorpore la construcción de nuevos proyectos de generación que porten energía firme al sistema de tal manera que atienda la demanda esperada de forma confiable.</w:t>
            </w:r>
          </w:p>
        </w:tc>
        <w:tc>
          <w:tcPr>
            <w:tcW w:w="1299" w:type="dxa"/>
            <w:shd w:val="clear" w:color="auto" w:fill="auto"/>
            <w:noWrap/>
            <w:vAlign w:val="center"/>
            <w:hideMark/>
          </w:tcPr>
          <w:p w14:paraId="6CA74715"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685EEDAF"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1CD1328F"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208D6594"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6B7E9922"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2C59A4B"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06910E7D" w14:textId="77777777" w:rsidTr="00FC2B65">
        <w:trPr>
          <w:trHeight w:val="1580"/>
        </w:trPr>
        <w:tc>
          <w:tcPr>
            <w:tcW w:w="680" w:type="dxa"/>
            <w:shd w:val="clear" w:color="auto" w:fill="auto"/>
            <w:noWrap/>
            <w:vAlign w:val="center"/>
            <w:hideMark/>
          </w:tcPr>
          <w:p w14:paraId="72731947"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449DBEEA" w14:textId="70047C5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DEL ESTATUTO PARA SITUACIONES DEL RIESGO DE DESABASTECIMIENO</w:t>
            </w:r>
            <w:r w:rsidR="003B4EC5">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72B1F63D"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Evaluación de los ajustes que se requieran para que el mecanismo se adapte a las necesidades del sistema.</w:t>
            </w:r>
          </w:p>
        </w:tc>
        <w:tc>
          <w:tcPr>
            <w:tcW w:w="1299" w:type="dxa"/>
            <w:shd w:val="clear" w:color="auto" w:fill="auto"/>
            <w:noWrap/>
            <w:vAlign w:val="center"/>
            <w:hideMark/>
          </w:tcPr>
          <w:p w14:paraId="30407D32"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350FA488"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3427C62E"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4EAA534"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8D0BB91"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AB8974C"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Doc.1</w:t>
            </w:r>
          </w:p>
        </w:tc>
      </w:tr>
      <w:tr w:rsidR="00535165" w:rsidRPr="00EE08EF" w14:paraId="2A97148F" w14:textId="77777777" w:rsidTr="00FC2B65">
        <w:trPr>
          <w:trHeight w:val="1010"/>
        </w:trPr>
        <w:tc>
          <w:tcPr>
            <w:tcW w:w="680" w:type="dxa"/>
            <w:shd w:val="clear" w:color="auto" w:fill="auto"/>
            <w:noWrap/>
            <w:vAlign w:val="center"/>
            <w:hideMark/>
          </w:tcPr>
          <w:p w14:paraId="05E576A7"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4F05A2B5" w14:textId="0723666C"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ACTUALIZACIÓN DEL MODELO DEL CALCULO DE ENFICC- HIDRO</w:t>
            </w:r>
            <w:r w:rsidR="00242AD9">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63FE2E1"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Ajuste de la metodología de cálculo de la energía firme para el cargo por confiabilidad de plantas hidroeléctricas.</w:t>
            </w:r>
          </w:p>
        </w:tc>
        <w:tc>
          <w:tcPr>
            <w:tcW w:w="1299" w:type="dxa"/>
            <w:shd w:val="clear" w:color="auto" w:fill="auto"/>
            <w:noWrap/>
            <w:vAlign w:val="center"/>
            <w:hideMark/>
          </w:tcPr>
          <w:p w14:paraId="7BEFA581"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33AD48EA"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19D30703"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FC0B4F0"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EEA3388"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69C7A1CD"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0A8DB3C6" w14:textId="77777777" w:rsidTr="00FC2B65">
        <w:trPr>
          <w:trHeight w:val="870"/>
        </w:trPr>
        <w:tc>
          <w:tcPr>
            <w:tcW w:w="680" w:type="dxa"/>
            <w:shd w:val="clear" w:color="auto" w:fill="auto"/>
            <w:noWrap/>
            <w:vAlign w:val="center"/>
            <w:hideMark/>
          </w:tcPr>
          <w:p w14:paraId="00FC78B0"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10</w:t>
            </w:r>
          </w:p>
        </w:tc>
        <w:tc>
          <w:tcPr>
            <w:tcW w:w="2978" w:type="dxa"/>
            <w:shd w:val="clear" w:color="auto" w:fill="auto"/>
            <w:vAlign w:val="center"/>
            <w:hideMark/>
          </w:tcPr>
          <w:p w14:paraId="70AE9708" w14:textId="2F0EBB8D" w:rsidR="00EE08EF" w:rsidRPr="00EE08EF" w:rsidRDefault="00755ACA" w:rsidP="00EE08EF">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EVALUACIÓN </w:t>
            </w:r>
            <w:r w:rsidR="004856A3">
              <w:rPr>
                <w:rFonts w:ascii="Aptos Narrow" w:eastAsia="Times New Roman" w:hAnsi="Aptos Narrow" w:cs="Times New Roman"/>
                <w:color w:val="000000"/>
                <w:sz w:val="20"/>
                <w:szCs w:val="20"/>
                <w:lang w:eastAsia="es-CO"/>
              </w:rPr>
              <w:t xml:space="preserve">DEL </w:t>
            </w:r>
            <w:r w:rsidR="00EE08EF" w:rsidRPr="00EE08EF">
              <w:rPr>
                <w:rFonts w:ascii="Aptos Narrow" w:eastAsia="Times New Roman" w:hAnsi="Aptos Narrow" w:cs="Times New Roman"/>
                <w:color w:val="000000"/>
                <w:sz w:val="20"/>
                <w:szCs w:val="20"/>
                <w:lang w:eastAsia="es-CO"/>
              </w:rPr>
              <w:t>MECANISMO DE COMERCIALIZACIÓN RES 114/18 - CONEXIÓN ENERGÉTICA</w:t>
            </w:r>
            <w:r w:rsidR="00242AD9">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74E4F65B"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Evaluación del mecanismo presentado por Conexión Energética en el marco de la Resolución 114 de 2018.</w:t>
            </w:r>
          </w:p>
        </w:tc>
        <w:tc>
          <w:tcPr>
            <w:tcW w:w="1299" w:type="dxa"/>
            <w:shd w:val="clear" w:color="auto" w:fill="auto"/>
            <w:noWrap/>
            <w:vAlign w:val="center"/>
            <w:hideMark/>
          </w:tcPr>
          <w:p w14:paraId="0ECBEE62"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4084D9AD"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439FA4E7"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E8610B3"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83B9A9D"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01A74EFB"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24E2F38C" w14:textId="77777777" w:rsidTr="00FC2B65">
        <w:trPr>
          <w:trHeight w:val="1450"/>
        </w:trPr>
        <w:tc>
          <w:tcPr>
            <w:tcW w:w="680" w:type="dxa"/>
            <w:shd w:val="clear" w:color="auto" w:fill="auto"/>
            <w:noWrap/>
            <w:vAlign w:val="center"/>
            <w:hideMark/>
          </w:tcPr>
          <w:p w14:paraId="79367C6F"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11</w:t>
            </w:r>
          </w:p>
        </w:tc>
        <w:tc>
          <w:tcPr>
            <w:tcW w:w="2978" w:type="dxa"/>
            <w:shd w:val="clear" w:color="auto" w:fill="auto"/>
            <w:vAlign w:val="center"/>
            <w:hideMark/>
          </w:tcPr>
          <w:p w14:paraId="3A509AEF" w14:textId="7D3EB953"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w:t>
            </w:r>
            <w:r w:rsidR="00C43D2A">
              <w:rPr>
                <w:rFonts w:ascii="Aptos Narrow" w:eastAsia="Times New Roman" w:hAnsi="Aptos Narrow" w:cs="Times New Roman"/>
                <w:color w:val="000000"/>
                <w:sz w:val="20"/>
                <w:szCs w:val="20"/>
                <w:lang w:eastAsia="es-CO"/>
              </w:rPr>
              <w:t xml:space="preserve"> DE</w:t>
            </w:r>
            <w:r w:rsidRPr="00EE08EF">
              <w:rPr>
                <w:rFonts w:ascii="Aptos Narrow" w:eastAsia="Times New Roman" w:hAnsi="Aptos Narrow" w:cs="Times New Roman"/>
                <w:color w:val="000000"/>
                <w:sz w:val="20"/>
                <w:szCs w:val="20"/>
                <w:lang w:eastAsia="es-CO"/>
              </w:rPr>
              <w:t xml:space="preserve"> GARANTÍAS Y LIMITACIÓN DE SUMINISTRO</w:t>
            </w:r>
            <w:r w:rsidR="00242AD9">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41549492"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el marco de referencia para el esquema de garantías del mercado mayorista y la aplicación del procedimiento de limitación de suministro, después de la revisión de la implementación de la regulación actual.</w:t>
            </w:r>
          </w:p>
        </w:tc>
        <w:tc>
          <w:tcPr>
            <w:tcW w:w="1299" w:type="dxa"/>
            <w:shd w:val="clear" w:color="auto" w:fill="auto"/>
            <w:noWrap/>
            <w:vAlign w:val="center"/>
            <w:hideMark/>
          </w:tcPr>
          <w:p w14:paraId="64D48565"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480E6429"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6B254505"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0FD5BFA3"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6259C92"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3BF4440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06FF6058" w14:textId="77777777" w:rsidTr="00FC2B65">
        <w:trPr>
          <w:trHeight w:val="870"/>
        </w:trPr>
        <w:tc>
          <w:tcPr>
            <w:tcW w:w="680" w:type="dxa"/>
            <w:shd w:val="clear" w:color="auto" w:fill="auto"/>
            <w:noWrap/>
            <w:vAlign w:val="center"/>
            <w:hideMark/>
          </w:tcPr>
          <w:p w14:paraId="31A61960"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12</w:t>
            </w:r>
          </w:p>
        </w:tc>
        <w:tc>
          <w:tcPr>
            <w:tcW w:w="2978" w:type="dxa"/>
            <w:shd w:val="clear" w:color="auto" w:fill="auto"/>
            <w:vAlign w:val="center"/>
            <w:hideMark/>
          </w:tcPr>
          <w:p w14:paraId="4C2857B5" w14:textId="0FB57C5F"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 IMPACTO NOMATIVO EX POST DE LA RESOLUCIÓN CREG 130 DE 2019</w:t>
            </w:r>
            <w:r w:rsidR="00242AD9">
              <w:rPr>
                <w:rFonts w:ascii="Aptos Narrow" w:eastAsia="Times New Roman" w:hAnsi="Aptos Narrow" w:cs="Times New Roman"/>
                <w:color w:val="000000"/>
                <w:sz w:val="20"/>
                <w:szCs w:val="20"/>
                <w:lang w:eastAsia="es-CO"/>
              </w:rPr>
              <w:t>.</w:t>
            </w:r>
          </w:p>
        </w:tc>
        <w:tc>
          <w:tcPr>
            <w:tcW w:w="3402" w:type="dxa"/>
            <w:shd w:val="clear" w:color="auto" w:fill="auto"/>
            <w:noWrap/>
            <w:vAlign w:val="center"/>
            <w:hideMark/>
          </w:tcPr>
          <w:p w14:paraId="42B9A0CE" w14:textId="19A72302"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ex post de la Resolución 130 de 2019</w:t>
            </w:r>
            <w:r w:rsidR="00DE0F3C">
              <w:rPr>
                <w:rFonts w:ascii="Aptos Narrow" w:eastAsia="Times New Roman" w:hAnsi="Aptos Narrow" w:cs="Times New Roman"/>
                <w:color w:val="000000"/>
                <w:sz w:val="20"/>
                <w:szCs w:val="20"/>
                <w:lang w:eastAsia="es-CO"/>
              </w:rPr>
              <w:t xml:space="preserve">, </w:t>
            </w:r>
            <w:r w:rsidR="00242AD9">
              <w:rPr>
                <w:rFonts w:ascii="Aptos Narrow" w:eastAsia="Times New Roman" w:hAnsi="Aptos Narrow" w:cs="Times New Roman"/>
                <w:color w:val="000000"/>
                <w:sz w:val="20"/>
                <w:szCs w:val="20"/>
                <w:lang w:eastAsia="es-CO"/>
              </w:rPr>
              <w:t>p</w:t>
            </w:r>
            <w:r w:rsidR="00242AD9" w:rsidRPr="00242AD9">
              <w:rPr>
                <w:rFonts w:ascii="Aptos Narrow" w:eastAsia="Times New Roman" w:hAnsi="Aptos Narrow" w:cs="Times New Roman"/>
                <w:color w:val="000000"/>
                <w:sz w:val="20"/>
                <w:szCs w:val="20"/>
                <w:lang w:eastAsia="es-CO"/>
              </w:rPr>
              <w:t>or la cual se definen los principios, comportamientos y procedimientos que deben cumplir los comercializadores en la celebración de contratos de energía destinados al mercado regulado.</w:t>
            </w:r>
          </w:p>
        </w:tc>
        <w:tc>
          <w:tcPr>
            <w:tcW w:w="1299" w:type="dxa"/>
            <w:shd w:val="clear" w:color="auto" w:fill="auto"/>
            <w:noWrap/>
            <w:vAlign w:val="center"/>
            <w:hideMark/>
          </w:tcPr>
          <w:p w14:paraId="665AE7CF"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487BDC65"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52C2F39E"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C08E7F1"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CB6BF7A"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29DC6444"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776EF" w:rsidRPr="00EE08EF" w14:paraId="4E775AFF" w14:textId="77777777" w:rsidTr="00FC2B65">
        <w:trPr>
          <w:trHeight w:val="1250"/>
        </w:trPr>
        <w:tc>
          <w:tcPr>
            <w:tcW w:w="680" w:type="dxa"/>
            <w:shd w:val="clear" w:color="000000" w:fill="FFFFFF"/>
            <w:noWrap/>
            <w:vAlign w:val="center"/>
            <w:hideMark/>
          </w:tcPr>
          <w:p w14:paraId="0E1FC911"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13</w:t>
            </w:r>
          </w:p>
        </w:tc>
        <w:tc>
          <w:tcPr>
            <w:tcW w:w="2978" w:type="dxa"/>
            <w:shd w:val="clear" w:color="000000" w:fill="FFFFFF"/>
            <w:vAlign w:val="center"/>
            <w:hideMark/>
          </w:tcPr>
          <w:p w14:paraId="74715462" w14:textId="781D5E46" w:rsidR="00EE08EF" w:rsidRPr="00EE08EF" w:rsidRDefault="00EE08EF" w:rsidP="00EE08EF">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REVISIÓN </w:t>
            </w:r>
            <w:r w:rsidR="004856A3">
              <w:rPr>
                <w:rFonts w:ascii="Aptos Narrow" w:eastAsia="Times New Roman" w:hAnsi="Aptos Narrow" w:cs="Times New Roman"/>
                <w:sz w:val="20"/>
                <w:szCs w:val="20"/>
                <w:lang w:eastAsia="es-CO"/>
              </w:rPr>
              <w:t xml:space="preserve">DEL </w:t>
            </w:r>
            <w:r w:rsidRPr="00EE08EF">
              <w:rPr>
                <w:rFonts w:ascii="Aptos Narrow" w:eastAsia="Times New Roman" w:hAnsi="Aptos Narrow" w:cs="Times New Roman"/>
                <w:sz w:val="20"/>
                <w:szCs w:val="20"/>
                <w:lang w:eastAsia="es-CO"/>
              </w:rPr>
              <w:t>FACTOR AJ DEL COMPONENTE G DE LA TARIFA – AG/GD Y NUEVOS MERCADOS</w:t>
            </w:r>
            <w:r w:rsidR="00242AD9">
              <w:rPr>
                <w:rFonts w:ascii="Aptos Narrow" w:eastAsia="Times New Roman" w:hAnsi="Aptos Narrow" w:cs="Times New Roman"/>
                <w:sz w:val="20"/>
                <w:szCs w:val="20"/>
                <w:lang w:eastAsia="es-CO"/>
              </w:rPr>
              <w:t>.</w:t>
            </w:r>
          </w:p>
        </w:tc>
        <w:tc>
          <w:tcPr>
            <w:tcW w:w="3402" w:type="dxa"/>
            <w:shd w:val="clear" w:color="000000" w:fill="FFFFFF"/>
            <w:vAlign w:val="center"/>
            <w:hideMark/>
          </w:tcPr>
          <w:p w14:paraId="3ABF312F"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del factor de ajuste Aj, para articular el cálculo con los diferentes mecanismos para realizar compras de energía para atender a los usuarios regulados.</w:t>
            </w:r>
          </w:p>
        </w:tc>
        <w:tc>
          <w:tcPr>
            <w:tcW w:w="1299" w:type="dxa"/>
            <w:shd w:val="clear" w:color="000000" w:fill="FFFFFF"/>
            <w:noWrap/>
            <w:vAlign w:val="center"/>
            <w:hideMark/>
          </w:tcPr>
          <w:p w14:paraId="53CE9C0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000000" w:fill="FFFFFF"/>
            <w:vAlign w:val="center"/>
            <w:hideMark/>
          </w:tcPr>
          <w:p w14:paraId="3844D572"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000000" w:fill="FFFFFF"/>
            <w:noWrap/>
            <w:vAlign w:val="center"/>
            <w:hideMark/>
          </w:tcPr>
          <w:p w14:paraId="43BD3787"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hideMark/>
          </w:tcPr>
          <w:p w14:paraId="4D0809F6" w14:textId="77777777" w:rsidR="00EE08EF" w:rsidRPr="00EE08EF" w:rsidRDefault="00EE08EF" w:rsidP="00EE08EF">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48730CFD"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000000" w:fill="FFFFFF"/>
            <w:noWrap/>
            <w:vAlign w:val="center"/>
            <w:hideMark/>
          </w:tcPr>
          <w:p w14:paraId="00C631F6"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535165" w:rsidRPr="00EE08EF" w14:paraId="32E7B16C" w14:textId="77777777" w:rsidTr="00FC2B65">
        <w:trPr>
          <w:trHeight w:val="1950"/>
        </w:trPr>
        <w:tc>
          <w:tcPr>
            <w:tcW w:w="680" w:type="dxa"/>
            <w:shd w:val="clear" w:color="auto" w:fill="auto"/>
            <w:noWrap/>
            <w:vAlign w:val="center"/>
            <w:hideMark/>
          </w:tcPr>
          <w:p w14:paraId="53EABE0E" w14:textId="77777777" w:rsidR="00EE08EF" w:rsidRPr="00EE08EF" w:rsidRDefault="00EE08EF"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14</w:t>
            </w:r>
          </w:p>
        </w:tc>
        <w:tc>
          <w:tcPr>
            <w:tcW w:w="2978" w:type="dxa"/>
            <w:shd w:val="clear" w:color="auto" w:fill="auto"/>
            <w:vAlign w:val="center"/>
            <w:hideMark/>
          </w:tcPr>
          <w:p w14:paraId="6F8A0715" w14:textId="4A2CEFD9" w:rsidR="00EE08EF" w:rsidRPr="00EE08EF" w:rsidRDefault="00EE08EF" w:rsidP="00EE08EF">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REVISIÓN </w:t>
            </w:r>
            <w:r w:rsidR="00773771">
              <w:rPr>
                <w:rFonts w:ascii="Aptos Narrow" w:eastAsia="Times New Roman" w:hAnsi="Aptos Narrow" w:cs="Times New Roman"/>
                <w:sz w:val="20"/>
                <w:szCs w:val="20"/>
                <w:lang w:eastAsia="es-CO"/>
              </w:rPr>
              <w:t xml:space="preserve">DE </w:t>
            </w:r>
            <w:r w:rsidRPr="00EE08EF">
              <w:rPr>
                <w:rFonts w:ascii="Aptos Narrow" w:eastAsia="Times New Roman" w:hAnsi="Aptos Narrow" w:cs="Times New Roman"/>
                <w:sz w:val="20"/>
                <w:szCs w:val="20"/>
                <w:lang w:eastAsia="es-CO"/>
              </w:rPr>
              <w:t>INDICADORES DE SEGUIMIENTO MECANISMO DE COMERCIALIZACIÓN DERIVEX-CRCC</w:t>
            </w:r>
            <w:r w:rsidR="002028D1">
              <w:rPr>
                <w:rFonts w:ascii="Aptos Narrow" w:eastAsia="Times New Roman" w:hAnsi="Aptos Narrow" w:cs="Times New Roman"/>
                <w:sz w:val="20"/>
                <w:szCs w:val="20"/>
                <w:lang w:eastAsia="es-CO"/>
              </w:rPr>
              <w:t>.</w:t>
            </w:r>
          </w:p>
        </w:tc>
        <w:tc>
          <w:tcPr>
            <w:tcW w:w="3402" w:type="dxa"/>
            <w:shd w:val="clear" w:color="auto" w:fill="auto"/>
            <w:vAlign w:val="center"/>
            <w:hideMark/>
          </w:tcPr>
          <w:p w14:paraId="1D3EB554"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los indicadores de resultado del mecanismo de Derivex CRCC, evaluado conforme a lo establecido en la Resolución CREG 114 de 2018.</w:t>
            </w:r>
          </w:p>
        </w:tc>
        <w:tc>
          <w:tcPr>
            <w:tcW w:w="1299" w:type="dxa"/>
            <w:shd w:val="clear" w:color="auto" w:fill="auto"/>
            <w:noWrap/>
            <w:vAlign w:val="center"/>
            <w:hideMark/>
          </w:tcPr>
          <w:p w14:paraId="09BF255F"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509566D" w14:textId="77777777" w:rsidR="00EE08EF" w:rsidRPr="00EE08EF" w:rsidRDefault="00EE08EF" w:rsidP="00EE08EF">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auto" w:fill="auto"/>
            <w:noWrap/>
            <w:vAlign w:val="center"/>
            <w:hideMark/>
          </w:tcPr>
          <w:p w14:paraId="52454DD1"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7C729EF" w14:textId="77777777" w:rsidR="00EE08EF" w:rsidRPr="00EE08EF" w:rsidRDefault="00EE08EF" w:rsidP="00EE08EF">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EA09BF4"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328BA939" w14:textId="77777777" w:rsidR="00EE08EF" w:rsidRPr="00EE08EF" w:rsidRDefault="00EE08EF" w:rsidP="00EE08EF">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4368F97B" w14:textId="77777777" w:rsidTr="00FC2B65">
        <w:trPr>
          <w:trHeight w:val="1160"/>
        </w:trPr>
        <w:tc>
          <w:tcPr>
            <w:tcW w:w="680" w:type="dxa"/>
            <w:shd w:val="clear" w:color="auto" w:fill="auto"/>
            <w:noWrap/>
            <w:vAlign w:val="center"/>
          </w:tcPr>
          <w:p w14:paraId="09814507" w14:textId="795FE999"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15</w:t>
            </w:r>
          </w:p>
        </w:tc>
        <w:tc>
          <w:tcPr>
            <w:tcW w:w="2978" w:type="dxa"/>
            <w:shd w:val="clear" w:color="auto" w:fill="auto"/>
            <w:vAlign w:val="center"/>
          </w:tcPr>
          <w:p w14:paraId="3F41D6B7" w14:textId="6B72658C" w:rsidR="00237B86"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DEL ESTATUTO DE RACIONAMIENTO</w:t>
            </w:r>
          </w:p>
        </w:tc>
        <w:tc>
          <w:tcPr>
            <w:tcW w:w="3402" w:type="dxa"/>
            <w:shd w:val="clear" w:color="auto" w:fill="auto"/>
            <w:vAlign w:val="center"/>
          </w:tcPr>
          <w:p w14:paraId="5BD6F4A8" w14:textId="1EAE9BE1"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Evaluar los ajustes del sistema en escenarios de desabastecimiento.</w:t>
            </w:r>
          </w:p>
        </w:tc>
        <w:tc>
          <w:tcPr>
            <w:tcW w:w="1299" w:type="dxa"/>
            <w:shd w:val="clear" w:color="auto" w:fill="auto"/>
            <w:noWrap/>
            <w:vAlign w:val="center"/>
          </w:tcPr>
          <w:p w14:paraId="6074CA7D" w14:textId="2B9ECF7F"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noWrap/>
            <w:vAlign w:val="center"/>
          </w:tcPr>
          <w:p w14:paraId="7B89081B" w14:textId="068AFCED"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Generación y mercado mayorista</w:t>
            </w:r>
          </w:p>
        </w:tc>
        <w:tc>
          <w:tcPr>
            <w:tcW w:w="1200" w:type="dxa"/>
            <w:shd w:val="clear" w:color="000000" w:fill="FFFFFF"/>
            <w:noWrap/>
            <w:vAlign w:val="center"/>
          </w:tcPr>
          <w:p w14:paraId="5308E6D3" w14:textId="1D15D602"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178BFF9A" w14:textId="69BFD042"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70D96D57" w14:textId="7EA56364"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60449DDC" w14:textId="29E2F75A"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Doc.1</w:t>
            </w:r>
          </w:p>
        </w:tc>
      </w:tr>
      <w:tr w:rsidR="00237B86" w:rsidRPr="00EE08EF" w14:paraId="7CB181E7" w14:textId="77777777" w:rsidTr="00FC2B65">
        <w:trPr>
          <w:trHeight w:val="1160"/>
        </w:trPr>
        <w:tc>
          <w:tcPr>
            <w:tcW w:w="680" w:type="dxa"/>
            <w:shd w:val="clear" w:color="auto" w:fill="auto"/>
            <w:noWrap/>
            <w:vAlign w:val="center"/>
            <w:hideMark/>
          </w:tcPr>
          <w:p w14:paraId="7D8E3B2C" w14:textId="3B21242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w:t>
            </w:r>
            <w:r>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5480F700" w14:textId="2E5D3E16" w:rsidR="00237B86" w:rsidRPr="00EE08EF" w:rsidRDefault="00237B86" w:rsidP="00237B86">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PUBLICACIÓN</w:t>
            </w:r>
            <w:r w:rsidRPr="00EE08EF">
              <w:rPr>
                <w:rFonts w:ascii="Aptos Narrow" w:eastAsia="Times New Roman" w:hAnsi="Aptos Narrow" w:cs="Times New Roman"/>
                <w:sz w:val="20"/>
                <w:szCs w:val="20"/>
                <w:lang w:eastAsia="es-CO"/>
              </w:rPr>
              <w:t xml:space="preserve"> MINUTA DE CONTRATOS DE CONEXIÓN PARA PROYECTOS CLASE 1 DE LA RESOLUCIÓN CREG 075 DE 2021</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7290AA1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Publicación de las minutas de contrato de conexión al SIN, STR y SDL, de acuerdo con lo estipulado en el artículo 31 de la Resolución CREG 075 de 2021.</w:t>
            </w:r>
          </w:p>
        </w:tc>
        <w:tc>
          <w:tcPr>
            <w:tcW w:w="1299" w:type="dxa"/>
            <w:shd w:val="clear" w:color="auto" w:fill="auto"/>
            <w:noWrap/>
            <w:vAlign w:val="center"/>
            <w:hideMark/>
          </w:tcPr>
          <w:p w14:paraId="32DB290D"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1CC29DC8"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712BD52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Circular</w:t>
            </w:r>
          </w:p>
        </w:tc>
        <w:tc>
          <w:tcPr>
            <w:tcW w:w="1200" w:type="dxa"/>
            <w:shd w:val="clear" w:color="000000" w:fill="FFFFFF"/>
            <w:noWrap/>
            <w:vAlign w:val="center"/>
            <w:hideMark/>
          </w:tcPr>
          <w:p w14:paraId="399C13CD"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33B07DF5"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14DCFBB8"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24E853F8" w14:textId="77777777" w:rsidTr="00FC2B65">
        <w:trPr>
          <w:trHeight w:val="2320"/>
        </w:trPr>
        <w:tc>
          <w:tcPr>
            <w:tcW w:w="680" w:type="dxa"/>
            <w:shd w:val="clear" w:color="auto" w:fill="auto"/>
            <w:noWrap/>
            <w:vAlign w:val="center"/>
            <w:hideMark/>
          </w:tcPr>
          <w:p w14:paraId="40D186BC" w14:textId="75422A6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1</w:t>
            </w:r>
            <w:r>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412AB20A" w14:textId="2B1FD1FD" w:rsidR="00237B86" w:rsidRPr="00060F2C" w:rsidRDefault="00237B86" w:rsidP="00237B86">
            <w:pPr>
              <w:spacing w:before="0" w:after="0" w:line="240" w:lineRule="auto"/>
              <w:rPr>
                <w:rFonts w:ascii="Aptos Narrow" w:eastAsia="Times New Roman" w:hAnsi="Aptos Narrow" w:cs="Times New Roman"/>
                <w:sz w:val="20"/>
                <w:szCs w:val="20"/>
                <w:lang w:val="pt-PT" w:eastAsia="es-CO"/>
              </w:rPr>
            </w:pPr>
            <w:r w:rsidRPr="00060F2C">
              <w:rPr>
                <w:rFonts w:ascii="Aptos Narrow" w:eastAsia="Times New Roman" w:hAnsi="Aptos Narrow" w:cs="Times New Roman"/>
                <w:sz w:val="20"/>
                <w:szCs w:val="20"/>
                <w:lang w:val="pt-PT" w:eastAsia="es-CO"/>
              </w:rPr>
              <w:t>AJUSTE CÓDIGO DE REDES - CÓDIGO DE PLANEACIÓN.</w:t>
            </w:r>
          </w:p>
        </w:tc>
        <w:tc>
          <w:tcPr>
            <w:tcW w:w="3402" w:type="dxa"/>
            <w:shd w:val="clear" w:color="auto" w:fill="auto"/>
            <w:vAlign w:val="center"/>
            <w:hideMark/>
          </w:tcPr>
          <w:p w14:paraId="1DFCF803"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Complementar la regulación vigente respecto a los lineamientos de la planeación en el STN y STR y establecer pautas del contenido mínimo de los análisis en el ámbito de planeamiento energético llevados a cabo por la UPME en coordinación con otros agentes del sector incluyendo las nuevas tecnologías disponibles y viables económicamente en el mercado.</w:t>
            </w:r>
          </w:p>
        </w:tc>
        <w:tc>
          <w:tcPr>
            <w:tcW w:w="1299" w:type="dxa"/>
            <w:shd w:val="clear" w:color="auto" w:fill="auto"/>
            <w:noWrap/>
            <w:vAlign w:val="center"/>
            <w:hideMark/>
          </w:tcPr>
          <w:p w14:paraId="0CC33E6B"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393E529B"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26F3E5F1"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hideMark/>
          </w:tcPr>
          <w:p w14:paraId="75C91C06"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000000" w:fill="FFFFFF"/>
            <w:noWrap/>
            <w:vAlign w:val="center"/>
            <w:hideMark/>
          </w:tcPr>
          <w:p w14:paraId="3F450B57"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56D0D781"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0E25E32B" w14:textId="77777777" w:rsidTr="00FC2B65">
        <w:trPr>
          <w:trHeight w:val="870"/>
        </w:trPr>
        <w:tc>
          <w:tcPr>
            <w:tcW w:w="680" w:type="dxa"/>
            <w:shd w:val="clear" w:color="auto" w:fill="auto"/>
            <w:noWrap/>
            <w:vAlign w:val="center"/>
            <w:hideMark/>
          </w:tcPr>
          <w:p w14:paraId="7FEA1E57" w14:textId="66A4063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w:t>
            </w:r>
            <w:r>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539AFA39" w14:textId="44AF33D8" w:rsidR="00237B86" w:rsidRPr="00EE08EF" w:rsidRDefault="00237B86" w:rsidP="00237B86">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REVISIÓN DE LA </w:t>
            </w:r>
            <w:r w:rsidRPr="00EE08EF">
              <w:rPr>
                <w:rFonts w:ascii="Aptos Narrow" w:eastAsia="Times New Roman" w:hAnsi="Aptos Narrow" w:cs="Times New Roman"/>
                <w:sz w:val="20"/>
                <w:szCs w:val="20"/>
                <w:lang w:eastAsia="es-CO"/>
              </w:rPr>
              <w:t>METODOLOGÍA DE REMUNERACIÓN DE TRANSMISIÓN</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7B7E380B" w14:textId="5D6582A1"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Continuación del proceso de revisión de la metodología de remuneración de la actividad de transmisión</w:t>
            </w:r>
            <w:r>
              <w:rPr>
                <w:rFonts w:ascii="Aptos Narrow" w:eastAsia="Times New Roman" w:hAnsi="Aptos Narrow" w:cs="Times New Roman"/>
                <w:color w:val="000000"/>
                <w:sz w:val="20"/>
                <w:szCs w:val="20"/>
                <w:lang w:eastAsia="es-CO"/>
              </w:rPr>
              <w:t>.</w:t>
            </w:r>
          </w:p>
        </w:tc>
        <w:tc>
          <w:tcPr>
            <w:tcW w:w="1299" w:type="dxa"/>
            <w:shd w:val="clear" w:color="auto" w:fill="auto"/>
            <w:noWrap/>
            <w:vAlign w:val="center"/>
            <w:hideMark/>
          </w:tcPr>
          <w:p w14:paraId="3438E7F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062702C3"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21A1B02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52EED228"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000000" w:fill="FFFFFF"/>
            <w:noWrap/>
            <w:vAlign w:val="center"/>
            <w:hideMark/>
          </w:tcPr>
          <w:p w14:paraId="2F011F26"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5914CDBE"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303FD078" w14:textId="77777777" w:rsidTr="00FC2B65">
        <w:trPr>
          <w:trHeight w:val="870"/>
        </w:trPr>
        <w:tc>
          <w:tcPr>
            <w:tcW w:w="680" w:type="dxa"/>
            <w:shd w:val="clear" w:color="auto" w:fill="auto"/>
            <w:noWrap/>
            <w:vAlign w:val="center"/>
            <w:hideMark/>
          </w:tcPr>
          <w:p w14:paraId="5E88A6BC" w14:textId="3732379E"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1</w:t>
            </w:r>
            <w:r>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3B716A64" w14:textId="4186E54E" w:rsidR="00237B86" w:rsidRPr="00EE08EF" w:rsidRDefault="00237B86" w:rsidP="00237B86">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DEFINICIÓN DE REQUISITOS TÉCNICOS DE </w:t>
            </w:r>
            <w:r w:rsidRPr="00EE08EF">
              <w:rPr>
                <w:rFonts w:ascii="Aptos Narrow" w:eastAsia="Times New Roman" w:hAnsi="Aptos Narrow" w:cs="Times New Roman"/>
                <w:sz w:val="20"/>
                <w:szCs w:val="20"/>
                <w:lang w:eastAsia="es-CO"/>
              </w:rPr>
              <w:t>CONEXIONES COMPARTIDAS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090B4DFB" w14:textId="47C635B1"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Desarrollar la regulación para permitir la conexión y operación de plantas de generación que comparten activos de conexión.</w:t>
            </w:r>
            <w:r>
              <w:rPr>
                <w:rFonts w:ascii="Aptos Narrow" w:eastAsia="Times New Roman" w:hAnsi="Aptos Narrow" w:cs="Times New Roman"/>
                <w:color w:val="000000"/>
                <w:sz w:val="20"/>
                <w:szCs w:val="20"/>
                <w:lang w:eastAsia="es-CO"/>
              </w:rPr>
              <w:t xml:space="preserve"> </w:t>
            </w:r>
            <w:r>
              <w:rPr>
                <w:rFonts w:ascii="Aptos Narrow" w:eastAsia="Times New Roman" w:hAnsi="Aptos Narrow" w:cs="Times New Roman"/>
                <w:sz w:val="20"/>
                <w:szCs w:val="20"/>
                <w:lang w:eastAsia="es-CO"/>
              </w:rPr>
              <w:t xml:space="preserve">Resolución </w:t>
            </w:r>
            <w:r w:rsidRPr="00EE08EF">
              <w:rPr>
                <w:rFonts w:ascii="Aptos Narrow" w:eastAsia="Times New Roman" w:hAnsi="Aptos Narrow" w:cs="Times New Roman"/>
                <w:sz w:val="20"/>
                <w:szCs w:val="20"/>
                <w:lang w:eastAsia="es-CO"/>
              </w:rPr>
              <w:t>701 026</w:t>
            </w:r>
            <w:r>
              <w:rPr>
                <w:rFonts w:ascii="Aptos Narrow" w:eastAsia="Times New Roman" w:hAnsi="Aptos Narrow" w:cs="Times New Roman"/>
                <w:sz w:val="20"/>
                <w:szCs w:val="20"/>
                <w:lang w:eastAsia="es-CO"/>
              </w:rPr>
              <w:t xml:space="preserve"> 2022.</w:t>
            </w:r>
          </w:p>
        </w:tc>
        <w:tc>
          <w:tcPr>
            <w:tcW w:w="1299" w:type="dxa"/>
            <w:shd w:val="clear" w:color="auto" w:fill="auto"/>
            <w:noWrap/>
            <w:vAlign w:val="center"/>
            <w:hideMark/>
          </w:tcPr>
          <w:p w14:paraId="11BB4CE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59814481"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4F2DF0DD"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000000" w:fill="FFFFFF"/>
            <w:noWrap/>
            <w:vAlign w:val="center"/>
            <w:hideMark/>
          </w:tcPr>
          <w:p w14:paraId="307E2C9F"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73829D89"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74E27F7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77970394" w14:textId="77777777" w:rsidTr="00FC2B65">
        <w:trPr>
          <w:trHeight w:val="1160"/>
        </w:trPr>
        <w:tc>
          <w:tcPr>
            <w:tcW w:w="680" w:type="dxa"/>
            <w:shd w:val="clear" w:color="auto" w:fill="auto"/>
            <w:noWrap/>
            <w:vAlign w:val="center"/>
            <w:hideMark/>
          </w:tcPr>
          <w:p w14:paraId="1B2D4AE9" w14:textId="35F93D1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20</w:t>
            </w:r>
          </w:p>
        </w:tc>
        <w:tc>
          <w:tcPr>
            <w:tcW w:w="2978" w:type="dxa"/>
            <w:shd w:val="clear" w:color="auto" w:fill="auto"/>
            <w:vAlign w:val="center"/>
            <w:hideMark/>
          </w:tcPr>
          <w:p w14:paraId="339F92C7" w14:textId="212390E3"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MODIFICACIÓN DE LA RESOLUCIÓN CREG 075 DE 2021. ASIGNACIÓN DE CAPACIDAD DE TRANSPORTE</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0BCEB6B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Actualización de las disposiciones de asignación de capacidad de transporte con base en la información y sugerencias de ajuste recibidas en la Comisión, tras la experiencia de aplicación.</w:t>
            </w:r>
          </w:p>
        </w:tc>
        <w:tc>
          <w:tcPr>
            <w:tcW w:w="1299" w:type="dxa"/>
            <w:shd w:val="clear" w:color="auto" w:fill="auto"/>
            <w:noWrap/>
            <w:vAlign w:val="center"/>
            <w:hideMark/>
          </w:tcPr>
          <w:p w14:paraId="144506FE"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3729F6B2"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5FE9DBE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29A56969"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49C9A1BC"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574E72CD"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r>
      <w:tr w:rsidR="00237B86" w:rsidRPr="00EE08EF" w14:paraId="7877C3C7" w14:textId="77777777" w:rsidTr="00FC2B65">
        <w:trPr>
          <w:trHeight w:val="1160"/>
        </w:trPr>
        <w:tc>
          <w:tcPr>
            <w:tcW w:w="680" w:type="dxa"/>
            <w:shd w:val="clear" w:color="auto" w:fill="auto"/>
            <w:noWrap/>
            <w:vAlign w:val="center"/>
            <w:hideMark/>
          </w:tcPr>
          <w:p w14:paraId="77712E30" w14:textId="38A17150"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1</w:t>
            </w:r>
          </w:p>
        </w:tc>
        <w:tc>
          <w:tcPr>
            <w:tcW w:w="2978" w:type="dxa"/>
            <w:shd w:val="clear" w:color="auto" w:fill="auto"/>
            <w:vAlign w:val="center"/>
            <w:hideMark/>
          </w:tcPr>
          <w:p w14:paraId="4C05D728" w14:textId="24AB8AE4"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REPRESENTACIÓN DE ACTIVOS EN EL SISTEMA DE TRANSMISIÓN NACIONAL</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71BECC8"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Definir reglas para representar activos de terceros en el STN y STR cuando los transportadores existentes no están interesados en representarlos.</w:t>
            </w:r>
          </w:p>
        </w:tc>
        <w:tc>
          <w:tcPr>
            <w:tcW w:w="1299" w:type="dxa"/>
            <w:shd w:val="clear" w:color="auto" w:fill="auto"/>
            <w:noWrap/>
            <w:vAlign w:val="center"/>
            <w:hideMark/>
          </w:tcPr>
          <w:p w14:paraId="25576091"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24205F16"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08ECA29E"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000000" w:fill="FFFFFF"/>
            <w:noWrap/>
            <w:vAlign w:val="center"/>
            <w:hideMark/>
          </w:tcPr>
          <w:p w14:paraId="79272FC8"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6F61082F"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7883EF14"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7ABBF2FE" w14:textId="77777777" w:rsidTr="00FC2B65">
        <w:trPr>
          <w:trHeight w:val="3190"/>
        </w:trPr>
        <w:tc>
          <w:tcPr>
            <w:tcW w:w="680" w:type="dxa"/>
            <w:shd w:val="clear" w:color="auto" w:fill="auto"/>
            <w:noWrap/>
            <w:vAlign w:val="center"/>
            <w:hideMark/>
          </w:tcPr>
          <w:p w14:paraId="259EB0B1" w14:textId="19DFDE51"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2</w:t>
            </w:r>
            <w:r>
              <w:rPr>
                <w:rFonts w:ascii="Aptos Narrow" w:eastAsia="Times New Roman" w:hAnsi="Aptos Narrow" w:cs="Times New Roman"/>
                <w:color w:val="000000"/>
                <w:sz w:val="20"/>
                <w:szCs w:val="20"/>
                <w:lang w:eastAsia="es-CO"/>
              </w:rPr>
              <w:t>2</w:t>
            </w:r>
          </w:p>
        </w:tc>
        <w:tc>
          <w:tcPr>
            <w:tcW w:w="2978" w:type="dxa"/>
            <w:shd w:val="clear" w:color="auto" w:fill="auto"/>
            <w:vAlign w:val="center"/>
            <w:hideMark/>
          </w:tcPr>
          <w:p w14:paraId="53ED3278" w14:textId="32216FA3"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CUMPLIMIENTO </w:t>
            </w:r>
            <w:r>
              <w:rPr>
                <w:rFonts w:ascii="Aptos Narrow" w:eastAsia="Times New Roman" w:hAnsi="Aptos Narrow" w:cs="Times New Roman"/>
                <w:sz w:val="20"/>
                <w:szCs w:val="20"/>
                <w:lang w:eastAsia="es-CO"/>
              </w:rPr>
              <w:t xml:space="preserve">DE </w:t>
            </w:r>
            <w:r w:rsidRPr="00EE08EF">
              <w:rPr>
                <w:rFonts w:ascii="Aptos Narrow" w:eastAsia="Times New Roman" w:hAnsi="Aptos Narrow" w:cs="Times New Roman"/>
                <w:sz w:val="20"/>
                <w:szCs w:val="20"/>
                <w:lang w:eastAsia="es-CO"/>
              </w:rPr>
              <w:t>PENDIENTES RESOLUCIÓN MME 40042 DE 2024</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4DB5F9F6"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Expedición de las disposiciones regulatorias que se encuentran pendientes de la Resolución MME 40042 de 2024 "Por la cual se establecen lineamientos sobre la modificación de Fecha de Puesta en Operación (FPO) y las Garantías para los proyectos de generación, cogeneración, autogeneración, contratos de suministro de energía a largo plazo y almacenamiento de energía con baterías y se adoptan otras disposiciones", en particular los numerales 7.4 a 7.10 del artículo1 y los artículos 2 al 5. </w:t>
            </w:r>
          </w:p>
        </w:tc>
        <w:tc>
          <w:tcPr>
            <w:tcW w:w="1299" w:type="dxa"/>
            <w:shd w:val="clear" w:color="auto" w:fill="auto"/>
            <w:noWrap/>
            <w:vAlign w:val="center"/>
            <w:hideMark/>
          </w:tcPr>
          <w:p w14:paraId="5943407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noWrap/>
            <w:vAlign w:val="center"/>
            <w:hideMark/>
          </w:tcPr>
          <w:p w14:paraId="040BDC03"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Transmisión</w:t>
            </w:r>
          </w:p>
        </w:tc>
        <w:tc>
          <w:tcPr>
            <w:tcW w:w="1200" w:type="dxa"/>
            <w:shd w:val="clear" w:color="000000" w:fill="FFFFFF"/>
            <w:noWrap/>
            <w:vAlign w:val="center"/>
            <w:hideMark/>
          </w:tcPr>
          <w:p w14:paraId="560411F7"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75321761"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000000" w:fill="FFFFFF"/>
            <w:noWrap/>
            <w:vAlign w:val="center"/>
            <w:hideMark/>
          </w:tcPr>
          <w:p w14:paraId="1DB7DE99"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000000" w:fill="FFFFFF"/>
            <w:noWrap/>
            <w:vAlign w:val="center"/>
            <w:hideMark/>
          </w:tcPr>
          <w:p w14:paraId="31E35EE3"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387AFE69" w14:textId="77777777" w:rsidTr="00FC2B65">
        <w:trPr>
          <w:trHeight w:val="1160"/>
        </w:trPr>
        <w:tc>
          <w:tcPr>
            <w:tcW w:w="680" w:type="dxa"/>
            <w:shd w:val="clear" w:color="auto" w:fill="auto"/>
            <w:noWrap/>
            <w:vAlign w:val="center"/>
            <w:hideMark/>
          </w:tcPr>
          <w:p w14:paraId="1765F3E3" w14:textId="5D4B341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3D49F773" w14:textId="7239ED00" w:rsidR="00237B86" w:rsidRPr="00EE08EF" w:rsidRDefault="00237B86" w:rsidP="00237B86">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ACTUALIZACIÓN DE LA </w:t>
            </w:r>
            <w:r w:rsidRPr="00EE08EF">
              <w:rPr>
                <w:rFonts w:ascii="Aptos Narrow" w:eastAsia="Times New Roman" w:hAnsi="Aptos Narrow" w:cs="Times New Roman"/>
                <w:sz w:val="20"/>
                <w:szCs w:val="20"/>
                <w:lang w:eastAsia="es-CO"/>
              </w:rPr>
              <w:t>METODOLOGÍA DE DISTRIBUCIÓN DE ENERGÍA ELÉCTRICA</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9A6C227"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Actualización de la metodología de remuneración de la actividad de distribución por el cumplimiento del periodo tarifario actual.</w:t>
            </w:r>
          </w:p>
        </w:tc>
        <w:tc>
          <w:tcPr>
            <w:tcW w:w="1299" w:type="dxa"/>
            <w:shd w:val="clear" w:color="auto" w:fill="auto"/>
            <w:noWrap/>
            <w:vAlign w:val="center"/>
            <w:hideMark/>
          </w:tcPr>
          <w:p w14:paraId="6D734807"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7A9F2A07"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471C478D"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22F1D38D"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24D8E35"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645553C1"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r>
      <w:tr w:rsidR="00237B86" w:rsidRPr="00EE08EF" w14:paraId="0096195A" w14:textId="77777777" w:rsidTr="00FC2B65">
        <w:trPr>
          <w:trHeight w:val="2850"/>
        </w:trPr>
        <w:tc>
          <w:tcPr>
            <w:tcW w:w="680" w:type="dxa"/>
            <w:shd w:val="clear" w:color="auto" w:fill="auto"/>
            <w:noWrap/>
            <w:vAlign w:val="center"/>
            <w:hideMark/>
          </w:tcPr>
          <w:p w14:paraId="617EE02E" w14:textId="6B534FDF"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2</w:t>
            </w:r>
            <w:r>
              <w:rPr>
                <w:rFonts w:ascii="Aptos Narrow" w:eastAsia="Times New Roman" w:hAnsi="Aptos Narrow" w:cs="Times New Roman"/>
                <w:color w:val="000000"/>
                <w:sz w:val="20"/>
                <w:szCs w:val="20"/>
                <w:lang w:eastAsia="es-CO"/>
              </w:rPr>
              <w:t>4</w:t>
            </w:r>
          </w:p>
        </w:tc>
        <w:tc>
          <w:tcPr>
            <w:tcW w:w="2978" w:type="dxa"/>
            <w:shd w:val="clear" w:color="auto" w:fill="auto"/>
            <w:vAlign w:val="center"/>
            <w:hideMark/>
          </w:tcPr>
          <w:p w14:paraId="5B6B1CFA" w14:textId="58BF3402"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xml:space="preserve">CONTROL DE TENSIÓN Y REACTIVOS Y COBRO DE LA RESOLUCIÓN CREG 015 DE 2018 DE AUTOGENERACIÓN A GRAN ESCALA </w:t>
            </w:r>
            <w:r>
              <w:rPr>
                <w:rFonts w:ascii="Aptos Narrow" w:eastAsia="Times New Roman" w:hAnsi="Aptos Narrow" w:cs="Times New Roman"/>
                <w:sz w:val="20"/>
                <w:szCs w:val="20"/>
                <w:lang w:eastAsia="es-CO"/>
              </w:rPr>
              <w:t>–</w:t>
            </w:r>
            <w:r w:rsidRPr="00EE08EF">
              <w:rPr>
                <w:rFonts w:ascii="Aptos Narrow" w:eastAsia="Times New Roman" w:hAnsi="Aptos Narrow" w:cs="Times New Roman"/>
                <w:sz w:val="20"/>
                <w:szCs w:val="20"/>
                <w:lang w:eastAsia="es-CO"/>
              </w:rPr>
              <w:t xml:space="preserve"> AGGE</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37437B9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Definición de los requerimientos técnicos de control de tensión y/o de potencia reactiva que deben cumplir los usuarios AGPE, un GD o un AGGE de capacidad menor a 5 MW en el sistema. Este proyecto debe alinearse con lo señalado en el Decreto 929 de 2023 en la cual se exoneran los AGPE con FNCER, pero no se tiene nada referente a los GD ni a los AGGE de capacidad menor a 5 MW. </w:t>
            </w:r>
          </w:p>
        </w:tc>
        <w:tc>
          <w:tcPr>
            <w:tcW w:w="1299" w:type="dxa"/>
            <w:shd w:val="clear" w:color="auto" w:fill="auto"/>
            <w:noWrap/>
            <w:vAlign w:val="center"/>
            <w:hideMark/>
          </w:tcPr>
          <w:p w14:paraId="32E9F2E1"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54176818"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2101501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A694C81"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4A8D0C6"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B5E0297"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r>
      <w:tr w:rsidR="00237B86" w:rsidRPr="00EE08EF" w14:paraId="3F74F044" w14:textId="77777777" w:rsidTr="00FC2B65">
        <w:trPr>
          <w:trHeight w:val="3330"/>
        </w:trPr>
        <w:tc>
          <w:tcPr>
            <w:tcW w:w="680" w:type="dxa"/>
            <w:shd w:val="clear" w:color="auto" w:fill="auto"/>
            <w:noWrap/>
            <w:vAlign w:val="center"/>
            <w:hideMark/>
          </w:tcPr>
          <w:p w14:paraId="1957318B" w14:textId="11966383"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5</w:t>
            </w:r>
          </w:p>
        </w:tc>
        <w:tc>
          <w:tcPr>
            <w:tcW w:w="2978" w:type="dxa"/>
            <w:shd w:val="clear" w:color="auto" w:fill="auto"/>
            <w:vAlign w:val="center"/>
            <w:hideMark/>
          </w:tcPr>
          <w:p w14:paraId="41145C8B" w14:textId="163481D2"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DE LA RESOLUCIÓN CREG 122 DE 2011</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452F0492"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los costos de facturación y recaudo dispuestos en la Resolución CREG 122 de 2011.</w:t>
            </w:r>
          </w:p>
        </w:tc>
        <w:tc>
          <w:tcPr>
            <w:tcW w:w="1299" w:type="dxa"/>
            <w:shd w:val="clear" w:color="auto" w:fill="auto"/>
            <w:noWrap/>
            <w:vAlign w:val="center"/>
            <w:hideMark/>
          </w:tcPr>
          <w:p w14:paraId="37CF1C85"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1F85FF19"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7298215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51432C51"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907FE1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62AA6F19"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r>
      <w:tr w:rsidR="00237B86" w:rsidRPr="00EE08EF" w14:paraId="094B3CFE" w14:textId="77777777" w:rsidTr="00FC2B65">
        <w:trPr>
          <w:trHeight w:val="2260"/>
        </w:trPr>
        <w:tc>
          <w:tcPr>
            <w:tcW w:w="680" w:type="dxa"/>
            <w:shd w:val="clear" w:color="auto" w:fill="auto"/>
            <w:noWrap/>
            <w:vAlign w:val="center"/>
            <w:hideMark/>
          </w:tcPr>
          <w:p w14:paraId="043246E9" w14:textId="76BC2CA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2</w:t>
            </w:r>
            <w:r>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17D702D5" w14:textId="7DCB5C2C"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RÉGIMEN ESPECIAL PARA CARIBE</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2E9462F9"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Actuación administrativa iniciada para ajustar y/o modificar la Resolución CREG 010 de 2020 de acuerdo con lo ordenado por el Tribunal Administrativo del Atlántico en el Auto dictado dentro del medio de control Acción Popular radicado 08-001-23-33-000-2022-00397-00-ACUMULADO</w:t>
            </w:r>
          </w:p>
        </w:tc>
        <w:tc>
          <w:tcPr>
            <w:tcW w:w="1299" w:type="dxa"/>
            <w:shd w:val="clear" w:color="auto" w:fill="auto"/>
            <w:noWrap/>
            <w:vAlign w:val="center"/>
            <w:hideMark/>
          </w:tcPr>
          <w:p w14:paraId="0DA5A9C6"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276ED710"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623D5B4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66E2894E"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1BBA541F"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p>
        </w:tc>
        <w:tc>
          <w:tcPr>
            <w:tcW w:w="1200" w:type="dxa"/>
            <w:shd w:val="clear" w:color="auto" w:fill="auto"/>
            <w:noWrap/>
            <w:vAlign w:val="center"/>
            <w:hideMark/>
          </w:tcPr>
          <w:p w14:paraId="5639FA7C"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7DB3FB5B" w14:textId="77777777" w:rsidTr="00FC2B65">
        <w:trPr>
          <w:trHeight w:val="2000"/>
        </w:trPr>
        <w:tc>
          <w:tcPr>
            <w:tcW w:w="680" w:type="dxa"/>
            <w:shd w:val="clear" w:color="auto" w:fill="auto"/>
            <w:noWrap/>
            <w:vAlign w:val="center"/>
            <w:hideMark/>
          </w:tcPr>
          <w:p w14:paraId="266F9CDD" w14:textId="174AF4B1"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22E193CB" w14:textId="155C3019"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USO DE ACTIVOS DE CONEXIÓN PARA ATENCIÓN DE DEMANDA</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42EF8D7D"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regulación para atender las necesidades de atención de demanda que pueden ser resultas a través del uso de activos de conexión existentes en el Sistema Interconectado Nacional.</w:t>
            </w:r>
          </w:p>
        </w:tc>
        <w:tc>
          <w:tcPr>
            <w:tcW w:w="1299" w:type="dxa"/>
            <w:shd w:val="clear" w:color="auto" w:fill="auto"/>
            <w:noWrap/>
            <w:vAlign w:val="center"/>
            <w:hideMark/>
          </w:tcPr>
          <w:p w14:paraId="7B13DDD5"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auto" w:fill="auto"/>
            <w:vAlign w:val="center"/>
            <w:hideMark/>
          </w:tcPr>
          <w:p w14:paraId="44322406"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Distribución</w:t>
            </w:r>
          </w:p>
        </w:tc>
        <w:tc>
          <w:tcPr>
            <w:tcW w:w="1200" w:type="dxa"/>
            <w:shd w:val="clear" w:color="auto" w:fill="auto"/>
            <w:noWrap/>
            <w:vAlign w:val="center"/>
            <w:hideMark/>
          </w:tcPr>
          <w:p w14:paraId="529CC688"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63792CC4"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AB7417B"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2357E334"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5B063124" w14:textId="77777777" w:rsidTr="00FC2B65">
        <w:trPr>
          <w:trHeight w:val="1160"/>
        </w:trPr>
        <w:tc>
          <w:tcPr>
            <w:tcW w:w="680" w:type="dxa"/>
            <w:shd w:val="clear" w:color="auto" w:fill="auto"/>
            <w:noWrap/>
            <w:vAlign w:val="center"/>
            <w:hideMark/>
          </w:tcPr>
          <w:p w14:paraId="7CBEDE79" w14:textId="7975EF1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4169B115" w14:textId="6A33138C"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INFRAESTRUCTURA DE MEDICIÓN AVANZADA – AMI</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EBB467A" w14:textId="3ACA855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la metodología de la Resolución 101001 de 2022 conforme a la sentencia del concejo de estado respecto del articulo 66 de la ley 2099 de 2021.</w:t>
            </w:r>
          </w:p>
        </w:tc>
        <w:tc>
          <w:tcPr>
            <w:tcW w:w="1299" w:type="dxa"/>
            <w:shd w:val="clear" w:color="auto" w:fill="auto"/>
            <w:noWrap/>
            <w:vAlign w:val="center"/>
            <w:hideMark/>
          </w:tcPr>
          <w:p w14:paraId="418B739D"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DDF17D8"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FFFFFF" w:themeFill="background1"/>
            <w:noWrap/>
            <w:vAlign w:val="center"/>
            <w:hideMark/>
          </w:tcPr>
          <w:p w14:paraId="12A269BA"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7BBEB725"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5E84F795"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E1AF3C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032B24E3" w14:textId="77777777" w:rsidTr="00FC2B65">
        <w:trPr>
          <w:trHeight w:val="1400"/>
        </w:trPr>
        <w:tc>
          <w:tcPr>
            <w:tcW w:w="680" w:type="dxa"/>
            <w:shd w:val="clear" w:color="auto" w:fill="auto"/>
            <w:noWrap/>
            <w:vAlign w:val="center"/>
            <w:hideMark/>
          </w:tcPr>
          <w:p w14:paraId="17981FDA" w14:textId="1C53675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2</w:t>
            </w:r>
            <w:r>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420AA5A4" w14:textId="4481DE04"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DE REMUNERACIÓN DE LA COMERCIALIZACIÓN A USUARIOS REGULADOS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D816E4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de remuneración que deben aplicar los comercializadores de Energía Eléctrica que atienden usuarios regulados</w:t>
            </w:r>
          </w:p>
        </w:tc>
        <w:tc>
          <w:tcPr>
            <w:tcW w:w="1299" w:type="dxa"/>
            <w:shd w:val="clear" w:color="auto" w:fill="auto"/>
            <w:noWrap/>
            <w:vAlign w:val="center"/>
            <w:hideMark/>
          </w:tcPr>
          <w:p w14:paraId="5971652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6E415EB4"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auto"/>
            <w:noWrap/>
            <w:vAlign w:val="center"/>
            <w:hideMark/>
          </w:tcPr>
          <w:p w14:paraId="5CDB16AD"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5C01CB4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BE05A3A"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8F2517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6A284480" w14:textId="77777777" w:rsidTr="00FC2B65">
        <w:trPr>
          <w:trHeight w:val="3350"/>
        </w:trPr>
        <w:tc>
          <w:tcPr>
            <w:tcW w:w="680" w:type="dxa"/>
            <w:shd w:val="clear" w:color="auto" w:fill="auto"/>
            <w:noWrap/>
            <w:vAlign w:val="center"/>
            <w:hideMark/>
          </w:tcPr>
          <w:p w14:paraId="2932BADC" w14:textId="6427C45B"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30</w:t>
            </w:r>
          </w:p>
        </w:tc>
        <w:tc>
          <w:tcPr>
            <w:tcW w:w="2978" w:type="dxa"/>
            <w:shd w:val="clear" w:color="auto" w:fill="auto"/>
            <w:vAlign w:val="center"/>
            <w:hideMark/>
          </w:tcPr>
          <w:p w14:paraId="1A374BB7" w14:textId="2E383130"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REGULACIÓN DEL GESTOR INDEPENDIENTE DE DATOS E INFORMACIÓN -GIDI</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56606207"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Publicación de un documento con la especificación de las condiciones bajo las cuales se seleccionará el agente que realizará la actividad de la Gestión Independiente de Datos e Información – GIDI, así como los requisitos operativos, técnicos y de calidad para la implementación de la nueva actividad dentro de la prestación del servicio público domiciliario de energía eléctrica. Lo anterior como elemento integral y fundamental para la implementación de la Infraestructura de Medición Avanzada en el SIN. </w:t>
            </w:r>
          </w:p>
        </w:tc>
        <w:tc>
          <w:tcPr>
            <w:tcW w:w="1299" w:type="dxa"/>
            <w:shd w:val="clear" w:color="auto" w:fill="auto"/>
            <w:noWrap/>
            <w:vAlign w:val="center"/>
            <w:hideMark/>
          </w:tcPr>
          <w:p w14:paraId="4A9D896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18ABF1C2"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auto"/>
            <w:noWrap/>
            <w:vAlign w:val="center"/>
            <w:hideMark/>
          </w:tcPr>
          <w:p w14:paraId="176656B4"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C18E5D9"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23680F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FFF2481"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r>
      <w:tr w:rsidR="00237B86" w:rsidRPr="00EE08EF" w14:paraId="1227DAF7" w14:textId="77777777" w:rsidTr="00FC2B65">
        <w:trPr>
          <w:trHeight w:val="1740"/>
        </w:trPr>
        <w:tc>
          <w:tcPr>
            <w:tcW w:w="680" w:type="dxa"/>
            <w:shd w:val="clear" w:color="auto" w:fill="auto"/>
            <w:noWrap/>
            <w:vAlign w:val="center"/>
            <w:hideMark/>
          </w:tcPr>
          <w:p w14:paraId="25D8C1F6" w14:textId="21F181E1"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Pr>
                <w:rFonts w:ascii="Aptos Narrow" w:eastAsia="Times New Roman" w:hAnsi="Aptos Narrow" w:cs="Times New Roman"/>
                <w:color w:val="000000"/>
                <w:sz w:val="20"/>
                <w:szCs w:val="20"/>
                <w:lang w:eastAsia="es-CO"/>
              </w:rPr>
              <w:t>1</w:t>
            </w:r>
          </w:p>
        </w:tc>
        <w:tc>
          <w:tcPr>
            <w:tcW w:w="2978" w:type="dxa"/>
            <w:shd w:val="clear" w:color="auto" w:fill="auto"/>
            <w:vAlign w:val="center"/>
            <w:hideMark/>
          </w:tcPr>
          <w:p w14:paraId="0795BD95" w14:textId="3CC3CD90"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w:t>
            </w:r>
            <w:r>
              <w:rPr>
                <w:rFonts w:ascii="Aptos Narrow" w:eastAsia="Times New Roman" w:hAnsi="Aptos Narrow" w:cs="Times New Roman"/>
                <w:sz w:val="20"/>
                <w:szCs w:val="20"/>
                <w:lang w:eastAsia="es-CO"/>
              </w:rPr>
              <w:t>CIÓN</w:t>
            </w:r>
            <w:r w:rsidRPr="00EE08EF">
              <w:rPr>
                <w:rFonts w:ascii="Aptos Narrow" w:eastAsia="Times New Roman" w:hAnsi="Aptos Narrow" w:cs="Times New Roman"/>
                <w:sz w:val="20"/>
                <w:szCs w:val="20"/>
                <w:lang w:eastAsia="es-CO"/>
              </w:rPr>
              <w:t xml:space="preserve"> </w:t>
            </w:r>
            <w:r>
              <w:rPr>
                <w:rFonts w:ascii="Aptos Narrow" w:eastAsia="Times New Roman" w:hAnsi="Aptos Narrow" w:cs="Times New Roman"/>
                <w:sz w:val="20"/>
                <w:szCs w:val="20"/>
                <w:lang w:eastAsia="es-CO"/>
              </w:rPr>
              <w:t>D</w:t>
            </w:r>
            <w:r w:rsidRPr="00EE08EF">
              <w:rPr>
                <w:rFonts w:ascii="Aptos Narrow" w:eastAsia="Times New Roman" w:hAnsi="Aptos Narrow" w:cs="Times New Roman"/>
                <w:sz w:val="20"/>
                <w:szCs w:val="20"/>
                <w:lang w:eastAsia="es-CO"/>
              </w:rPr>
              <w:t>EL ESQUEMA DE PRESTADOR DE ÚLTIMA INSTANCIA PARA EL SERVICIO DE ENERGÍA ELÉCTRICA PARA USUARIOS EN ÁREAS ESPECIALES Y SITUACIONES DE RETIRO DEL MERCADO DE AGENTES COMERCIALIZADORES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696ADFC"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Establecer las condiciones para selección y remuneración del agente que atenderá a los usuarios ante situaciones donde el comercializador que los atiende no pueda seguir prestando el servicio.</w:t>
            </w:r>
          </w:p>
        </w:tc>
        <w:tc>
          <w:tcPr>
            <w:tcW w:w="1299" w:type="dxa"/>
            <w:shd w:val="clear" w:color="auto" w:fill="auto"/>
            <w:noWrap/>
            <w:vAlign w:val="center"/>
            <w:hideMark/>
          </w:tcPr>
          <w:p w14:paraId="2D9D608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098C2B67"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auto"/>
            <w:noWrap/>
            <w:vAlign w:val="center"/>
            <w:hideMark/>
          </w:tcPr>
          <w:p w14:paraId="6169CF8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334B6854"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6EEE22C6"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0B8F1FA"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5D8B3635" w14:textId="77777777" w:rsidTr="00FC2B65">
        <w:trPr>
          <w:trHeight w:val="2900"/>
        </w:trPr>
        <w:tc>
          <w:tcPr>
            <w:tcW w:w="680" w:type="dxa"/>
            <w:shd w:val="clear" w:color="auto" w:fill="auto"/>
            <w:noWrap/>
            <w:vAlign w:val="center"/>
            <w:hideMark/>
          </w:tcPr>
          <w:p w14:paraId="1E07F2B9" w14:textId="10C076E1"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3</w:t>
            </w:r>
            <w:r>
              <w:rPr>
                <w:rFonts w:ascii="Aptos Narrow" w:eastAsia="Times New Roman" w:hAnsi="Aptos Narrow" w:cs="Times New Roman"/>
                <w:color w:val="000000"/>
                <w:sz w:val="20"/>
                <w:szCs w:val="20"/>
                <w:lang w:eastAsia="es-CO"/>
              </w:rPr>
              <w:t>2</w:t>
            </w:r>
          </w:p>
        </w:tc>
        <w:tc>
          <w:tcPr>
            <w:tcW w:w="2978" w:type="dxa"/>
            <w:shd w:val="clear" w:color="auto" w:fill="auto"/>
            <w:vAlign w:val="center"/>
            <w:hideMark/>
          </w:tcPr>
          <w:p w14:paraId="31F77781" w14:textId="48E9A141"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CUMPLIMIENTO RESOLUCIÓN MME 40225 – COT USUARIOS 1,2,3</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7DB05099" w14:textId="38543626"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El proyecto regulatorio atiende las políticas y directrices dadas por el Gobierno Nacional a través de sus actos administrativos, con el fin de que se vean reflejadas en las tarifas del servicio público domiciliario la reducción de tarifas de energía eléctrica para los usuarios de estrato 1, 2 y 3 del SIN, por concepto de la financiación y posible toma de los saldos de</w:t>
            </w:r>
            <w:r>
              <w:rPr>
                <w:rFonts w:ascii="Aptos Narrow" w:eastAsia="Times New Roman" w:hAnsi="Aptos Narrow" w:cs="Times New Roman"/>
                <w:color w:val="000000"/>
                <w:sz w:val="20"/>
                <w:szCs w:val="20"/>
                <w:lang w:eastAsia="es-CO"/>
              </w:rPr>
              <w:t xml:space="preserve"> </w:t>
            </w:r>
            <w:r w:rsidRPr="00EE08EF">
              <w:rPr>
                <w:rFonts w:ascii="Aptos Narrow" w:eastAsia="Times New Roman" w:hAnsi="Aptos Narrow" w:cs="Times New Roman"/>
                <w:color w:val="000000"/>
                <w:sz w:val="20"/>
                <w:szCs w:val="20"/>
                <w:lang w:eastAsia="es-CO"/>
              </w:rPr>
              <w:t>L</w:t>
            </w:r>
            <w:r>
              <w:rPr>
                <w:rFonts w:ascii="Aptos Narrow" w:eastAsia="Times New Roman" w:hAnsi="Aptos Narrow" w:cs="Times New Roman"/>
                <w:color w:val="000000"/>
                <w:sz w:val="20"/>
                <w:szCs w:val="20"/>
                <w:lang w:eastAsia="es-CO"/>
              </w:rPr>
              <w:t xml:space="preserve">a </w:t>
            </w:r>
            <w:r w:rsidRPr="00EE08EF">
              <w:rPr>
                <w:rFonts w:ascii="Aptos Narrow" w:eastAsia="Times New Roman" w:hAnsi="Aptos Narrow" w:cs="Times New Roman"/>
                <w:color w:val="000000"/>
                <w:sz w:val="20"/>
                <w:szCs w:val="20"/>
                <w:lang w:eastAsia="es-CO"/>
              </w:rPr>
              <w:t>Opción Tarifaria, así como la renegociación de contratos y priorización de estos a las Áreas Especiales.</w:t>
            </w:r>
          </w:p>
        </w:tc>
        <w:tc>
          <w:tcPr>
            <w:tcW w:w="1299" w:type="dxa"/>
            <w:shd w:val="clear" w:color="auto" w:fill="auto"/>
            <w:noWrap/>
            <w:vAlign w:val="center"/>
            <w:hideMark/>
          </w:tcPr>
          <w:p w14:paraId="7010FB6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5688DDE7"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Minorista</w:t>
            </w:r>
          </w:p>
        </w:tc>
        <w:tc>
          <w:tcPr>
            <w:tcW w:w="1200" w:type="dxa"/>
            <w:shd w:val="clear" w:color="auto" w:fill="auto"/>
            <w:noWrap/>
            <w:vAlign w:val="center"/>
            <w:hideMark/>
          </w:tcPr>
          <w:p w14:paraId="5BB5D82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6A317BCC"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7672D16"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C394EA8"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0DDCA823" w14:textId="77777777" w:rsidTr="00FC2B65">
        <w:trPr>
          <w:trHeight w:val="2610"/>
        </w:trPr>
        <w:tc>
          <w:tcPr>
            <w:tcW w:w="680" w:type="dxa"/>
            <w:shd w:val="clear" w:color="auto" w:fill="auto"/>
            <w:noWrap/>
            <w:vAlign w:val="center"/>
            <w:hideMark/>
          </w:tcPr>
          <w:p w14:paraId="40AB6B6A" w14:textId="29087DE5"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0B44AB63" w14:textId="45DC1FFE"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METODOLOGÍA DE REMUNERACIÓN DE LOS SERVICIOS DE CND, ASIC Y LAC</w:t>
            </w:r>
          </w:p>
        </w:tc>
        <w:tc>
          <w:tcPr>
            <w:tcW w:w="3402" w:type="dxa"/>
            <w:shd w:val="clear" w:color="auto" w:fill="auto"/>
            <w:vAlign w:val="center"/>
            <w:hideMark/>
          </w:tcPr>
          <w:p w14:paraId="646F9B54" w14:textId="6AF8811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La resolución CREG 174 de 2013 establece, entre otros aspectos, la metodología para la remuneración de los servicios del CND, ASIC y LAC.</w:t>
            </w:r>
            <w:r w:rsidRPr="00EE08EF">
              <w:rPr>
                <w:rFonts w:ascii="Aptos Narrow" w:eastAsia="Times New Roman" w:hAnsi="Aptos Narrow" w:cs="Times New Roman"/>
                <w:color w:val="000000"/>
                <w:sz w:val="20"/>
                <w:szCs w:val="20"/>
                <w:lang w:eastAsia="es-CO"/>
              </w:rPr>
              <w:br/>
              <w:t>Mediante este proyecto se platea una revisión de estos aspectos metodológicos, así como la posible incorporación de elementos de seguimiento a la ejecución de proyectos por parte del prestador de estos servicios.</w:t>
            </w:r>
          </w:p>
        </w:tc>
        <w:tc>
          <w:tcPr>
            <w:tcW w:w="1299" w:type="dxa"/>
            <w:shd w:val="clear" w:color="auto" w:fill="auto"/>
            <w:noWrap/>
            <w:vAlign w:val="center"/>
            <w:hideMark/>
          </w:tcPr>
          <w:p w14:paraId="28A6BF5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2007D7B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67EBFA52"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2EF1060"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85424FF"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1F1BF041"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5119B4A1" w14:textId="77777777" w:rsidTr="00FC2B65">
        <w:trPr>
          <w:trHeight w:val="580"/>
        </w:trPr>
        <w:tc>
          <w:tcPr>
            <w:tcW w:w="680" w:type="dxa"/>
            <w:shd w:val="clear" w:color="000000" w:fill="FFFFFF"/>
            <w:noWrap/>
            <w:vAlign w:val="center"/>
            <w:hideMark/>
          </w:tcPr>
          <w:p w14:paraId="652AF4DE" w14:textId="353EC55D"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Pr>
                <w:rFonts w:ascii="Aptos Narrow" w:eastAsia="Times New Roman" w:hAnsi="Aptos Narrow" w:cs="Times New Roman"/>
                <w:color w:val="000000"/>
                <w:sz w:val="20"/>
                <w:szCs w:val="20"/>
                <w:lang w:eastAsia="es-CO"/>
              </w:rPr>
              <w:t>4</w:t>
            </w:r>
          </w:p>
        </w:tc>
        <w:tc>
          <w:tcPr>
            <w:tcW w:w="2978" w:type="dxa"/>
            <w:shd w:val="clear" w:color="000000" w:fill="FFFFFF"/>
            <w:vAlign w:val="center"/>
            <w:hideMark/>
          </w:tcPr>
          <w:p w14:paraId="3C00E4A8" w14:textId="64F5105F"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DEFINICIÓN DE UN INDEXADOR</w:t>
            </w:r>
          </w:p>
        </w:tc>
        <w:tc>
          <w:tcPr>
            <w:tcW w:w="3402" w:type="dxa"/>
            <w:shd w:val="clear" w:color="000000" w:fill="FFFFFF"/>
            <w:vAlign w:val="center"/>
            <w:hideMark/>
          </w:tcPr>
          <w:p w14:paraId="0950CC1D" w14:textId="44BD6CD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Posibilidad para el cambio de indexador de costos de las actividades del CU eléctrico.</w:t>
            </w:r>
          </w:p>
        </w:tc>
        <w:tc>
          <w:tcPr>
            <w:tcW w:w="1299" w:type="dxa"/>
            <w:shd w:val="clear" w:color="000000" w:fill="FFFFFF"/>
            <w:noWrap/>
            <w:vAlign w:val="center"/>
            <w:hideMark/>
          </w:tcPr>
          <w:p w14:paraId="7BB32828"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EE</w:t>
            </w:r>
          </w:p>
        </w:tc>
        <w:tc>
          <w:tcPr>
            <w:tcW w:w="1559" w:type="dxa"/>
            <w:shd w:val="clear" w:color="000000" w:fill="FFFFFF"/>
            <w:vAlign w:val="center"/>
            <w:hideMark/>
          </w:tcPr>
          <w:p w14:paraId="23188C81"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200" w:type="dxa"/>
            <w:shd w:val="clear" w:color="auto" w:fill="auto"/>
            <w:noWrap/>
            <w:vAlign w:val="center"/>
            <w:hideMark/>
          </w:tcPr>
          <w:p w14:paraId="7FD30202"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hideMark/>
          </w:tcPr>
          <w:p w14:paraId="5D00FC10"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9D2DD0A"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7976795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13CFCE3F" w14:textId="77777777" w:rsidTr="00FC2B65">
        <w:trPr>
          <w:trHeight w:val="580"/>
        </w:trPr>
        <w:tc>
          <w:tcPr>
            <w:tcW w:w="680" w:type="dxa"/>
            <w:shd w:val="clear" w:color="000000" w:fill="FFFFFF"/>
            <w:noWrap/>
            <w:vAlign w:val="center"/>
          </w:tcPr>
          <w:p w14:paraId="0948F101" w14:textId="0B6D207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35</w:t>
            </w:r>
          </w:p>
        </w:tc>
        <w:tc>
          <w:tcPr>
            <w:tcW w:w="2978" w:type="dxa"/>
            <w:shd w:val="clear" w:color="000000" w:fill="FFFFFF"/>
            <w:vAlign w:val="center"/>
          </w:tcPr>
          <w:p w14:paraId="4E527B5E" w14:textId="0933E4F6"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COMUNIDADES ENERGÉTICAS</w:t>
            </w:r>
            <w:r>
              <w:rPr>
                <w:rFonts w:ascii="Aptos Narrow" w:eastAsia="Times New Roman" w:hAnsi="Aptos Narrow" w:cs="Times New Roman"/>
                <w:sz w:val="20"/>
                <w:szCs w:val="20"/>
                <w:lang w:eastAsia="es-CO"/>
              </w:rPr>
              <w:t>.</w:t>
            </w:r>
          </w:p>
        </w:tc>
        <w:tc>
          <w:tcPr>
            <w:tcW w:w="3402" w:type="dxa"/>
            <w:shd w:val="clear" w:color="000000" w:fill="FFFFFF"/>
            <w:vAlign w:val="center"/>
          </w:tcPr>
          <w:p w14:paraId="4D53B457" w14:textId="26E357BB"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 xml:space="preserve">Revisión del esquema de liquidación y reconocimiento de subsidios para los usuarios integrantes de las comunidades </w:t>
            </w:r>
            <w:r w:rsidRPr="00EE08EF">
              <w:rPr>
                <w:rFonts w:ascii="Aptos Narrow" w:eastAsia="Times New Roman" w:hAnsi="Aptos Narrow" w:cs="Times New Roman"/>
                <w:color w:val="000000"/>
                <w:sz w:val="20"/>
                <w:szCs w:val="20"/>
                <w:lang w:eastAsia="es-CO"/>
              </w:rPr>
              <w:lastRenderedPageBreak/>
              <w:t xml:space="preserve">energéticas con inversión total o parcialmente pública. </w:t>
            </w:r>
          </w:p>
        </w:tc>
        <w:tc>
          <w:tcPr>
            <w:tcW w:w="1299" w:type="dxa"/>
            <w:shd w:val="clear" w:color="000000" w:fill="FFFFFF"/>
            <w:noWrap/>
            <w:vAlign w:val="center"/>
          </w:tcPr>
          <w:p w14:paraId="1F3A5CBA" w14:textId="7AA97AC5"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lastRenderedPageBreak/>
              <w:t>EE</w:t>
            </w:r>
          </w:p>
        </w:tc>
        <w:tc>
          <w:tcPr>
            <w:tcW w:w="1559" w:type="dxa"/>
            <w:shd w:val="clear" w:color="000000" w:fill="FFFFFF"/>
            <w:vAlign w:val="center"/>
          </w:tcPr>
          <w:p w14:paraId="1D040D5C" w14:textId="52D7CF9A"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tcPr>
          <w:p w14:paraId="3F814855" w14:textId="3C44207C"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000000" w:fill="FFFFFF"/>
            <w:noWrap/>
            <w:vAlign w:val="center"/>
          </w:tcPr>
          <w:p w14:paraId="5DC0AA69" w14:textId="1C9F1136"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tcPr>
          <w:p w14:paraId="43566D90" w14:textId="1D640821"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65B60AF9" w14:textId="2198A6B8"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1C5CE323" w14:textId="77777777" w:rsidTr="00FC2B65">
        <w:trPr>
          <w:trHeight w:val="1430"/>
        </w:trPr>
        <w:tc>
          <w:tcPr>
            <w:tcW w:w="680" w:type="dxa"/>
            <w:shd w:val="clear" w:color="auto" w:fill="auto"/>
            <w:noWrap/>
            <w:vAlign w:val="center"/>
            <w:hideMark/>
          </w:tcPr>
          <w:p w14:paraId="62335CFA" w14:textId="5FB60A62"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6782D083" w14:textId="72E00610"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EXPEDIR EL REGLAMENTO DE PRESTACIÓN DEL SERVICIO PÚBLICO DE ENERGÍA ELÉCTRICA EN LAS</w:t>
            </w:r>
            <w:r>
              <w:rPr>
                <w:rFonts w:ascii="Aptos Narrow" w:eastAsia="Times New Roman" w:hAnsi="Aptos Narrow" w:cs="Times New Roman"/>
                <w:color w:val="000000"/>
                <w:sz w:val="20"/>
                <w:szCs w:val="20"/>
                <w:lang w:eastAsia="es-CO"/>
              </w:rPr>
              <w:t xml:space="preserve"> ZONAS NO INTERCONECTADAS.</w:t>
            </w:r>
          </w:p>
        </w:tc>
        <w:tc>
          <w:tcPr>
            <w:tcW w:w="3402" w:type="dxa"/>
            <w:shd w:val="clear" w:color="auto" w:fill="auto"/>
            <w:vAlign w:val="center"/>
            <w:hideMark/>
          </w:tcPr>
          <w:p w14:paraId="20862EC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Expedir el Reglamento de Prestación del Servicio Público Domiciliario de Energía Eléctrica en ZNI.</w:t>
            </w:r>
          </w:p>
        </w:tc>
        <w:tc>
          <w:tcPr>
            <w:tcW w:w="1299" w:type="dxa"/>
            <w:shd w:val="clear" w:color="auto" w:fill="auto"/>
            <w:noWrap/>
            <w:vAlign w:val="center"/>
            <w:hideMark/>
          </w:tcPr>
          <w:p w14:paraId="56BE0F9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5468F8A2"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ZNI</w:t>
            </w:r>
          </w:p>
        </w:tc>
        <w:tc>
          <w:tcPr>
            <w:tcW w:w="1200" w:type="dxa"/>
            <w:shd w:val="clear" w:color="auto" w:fill="auto"/>
            <w:noWrap/>
            <w:vAlign w:val="center"/>
            <w:hideMark/>
          </w:tcPr>
          <w:p w14:paraId="5A174474"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9A9FBAB"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928ADAF"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89BCEE4"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237B86" w:rsidRPr="00EE08EF" w14:paraId="027B95AC" w14:textId="77777777" w:rsidTr="00FC2B65">
        <w:trPr>
          <w:trHeight w:val="3073"/>
        </w:trPr>
        <w:tc>
          <w:tcPr>
            <w:tcW w:w="680" w:type="dxa"/>
            <w:shd w:val="clear" w:color="auto" w:fill="auto"/>
            <w:noWrap/>
            <w:vAlign w:val="center"/>
            <w:hideMark/>
          </w:tcPr>
          <w:p w14:paraId="3282752E" w14:textId="0D1D5035"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51D639C8" w14:textId="7405EF14"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REVISAR FÓRMULA TARIFARIA GENERAL Y METODOLOGÍAS TARIFARIAS PARA REMUNERAR LAS ACTIVIDADES DE GENERACIÓN, DISTRIBUCIÓN Y COMERCIALIZACIÓN, DEL SERVICIO DE ELÉCTRICA PARA USUARIO ATENDIDOS CON RED EN LAS ZONAS NO INTERCONECTADAS.</w:t>
            </w:r>
          </w:p>
        </w:tc>
        <w:tc>
          <w:tcPr>
            <w:tcW w:w="3402" w:type="dxa"/>
            <w:shd w:val="clear" w:color="auto" w:fill="auto"/>
            <w:vAlign w:val="center"/>
            <w:hideMark/>
          </w:tcPr>
          <w:p w14:paraId="22737FDB"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Fórmula tarifaria general y metodologías tarifarias para las actividades de generación, distribución y comercialización, para usuarios atendidos con red.</w:t>
            </w:r>
          </w:p>
        </w:tc>
        <w:tc>
          <w:tcPr>
            <w:tcW w:w="1299" w:type="dxa"/>
            <w:shd w:val="clear" w:color="auto" w:fill="auto"/>
            <w:noWrap/>
            <w:vAlign w:val="center"/>
            <w:hideMark/>
          </w:tcPr>
          <w:p w14:paraId="43FCB20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504581B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ZNI</w:t>
            </w:r>
          </w:p>
        </w:tc>
        <w:tc>
          <w:tcPr>
            <w:tcW w:w="1200" w:type="dxa"/>
            <w:shd w:val="clear" w:color="auto" w:fill="auto"/>
            <w:noWrap/>
            <w:vAlign w:val="center"/>
            <w:hideMark/>
          </w:tcPr>
          <w:p w14:paraId="158F246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2F7436BF"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1865012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5E8E3E4"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237B86" w:rsidRPr="00EE08EF" w14:paraId="3051F273" w14:textId="77777777" w:rsidTr="00FC2B65">
        <w:trPr>
          <w:trHeight w:val="2210"/>
        </w:trPr>
        <w:tc>
          <w:tcPr>
            <w:tcW w:w="680" w:type="dxa"/>
            <w:shd w:val="clear" w:color="auto" w:fill="auto"/>
            <w:noWrap/>
            <w:vAlign w:val="center"/>
            <w:hideMark/>
          </w:tcPr>
          <w:p w14:paraId="5A299411" w14:textId="22A3F52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3</w:t>
            </w:r>
            <w:r>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08222CF1" w14:textId="19E162FC"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CREAR Y REGLAMENTAR UN NUEVO AGENTE PARA LA CADENA DE PRESTACIÓN DEL SERVICIO DE ENERGÍA ELÉCTRICA EN LAS ZONAS NO INTERCONECTADAS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222DF16"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Crear y reglamentar la actividad de nuevo agente para la cadena en ZNI que apoye la gestión de la información y distintos aspectos operativos.</w:t>
            </w:r>
          </w:p>
        </w:tc>
        <w:tc>
          <w:tcPr>
            <w:tcW w:w="1299" w:type="dxa"/>
            <w:shd w:val="clear" w:color="auto" w:fill="auto"/>
            <w:noWrap/>
            <w:vAlign w:val="center"/>
            <w:hideMark/>
          </w:tcPr>
          <w:p w14:paraId="2ED5180C"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EE</w:t>
            </w:r>
          </w:p>
        </w:tc>
        <w:tc>
          <w:tcPr>
            <w:tcW w:w="1559" w:type="dxa"/>
            <w:shd w:val="clear" w:color="auto" w:fill="auto"/>
            <w:vAlign w:val="center"/>
            <w:hideMark/>
          </w:tcPr>
          <w:p w14:paraId="4008620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ZNI</w:t>
            </w:r>
          </w:p>
        </w:tc>
        <w:tc>
          <w:tcPr>
            <w:tcW w:w="1200" w:type="dxa"/>
            <w:shd w:val="clear" w:color="auto" w:fill="auto"/>
            <w:noWrap/>
            <w:vAlign w:val="center"/>
            <w:hideMark/>
          </w:tcPr>
          <w:p w14:paraId="1CA5359B"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vAlign w:val="center"/>
            <w:hideMark/>
          </w:tcPr>
          <w:p w14:paraId="09064258"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Resolución de bases</w:t>
            </w:r>
          </w:p>
        </w:tc>
        <w:tc>
          <w:tcPr>
            <w:tcW w:w="1200" w:type="dxa"/>
            <w:shd w:val="clear" w:color="auto" w:fill="auto"/>
            <w:noWrap/>
            <w:vAlign w:val="center"/>
            <w:hideMark/>
          </w:tcPr>
          <w:p w14:paraId="502BE4F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EFAA32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r>
      <w:tr w:rsidR="00237B86" w:rsidRPr="00EE08EF" w14:paraId="00DE916F" w14:textId="77777777" w:rsidTr="00FC2B65">
        <w:trPr>
          <w:trHeight w:val="2030"/>
        </w:trPr>
        <w:tc>
          <w:tcPr>
            <w:tcW w:w="680" w:type="dxa"/>
            <w:shd w:val="clear" w:color="auto" w:fill="auto"/>
            <w:noWrap/>
            <w:vAlign w:val="center"/>
            <w:hideMark/>
          </w:tcPr>
          <w:p w14:paraId="52CEF31A" w14:textId="2D6D856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3</w:t>
            </w:r>
            <w:r>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685117AA" w14:textId="761DC402" w:rsidR="00237B86" w:rsidRPr="00EE08EF" w:rsidRDefault="00237B86" w:rsidP="00237B86">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DEFINICIÓN DE </w:t>
            </w:r>
            <w:r w:rsidRPr="00EE08EF">
              <w:rPr>
                <w:rFonts w:ascii="Aptos Narrow" w:eastAsia="Times New Roman" w:hAnsi="Aptos Narrow" w:cs="Times New Roman"/>
                <w:sz w:val="20"/>
                <w:szCs w:val="20"/>
                <w:lang w:eastAsia="es-CO"/>
              </w:rPr>
              <w:t>CONDICIONES DE REGISTRO DE CONTRATOS CON CONDICIONES PRECEDENTES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0A05D231"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las condiciones de modalidades contractuales, requisitos mínimos e información que deben cumplirse para poder realizar el registro ante el gestor del mercado de contratos cuya ejecución ha sido pactada antes de declararse la comercialidad de la fuente de suministro.</w:t>
            </w:r>
          </w:p>
        </w:tc>
        <w:tc>
          <w:tcPr>
            <w:tcW w:w="1299" w:type="dxa"/>
            <w:shd w:val="clear" w:color="auto" w:fill="auto"/>
            <w:vAlign w:val="center"/>
            <w:hideMark/>
          </w:tcPr>
          <w:p w14:paraId="1C5D57D4"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43FF1211"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Comercialización Mayorista</w:t>
            </w:r>
          </w:p>
        </w:tc>
        <w:tc>
          <w:tcPr>
            <w:tcW w:w="1200" w:type="dxa"/>
            <w:shd w:val="clear" w:color="auto" w:fill="auto"/>
            <w:vAlign w:val="center"/>
            <w:hideMark/>
          </w:tcPr>
          <w:p w14:paraId="2B64FCE7"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5C4704E1"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vAlign w:val="center"/>
            <w:hideMark/>
          </w:tcPr>
          <w:p w14:paraId="2B931936"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453AEE8E"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02EA804B" w14:textId="77777777" w:rsidTr="00237B86">
        <w:trPr>
          <w:trHeight w:val="1540"/>
        </w:trPr>
        <w:tc>
          <w:tcPr>
            <w:tcW w:w="680" w:type="dxa"/>
            <w:shd w:val="clear" w:color="auto" w:fill="auto"/>
            <w:noWrap/>
            <w:vAlign w:val="center"/>
            <w:hideMark/>
          </w:tcPr>
          <w:p w14:paraId="757E0C9D" w14:textId="58FB263B"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40</w:t>
            </w:r>
          </w:p>
        </w:tc>
        <w:tc>
          <w:tcPr>
            <w:tcW w:w="2978" w:type="dxa"/>
            <w:shd w:val="clear" w:color="auto" w:fill="auto"/>
            <w:vAlign w:val="center"/>
            <w:hideMark/>
          </w:tcPr>
          <w:p w14:paraId="7FB6D333" w14:textId="7360F6C3"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DETERMINACIÓN DE MÁRGENES DE COMERCIALIZACIÓN DEL MERCADO SECUNDARIO DE GAS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23D1542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los márgenes máximos a incluir en las negociaciones de los derechos de suministro del mercado secundario de gas natural y en las negociaciones de los usuarios no regulados del mercado minorista.</w:t>
            </w:r>
          </w:p>
        </w:tc>
        <w:tc>
          <w:tcPr>
            <w:tcW w:w="1299" w:type="dxa"/>
            <w:shd w:val="clear" w:color="auto" w:fill="auto"/>
            <w:vAlign w:val="center"/>
            <w:hideMark/>
          </w:tcPr>
          <w:p w14:paraId="3095083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60684552"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Comercialización Mayorista</w:t>
            </w:r>
          </w:p>
        </w:tc>
        <w:tc>
          <w:tcPr>
            <w:tcW w:w="1200" w:type="dxa"/>
            <w:shd w:val="clear" w:color="auto" w:fill="auto"/>
            <w:noWrap/>
            <w:vAlign w:val="center"/>
            <w:hideMark/>
          </w:tcPr>
          <w:p w14:paraId="1B384EDB"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5A35E8E5" w14:textId="3CF80F75"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FFFFFF" w:themeFill="background1"/>
            <w:vAlign w:val="center"/>
          </w:tcPr>
          <w:p w14:paraId="61348204" w14:textId="1375D280"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FFFFFF" w:themeFill="background1"/>
            <w:noWrap/>
            <w:vAlign w:val="center"/>
          </w:tcPr>
          <w:p w14:paraId="366CB1B7" w14:textId="7FADD29B" w:rsidR="00237B86" w:rsidRPr="00EE08EF" w:rsidRDefault="00237B86" w:rsidP="00237B86">
            <w:pPr>
              <w:spacing w:before="0" w:after="0" w:line="240" w:lineRule="auto"/>
              <w:rPr>
                <w:rFonts w:ascii="Aptos Narrow" w:eastAsia="Times New Roman" w:hAnsi="Aptos Narrow" w:cs="Times New Roman"/>
                <w:sz w:val="20"/>
                <w:szCs w:val="20"/>
                <w:lang w:eastAsia="es-CO"/>
              </w:rPr>
            </w:pPr>
          </w:p>
        </w:tc>
      </w:tr>
      <w:tr w:rsidR="00237B86" w:rsidRPr="00EE08EF" w14:paraId="6E3A9D60" w14:textId="77777777" w:rsidTr="00FC2B65">
        <w:trPr>
          <w:trHeight w:val="2900"/>
        </w:trPr>
        <w:tc>
          <w:tcPr>
            <w:tcW w:w="680" w:type="dxa"/>
            <w:shd w:val="clear" w:color="auto" w:fill="auto"/>
            <w:noWrap/>
            <w:vAlign w:val="center"/>
            <w:hideMark/>
          </w:tcPr>
          <w:p w14:paraId="7948634E" w14:textId="212E8BC2"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41</w:t>
            </w:r>
          </w:p>
        </w:tc>
        <w:tc>
          <w:tcPr>
            <w:tcW w:w="2978" w:type="dxa"/>
            <w:shd w:val="clear" w:color="auto" w:fill="auto"/>
            <w:vAlign w:val="center"/>
            <w:hideMark/>
          </w:tcPr>
          <w:p w14:paraId="6916B207" w14:textId="39F38C5D" w:rsidR="00237B86" w:rsidRPr="00EE08EF" w:rsidRDefault="00237B86" w:rsidP="00237B86">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 xml:space="preserve">DEFINICIÓN DEL </w:t>
            </w:r>
            <w:r w:rsidRPr="00EE08EF">
              <w:rPr>
                <w:rFonts w:ascii="Aptos Narrow" w:eastAsia="Times New Roman" w:hAnsi="Aptos Narrow" w:cs="Times New Roman"/>
                <w:sz w:val="20"/>
                <w:szCs w:val="20"/>
                <w:lang w:eastAsia="es-CO"/>
              </w:rPr>
              <w:t>PROTOCOLO ANTE RESTRICCIÓN DE SUMINISTRO DE GAS- PAR.ARTICULO 2.2.2.1 DECRETO 1073</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26B8AFB4"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las reglas que deben cumplirse con el fin de establecer la forma en que se realizará la entrega física del gas natural asignado conforme la prioridad que se da por el MME cuando se presenten insalvables restricciones en la oferta de gas natural y determinación de los mecanismos para remunerar los servicios de transporte de gas natural requeridos para abastecer la demanda teniendo en cuenta la prioridad anterior.</w:t>
            </w:r>
          </w:p>
        </w:tc>
        <w:tc>
          <w:tcPr>
            <w:tcW w:w="1299" w:type="dxa"/>
            <w:shd w:val="clear" w:color="auto" w:fill="auto"/>
            <w:vAlign w:val="center"/>
            <w:hideMark/>
          </w:tcPr>
          <w:p w14:paraId="16395B38"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316D2A1E"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Comercialización Mayorista</w:t>
            </w:r>
          </w:p>
        </w:tc>
        <w:tc>
          <w:tcPr>
            <w:tcW w:w="1200" w:type="dxa"/>
            <w:shd w:val="clear" w:color="auto" w:fill="auto"/>
            <w:vAlign w:val="center"/>
            <w:hideMark/>
          </w:tcPr>
          <w:p w14:paraId="43F59245"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Doc.2</w:t>
            </w:r>
          </w:p>
        </w:tc>
        <w:tc>
          <w:tcPr>
            <w:tcW w:w="1200" w:type="dxa"/>
            <w:shd w:val="clear" w:color="auto" w:fill="auto"/>
            <w:vAlign w:val="center"/>
            <w:hideMark/>
          </w:tcPr>
          <w:p w14:paraId="3EF944F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7BD6D69F"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7BF48260"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r>
      <w:tr w:rsidR="00237B86" w:rsidRPr="00EE08EF" w14:paraId="18239AED" w14:textId="77777777" w:rsidTr="00FC2B65">
        <w:trPr>
          <w:trHeight w:val="870"/>
        </w:trPr>
        <w:tc>
          <w:tcPr>
            <w:tcW w:w="680" w:type="dxa"/>
            <w:shd w:val="clear" w:color="auto" w:fill="auto"/>
            <w:noWrap/>
            <w:vAlign w:val="center"/>
            <w:hideMark/>
          </w:tcPr>
          <w:p w14:paraId="59B4597E" w14:textId="0821630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42</w:t>
            </w:r>
          </w:p>
        </w:tc>
        <w:tc>
          <w:tcPr>
            <w:tcW w:w="2978" w:type="dxa"/>
            <w:shd w:val="clear" w:color="auto" w:fill="auto"/>
            <w:vAlign w:val="center"/>
            <w:hideMark/>
          </w:tcPr>
          <w:p w14:paraId="76DA2D15" w14:textId="4F5CABFE"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BLENDING DE HIDRÓGENO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B007791" w14:textId="789F5263"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Revisar las disposiciones en el Reglamento único de transporte para realizar blending en SNT de hidrógeno y gas natural.</w:t>
            </w:r>
          </w:p>
        </w:tc>
        <w:tc>
          <w:tcPr>
            <w:tcW w:w="1299" w:type="dxa"/>
            <w:shd w:val="clear" w:color="auto" w:fill="auto"/>
            <w:noWrap/>
            <w:vAlign w:val="center"/>
            <w:hideMark/>
          </w:tcPr>
          <w:p w14:paraId="4BF7AFBF"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GN</w:t>
            </w:r>
          </w:p>
        </w:tc>
        <w:tc>
          <w:tcPr>
            <w:tcW w:w="1559" w:type="dxa"/>
            <w:shd w:val="clear" w:color="auto" w:fill="auto"/>
            <w:vAlign w:val="center"/>
            <w:hideMark/>
          </w:tcPr>
          <w:p w14:paraId="781E037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w:t>
            </w:r>
          </w:p>
        </w:tc>
        <w:tc>
          <w:tcPr>
            <w:tcW w:w="1200" w:type="dxa"/>
            <w:shd w:val="clear" w:color="auto" w:fill="auto"/>
            <w:noWrap/>
            <w:vAlign w:val="center"/>
            <w:hideMark/>
          </w:tcPr>
          <w:p w14:paraId="32778DE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F8A9348"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24100E1"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Doc.1</w:t>
            </w:r>
          </w:p>
        </w:tc>
        <w:tc>
          <w:tcPr>
            <w:tcW w:w="1200" w:type="dxa"/>
            <w:shd w:val="clear" w:color="auto" w:fill="auto"/>
            <w:noWrap/>
            <w:vAlign w:val="center"/>
            <w:hideMark/>
          </w:tcPr>
          <w:p w14:paraId="42CB9BC5"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r>
      <w:tr w:rsidR="00237B86" w:rsidRPr="00EE08EF" w14:paraId="6E18D2B1" w14:textId="77777777" w:rsidTr="00FC2B65">
        <w:trPr>
          <w:trHeight w:val="1450"/>
        </w:trPr>
        <w:tc>
          <w:tcPr>
            <w:tcW w:w="680" w:type="dxa"/>
            <w:shd w:val="clear" w:color="auto" w:fill="auto"/>
            <w:noWrap/>
            <w:vAlign w:val="center"/>
            <w:hideMark/>
          </w:tcPr>
          <w:p w14:paraId="28FB3F14" w14:textId="74CB85D8"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43</w:t>
            </w:r>
          </w:p>
        </w:tc>
        <w:tc>
          <w:tcPr>
            <w:tcW w:w="2978" w:type="dxa"/>
            <w:shd w:val="clear" w:color="auto" w:fill="auto"/>
            <w:vAlign w:val="center"/>
            <w:hideMark/>
          </w:tcPr>
          <w:p w14:paraId="49AFB8F5" w14:textId="690268AF"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MODIFICACIÓN 175 ERPC Y (RECONVERSION </w:t>
            </w:r>
            <w:r>
              <w:rPr>
                <w:rFonts w:ascii="Aptos Narrow" w:eastAsia="Times New Roman" w:hAnsi="Aptos Narrow" w:cs="Times New Roman"/>
                <w:color w:val="000000"/>
                <w:sz w:val="20"/>
                <w:szCs w:val="20"/>
                <w:lang w:eastAsia="es-CO"/>
              </w:rPr>
              <w:t xml:space="preserve">DE </w:t>
            </w:r>
            <w:r w:rsidRPr="00EE08EF">
              <w:rPr>
                <w:rFonts w:ascii="Aptos Narrow" w:eastAsia="Times New Roman" w:hAnsi="Aptos Narrow" w:cs="Times New Roman"/>
                <w:color w:val="000000"/>
                <w:sz w:val="20"/>
                <w:szCs w:val="20"/>
                <w:lang w:eastAsia="es-CO"/>
              </w:rPr>
              <w:t>INFRAESTRUCTURA DE TRANSPORTE DE HIDROCARBUROS)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75576EE9" w14:textId="06A4F7C4"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Modificación metodología remuneración de transporte con finde realizar el cálculo de ERPCS no homologables con la </w:t>
            </w:r>
            <w:r>
              <w:rPr>
                <w:rFonts w:ascii="Aptos Narrow" w:eastAsia="Times New Roman" w:hAnsi="Aptos Narrow" w:cs="Times New Roman"/>
                <w:color w:val="000000"/>
                <w:sz w:val="20"/>
                <w:szCs w:val="20"/>
                <w:lang w:eastAsia="es-CO"/>
              </w:rPr>
              <w:t>M</w:t>
            </w:r>
            <w:r w:rsidRPr="00EE08EF">
              <w:rPr>
                <w:rFonts w:ascii="Aptos Narrow" w:eastAsia="Times New Roman" w:hAnsi="Aptos Narrow" w:cs="Times New Roman"/>
                <w:color w:val="000000"/>
                <w:sz w:val="20"/>
                <w:szCs w:val="20"/>
                <w:lang w:eastAsia="es-CO"/>
              </w:rPr>
              <w:t>etodología de distribución directamente desde la Comisión sin recurrir a perito.</w:t>
            </w:r>
          </w:p>
        </w:tc>
        <w:tc>
          <w:tcPr>
            <w:tcW w:w="1299" w:type="dxa"/>
            <w:shd w:val="clear" w:color="auto" w:fill="auto"/>
            <w:noWrap/>
            <w:vAlign w:val="center"/>
            <w:hideMark/>
          </w:tcPr>
          <w:p w14:paraId="3646CDA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GN</w:t>
            </w:r>
          </w:p>
        </w:tc>
        <w:tc>
          <w:tcPr>
            <w:tcW w:w="1559" w:type="dxa"/>
            <w:shd w:val="clear" w:color="auto" w:fill="auto"/>
            <w:vAlign w:val="center"/>
            <w:hideMark/>
          </w:tcPr>
          <w:p w14:paraId="554CD7AF"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w:t>
            </w:r>
          </w:p>
        </w:tc>
        <w:tc>
          <w:tcPr>
            <w:tcW w:w="1200" w:type="dxa"/>
            <w:shd w:val="clear" w:color="auto" w:fill="auto"/>
            <w:noWrap/>
            <w:vAlign w:val="center"/>
            <w:hideMark/>
          </w:tcPr>
          <w:p w14:paraId="7FFB481C"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660A5DD2"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6BE20A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6F84917"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47D04E10" w14:textId="77777777" w:rsidTr="00FC2B65">
        <w:trPr>
          <w:trHeight w:val="1450"/>
        </w:trPr>
        <w:tc>
          <w:tcPr>
            <w:tcW w:w="680" w:type="dxa"/>
            <w:shd w:val="clear" w:color="auto" w:fill="auto"/>
            <w:noWrap/>
            <w:vAlign w:val="center"/>
            <w:hideMark/>
          </w:tcPr>
          <w:p w14:paraId="4957BA40" w14:textId="209F632F"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44</w:t>
            </w:r>
          </w:p>
        </w:tc>
        <w:tc>
          <w:tcPr>
            <w:tcW w:w="2978" w:type="dxa"/>
            <w:shd w:val="clear" w:color="auto" w:fill="auto"/>
            <w:vAlign w:val="center"/>
            <w:hideMark/>
          </w:tcPr>
          <w:p w14:paraId="4590FD18" w14:textId="1C77012E"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USELO O VENDALO A LARGO PLAZO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664A655F"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El mecanismo de última instancia denominado úselo o véndalo de largo plazo vigente en la Resolución CREG 185 de 2020 debe ser revisado conforme a las disposiciones que rigen la contratación de suministro de manera trimestral.</w:t>
            </w:r>
          </w:p>
        </w:tc>
        <w:tc>
          <w:tcPr>
            <w:tcW w:w="1299" w:type="dxa"/>
            <w:shd w:val="clear" w:color="auto" w:fill="auto"/>
            <w:noWrap/>
            <w:vAlign w:val="center"/>
            <w:hideMark/>
          </w:tcPr>
          <w:p w14:paraId="4F1FDDAE"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GN</w:t>
            </w:r>
          </w:p>
        </w:tc>
        <w:tc>
          <w:tcPr>
            <w:tcW w:w="1559" w:type="dxa"/>
            <w:shd w:val="clear" w:color="auto" w:fill="auto"/>
            <w:vAlign w:val="center"/>
            <w:hideMark/>
          </w:tcPr>
          <w:p w14:paraId="148832D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w:t>
            </w:r>
          </w:p>
        </w:tc>
        <w:tc>
          <w:tcPr>
            <w:tcW w:w="1200" w:type="dxa"/>
            <w:shd w:val="clear" w:color="auto" w:fill="auto"/>
            <w:noWrap/>
            <w:vAlign w:val="center"/>
            <w:hideMark/>
          </w:tcPr>
          <w:p w14:paraId="4812C7F5"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38DCCC9"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41F5F923"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4637D73"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1F2DE7D0" w14:textId="77777777" w:rsidTr="00FC2B65">
        <w:trPr>
          <w:trHeight w:val="1160"/>
        </w:trPr>
        <w:tc>
          <w:tcPr>
            <w:tcW w:w="680" w:type="dxa"/>
            <w:shd w:val="clear" w:color="auto" w:fill="auto"/>
            <w:noWrap/>
            <w:vAlign w:val="center"/>
            <w:hideMark/>
          </w:tcPr>
          <w:p w14:paraId="1D4F98E0" w14:textId="7F0541DC"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45</w:t>
            </w:r>
          </w:p>
        </w:tc>
        <w:tc>
          <w:tcPr>
            <w:tcW w:w="2978" w:type="dxa"/>
            <w:shd w:val="clear" w:color="auto" w:fill="auto"/>
            <w:vAlign w:val="center"/>
            <w:hideMark/>
          </w:tcPr>
          <w:p w14:paraId="11A893C8" w14:textId="1C750200"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ANÁLISIS SOLICITUDES MODIFICACIÓN REGLAMENTO ÚNICO DE TRANSPORTE RUT</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0B3A214C"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Análisis del Protocolo operativo para aplicar ante ingreso de gas natural por fuera de especificaciones de calidad RUT al SNT y Revisión de las desviaciones puntos de entrada y de salida.</w:t>
            </w:r>
          </w:p>
        </w:tc>
        <w:tc>
          <w:tcPr>
            <w:tcW w:w="1299" w:type="dxa"/>
            <w:shd w:val="clear" w:color="auto" w:fill="auto"/>
            <w:noWrap/>
            <w:vAlign w:val="center"/>
            <w:hideMark/>
          </w:tcPr>
          <w:p w14:paraId="501C1895"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GN</w:t>
            </w:r>
          </w:p>
        </w:tc>
        <w:tc>
          <w:tcPr>
            <w:tcW w:w="1559" w:type="dxa"/>
            <w:shd w:val="clear" w:color="auto" w:fill="auto"/>
            <w:vAlign w:val="center"/>
            <w:hideMark/>
          </w:tcPr>
          <w:p w14:paraId="60E7D9E7"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Transporte</w:t>
            </w:r>
          </w:p>
        </w:tc>
        <w:tc>
          <w:tcPr>
            <w:tcW w:w="1200" w:type="dxa"/>
            <w:shd w:val="clear" w:color="auto" w:fill="auto"/>
            <w:noWrap/>
            <w:vAlign w:val="center"/>
            <w:hideMark/>
          </w:tcPr>
          <w:p w14:paraId="399F6196"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26F9C3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EC808CC"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5B0663C2"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Doc.1</w:t>
            </w:r>
          </w:p>
        </w:tc>
      </w:tr>
      <w:tr w:rsidR="00237B86" w:rsidRPr="00EE08EF" w14:paraId="35EF0086" w14:textId="77777777" w:rsidTr="00FC2B65">
        <w:trPr>
          <w:trHeight w:val="2580"/>
        </w:trPr>
        <w:tc>
          <w:tcPr>
            <w:tcW w:w="680" w:type="dxa"/>
            <w:shd w:val="clear" w:color="auto" w:fill="auto"/>
            <w:noWrap/>
            <w:vAlign w:val="center"/>
            <w:hideMark/>
          </w:tcPr>
          <w:p w14:paraId="3F22E457" w14:textId="7C043719"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46</w:t>
            </w:r>
          </w:p>
        </w:tc>
        <w:tc>
          <w:tcPr>
            <w:tcW w:w="2978" w:type="dxa"/>
            <w:shd w:val="clear" w:color="auto" w:fill="auto"/>
            <w:vAlign w:val="center"/>
            <w:hideMark/>
          </w:tcPr>
          <w:p w14:paraId="389EA5E9" w14:textId="0E863ADE"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ACTUALIZAR EL REGLAMENTO DE COMERCIALIZACIÓN MAYORISTA DE GAS LICUADO DE PETRÓLEO CONTENIDO EN LA RESOLUCIÓN CREG 053 DE 2011</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394FC059"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Actualizar el reglamento de Comercialización Mayorista de gas licuado de petróleo contenido en la Resolución 053 de 2011.</w:t>
            </w:r>
          </w:p>
        </w:tc>
        <w:tc>
          <w:tcPr>
            <w:tcW w:w="1299" w:type="dxa"/>
            <w:shd w:val="clear" w:color="auto" w:fill="auto"/>
            <w:noWrap/>
            <w:vAlign w:val="center"/>
            <w:hideMark/>
          </w:tcPr>
          <w:p w14:paraId="4392F4F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77CC916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Distribución y comercialización</w:t>
            </w:r>
          </w:p>
        </w:tc>
        <w:tc>
          <w:tcPr>
            <w:tcW w:w="1200" w:type="dxa"/>
            <w:shd w:val="clear" w:color="auto" w:fill="auto"/>
            <w:noWrap/>
            <w:vAlign w:val="center"/>
            <w:hideMark/>
          </w:tcPr>
          <w:p w14:paraId="7DF2146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B065983"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DA4CE2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686A183"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r>
      <w:tr w:rsidR="00237B86" w:rsidRPr="00EE08EF" w14:paraId="7E7126C3" w14:textId="77777777" w:rsidTr="00FC2B65">
        <w:trPr>
          <w:trHeight w:val="1740"/>
        </w:trPr>
        <w:tc>
          <w:tcPr>
            <w:tcW w:w="680" w:type="dxa"/>
            <w:shd w:val="clear" w:color="auto" w:fill="auto"/>
            <w:noWrap/>
            <w:vAlign w:val="center"/>
            <w:hideMark/>
          </w:tcPr>
          <w:p w14:paraId="2CF3D7AB" w14:textId="4B77FDD6"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47</w:t>
            </w:r>
          </w:p>
        </w:tc>
        <w:tc>
          <w:tcPr>
            <w:tcW w:w="2978" w:type="dxa"/>
            <w:shd w:val="clear" w:color="auto" w:fill="auto"/>
            <w:vAlign w:val="center"/>
            <w:hideMark/>
          </w:tcPr>
          <w:p w14:paraId="21A57D6F" w14:textId="4E8D1836"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ACTUALIZAR LA REGULACIÓN DE PRECIOS DE SUMINISTRO DE GAS LICUADO DE PETRÓLEO DE</w:t>
            </w:r>
            <w:r w:rsidRPr="00EE08EF">
              <w:rPr>
                <w:rFonts w:ascii="Aptos Narrow" w:eastAsia="Times New Roman" w:hAnsi="Aptos Narrow" w:cs="Times New Roman"/>
                <w:color w:val="000000"/>
                <w:sz w:val="20"/>
                <w:szCs w:val="20"/>
                <w:lang w:eastAsia="es-CO"/>
              </w:rPr>
              <w:br/>
              <w:t>COMERCIALIZADORES MAYORISTAS A DISTRIBUIDORES CONTENIDA EN LA RESOLUCIÓN 066 DE 2007.</w:t>
            </w:r>
          </w:p>
        </w:tc>
        <w:tc>
          <w:tcPr>
            <w:tcW w:w="3402" w:type="dxa"/>
            <w:shd w:val="clear" w:color="auto" w:fill="auto"/>
            <w:vAlign w:val="center"/>
            <w:hideMark/>
          </w:tcPr>
          <w:p w14:paraId="64C9DBA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Actualización de la regulación de precios de suministro de GLP de comercializadores mayoristas a distribuidores.</w:t>
            </w:r>
          </w:p>
        </w:tc>
        <w:tc>
          <w:tcPr>
            <w:tcW w:w="1299" w:type="dxa"/>
            <w:shd w:val="clear" w:color="auto" w:fill="auto"/>
            <w:noWrap/>
            <w:vAlign w:val="center"/>
            <w:hideMark/>
          </w:tcPr>
          <w:p w14:paraId="2EFC3E5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1DF0F4BD"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Suministro</w:t>
            </w:r>
          </w:p>
        </w:tc>
        <w:tc>
          <w:tcPr>
            <w:tcW w:w="1200" w:type="dxa"/>
            <w:shd w:val="clear" w:color="auto" w:fill="auto"/>
            <w:noWrap/>
            <w:vAlign w:val="center"/>
            <w:hideMark/>
          </w:tcPr>
          <w:p w14:paraId="3FE9BBA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4D17421"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260C3C4"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054335B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7E5D906A" w14:textId="77777777" w:rsidTr="00FC2B65">
        <w:trPr>
          <w:trHeight w:val="870"/>
        </w:trPr>
        <w:tc>
          <w:tcPr>
            <w:tcW w:w="680" w:type="dxa"/>
            <w:shd w:val="clear" w:color="auto" w:fill="auto"/>
            <w:noWrap/>
            <w:vAlign w:val="center"/>
            <w:hideMark/>
          </w:tcPr>
          <w:p w14:paraId="55E91341" w14:textId="2BC935BC"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48</w:t>
            </w:r>
          </w:p>
        </w:tc>
        <w:tc>
          <w:tcPr>
            <w:tcW w:w="2978" w:type="dxa"/>
            <w:shd w:val="clear" w:color="auto" w:fill="auto"/>
            <w:vAlign w:val="center"/>
            <w:hideMark/>
          </w:tcPr>
          <w:p w14:paraId="69948DBC" w14:textId="6D35C74F"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AJUSTAR LA CAPACIDAD DE COMPRA DE LA QUE TRATA LA RESOLUCIÓN CREG 063 DE 2016.</w:t>
            </w:r>
          </w:p>
        </w:tc>
        <w:tc>
          <w:tcPr>
            <w:tcW w:w="3402" w:type="dxa"/>
            <w:shd w:val="clear" w:color="auto" w:fill="auto"/>
            <w:vAlign w:val="center"/>
            <w:hideMark/>
          </w:tcPr>
          <w:p w14:paraId="030E5F6F"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Modificación parágrafo 1 y adición de un parágrafo del artículo 8 de la Resolución CREG 063 de 2016.</w:t>
            </w:r>
          </w:p>
        </w:tc>
        <w:tc>
          <w:tcPr>
            <w:tcW w:w="1299" w:type="dxa"/>
            <w:shd w:val="clear" w:color="auto" w:fill="auto"/>
            <w:noWrap/>
            <w:vAlign w:val="center"/>
            <w:hideMark/>
          </w:tcPr>
          <w:p w14:paraId="596FDBA5"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334A3D3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Comercialización Mayorista</w:t>
            </w:r>
          </w:p>
        </w:tc>
        <w:tc>
          <w:tcPr>
            <w:tcW w:w="1200" w:type="dxa"/>
            <w:shd w:val="clear" w:color="auto" w:fill="auto"/>
            <w:noWrap/>
            <w:vAlign w:val="center"/>
            <w:hideMark/>
          </w:tcPr>
          <w:p w14:paraId="421BEDAE"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4479FF9B"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74FBD8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926537B"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455AC13B" w14:textId="77777777" w:rsidTr="00FC2B65">
        <w:trPr>
          <w:trHeight w:val="2320"/>
        </w:trPr>
        <w:tc>
          <w:tcPr>
            <w:tcW w:w="680" w:type="dxa"/>
            <w:shd w:val="clear" w:color="auto" w:fill="auto"/>
            <w:noWrap/>
            <w:vAlign w:val="center"/>
            <w:hideMark/>
          </w:tcPr>
          <w:p w14:paraId="667A2093" w14:textId="4E2DA3AB"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49</w:t>
            </w:r>
          </w:p>
        </w:tc>
        <w:tc>
          <w:tcPr>
            <w:tcW w:w="2978" w:type="dxa"/>
            <w:shd w:val="clear" w:color="auto" w:fill="auto"/>
            <w:vAlign w:val="center"/>
            <w:hideMark/>
          </w:tcPr>
          <w:p w14:paraId="7640A128" w14:textId="261C20C2"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EXPEDIR LA REGULACIÓN APLICABLE A LA IMPLEMENTACIÓN Y DESARROLLO DE LOS PLANES DE CONTINUIDAD, SEGÚN EL "PLAN DE ABASTECIMIENTO DE COMBUSTIBLES LÍQUIDOS. TEMA: CONFIABILIDAD” DISPUESTO EN LA RESOLUCIÓN 40224 DE 2022</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873821B"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Incluir la componente que remunera el Plan de Expansión de Red de Poliductos y el Plan de continuidad en la fórmula tarifaria del GLP.</w:t>
            </w:r>
          </w:p>
        </w:tc>
        <w:tc>
          <w:tcPr>
            <w:tcW w:w="1299" w:type="dxa"/>
            <w:shd w:val="clear" w:color="auto" w:fill="auto"/>
            <w:noWrap/>
            <w:vAlign w:val="center"/>
            <w:hideMark/>
          </w:tcPr>
          <w:p w14:paraId="725301F9"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757FA83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3D6427A8"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652395D"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5B6F7CC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F11B507"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r>
      <w:tr w:rsidR="00237B86" w:rsidRPr="00EE08EF" w14:paraId="12F9316F" w14:textId="77777777" w:rsidTr="00FC2B65">
        <w:trPr>
          <w:trHeight w:val="1160"/>
        </w:trPr>
        <w:tc>
          <w:tcPr>
            <w:tcW w:w="680" w:type="dxa"/>
            <w:shd w:val="clear" w:color="auto" w:fill="auto"/>
            <w:noWrap/>
            <w:vAlign w:val="center"/>
            <w:hideMark/>
          </w:tcPr>
          <w:p w14:paraId="45B3DFA8" w14:textId="235219A1"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50</w:t>
            </w:r>
          </w:p>
        </w:tc>
        <w:tc>
          <w:tcPr>
            <w:tcW w:w="2978" w:type="dxa"/>
            <w:shd w:val="clear" w:color="auto" w:fill="auto"/>
            <w:vAlign w:val="center"/>
            <w:hideMark/>
          </w:tcPr>
          <w:p w14:paraId="2098071A" w14:textId="20217AC9"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 LA CADENA DE LA PRESTACIÓN DE SERVICOS DE GLP</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3552679"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Elaboración de Documentos 1 y 2 de AIN con el objetivo de identificar las necesidades de intervención regulatoria en la cadena de prestación del servicio del GLP.</w:t>
            </w:r>
          </w:p>
        </w:tc>
        <w:tc>
          <w:tcPr>
            <w:tcW w:w="1299" w:type="dxa"/>
            <w:shd w:val="clear" w:color="auto" w:fill="auto"/>
            <w:noWrap/>
            <w:vAlign w:val="center"/>
            <w:hideMark/>
          </w:tcPr>
          <w:p w14:paraId="74B1A20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GLP</w:t>
            </w:r>
          </w:p>
        </w:tc>
        <w:tc>
          <w:tcPr>
            <w:tcW w:w="1559" w:type="dxa"/>
            <w:shd w:val="clear" w:color="auto" w:fill="auto"/>
            <w:vAlign w:val="center"/>
            <w:hideMark/>
          </w:tcPr>
          <w:p w14:paraId="5DA10D74"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068E0D1C"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Doc.1</w:t>
            </w:r>
          </w:p>
        </w:tc>
        <w:tc>
          <w:tcPr>
            <w:tcW w:w="1200" w:type="dxa"/>
            <w:shd w:val="clear" w:color="auto" w:fill="auto"/>
            <w:noWrap/>
            <w:vAlign w:val="center"/>
            <w:hideMark/>
          </w:tcPr>
          <w:p w14:paraId="1299A93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2BFD65B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334FDCB"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2DF692B0" w14:textId="77777777" w:rsidTr="00FC2B65">
        <w:trPr>
          <w:trHeight w:val="1350"/>
        </w:trPr>
        <w:tc>
          <w:tcPr>
            <w:tcW w:w="680" w:type="dxa"/>
            <w:shd w:val="clear" w:color="auto" w:fill="auto"/>
            <w:noWrap/>
            <w:vAlign w:val="center"/>
            <w:hideMark/>
          </w:tcPr>
          <w:p w14:paraId="7CEA3D3F" w14:textId="21B118BD"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51</w:t>
            </w:r>
          </w:p>
        </w:tc>
        <w:tc>
          <w:tcPr>
            <w:tcW w:w="2978" w:type="dxa"/>
            <w:shd w:val="clear" w:color="auto" w:fill="auto"/>
            <w:vAlign w:val="center"/>
            <w:hideMark/>
          </w:tcPr>
          <w:p w14:paraId="413C967E" w14:textId="3F702F5C"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TARIFARIA DEL TRANSPORTE DE COMBUSTIBLES LÍQUIDOS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4C663C4F"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Metodología tarifaria para la remuneración de la actividad de transporte de combustibles líquidos y gas licuado del petróleo -GLP- por ductos</w:t>
            </w:r>
          </w:p>
        </w:tc>
        <w:tc>
          <w:tcPr>
            <w:tcW w:w="1299" w:type="dxa"/>
            <w:shd w:val="clear" w:color="auto" w:fill="auto"/>
            <w:noWrap/>
            <w:vAlign w:val="center"/>
            <w:hideMark/>
          </w:tcPr>
          <w:p w14:paraId="0924890E"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59AA963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 almacenamiento</w:t>
            </w:r>
          </w:p>
        </w:tc>
        <w:tc>
          <w:tcPr>
            <w:tcW w:w="1200" w:type="dxa"/>
            <w:shd w:val="clear" w:color="auto" w:fill="auto"/>
            <w:noWrap/>
            <w:vAlign w:val="center"/>
            <w:hideMark/>
          </w:tcPr>
          <w:p w14:paraId="00514AF8"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9B5CC28"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5E65FFFC"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A1A4C8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3F134022" w14:textId="77777777" w:rsidTr="00FC2B65">
        <w:trPr>
          <w:trHeight w:val="1450"/>
        </w:trPr>
        <w:tc>
          <w:tcPr>
            <w:tcW w:w="680" w:type="dxa"/>
            <w:shd w:val="clear" w:color="auto" w:fill="auto"/>
            <w:noWrap/>
            <w:vAlign w:val="center"/>
            <w:hideMark/>
          </w:tcPr>
          <w:p w14:paraId="676633E4" w14:textId="239D2AEF"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52</w:t>
            </w:r>
          </w:p>
        </w:tc>
        <w:tc>
          <w:tcPr>
            <w:tcW w:w="2978" w:type="dxa"/>
            <w:shd w:val="clear" w:color="auto" w:fill="auto"/>
            <w:vAlign w:val="center"/>
            <w:hideMark/>
          </w:tcPr>
          <w:p w14:paraId="56E19661" w14:textId="4DD5BB0E"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REGLAS TRANSITORIAS DE</w:t>
            </w:r>
            <w:r>
              <w:rPr>
                <w:rFonts w:ascii="Aptos Narrow" w:eastAsia="Times New Roman" w:hAnsi="Aptos Narrow" w:cs="Times New Roman"/>
                <w:color w:val="000000"/>
                <w:sz w:val="20"/>
                <w:szCs w:val="20"/>
                <w:lang w:eastAsia="es-CO"/>
              </w:rPr>
              <w:t xml:space="preserve"> </w:t>
            </w:r>
            <w:r w:rsidRPr="00EE08EF">
              <w:rPr>
                <w:rFonts w:ascii="Aptos Narrow" w:eastAsia="Times New Roman" w:hAnsi="Aptos Narrow" w:cs="Times New Roman"/>
                <w:color w:val="000000"/>
                <w:sz w:val="20"/>
                <w:szCs w:val="20"/>
                <w:lang w:eastAsia="es-CO"/>
              </w:rPr>
              <w:t>ALMACENAMIENTO OPERATIVO COMERCIAL Y CALIDAD RESOLUCIÓN (RES 40399 2022 MME)</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752FE4D"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Definición de remuneración transitoria del almacenamiento operativo, comercial y de las actividades y costos asociados a la calidad de combustibles.</w:t>
            </w:r>
          </w:p>
        </w:tc>
        <w:tc>
          <w:tcPr>
            <w:tcW w:w="1299" w:type="dxa"/>
            <w:shd w:val="clear" w:color="auto" w:fill="auto"/>
            <w:noWrap/>
            <w:vAlign w:val="center"/>
            <w:hideMark/>
          </w:tcPr>
          <w:p w14:paraId="35F29B8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37445AF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Transitoria almacenamiento operativo comercial y calidad</w:t>
            </w:r>
          </w:p>
        </w:tc>
        <w:tc>
          <w:tcPr>
            <w:tcW w:w="1200" w:type="dxa"/>
            <w:shd w:val="clear" w:color="auto" w:fill="auto"/>
            <w:noWrap/>
            <w:vAlign w:val="center"/>
            <w:hideMark/>
          </w:tcPr>
          <w:p w14:paraId="5461701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91535EF"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7DC2F20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ACBFF7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4940EBC4" w14:textId="77777777" w:rsidTr="00FC2B65">
        <w:trPr>
          <w:trHeight w:val="1560"/>
        </w:trPr>
        <w:tc>
          <w:tcPr>
            <w:tcW w:w="680" w:type="dxa"/>
            <w:shd w:val="clear" w:color="auto" w:fill="auto"/>
            <w:noWrap/>
            <w:vAlign w:val="center"/>
            <w:hideMark/>
          </w:tcPr>
          <w:p w14:paraId="60902706" w14:textId="06840972"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5</w:t>
            </w:r>
            <w:r>
              <w:rPr>
                <w:rFonts w:ascii="Aptos Narrow" w:eastAsia="Times New Roman" w:hAnsi="Aptos Narrow" w:cs="Times New Roman"/>
                <w:color w:val="000000"/>
                <w:sz w:val="20"/>
                <w:szCs w:val="20"/>
                <w:lang w:eastAsia="es-CO"/>
              </w:rPr>
              <w:t>3</w:t>
            </w:r>
          </w:p>
        </w:tc>
        <w:tc>
          <w:tcPr>
            <w:tcW w:w="2978" w:type="dxa"/>
            <w:shd w:val="clear" w:color="auto" w:fill="auto"/>
            <w:vAlign w:val="center"/>
            <w:hideMark/>
          </w:tcPr>
          <w:p w14:paraId="153606BF" w14:textId="1B75F1BD"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 COMBUSTIBLES LÍQUIDOS POR MEDIOS DIFERENTES AL POLIDUCTO</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4AD80A3"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del transporte terrestre de combustibles líquidos y de biocombustibles por medios diferentes al poliducto, entre las refinerías o puntos de importación y las plantas de abasto, y entre estas últimas y las estaciones de servicio.</w:t>
            </w:r>
          </w:p>
        </w:tc>
        <w:tc>
          <w:tcPr>
            <w:tcW w:w="1299" w:type="dxa"/>
            <w:shd w:val="clear" w:color="auto" w:fill="auto"/>
            <w:noWrap/>
            <w:vAlign w:val="center"/>
            <w:hideMark/>
          </w:tcPr>
          <w:p w14:paraId="1F2CD059"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1541A5B9"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Transporte, almacenamiento</w:t>
            </w:r>
          </w:p>
        </w:tc>
        <w:tc>
          <w:tcPr>
            <w:tcW w:w="1200" w:type="dxa"/>
            <w:shd w:val="clear" w:color="auto" w:fill="auto"/>
            <w:noWrap/>
            <w:vAlign w:val="center"/>
            <w:hideMark/>
          </w:tcPr>
          <w:p w14:paraId="127F775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F10E804"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6A1C4E3"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70AED5E"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r>
      <w:tr w:rsidR="00237B86" w:rsidRPr="00EE08EF" w14:paraId="0E69434F" w14:textId="77777777" w:rsidTr="00FC2B65">
        <w:trPr>
          <w:trHeight w:val="870"/>
        </w:trPr>
        <w:tc>
          <w:tcPr>
            <w:tcW w:w="680" w:type="dxa"/>
            <w:shd w:val="clear" w:color="auto" w:fill="auto"/>
            <w:noWrap/>
            <w:vAlign w:val="center"/>
            <w:hideMark/>
          </w:tcPr>
          <w:p w14:paraId="5AA19605" w14:textId="31624598"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5</w:t>
            </w:r>
            <w:r>
              <w:rPr>
                <w:rFonts w:ascii="Aptos Narrow" w:eastAsia="Times New Roman" w:hAnsi="Aptos Narrow" w:cs="Times New Roman"/>
                <w:color w:val="000000"/>
                <w:sz w:val="20"/>
                <w:szCs w:val="20"/>
                <w:lang w:eastAsia="es-CO"/>
              </w:rPr>
              <w:t>4</w:t>
            </w:r>
          </w:p>
        </w:tc>
        <w:tc>
          <w:tcPr>
            <w:tcW w:w="2978" w:type="dxa"/>
            <w:shd w:val="clear" w:color="auto" w:fill="auto"/>
            <w:vAlign w:val="center"/>
            <w:hideMark/>
          </w:tcPr>
          <w:p w14:paraId="0405132A" w14:textId="3B9EE363"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LA ESTRUCTURA DE PRECIOS DE JET</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1BCE176"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Revisión de los componentes de la estructura de precios del combustible de aviación Jet-A1.</w:t>
            </w:r>
          </w:p>
        </w:tc>
        <w:tc>
          <w:tcPr>
            <w:tcW w:w="1299" w:type="dxa"/>
            <w:shd w:val="clear" w:color="auto" w:fill="auto"/>
            <w:noWrap/>
            <w:vAlign w:val="center"/>
            <w:hideMark/>
          </w:tcPr>
          <w:p w14:paraId="56225657"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7E5725B6"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 CL</w:t>
            </w:r>
          </w:p>
        </w:tc>
        <w:tc>
          <w:tcPr>
            <w:tcW w:w="1200" w:type="dxa"/>
            <w:shd w:val="clear" w:color="auto" w:fill="auto"/>
            <w:noWrap/>
            <w:vAlign w:val="center"/>
            <w:hideMark/>
          </w:tcPr>
          <w:p w14:paraId="704EBCB6"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7AA8D3A"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04F8AE5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344B89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35008C86" w14:textId="77777777" w:rsidTr="00FC2B65">
        <w:trPr>
          <w:trHeight w:val="2320"/>
        </w:trPr>
        <w:tc>
          <w:tcPr>
            <w:tcW w:w="680" w:type="dxa"/>
            <w:shd w:val="clear" w:color="auto" w:fill="auto"/>
            <w:noWrap/>
            <w:vAlign w:val="center"/>
            <w:hideMark/>
          </w:tcPr>
          <w:p w14:paraId="7747DCC0" w14:textId="0DB529FF"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5</w:t>
            </w:r>
            <w:r>
              <w:rPr>
                <w:rFonts w:ascii="Aptos Narrow" w:eastAsia="Times New Roman" w:hAnsi="Aptos Narrow" w:cs="Times New Roman"/>
                <w:color w:val="000000"/>
                <w:sz w:val="20"/>
                <w:szCs w:val="20"/>
                <w:lang w:eastAsia="es-CO"/>
              </w:rPr>
              <w:t>5</w:t>
            </w:r>
          </w:p>
        </w:tc>
        <w:tc>
          <w:tcPr>
            <w:tcW w:w="2978" w:type="dxa"/>
            <w:shd w:val="clear" w:color="auto" w:fill="auto"/>
            <w:vAlign w:val="center"/>
            <w:hideMark/>
          </w:tcPr>
          <w:p w14:paraId="1AECB4A7" w14:textId="0D9A305F"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ESTABLECER LOS </w:t>
            </w:r>
            <w:r w:rsidRPr="00EE08EF">
              <w:rPr>
                <w:rFonts w:ascii="Aptos Narrow" w:eastAsia="Times New Roman" w:hAnsi="Aptos Narrow" w:cs="Times New Roman"/>
                <w:color w:val="000000"/>
                <w:sz w:val="20"/>
                <w:szCs w:val="20"/>
                <w:lang w:eastAsia="es-CO"/>
              </w:rPr>
              <w:t>PROCEDIMIENTOS QUE SE DEBEN SEGUIR PARA EJECUTAR LOS PROYECTOS DEL PLAN DE CONTINUIDAD Y DEL PLAN DE EXPANSIÓN DE LA RED DE POLIDUCTOS ADOPTADOS POR EL MINISTERIO DE MINAS Y ENERGÍA</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5DB2AB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Establecer los procedimientos que se deben seguir para ejecutar los proyectos del Plan de Continuidad y del Plan de Expansión de la Red de Poliductos adoptados por el Ministerio de Minas y Energía, en cuanto a la selección de los ejecutores, su remuneración y las reglas para que los proyectos entren en servicio en forma oportuna.</w:t>
            </w:r>
          </w:p>
        </w:tc>
        <w:tc>
          <w:tcPr>
            <w:tcW w:w="1299" w:type="dxa"/>
            <w:shd w:val="clear" w:color="auto" w:fill="auto"/>
            <w:noWrap/>
            <w:vAlign w:val="center"/>
            <w:hideMark/>
          </w:tcPr>
          <w:p w14:paraId="44032D63"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48F1068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 CL</w:t>
            </w:r>
          </w:p>
        </w:tc>
        <w:tc>
          <w:tcPr>
            <w:tcW w:w="1200" w:type="dxa"/>
            <w:shd w:val="clear" w:color="auto" w:fill="auto"/>
            <w:noWrap/>
            <w:vAlign w:val="center"/>
            <w:hideMark/>
          </w:tcPr>
          <w:p w14:paraId="61955C63"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3A0623E6"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89BF18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18E23CF"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07E28502" w14:textId="77777777" w:rsidTr="00FC2B65">
        <w:trPr>
          <w:trHeight w:val="2030"/>
        </w:trPr>
        <w:tc>
          <w:tcPr>
            <w:tcW w:w="680" w:type="dxa"/>
            <w:shd w:val="clear" w:color="auto" w:fill="auto"/>
            <w:noWrap/>
            <w:vAlign w:val="center"/>
            <w:hideMark/>
          </w:tcPr>
          <w:p w14:paraId="711BBFBA" w14:textId="26C5669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5</w:t>
            </w:r>
            <w:r>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5097349C" w14:textId="5437CA39"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 xml:space="preserve">DEFINICIÓN </w:t>
            </w:r>
            <w:r w:rsidRPr="00EE08EF">
              <w:rPr>
                <w:rFonts w:ascii="Aptos Narrow" w:eastAsia="Times New Roman" w:hAnsi="Aptos Narrow" w:cs="Times New Roman"/>
                <w:color w:val="000000"/>
                <w:sz w:val="20"/>
                <w:szCs w:val="20"/>
                <w:lang w:eastAsia="es-CO"/>
              </w:rPr>
              <w:t>TASA DE DESCUENTO PARA EL MARGEN MAYORISTA Y MINORISTA DE DISTRIBUCIÓN DE GMC Y ACPM-DIÉSEL</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53CA3031"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la tasa de descuento para calcular los márgenes de distribución mayorista y minorista de gasolina motor corriente, ACPM-Diésel y sus mezclas con biocombustibles, mediante la escogencia del código de clasificación industrial y la fecha para la estimación del cálculo de cada variable que compone la tasa de descuento.</w:t>
            </w:r>
          </w:p>
        </w:tc>
        <w:tc>
          <w:tcPr>
            <w:tcW w:w="1299" w:type="dxa"/>
            <w:shd w:val="clear" w:color="auto" w:fill="auto"/>
            <w:noWrap/>
            <w:vAlign w:val="center"/>
            <w:hideMark/>
          </w:tcPr>
          <w:p w14:paraId="0EA7BABE"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53B3D6ED"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Margen Mayorista y Minorista</w:t>
            </w:r>
          </w:p>
        </w:tc>
        <w:tc>
          <w:tcPr>
            <w:tcW w:w="1200" w:type="dxa"/>
            <w:shd w:val="clear" w:color="auto" w:fill="auto"/>
            <w:noWrap/>
            <w:vAlign w:val="center"/>
            <w:hideMark/>
          </w:tcPr>
          <w:p w14:paraId="35491C03"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0C477B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Doc.4</w:t>
            </w:r>
          </w:p>
        </w:tc>
        <w:tc>
          <w:tcPr>
            <w:tcW w:w="1200" w:type="dxa"/>
            <w:shd w:val="clear" w:color="auto" w:fill="auto"/>
            <w:noWrap/>
            <w:vAlign w:val="center"/>
            <w:hideMark/>
          </w:tcPr>
          <w:p w14:paraId="1C321634"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88A977D"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3CCFEED0" w14:textId="77777777" w:rsidTr="00FC2B65">
        <w:trPr>
          <w:trHeight w:val="1450"/>
        </w:trPr>
        <w:tc>
          <w:tcPr>
            <w:tcW w:w="680" w:type="dxa"/>
            <w:shd w:val="clear" w:color="auto" w:fill="auto"/>
            <w:noWrap/>
            <w:vAlign w:val="center"/>
            <w:hideMark/>
          </w:tcPr>
          <w:p w14:paraId="1815551A" w14:textId="6C8CA285"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5</w:t>
            </w:r>
            <w:r>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056E82D7" w14:textId="49CA104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MARCACIÓN DE COMBUSTIBLES LÍQUIDOS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7B9E3503" w14:textId="7B0954D4"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xml:space="preserve">Definir la metodología para la remuneración de la actividad de marcación (gasolina motor y </w:t>
            </w:r>
            <w:r>
              <w:rPr>
                <w:rFonts w:ascii="Aptos Narrow" w:eastAsia="Times New Roman" w:hAnsi="Aptos Narrow" w:cs="Times New Roman"/>
                <w:color w:val="000000"/>
                <w:sz w:val="20"/>
                <w:szCs w:val="20"/>
                <w:lang w:eastAsia="es-CO"/>
              </w:rPr>
              <w:t>ACPM</w:t>
            </w:r>
            <w:r w:rsidRPr="00EE08EF">
              <w:rPr>
                <w:rFonts w:ascii="Aptos Narrow" w:eastAsia="Times New Roman" w:hAnsi="Aptos Narrow" w:cs="Times New Roman"/>
                <w:color w:val="000000"/>
                <w:sz w:val="20"/>
                <w:szCs w:val="20"/>
                <w:lang w:eastAsia="es-CO"/>
              </w:rPr>
              <w:t>), según lo establecido en el decreto 1503 de 2002.</w:t>
            </w:r>
          </w:p>
        </w:tc>
        <w:tc>
          <w:tcPr>
            <w:tcW w:w="1299" w:type="dxa"/>
            <w:shd w:val="clear" w:color="auto" w:fill="auto"/>
            <w:noWrap/>
            <w:vAlign w:val="center"/>
            <w:hideMark/>
          </w:tcPr>
          <w:p w14:paraId="7F64BC28"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56934556"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6AD7E95A"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Doc.2</w:t>
            </w:r>
          </w:p>
        </w:tc>
        <w:tc>
          <w:tcPr>
            <w:tcW w:w="1200" w:type="dxa"/>
            <w:shd w:val="clear" w:color="auto" w:fill="auto"/>
            <w:noWrap/>
            <w:vAlign w:val="center"/>
            <w:hideMark/>
          </w:tcPr>
          <w:p w14:paraId="78201E39"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3346CB8"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D3B73A3"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6DF4433C" w14:textId="77777777" w:rsidTr="00FC2B65">
        <w:trPr>
          <w:trHeight w:val="870"/>
        </w:trPr>
        <w:tc>
          <w:tcPr>
            <w:tcW w:w="680" w:type="dxa"/>
            <w:shd w:val="clear" w:color="auto" w:fill="auto"/>
            <w:noWrap/>
            <w:vAlign w:val="center"/>
            <w:hideMark/>
          </w:tcPr>
          <w:p w14:paraId="10096DAF" w14:textId="42570BC2"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5</w:t>
            </w:r>
            <w:r>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54C18BBE" w14:textId="30083F54"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REGLAS DE COMPORTAMIENTO PARA EL SECTOR DE COMBUSTIBLES LÍQUIDOS</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201AE891"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Creación de reglas de comportamiento (generales) para el sector de combustibles líquidos.</w:t>
            </w:r>
          </w:p>
        </w:tc>
        <w:tc>
          <w:tcPr>
            <w:tcW w:w="1299" w:type="dxa"/>
            <w:shd w:val="clear" w:color="auto" w:fill="auto"/>
            <w:noWrap/>
            <w:vAlign w:val="center"/>
            <w:hideMark/>
          </w:tcPr>
          <w:p w14:paraId="4358D5C5"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420DD144"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Distribución</w:t>
            </w:r>
          </w:p>
        </w:tc>
        <w:tc>
          <w:tcPr>
            <w:tcW w:w="1200" w:type="dxa"/>
            <w:shd w:val="clear" w:color="auto" w:fill="auto"/>
            <w:noWrap/>
            <w:vAlign w:val="center"/>
            <w:hideMark/>
          </w:tcPr>
          <w:p w14:paraId="2721EA5B"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5B2877EE"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3A8DBB41"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6A5585A0"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29DA8E74" w14:textId="77777777" w:rsidTr="00FC2B65">
        <w:trPr>
          <w:trHeight w:val="1160"/>
        </w:trPr>
        <w:tc>
          <w:tcPr>
            <w:tcW w:w="680" w:type="dxa"/>
            <w:shd w:val="clear" w:color="auto" w:fill="auto"/>
            <w:noWrap/>
            <w:vAlign w:val="center"/>
          </w:tcPr>
          <w:p w14:paraId="33A068FF" w14:textId="3FC70020"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59</w:t>
            </w:r>
          </w:p>
        </w:tc>
        <w:tc>
          <w:tcPr>
            <w:tcW w:w="2978" w:type="dxa"/>
            <w:shd w:val="clear" w:color="auto" w:fill="auto"/>
            <w:vAlign w:val="center"/>
          </w:tcPr>
          <w:p w14:paraId="2BE8D508" w14:textId="4529F3C9"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MARGEN MAYORISTA Y MINORISTA DE DISTRIBUCIÓN DE GMC Y ACPM-DIÉSEL</w:t>
            </w:r>
            <w:r>
              <w:rPr>
                <w:rFonts w:ascii="Aptos Narrow" w:eastAsia="Times New Roman" w:hAnsi="Aptos Narrow" w:cs="Times New Roman"/>
                <w:color w:val="000000"/>
                <w:sz w:val="20"/>
                <w:szCs w:val="20"/>
                <w:lang w:eastAsia="es-CO"/>
              </w:rPr>
              <w:t>.</w:t>
            </w:r>
          </w:p>
        </w:tc>
        <w:tc>
          <w:tcPr>
            <w:tcW w:w="3402" w:type="dxa"/>
            <w:shd w:val="clear" w:color="auto" w:fill="auto"/>
            <w:vAlign w:val="center"/>
          </w:tcPr>
          <w:p w14:paraId="1E4157F2" w14:textId="757A4626"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Determinarla remuneración para la actividad de distribución mayorista y minorista de gasolina motor corriente, ACPM-Diésel y sus mezclas con biocombustibles.</w:t>
            </w:r>
          </w:p>
        </w:tc>
        <w:tc>
          <w:tcPr>
            <w:tcW w:w="1299" w:type="dxa"/>
            <w:shd w:val="clear" w:color="auto" w:fill="auto"/>
            <w:noWrap/>
            <w:vAlign w:val="center"/>
          </w:tcPr>
          <w:p w14:paraId="4BD78FB1" w14:textId="6EE221BA"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tcPr>
          <w:p w14:paraId="27B05CA8" w14:textId="7434DB92"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Distribución</w:t>
            </w:r>
          </w:p>
        </w:tc>
        <w:tc>
          <w:tcPr>
            <w:tcW w:w="1200" w:type="dxa"/>
            <w:shd w:val="clear" w:color="auto" w:fill="auto"/>
            <w:noWrap/>
            <w:vAlign w:val="center"/>
          </w:tcPr>
          <w:p w14:paraId="33DF6D54" w14:textId="2AD86BBF"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1D71F042" w14:textId="4BAA5408"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tcPr>
          <w:p w14:paraId="371AC50E" w14:textId="606681FC"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190682F4" w14:textId="57957A89"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0F2B8E02" w14:textId="77777777" w:rsidTr="00FC2B65">
        <w:trPr>
          <w:trHeight w:val="1160"/>
        </w:trPr>
        <w:tc>
          <w:tcPr>
            <w:tcW w:w="680" w:type="dxa"/>
            <w:shd w:val="clear" w:color="auto" w:fill="auto"/>
            <w:noWrap/>
            <w:vAlign w:val="center"/>
          </w:tcPr>
          <w:p w14:paraId="7295E3D5" w14:textId="0D24F95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60</w:t>
            </w:r>
          </w:p>
        </w:tc>
        <w:tc>
          <w:tcPr>
            <w:tcW w:w="2978" w:type="dxa"/>
            <w:shd w:val="clear" w:color="auto" w:fill="auto"/>
            <w:vAlign w:val="center"/>
          </w:tcPr>
          <w:p w14:paraId="7B525072" w14:textId="60FE2539"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RÉGIMEN MAYORISTA Y MINORISTA DE DISTRIBUCIÓN DE GMC Y ACPM-DIÉSEL</w:t>
            </w:r>
            <w:r>
              <w:rPr>
                <w:rFonts w:ascii="Aptos Narrow" w:eastAsia="Times New Roman" w:hAnsi="Aptos Narrow" w:cs="Times New Roman"/>
                <w:color w:val="000000"/>
                <w:sz w:val="20"/>
                <w:szCs w:val="20"/>
                <w:lang w:eastAsia="es-CO"/>
              </w:rPr>
              <w:t>.</w:t>
            </w:r>
          </w:p>
        </w:tc>
        <w:tc>
          <w:tcPr>
            <w:tcW w:w="3402" w:type="dxa"/>
            <w:shd w:val="clear" w:color="auto" w:fill="auto"/>
            <w:vAlign w:val="center"/>
          </w:tcPr>
          <w:p w14:paraId="1FE51F2D" w14:textId="10E6D77F"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el régimen de precios para la actividad de distribución mayorista y minorista de gasolina motor corriente, ACPM-Diésel y sus mezclas con biocombustibles.</w:t>
            </w:r>
          </w:p>
        </w:tc>
        <w:tc>
          <w:tcPr>
            <w:tcW w:w="1299" w:type="dxa"/>
            <w:shd w:val="clear" w:color="auto" w:fill="auto"/>
            <w:noWrap/>
            <w:vAlign w:val="center"/>
          </w:tcPr>
          <w:p w14:paraId="33E9BB45" w14:textId="02E5EA2C"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tcPr>
          <w:p w14:paraId="28C20934" w14:textId="495554F4"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Distribución</w:t>
            </w:r>
          </w:p>
        </w:tc>
        <w:tc>
          <w:tcPr>
            <w:tcW w:w="1200" w:type="dxa"/>
            <w:shd w:val="clear" w:color="auto" w:fill="auto"/>
            <w:noWrap/>
            <w:vAlign w:val="center"/>
          </w:tcPr>
          <w:p w14:paraId="36E7E024" w14:textId="69A8EC9B"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788E8D28" w14:textId="1089F098"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tcPr>
          <w:p w14:paraId="0FCA2DB2" w14:textId="16DFBB7B"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tcPr>
          <w:p w14:paraId="5A47CA5F" w14:textId="2028235F"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0EAD6E22" w14:textId="77777777" w:rsidTr="00FC2B65">
        <w:trPr>
          <w:trHeight w:val="1160"/>
        </w:trPr>
        <w:tc>
          <w:tcPr>
            <w:tcW w:w="680" w:type="dxa"/>
            <w:shd w:val="clear" w:color="auto" w:fill="auto"/>
            <w:noWrap/>
            <w:vAlign w:val="center"/>
            <w:hideMark/>
          </w:tcPr>
          <w:p w14:paraId="4EC43527" w14:textId="4C0104CA"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61</w:t>
            </w:r>
          </w:p>
        </w:tc>
        <w:tc>
          <w:tcPr>
            <w:tcW w:w="2978" w:type="dxa"/>
            <w:shd w:val="clear" w:color="auto" w:fill="auto"/>
            <w:vAlign w:val="center"/>
            <w:hideMark/>
          </w:tcPr>
          <w:p w14:paraId="583809C9" w14:textId="13EADD3C"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METODOLOGIA PARA DEFINIR EL INGRESO AL PRODUCTOR DE LA GASOLINA DE AVIACIÓN PARA MOTORES TIPO TURBINA.</w:t>
            </w:r>
          </w:p>
        </w:tc>
        <w:tc>
          <w:tcPr>
            <w:tcW w:w="3402" w:type="dxa"/>
            <w:shd w:val="clear" w:color="auto" w:fill="auto"/>
            <w:vAlign w:val="center"/>
            <w:hideMark/>
          </w:tcPr>
          <w:p w14:paraId="78DC3E15" w14:textId="4FDD4FCE"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Determinar la metodología para remunerar eficientemente el IP del combustible de aviación para motor tipo turbina.</w:t>
            </w:r>
          </w:p>
        </w:tc>
        <w:tc>
          <w:tcPr>
            <w:tcW w:w="1299" w:type="dxa"/>
            <w:shd w:val="clear" w:color="auto" w:fill="auto"/>
            <w:noWrap/>
            <w:vAlign w:val="center"/>
            <w:hideMark/>
          </w:tcPr>
          <w:p w14:paraId="34469235"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1263C85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Suministro</w:t>
            </w:r>
          </w:p>
        </w:tc>
        <w:tc>
          <w:tcPr>
            <w:tcW w:w="1200" w:type="dxa"/>
            <w:shd w:val="clear" w:color="auto" w:fill="auto"/>
            <w:noWrap/>
            <w:vAlign w:val="center"/>
            <w:hideMark/>
          </w:tcPr>
          <w:p w14:paraId="190A2161"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34AF434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42B5E299"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c>
          <w:tcPr>
            <w:tcW w:w="1200" w:type="dxa"/>
            <w:shd w:val="clear" w:color="auto" w:fill="auto"/>
            <w:noWrap/>
            <w:vAlign w:val="center"/>
            <w:hideMark/>
          </w:tcPr>
          <w:p w14:paraId="56C2EA90"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r>
      <w:tr w:rsidR="00237B86" w:rsidRPr="00EE08EF" w14:paraId="5F9CA3E8" w14:textId="77777777" w:rsidTr="00FC2B65">
        <w:trPr>
          <w:trHeight w:val="1160"/>
        </w:trPr>
        <w:tc>
          <w:tcPr>
            <w:tcW w:w="680" w:type="dxa"/>
            <w:shd w:val="clear" w:color="auto" w:fill="auto"/>
            <w:noWrap/>
            <w:vAlign w:val="center"/>
            <w:hideMark/>
          </w:tcPr>
          <w:p w14:paraId="2E66BD55" w14:textId="196D0B0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62</w:t>
            </w:r>
          </w:p>
        </w:tc>
        <w:tc>
          <w:tcPr>
            <w:tcW w:w="2978" w:type="dxa"/>
            <w:shd w:val="clear" w:color="auto" w:fill="auto"/>
            <w:vAlign w:val="center"/>
            <w:hideMark/>
          </w:tcPr>
          <w:p w14:paraId="367A3B73" w14:textId="1D26E19E"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DETERMINACIÓN DEL RÉGIMEN APLICABLE AL MÁRGEN DE DISTRIBUCIÓN MAYORISTA DE JET</w:t>
            </w:r>
            <w:r>
              <w:rPr>
                <w:rFonts w:ascii="Aptos Narrow" w:eastAsia="Times New Roman" w:hAnsi="Aptos Narrow" w:cs="Times New Roman"/>
                <w:color w:val="000000"/>
                <w:sz w:val="20"/>
                <w:szCs w:val="20"/>
                <w:lang w:eastAsia="es-CO"/>
              </w:rPr>
              <w:t>.</w:t>
            </w:r>
          </w:p>
        </w:tc>
        <w:tc>
          <w:tcPr>
            <w:tcW w:w="3402" w:type="dxa"/>
            <w:shd w:val="clear" w:color="auto" w:fill="auto"/>
            <w:vAlign w:val="center"/>
            <w:hideMark/>
          </w:tcPr>
          <w:p w14:paraId="0A476EE4" w14:textId="3012CC11"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Análisis de competencia para establecer el régimen de precios aplicable para el margen de distribución mayorista de combustible para aviación.</w:t>
            </w:r>
          </w:p>
        </w:tc>
        <w:tc>
          <w:tcPr>
            <w:tcW w:w="1299" w:type="dxa"/>
            <w:shd w:val="clear" w:color="auto" w:fill="auto"/>
            <w:vAlign w:val="center"/>
            <w:hideMark/>
          </w:tcPr>
          <w:p w14:paraId="7175D892"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CL</w:t>
            </w:r>
          </w:p>
        </w:tc>
        <w:tc>
          <w:tcPr>
            <w:tcW w:w="1559" w:type="dxa"/>
            <w:shd w:val="clear" w:color="auto" w:fill="auto"/>
            <w:vAlign w:val="center"/>
            <w:hideMark/>
          </w:tcPr>
          <w:p w14:paraId="51025EA3"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Transversal</w:t>
            </w:r>
          </w:p>
        </w:tc>
        <w:tc>
          <w:tcPr>
            <w:tcW w:w="1200" w:type="dxa"/>
            <w:shd w:val="clear" w:color="auto" w:fill="auto"/>
            <w:noWrap/>
            <w:vAlign w:val="center"/>
            <w:hideMark/>
          </w:tcPr>
          <w:p w14:paraId="62F567F5"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7BA20C8C"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12C8624E" w14:textId="77777777" w:rsidR="00237B86" w:rsidRPr="00EE08EF" w:rsidRDefault="00237B86" w:rsidP="00237B86">
            <w:pPr>
              <w:spacing w:before="0" w:after="0" w:line="240" w:lineRule="auto"/>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2C6FFF29"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Doc.3</w:t>
            </w:r>
          </w:p>
        </w:tc>
      </w:tr>
      <w:tr w:rsidR="00237B86" w:rsidRPr="00EE08EF" w14:paraId="1DD84121" w14:textId="77777777" w:rsidTr="00FC2B65">
        <w:trPr>
          <w:trHeight w:val="1670"/>
        </w:trPr>
        <w:tc>
          <w:tcPr>
            <w:tcW w:w="680" w:type="dxa"/>
            <w:shd w:val="clear" w:color="auto" w:fill="auto"/>
            <w:noWrap/>
            <w:vAlign w:val="center"/>
            <w:hideMark/>
          </w:tcPr>
          <w:p w14:paraId="1748D739" w14:textId="64264A93"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lastRenderedPageBreak/>
              <w:t>63</w:t>
            </w:r>
          </w:p>
        </w:tc>
        <w:tc>
          <w:tcPr>
            <w:tcW w:w="2978" w:type="dxa"/>
            <w:shd w:val="clear" w:color="auto" w:fill="auto"/>
            <w:vAlign w:val="center"/>
            <w:hideMark/>
          </w:tcPr>
          <w:p w14:paraId="60755450" w14:textId="0D660051"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METODOLOGÍA DE DISTRIBUCIÓN DE GAS COMBUSTIBLE POR REDES DE TUBERÍA</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0305A28"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Expedición de bases de la metodología de gas combustible por redes de tubería.</w:t>
            </w:r>
          </w:p>
        </w:tc>
        <w:tc>
          <w:tcPr>
            <w:tcW w:w="1299" w:type="dxa"/>
            <w:shd w:val="clear" w:color="auto" w:fill="auto"/>
            <w:noWrap/>
            <w:vAlign w:val="center"/>
            <w:hideMark/>
          </w:tcPr>
          <w:p w14:paraId="29FF62E2"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45815457"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D8D5816"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2790C9A"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78E523CB"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099B1744"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Resolución de bases</w:t>
            </w:r>
          </w:p>
        </w:tc>
      </w:tr>
      <w:tr w:rsidR="00237B86" w:rsidRPr="00EE08EF" w14:paraId="0DDC0324" w14:textId="77777777" w:rsidTr="00FC2B65">
        <w:trPr>
          <w:trHeight w:val="2170"/>
        </w:trPr>
        <w:tc>
          <w:tcPr>
            <w:tcW w:w="680" w:type="dxa"/>
            <w:shd w:val="clear" w:color="auto" w:fill="auto"/>
            <w:noWrap/>
            <w:vAlign w:val="center"/>
            <w:hideMark/>
          </w:tcPr>
          <w:p w14:paraId="0C475606" w14:textId="30CCCAAA"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64</w:t>
            </w:r>
          </w:p>
        </w:tc>
        <w:tc>
          <w:tcPr>
            <w:tcW w:w="2978" w:type="dxa"/>
            <w:shd w:val="clear" w:color="auto" w:fill="auto"/>
            <w:vAlign w:val="center"/>
            <w:hideMark/>
          </w:tcPr>
          <w:p w14:paraId="27BBDF26" w14:textId="6B157043"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REVISIÓN DE LA RESOLUCIÓN 108 DE 1997 (DERECHOS DE LOS USUARIOS)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6D6C8CC5"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Modernizar el Régimen de Protección y deberes de los usuarios de los servicios públicos domiciliarios de energía, gas combustible por redes y GLP por cilindros y tanques, brindándole al usuario herramientas que le permitan asumir su rol activamente frente a la prestación del servicio y los retos que conlleva la transición energética.</w:t>
            </w:r>
          </w:p>
        </w:tc>
        <w:tc>
          <w:tcPr>
            <w:tcW w:w="1299" w:type="dxa"/>
            <w:shd w:val="clear" w:color="auto" w:fill="auto"/>
            <w:noWrap/>
            <w:vAlign w:val="center"/>
            <w:hideMark/>
          </w:tcPr>
          <w:p w14:paraId="786144D8"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469B063C"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44AF7B3"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B0D67F2"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1C596132"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vAlign w:val="center"/>
            <w:hideMark/>
          </w:tcPr>
          <w:p w14:paraId="2BF26A12"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r>
      <w:tr w:rsidR="00237B86" w:rsidRPr="00EE08EF" w14:paraId="0CB9C980" w14:textId="77777777" w:rsidTr="00FC2B65">
        <w:trPr>
          <w:trHeight w:val="830"/>
        </w:trPr>
        <w:tc>
          <w:tcPr>
            <w:tcW w:w="680" w:type="dxa"/>
            <w:shd w:val="clear" w:color="auto" w:fill="auto"/>
            <w:noWrap/>
            <w:vAlign w:val="center"/>
            <w:hideMark/>
          </w:tcPr>
          <w:p w14:paraId="4C71444F" w14:textId="602921EF"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6</w:t>
            </w:r>
            <w:r>
              <w:rPr>
                <w:rFonts w:ascii="Aptos Narrow" w:eastAsia="Times New Roman" w:hAnsi="Aptos Narrow" w:cs="Times New Roman"/>
                <w:color w:val="000000"/>
                <w:sz w:val="20"/>
                <w:szCs w:val="20"/>
                <w:lang w:eastAsia="es-CO"/>
              </w:rPr>
              <w:t>5</w:t>
            </w:r>
          </w:p>
        </w:tc>
        <w:tc>
          <w:tcPr>
            <w:tcW w:w="2978" w:type="dxa"/>
            <w:shd w:val="clear" w:color="auto" w:fill="auto"/>
            <w:vAlign w:val="center"/>
            <w:hideMark/>
          </w:tcPr>
          <w:p w14:paraId="30566870" w14:textId="3080A55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REGULACIÓN DE HIDRÓGENO.</w:t>
            </w:r>
          </w:p>
        </w:tc>
        <w:tc>
          <w:tcPr>
            <w:tcW w:w="3402" w:type="dxa"/>
            <w:shd w:val="clear" w:color="auto" w:fill="auto"/>
            <w:vAlign w:val="center"/>
            <w:hideMark/>
          </w:tcPr>
          <w:p w14:paraId="7DF14D14"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Análisis de la regulación económica del hidrógeno usado como vector energético</w:t>
            </w:r>
          </w:p>
        </w:tc>
        <w:tc>
          <w:tcPr>
            <w:tcW w:w="1299" w:type="dxa"/>
            <w:shd w:val="clear" w:color="auto" w:fill="auto"/>
            <w:noWrap/>
            <w:vAlign w:val="center"/>
            <w:hideMark/>
          </w:tcPr>
          <w:p w14:paraId="2D26E18B"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47A74CEA"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783E886B"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20461CB"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D285208"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Doc.1</w:t>
            </w:r>
          </w:p>
        </w:tc>
        <w:tc>
          <w:tcPr>
            <w:tcW w:w="1200" w:type="dxa"/>
            <w:shd w:val="clear" w:color="auto" w:fill="auto"/>
            <w:noWrap/>
            <w:vAlign w:val="center"/>
            <w:hideMark/>
          </w:tcPr>
          <w:p w14:paraId="1EDFD9F8"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1CAAD2E1" w14:textId="77777777" w:rsidTr="00FC2B65">
        <w:trPr>
          <w:trHeight w:val="2030"/>
        </w:trPr>
        <w:tc>
          <w:tcPr>
            <w:tcW w:w="680" w:type="dxa"/>
            <w:shd w:val="clear" w:color="auto" w:fill="auto"/>
            <w:noWrap/>
            <w:vAlign w:val="center"/>
            <w:hideMark/>
          </w:tcPr>
          <w:p w14:paraId="4E73F523" w14:textId="33EE3CF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6</w:t>
            </w:r>
            <w:r>
              <w:rPr>
                <w:rFonts w:ascii="Aptos Narrow" w:eastAsia="Times New Roman" w:hAnsi="Aptos Narrow" w:cs="Times New Roman"/>
                <w:color w:val="000000"/>
                <w:sz w:val="20"/>
                <w:szCs w:val="20"/>
                <w:lang w:eastAsia="es-CO"/>
              </w:rPr>
              <w:t>6</w:t>
            </w:r>
          </w:p>
        </w:tc>
        <w:tc>
          <w:tcPr>
            <w:tcW w:w="2978" w:type="dxa"/>
            <w:shd w:val="clear" w:color="auto" w:fill="auto"/>
            <w:vAlign w:val="center"/>
            <w:hideMark/>
          </w:tcPr>
          <w:p w14:paraId="51901E0C" w14:textId="717D93F3"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ACTUALIZACIÓN DE LA APLICACIÓN DE LOS SUBSIDIOS A LA DEMANDA</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20DDA680"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Revisar las fórmulas en relación con la aplicación de los subsidios para la determinación de las tarifas de los usuarios de estrato 1 y 2 de los servicios públicos domiciliarios de energía eléctrica y gas combustible por redes de tubería conforme a lo establecido en la ley 1117de 2006 modificada por la ley 1428 de 2010.</w:t>
            </w:r>
          </w:p>
        </w:tc>
        <w:tc>
          <w:tcPr>
            <w:tcW w:w="1299" w:type="dxa"/>
            <w:shd w:val="clear" w:color="auto" w:fill="auto"/>
            <w:noWrap/>
            <w:vAlign w:val="center"/>
            <w:hideMark/>
          </w:tcPr>
          <w:p w14:paraId="724944CE"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7FE17789"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7B3C7C5"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70393EE"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7F4ED03F"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D980956"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38DC0A95" w14:textId="77777777" w:rsidTr="00FC2B65">
        <w:trPr>
          <w:trHeight w:val="1360"/>
        </w:trPr>
        <w:tc>
          <w:tcPr>
            <w:tcW w:w="680" w:type="dxa"/>
            <w:shd w:val="clear" w:color="auto" w:fill="auto"/>
            <w:noWrap/>
            <w:vAlign w:val="center"/>
            <w:hideMark/>
          </w:tcPr>
          <w:p w14:paraId="6068C2C6" w14:textId="3D2809DE"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lastRenderedPageBreak/>
              <w:t>6</w:t>
            </w:r>
            <w:r>
              <w:rPr>
                <w:rFonts w:ascii="Aptos Narrow" w:eastAsia="Times New Roman" w:hAnsi="Aptos Narrow" w:cs="Times New Roman"/>
                <w:color w:val="000000"/>
                <w:sz w:val="20"/>
                <w:szCs w:val="20"/>
                <w:lang w:eastAsia="es-CO"/>
              </w:rPr>
              <w:t>7</w:t>
            </w:r>
          </w:p>
        </w:tc>
        <w:tc>
          <w:tcPr>
            <w:tcW w:w="2978" w:type="dxa"/>
            <w:shd w:val="clear" w:color="auto" w:fill="auto"/>
            <w:vAlign w:val="center"/>
            <w:hideMark/>
          </w:tcPr>
          <w:p w14:paraId="2E05193F" w14:textId="4F8C71D4"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FÓRMULA TARIFARIA DE COSTO UNITARIO A USUARIOS REGULADOS DE GN POR REDES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14A64E45"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Definición de la fórmula tarifaria que deben aplicar los comercializadores para calcular la tarifa de los usuarios finales regulados del servicio de gas combustible por redes de tubería.</w:t>
            </w:r>
          </w:p>
        </w:tc>
        <w:tc>
          <w:tcPr>
            <w:tcW w:w="1299" w:type="dxa"/>
            <w:shd w:val="clear" w:color="auto" w:fill="auto"/>
            <w:noWrap/>
            <w:vAlign w:val="center"/>
            <w:hideMark/>
          </w:tcPr>
          <w:p w14:paraId="4B15726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10D1A764"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560F6AFD"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28884693" w14:textId="77777777"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 </w:t>
            </w:r>
          </w:p>
        </w:tc>
        <w:tc>
          <w:tcPr>
            <w:tcW w:w="1200" w:type="dxa"/>
            <w:shd w:val="clear" w:color="auto" w:fill="auto"/>
            <w:noWrap/>
            <w:vAlign w:val="center"/>
            <w:hideMark/>
          </w:tcPr>
          <w:p w14:paraId="0F084701"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4B989D6C"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4D9E0FD4" w14:textId="77777777" w:rsidTr="00FC2B65">
        <w:trPr>
          <w:trHeight w:val="1510"/>
        </w:trPr>
        <w:tc>
          <w:tcPr>
            <w:tcW w:w="680" w:type="dxa"/>
            <w:shd w:val="clear" w:color="auto" w:fill="auto"/>
            <w:noWrap/>
            <w:vAlign w:val="center"/>
            <w:hideMark/>
          </w:tcPr>
          <w:p w14:paraId="6C8EC181" w14:textId="1AD081F5"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6</w:t>
            </w:r>
            <w:r>
              <w:rPr>
                <w:rFonts w:ascii="Aptos Narrow" w:eastAsia="Times New Roman" w:hAnsi="Aptos Narrow" w:cs="Times New Roman"/>
                <w:color w:val="000000"/>
                <w:sz w:val="20"/>
                <w:szCs w:val="20"/>
                <w:lang w:eastAsia="es-CO"/>
              </w:rPr>
              <w:t>8</w:t>
            </w:r>
          </w:p>
        </w:tc>
        <w:tc>
          <w:tcPr>
            <w:tcW w:w="2978" w:type="dxa"/>
            <w:shd w:val="clear" w:color="auto" w:fill="auto"/>
            <w:vAlign w:val="center"/>
            <w:hideMark/>
          </w:tcPr>
          <w:p w14:paraId="3BA267BA" w14:textId="0C860DE0"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EXPEDIR FÓRMULA TARIFARIA DE COSTO UNITARIO A USUARIOS DE GAS LICUADO DE PETRÓLEO POR REDES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607219C5"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Definición de la fórmula tarifaria que deben aplicar los comercializadores para calcular la tarifa de los usuarios finales regulados del servicio de gas combustible por redes de tubería.</w:t>
            </w:r>
          </w:p>
        </w:tc>
        <w:tc>
          <w:tcPr>
            <w:tcW w:w="1299" w:type="dxa"/>
            <w:shd w:val="clear" w:color="auto" w:fill="auto"/>
            <w:noWrap/>
            <w:vAlign w:val="center"/>
            <w:hideMark/>
          </w:tcPr>
          <w:p w14:paraId="1453742F"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609CEBD7"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7F107CDB"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692D106"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3969A993"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Doc.4</w:t>
            </w:r>
          </w:p>
        </w:tc>
        <w:tc>
          <w:tcPr>
            <w:tcW w:w="1200" w:type="dxa"/>
            <w:shd w:val="clear" w:color="auto" w:fill="auto"/>
            <w:noWrap/>
            <w:vAlign w:val="center"/>
            <w:hideMark/>
          </w:tcPr>
          <w:p w14:paraId="259B3070"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237B86" w:rsidRPr="00EE08EF" w14:paraId="0AFD6861" w14:textId="77777777" w:rsidTr="00FC2B65">
        <w:trPr>
          <w:trHeight w:val="870"/>
        </w:trPr>
        <w:tc>
          <w:tcPr>
            <w:tcW w:w="680" w:type="dxa"/>
            <w:shd w:val="clear" w:color="auto" w:fill="auto"/>
            <w:noWrap/>
            <w:vAlign w:val="center"/>
            <w:hideMark/>
          </w:tcPr>
          <w:p w14:paraId="43D21B5F" w14:textId="65FBA2F4" w:rsidR="00237B86" w:rsidRPr="00EE08EF" w:rsidRDefault="00237B86" w:rsidP="00237B86">
            <w:pPr>
              <w:spacing w:before="0" w:after="0" w:line="240" w:lineRule="auto"/>
              <w:jc w:val="center"/>
              <w:rPr>
                <w:rFonts w:ascii="Aptos Narrow" w:eastAsia="Times New Roman" w:hAnsi="Aptos Narrow" w:cs="Times New Roman"/>
                <w:color w:val="000000"/>
                <w:sz w:val="20"/>
                <w:szCs w:val="20"/>
                <w:lang w:eastAsia="es-CO"/>
              </w:rPr>
            </w:pPr>
            <w:r w:rsidRPr="00EE08EF">
              <w:rPr>
                <w:rFonts w:ascii="Aptos Narrow" w:eastAsia="Times New Roman" w:hAnsi="Aptos Narrow" w:cs="Times New Roman"/>
                <w:color w:val="000000"/>
                <w:sz w:val="20"/>
                <w:szCs w:val="20"/>
                <w:lang w:eastAsia="es-CO"/>
              </w:rPr>
              <w:t>6</w:t>
            </w:r>
            <w:r>
              <w:rPr>
                <w:rFonts w:ascii="Aptos Narrow" w:eastAsia="Times New Roman" w:hAnsi="Aptos Narrow" w:cs="Times New Roman"/>
                <w:color w:val="000000"/>
                <w:sz w:val="20"/>
                <w:szCs w:val="20"/>
                <w:lang w:eastAsia="es-CO"/>
              </w:rPr>
              <w:t>9</w:t>
            </w:r>
          </w:p>
        </w:tc>
        <w:tc>
          <w:tcPr>
            <w:tcW w:w="2978" w:type="dxa"/>
            <w:shd w:val="clear" w:color="auto" w:fill="auto"/>
            <w:vAlign w:val="center"/>
            <w:hideMark/>
          </w:tcPr>
          <w:p w14:paraId="6E70DFCE" w14:textId="382032BB"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LÍMITES USUARIOS NO REGULADOS</w:t>
            </w:r>
            <w:r>
              <w:rPr>
                <w:rFonts w:ascii="Aptos Narrow" w:eastAsia="Times New Roman" w:hAnsi="Aptos Narrow" w:cs="Times New Roman"/>
                <w:sz w:val="20"/>
                <w:szCs w:val="20"/>
                <w:lang w:eastAsia="es-CO"/>
              </w:rPr>
              <w:t>.</w:t>
            </w:r>
          </w:p>
        </w:tc>
        <w:tc>
          <w:tcPr>
            <w:tcW w:w="3402" w:type="dxa"/>
            <w:shd w:val="clear" w:color="auto" w:fill="auto"/>
            <w:vAlign w:val="center"/>
            <w:hideMark/>
          </w:tcPr>
          <w:p w14:paraId="7B46C8EF" w14:textId="56010248"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Revisar los límites de consumo y las condiciones para ser considerado Usuario No Regulado en el sector de Gas Natural</w:t>
            </w:r>
          </w:p>
        </w:tc>
        <w:tc>
          <w:tcPr>
            <w:tcW w:w="1299" w:type="dxa"/>
            <w:shd w:val="clear" w:color="auto" w:fill="auto"/>
            <w:noWrap/>
            <w:vAlign w:val="center"/>
            <w:hideMark/>
          </w:tcPr>
          <w:p w14:paraId="659776A0" w14:textId="77777777" w:rsidR="00237B86" w:rsidRPr="00EE08EF" w:rsidRDefault="00237B86" w:rsidP="00237B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hideMark/>
          </w:tcPr>
          <w:p w14:paraId="7EAED76D"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148B61BE"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4231744A"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hideMark/>
          </w:tcPr>
          <w:p w14:paraId="7E47128C"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hideMark/>
          </w:tcPr>
          <w:p w14:paraId="079F72A2" w14:textId="77777777" w:rsidR="00237B86" w:rsidRPr="00EE08EF" w:rsidRDefault="00237B86" w:rsidP="00237B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r>
      <w:tr w:rsidR="00163386" w:rsidRPr="00EE08EF" w14:paraId="0A0B6CA4" w14:textId="77777777" w:rsidTr="00FC2B65">
        <w:trPr>
          <w:trHeight w:val="870"/>
        </w:trPr>
        <w:tc>
          <w:tcPr>
            <w:tcW w:w="680" w:type="dxa"/>
            <w:shd w:val="clear" w:color="auto" w:fill="auto"/>
            <w:noWrap/>
            <w:vAlign w:val="center"/>
          </w:tcPr>
          <w:p w14:paraId="1C4B2EE8" w14:textId="7B50BF47" w:rsidR="00163386" w:rsidRPr="00EE08EF" w:rsidRDefault="00163386" w:rsidP="0016338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70</w:t>
            </w:r>
          </w:p>
        </w:tc>
        <w:tc>
          <w:tcPr>
            <w:tcW w:w="2978" w:type="dxa"/>
            <w:shd w:val="clear" w:color="auto" w:fill="auto"/>
            <w:vAlign w:val="center"/>
          </w:tcPr>
          <w:p w14:paraId="0B532DB0" w14:textId="722FB359" w:rsidR="00163386" w:rsidRPr="00EE08EF" w:rsidRDefault="00163386" w:rsidP="00163386">
            <w:pPr>
              <w:spacing w:before="0" w:after="0" w:line="240" w:lineRule="auto"/>
              <w:rPr>
                <w:rFonts w:ascii="Aptos Narrow" w:eastAsia="Times New Roman" w:hAnsi="Aptos Narrow" w:cs="Times New Roman"/>
                <w:sz w:val="20"/>
                <w:szCs w:val="20"/>
                <w:lang w:eastAsia="es-CO"/>
              </w:rPr>
            </w:pPr>
            <w:r w:rsidRPr="00D06EDB">
              <w:rPr>
                <w:rFonts w:ascii="Aptos Narrow" w:eastAsia="Times New Roman" w:hAnsi="Aptos Narrow" w:cs="Times New Roman"/>
                <w:sz w:val="20"/>
                <w:szCs w:val="20"/>
                <w:lang w:eastAsia="es-CO"/>
              </w:rPr>
              <w:t>REVISIÓN DE LA METODOLOGÍA PARA CLASIFICAR LAS PERSONAS PRESTADORAS DE LOS SERVICIOS PÚBLICOS, DE ACUERDO CON EL NIVEL DE RIESGO Y SE DEFINEN LOS CRITERIOS, METODOLOGÍAS, INDICADORES, PARÁMETROS Y MODELOS DE CARÁCTER OBLIGATORIO.</w:t>
            </w:r>
          </w:p>
        </w:tc>
        <w:tc>
          <w:tcPr>
            <w:tcW w:w="3402" w:type="dxa"/>
            <w:shd w:val="clear" w:color="auto" w:fill="auto"/>
            <w:vAlign w:val="center"/>
          </w:tcPr>
          <w:p w14:paraId="110C5D48" w14:textId="570729F6" w:rsidR="00163386" w:rsidRPr="00EE08EF" w:rsidRDefault="00163386" w:rsidP="00163386">
            <w:pPr>
              <w:spacing w:before="0" w:after="0" w:line="240" w:lineRule="auto"/>
              <w:rPr>
                <w:rFonts w:ascii="Aptos Narrow" w:eastAsia="Times New Roman" w:hAnsi="Aptos Narrow" w:cs="Times New Roman"/>
                <w:sz w:val="20"/>
                <w:szCs w:val="20"/>
                <w:lang w:eastAsia="es-CO"/>
              </w:rPr>
            </w:pPr>
            <w:r w:rsidRPr="00163386">
              <w:rPr>
                <w:rFonts w:ascii="Aptos Narrow" w:eastAsia="Times New Roman" w:hAnsi="Aptos Narrow" w:cs="Times New Roman"/>
                <w:sz w:val="20"/>
                <w:szCs w:val="20"/>
                <w:lang w:eastAsia="es-CO"/>
              </w:rPr>
              <w:t>Revisión de la resolución 72 de 2002 referente a i) criterios, metodologías, indicadores, parámetros y modelos de carácter obligatorio que permitan evaluar la gestión y resultados de las entidades prestadoras, y ii) metodologías para clasificar las personas prestadoras de los servicios públicos, de acuerdo con el nivel de riesgo, características y condiciones, con el propósito de determinar cuáles de ellas requieren de una inspección y vigilancia especial o detallada por parte de la SSPD.</w:t>
            </w:r>
          </w:p>
        </w:tc>
        <w:tc>
          <w:tcPr>
            <w:tcW w:w="1299" w:type="dxa"/>
            <w:shd w:val="clear" w:color="auto" w:fill="auto"/>
            <w:noWrap/>
            <w:vAlign w:val="center"/>
          </w:tcPr>
          <w:p w14:paraId="22634A4E" w14:textId="20BF295F" w:rsidR="00163386" w:rsidRPr="00EE08EF" w:rsidRDefault="00163386" w:rsidP="00163386">
            <w:pPr>
              <w:spacing w:before="0" w:after="0" w:line="240" w:lineRule="auto"/>
              <w:jc w:val="center"/>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TRANSVERSAL</w:t>
            </w:r>
          </w:p>
        </w:tc>
        <w:tc>
          <w:tcPr>
            <w:tcW w:w="1559" w:type="dxa"/>
            <w:shd w:val="clear" w:color="auto" w:fill="auto"/>
            <w:vAlign w:val="center"/>
          </w:tcPr>
          <w:p w14:paraId="5626602F" w14:textId="60A2E95E" w:rsidR="00163386" w:rsidRPr="00EE08EF" w:rsidRDefault="00163386" w:rsidP="001633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tcPr>
          <w:p w14:paraId="1944E0B7" w14:textId="64DF9C67" w:rsidR="00163386" w:rsidRPr="00EE08EF" w:rsidRDefault="00163386" w:rsidP="001633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 </w:t>
            </w:r>
          </w:p>
        </w:tc>
        <w:tc>
          <w:tcPr>
            <w:tcW w:w="1200" w:type="dxa"/>
            <w:shd w:val="clear" w:color="auto" w:fill="auto"/>
            <w:noWrap/>
            <w:vAlign w:val="center"/>
          </w:tcPr>
          <w:p w14:paraId="026D86B4" w14:textId="718012C7" w:rsidR="00163386" w:rsidRPr="00EE08EF" w:rsidRDefault="00163386" w:rsidP="00163386">
            <w:pPr>
              <w:spacing w:before="0" w:after="0" w:line="240" w:lineRule="auto"/>
              <w:rPr>
                <w:rFonts w:ascii="Aptos Narrow" w:eastAsia="Times New Roman" w:hAnsi="Aptos Narrow" w:cs="Times New Roman"/>
                <w:sz w:val="20"/>
                <w:szCs w:val="20"/>
                <w:lang w:eastAsia="es-CO"/>
              </w:rPr>
            </w:pPr>
            <w:r w:rsidRPr="00EE08EF">
              <w:rPr>
                <w:rFonts w:ascii="Aptos Narrow" w:eastAsia="Times New Roman" w:hAnsi="Aptos Narrow" w:cs="Times New Roman"/>
                <w:sz w:val="20"/>
                <w:szCs w:val="20"/>
                <w:lang w:eastAsia="es-CO"/>
              </w:rPr>
              <w:t>Doc.3</w:t>
            </w:r>
          </w:p>
        </w:tc>
        <w:tc>
          <w:tcPr>
            <w:tcW w:w="1200" w:type="dxa"/>
            <w:shd w:val="clear" w:color="auto" w:fill="auto"/>
            <w:noWrap/>
            <w:vAlign w:val="center"/>
          </w:tcPr>
          <w:p w14:paraId="3ED56009" w14:textId="77777777" w:rsidR="00163386" w:rsidRPr="00EE08EF" w:rsidRDefault="00163386" w:rsidP="00163386">
            <w:pPr>
              <w:spacing w:before="0" w:after="0" w:line="240" w:lineRule="auto"/>
              <w:rPr>
                <w:rFonts w:ascii="Aptos Narrow" w:eastAsia="Times New Roman" w:hAnsi="Aptos Narrow" w:cs="Times New Roman"/>
                <w:sz w:val="20"/>
                <w:szCs w:val="20"/>
                <w:lang w:eastAsia="es-CO"/>
              </w:rPr>
            </w:pPr>
          </w:p>
        </w:tc>
        <w:tc>
          <w:tcPr>
            <w:tcW w:w="1200" w:type="dxa"/>
            <w:shd w:val="clear" w:color="auto" w:fill="auto"/>
            <w:noWrap/>
            <w:vAlign w:val="center"/>
          </w:tcPr>
          <w:p w14:paraId="1AD21F67" w14:textId="77777777" w:rsidR="00163386" w:rsidRPr="00EE08EF" w:rsidRDefault="00163386" w:rsidP="00163386">
            <w:pPr>
              <w:spacing w:before="0" w:after="0" w:line="240" w:lineRule="auto"/>
              <w:rPr>
                <w:rFonts w:ascii="Aptos Narrow" w:eastAsia="Times New Roman" w:hAnsi="Aptos Narrow" w:cs="Times New Roman"/>
                <w:sz w:val="20"/>
                <w:szCs w:val="20"/>
                <w:lang w:eastAsia="es-CO"/>
              </w:rPr>
            </w:pPr>
          </w:p>
        </w:tc>
      </w:tr>
    </w:tbl>
    <w:p w14:paraId="4D1510B5" w14:textId="115AD5EE" w:rsidR="001738A4" w:rsidRPr="001738A4" w:rsidRDefault="001738A4" w:rsidP="00F6607F">
      <w:pPr>
        <w:pStyle w:val="Prrafodelista"/>
        <w:numPr>
          <w:ilvl w:val="0"/>
          <w:numId w:val="3"/>
        </w:numPr>
        <w:rPr>
          <w:b/>
          <w:bCs/>
          <w:lang w:val="es-MX"/>
        </w:rPr>
      </w:pPr>
      <w:r w:rsidRPr="001738A4">
        <w:rPr>
          <w:b/>
          <w:bCs/>
          <w:lang w:val="es-MX"/>
        </w:rPr>
        <w:lastRenderedPageBreak/>
        <w:t xml:space="preserve">TEMAS </w:t>
      </w:r>
      <w:r>
        <w:rPr>
          <w:b/>
          <w:bCs/>
          <w:lang w:val="es-MX"/>
        </w:rPr>
        <w:t>DE CARÁCTER PARTICULAR</w:t>
      </w:r>
    </w:p>
    <w:tbl>
      <w:tblPr>
        <w:tblW w:w="1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260"/>
        <w:gridCol w:w="2988"/>
        <w:gridCol w:w="9229"/>
      </w:tblGrid>
      <w:tr w:rsidR="00BC5CCB" w:rsidRPr="0019619E" w14:paraId="3D46ACF4" w14:textId="77777777" w:rsidTr="00724F02">
        <w:trPr>
          <w:trHeight w:val="290"/>
          <w:tblHeader/>
        </w:trPr>
        <w:tc>
          <w:tcPr>
            <w:tcW w:w="704" w:type="dxa"/>
            <w:shd w:val="clear" w:color="auto" w:fill="D9D9D9" w:themeFill="background1" w:themeFillShade="D9"/>
          </w:tcPr>
          <w:p w14:paraId="65983EB9" w14:textId="1F2B51E5" w:rsidR="00BC5CCB" w:rsidRPr="00BC5CCB" w:rsidRDefault="00BC5CCB" w:rsidP="0019619E">
            <w:pPr>
              <w:spacing w:before="0" w:after="0" w:line="240" w:lineRule="auto"/>
              <w:jc w:val="center"/>
              <w:rPr>
                <w:rFonts w:ascii="Aptos Narrow" w:eastAsia="Times New Roman" w:hAnsi="Aptos Narrow" w:cs="Times New Roman"/>
                <w:b/>
                <w:bCs/>
                <w:color w:val="000000"/>
                <w:sz w:val="20"/>
                <w:szCs w:val="20"/>
                <w:lang w:eastAsia="es-CO"/>
              </w:rPr>
            </w:pPr>
            <w:r w:rsidRPr="00BC5CCB">
              <w:rPr>
                <w:rFonts w:ascii="Aptos Narrow" w:eastAsia="Times New Roman" w:hAnsi="Aptos Narrow" w:cs="Times New Roman"/>
                <w:b/>
                <w:bCs/>
                <w:color w:val="000000"/>
                <w:sz w:val="20"/>
                <w:szCs w:val="20"/>
                <w:lang w:eastAsia="es-CO"/>
              </w:rPr>
              <w:t>No.</w:t>
            </w:r>
          </w:p>
        </w:tc>
        <w:tc>
          <w:tcPr>
            <w:tcW w:w="1260" w:type="dxa"/>
            <w:shd w:val="clear" w:color="auto" w:fill="D9D9D9" w:themeFill="background1" w:themeFillShade="D9"/>
            <w:noWrap/>
            <w:vAlign w:val="center"/>
            <w:hideMark/>
          </w:tcPr>
          <w:p w14:paraId="55E7ABC5" w14:textId="69E08697" w:rsidR="00BC5CCB" w:rsidRPr="0019619E" w:rsidRDefault="00BC5CCB" w:rsidP="0019619E">
            <w:pPr>
              <w:spacing w:before="0" w:after="0" w:line="240" w:lineRule="auto"/>
              <w:jc w:val="center"/>
              <w:rPr>
                <w:rFonts w:ascii="Aptos Narrow" w:eastAsia="Times New Roman" w:hAnsi="Aptos Narrow" w:cs="Times New Roman"/>
                <w:b/>
                <w:bCs/>
                <w:color w:val="000000"/>
                <w:sz w:val="20"/>
                <w:szCs w:val="20"/>
                <w:lang w:eastAsia="es-CO"/>
              </w:rPr>
            </w:pPr>
            <w:r w:rsidRPr="0019619E">
              <w:rPr>
                <w:rFonts w:ascii="Aptos Narrow" w:eastAsia="Times New Roman" w:hAnsi="Aptos Narrow" w:cs="Times New Roman"/>
                <w:b/>
                <w:bCs/>
                <w:color w:val="000000"/>
                <w:sz w:val="20"/>
                <w:szCs w:val="20"/>
                <w:lang w:eastAsia="es-CO"/>
              </w:rPr>
              <w:t>SECTOR</w:t>
            </w:r>
          </w:p>
        </w:tc>
        <w:tc>
          <w:tcPr>
            <w:tcW w:w="2988" w:type="dxa"/>
            <w:shd w:val="clear" w:color="auto" w:fill="D9D9D9" w:themeFill="background1" w:themeFillShade="D9"/>
            <w:noWrap/>
            <w:vAlign w:val="center"/>
            <w:hideMark/>
          </w:tcPr>
          <w:p w14:paraId="33B5823A" w14:textId="77777777" w:rsidR="00BC5CCB" w:rsidRPr="0019619E" w:rsidRDefault="00BC5CCB" w:rsidP="0019619E">
            <w:pPr>
              <w:spacing w:before="0" w:after="0" w:line="240" w:lineRule="auto"/>
              <w:jc w:val="center"/>
              <w:rPr>
                <w:rFonts w:ascii="Aptos Narrow" w:eastAsia="Times New Roman" w:hAnsi="Aptos Narrow" w:cs="Times New Roman"/>
                <w:b/>
                <w:bCs/>
                <w:color w:val="000000"/>
                <w:sz w:val="20"/>
                <w:szCs w:val="20"/>
                <w:lang w:eastAsia="es-CO"/>
              </w:rPr>
            </w:pPr>
            <w:r w:rsidRPr="0019619E">
              <w:rPr>
                <w:rFonts w:ascii="Aptos Narrow" w:eastAsia="Times New Roman" w:hAnsi="Aptos Narrow" w:cs="Times New Roman"/>
                <w:b/>
                <w:bCs/>
                <w:color w:val="000000"/>
                <w:sz w:val="20"/>
                <w:szCs w:val="20"/>
                <w:lang w:eastAsia="es-CO"/>
              </w:rPr>
              <w:t>MACROTEMA</w:t>
            </w:r>
          </w:p>
        </w:tc>
        <w:tc>
          <w:tcPr>
            <w:tcW w:w="9229" w:type="dxa"/>
            <w:shd w:val="clear" w:color="auto" w:fill="D9D9D9" w:themeFill="background1" w:themeFillShade="D9"/>
            <w:noWrap/>
            <w:vAlign w:val="center"/>
            <w:hideMark/>
          </w:tcPr>
          <w:p w14:paraId="5551C6DB" w14:textId="51F60FB2" w:rsidR="00BC5CCB" w:rsidRPr="0019619E" w:rsidRDefault="00BC5CCB" w:rsidP="0019619E">
            <w:pPr>
              <w:spacing w:before="0" w:after="0" w:line="240" w:lineRule="auto"/>
              <w:jc w:val="center"/>
              <w:rPr>
                <w:rFonts w:ascii="Aptos Narrow" w:eastAsia="Times New Roman" w:hAnsi="Aptos Narrow" w:cs="Times New Roman"/>
                <w:b/>
                <w:bCs/>
                <w:color w:val="000000"/>
                <w:sz w:val="20"/>
                <w:szCs w:val="20"/>
                <w:lang w:eastAsia="es-CO"/>
              </w:rPr>
            </w:pPr>
            <w:r w:rsidRPr="00BC5CCB">
              <w:rPr>
                <w:rFonts w:ascii="Aptos Narrow" w:eastAsia="Times New Roman" w:hAnsi="Aptos Narrow" w:cs="Times New Roman"/>
                <w:b/>
                <w:bCs/>
                <w:color w:val="000000"/>
                <w:sz w:val="20"/>
                <w:szCs w:val="20"/>
                <w:lang w:eastAsia="es-CO"/>
              </w:rPr>
              <w:t>DESCRIPCIÓN</w:t>
            </w:r>
            <w:r w:rsidR="00C83F56">
              <w:rPr>
                <w:rFonts w:ascii="Aptos Narrow" w:eastAsia="Times New Roman" w:hAnsi="Aptos Narrow" w:cs="Times New Roman"/>
                <w:b/>
                <w:bCs/>
                <w:color w:val="000000"/>
                <w:sz w:val="20"/>
                <w:szCs w:val="20"/>
                <w:lang w:eastAsia="es-CO"/>
              </w:rPr>
              <w:t xml:space="preserve"> </w:t>
            </w:r>
            <w:r w:rsidR="00521322">
              <w:rPr>
                <w:rFonts w:ascii="Aptos Narrow" w:eastAsia="Times New Roman" w:hAnsi="Aptos Narrow" w:cs="Times New Roman"/>
                <w:b/>
                <w:bCs/>
                <w:color w:val="000000"/>
                <w:sz w:val="20"/>
                <w:szCs w:val="20"/>
                <w:lang w:eastAsia="es-CO"/>
              </w:rPr>
              <w:t xml:space="preserve">DE </w:t>
            </w:r>
            <w:r w:rsidR="00C83F56">
              <w:rPr>
                <w:rFonts w:ascii="Aptos Narrow" w:eastAsia="Times New Roman" w:hAnsi="Aptos Narrow" w:cs="Times New Roman"/>
                <w:b/>
                <w:bCs/>
                <w:color w:val="000000"/>
                <w:sz w:val="20"/>
                <w:szCs w:val="20"/>
                <w:lang w:eastAsia="es-CO"/>
              </w:rPr>
              <w:t>ACTUACIONES EN CU</w:t>
            </w:r>
            <w:r w:rsidR="00521322">
              <w:rPr>
                <w:rFonts w:ascii="Aptos Narrow" w:eastAsia="Times New Roman" w:hAnsi="Aptos Narrow" w:cs="Times New Roman"/>
                <w:b/>
                <w:bCs/>
                <w:color w:val="000000"/>
                <w:sz w:val="20"/>
                <w:szCs w:val="20"/>
                <w:lang w:eastAsia="es-CO"/>
              </w:rPr>
              <w:t>RSO O DE DESARROLLO PERMANENTE</w:t>
            </w:r>
          </w:p>
        </w:tc>
      </w:tr>
      <w:tr w:rsidR="00BC5CCB" w:rsidRPr="0019619E" w14:paraId="406B285B" w14:textId="77777777" w:rsidTr="00BC5CCB">
        <w:trPr>
          <w:trHeight w:val="228"/>
        </w:trPr>
        <w:tc>
          <w:tcPr>
            <w:tcW w:w="704" w:type="dxa"/>
          </w:tcPr>
          <w:p w14:paraId="05E47CA8" w14:textId="65C7735F"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w:t>
            </w:r>
          </w:p>
        </w:tc>
        <w:tc>
          <w:tcPr>
            <w:tcW w:w="1260" w:type="dxa"/>
            <w:shd w:val="clear" w:color="auto" w:fill="auto"/>
            <w:noWrap/>
            <w:vAlign w:val="center"/>
            <w:hideMark/>
          </w:tcPr>
          <w:p w14:paraId="5B65EDF9" w14:textId="5E4B32B0"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vAlign w:val="center"/>
            <w:hideMark/>
          </w:tcPr>
          <w:p w14:paraId="7067416C" w14:textId="7777777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Generación y mercado mayorista</w:t>
            </w:r>
          </w:p>
        </w:tc>
        <w:tc>
          <w:tcPr>
            <w:tcW w:w="9229" w:type="dxa"/>
            <w:shd w:val="clear" w:color="auto" w:fill="auto"/>
            <w:noWrap/>
            <w:vAlign w:val="center"/>
            <w:hideMark/>
          </w:tcPr>
          <w:p w14:paraId="4445AF84" w14:textId="51CCC063" w:rsidR="00BC5CCB" w:rsidRPr="0019619E" w:rsidRDefault="00521322"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Ajuste anual al ingreso regulado</w:t>
            </w:r>
            <w:r>
              <w:rPr>
                <w:rFonts w:ascii="Aptos Narrow" w:eastAsia="Times New Roman" w:hAnsi="Aptos Narrow" w:cs="Times New Roman"/>
                <w:color w:val="000000"/>
                <w:sz w:val="20"/>
                <w:szCs w:val="20"/>
                <w:lang w:eastAsia="es-CO"/>
              </w:rPr>
              <w:t>.</w:t>
            </w:r>
          </w:p>
        </w:tc>
      </w:tr>
      <w:tr w:rsidR="00BC5CCB" w:rsidRPr="0019619E" w14:paraId="14AC6E2E" w14:textId="77777777" w:rsidTr="00BC5CCB">
        <w:trPr>
          <w:trHeight w:val="290"/>
        </w:trPr>
        <w:tc>
          <w:tcPr>
            <w:tcW w:w="704" w:type="dxa"/>
          </w:tcPr>
          <w:p w14:paraId="70E623AB" w14:textId="2FA1E9B7"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2</w:t>
            </w:r>
          </w:p>
        </w:tc>
        <w:tc>
          <w:tcPr>
            <w:tcW w:w="1260" w:type="dxa"/>
            <w:shd w:val="clear" w:color="auto" w:fill="auto"/>
            <w:noWrap/>
            <w:vAlign w:val="center"/>
            <w:hideMark/>
          </w:tcPr>
          <w:p w14:paraId="69F7F6E2" w14:textId="3993A9CE"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68C73569" w14:textId="7777777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Transmisión</w:t>
            </w:r>
          </w:p>
        </w:tc>
        <w:tc>
          <w:tcPr>
            <w:tcW w:w="9229" w:type="dxa"/>
            <w:shd w:val="clear" w:color="auto" w:fill="auto"/>
            <w:noWrap/>
            <w:vAlign w:val="center"/>
            <w:hideMark/>
          </w:tcPr>
          <w:p w14:paraId="3D58D9E8" w14:textId="36FD76A0"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Actualización ingresos Transelca - FACTS Atlántico</w:t>
            </w:r>
            <w:r w:rsidR="00521322">
              <w:rPr>
                <w:rFonts w:ascii="Aptos Narrow" w:eastAsia="Times New Roman" w:hAnsi="Aptos Narrow" w:cs="Times New Roman"/>
                <w:color w:val="000000"/>
                <w:sz w:val="20"/>
                <w:szCs w:val="20"/>
                <w:lang w:eastAsia="es-CO"/>
              </w:rPr>
              <w:t>.</w:t>
            </w:r>
          </w:p>
        </w:tc>
      </w:tr>
      <w:tr w:rsidR="00BC5CCB" w:rsidRPr="0019619E" w14:paraId="09583DCE" w14:textId="77777777" w:rsidTr="00BC5CCB">
        <w:trPr>
          <w:trHeight w:val="290"/>
        </w:trPr>
        <w:tc>
          <w:tcPr>
            <w:tcW w:w="704" w:type="dxa"/>
          </w:tcPr>
          <w:p w14:paraId="1513453D" w14:textId="718FE207"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3</w:t>
            </w:r>
          </w:p>
        </w:tc>
        <w:tc>
          <w:tcPr>
            <w:tcW w:w="1260" w:type="dxa"/>
            <w:shd w:val="clear" w:color="auto" w:fill="auto"/>
            <w:noWrap/>
            <w:vAlign w:val="center"/>
            <w:hideMark/>
          </w:tcPr>
          <w:p w14:paraId="360B8678" w14:textId="6B50C7F0"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7332866D" w14:textId="7777777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Distribución</w:t>
            </w:r>
          </w:p>
        </w:tc>
        <w:tc>
          <w:tcPr>
            <w:tcW w:w="9229" w:type="dxa"/>
            <w:shd w:val="clear" w:color="auto" w:fill="auto"/>
            <w:noWrap/>
            <w:vAlign w:val="center"/>
            <w:hideMark/>
          </w:tcPr>
          <w:p w14:paraId="745C05D2" w14:textId="34BC97BD" w:rsidR="00BC5CCB" w:rsidRPr="0019619E" w:rsidRDefault="00BC5CCB" w:rsidP="0019619E">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Planes de inversión</w:t>
            </w:r>
            <w:r w:rsidR="00521322">
              <w:rPr>
                <w:rFonts w:ascii="Aptos Narrow" w:eastAsia="Times New Roman" w:hAnsi="Aptos Narrow" w:cs="Times New Roman"/>
                <w:sz w:val="20"/>
                <w:szCs w:val="20"/>
                <w:lang w:eastAsia="es-CO"/>
              </w:rPr>
              <w:t>.</w:t>
            </w:r>
          </w:p>
        </w:tc>
      </w:tr>
      <w:tr w:rsidR="00BC5CCB" w:rsidRPr="0019619E" w14:paraId="7F031347" w14:textId="77777777" w:rsidTr="00BC5CCB">
        <w:trPr>
          <w:trHeight w:val="290"/>
        </w:trPr>
        <w:tc>
          <w:tcPr>
            <w:tcW w:w="704" w:type="dxa"/>
          </w:tcPr>
          <w:p w14:paraId="727006A3" w14:textId="37DF0A80"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4</w:t>
            </w:r>
          </w:p>
        </w:tc>
        <w:tc>
          <w:tcPr>
            <w:tcW w:w="1260" w:type="dxa"/>
            <w:shd w:val="clear" w:color="auto" w:fill="auto"/>
            <w:noWrap/>
            <w:vAlign w:val="center"/>
            <w:hideMark/>
          </w:tcPr>
          <w:p w14:paraId="1947CCB3" w14:textId="1F71F92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72849FBA" w14:textId="7777777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Distribución</w:t>
            </w:r>
          </w:p>
        </w:tc>
        <w:tc>
          <w:tcPr>
            <w:tcW w:w="9229" w:type="dxa"/>
            <w:shd w:val="clear" w:color="auto" w:fill="auto"/>
            <w:noWrap/>
            <w:vAlign w:val="center"/>
            <w:hideMark/>
          </w:tcPr>
          <w:p w14:paraId="64F0A551" w14:textId="42160FAB" w:rsidR="00BC5CCB" w:rsidRPr="0019619E" w:rsidRDefault="00BC5CCB" w:rsidP="0019619E">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Metas de calidad</w:t>
            </w:r>
            <w:r w:rsidR="00521322">
              <w:rPr>
                <w:rFonts w:ascii="Aptos Narrow" w:eastAsia="Times New Roman" w:hAnsi="Aptos Narrow" w:cs="Times New Roman"/>
                <w:sz w:val="20"/>
                <w:szCs w:val="20"/>
                <w:lang w:eastAsia="es-CO"/>
              </w:rPr>
              <w:t>.</w:t>
            </w:r>
          </w:p>
        </w:tc>
      </w:tr>
      <w:tr w:rsidR="00BC5CCB" w:rsidRPr="0019619E" w14:paraId="1475C880" w14:textId="77777777" w:rsidTr="00BC5CCB">
        <w:trPr>
          <w:trHeight w:val="290"/>
        </w:trPr>
        <w:tc>
          <w:tcPr>
            <w:tcW w:w="704" w:type="dxa"/>
          </w:tcPr>
          <w:p w14:paraId="6BF759B4" w14:textId="02A28FF8"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5</w:t>
            </w:r>
          </w:p>
        </w:tc>
        <w:tc>
          <w:tcPr>
            <w:tcW w:w="1260" w:type="dxa"/>
            <w:shd w:val="clear" w:color="auto" w:fill="auto"/>
            <w:noWrap/>
            <w:vAlign w:val="center"/>
            <w:hideMark/>
          </w:tcPr>
          <w:p w14:paraId="3407787D" w14:textId="5EBBF6C9"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1DA62A41" w14:textId="1BA33159"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Z</w:t>
            </w:r>
            <w:r>
              <w:rPr>
                <w:rFonts w:ascii="Aptos Narrow" w:eastAsia="Times New Roman" w:hAnsi="Aptos Narrow" w:cs="Times New Roman"/>
                <w:color w:val="000000"/>
                <w:sz w:val="20"/>
                <w:szCs w:val="20"/>
                <w:lang w:eastAsia="es-CO"/>
              </w:rPr>
              <w:t>NI</w:t>
            </w:r>
          </w:p>
        </w:tc>
        <w:tc>
          <w:tcPr>
            <w:tcW w:w="9229" w:type="dxa"/>
            <w:shd w:val="clear" w:color="auto" w:fill="auto"/>
            <w:noWrap/>
            <w:vAlign w:val="center"/>
            <w:hideMark/>
          </w:tcPr>
          <w:p w14:paraId="0AAFC719" w14:textId="6363DD13"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w:t>
            </w:r>
            <w:r w:rsidR="00521322">
              <w:rPr>
                <w:rFonts w:ascii="Aptos Narrow" w:eastAsia="Times New Roman" w:hAnsi="Aptos Narrow" w:cs="Times New Roman"/>
                <w:color w:val="000000"/>
                <w:sz w:val="20"/>
                <w:szCs w:val="20"/>
                <w:lang w:eastAsia="es-CO"/>
              </w:rPr>
              <w:t>.</w:t>
            </w:r>
          </w:p>
        </w:tc>
      </w:tr>
      <w:tr w:rsidR="00BC5CCB" w:rsidRPr="0019619E" w14:paraId="5CD36D77" w14:textId="77777777" w:rsidTr="00BC5CCB">
        <w:trPr>
          <w:trHeight w:val="290"/>
        </w:trPr>
        <w:tc>
          <w:tcPr>
            <w:tcW w:w="704" w:type="dxa"/>
          </w:tcPr>
          <w:p w14:paraId="2E94B455" w14:textId="3179CACD"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6</w:t>
            </w:r>
          </w:p>
        </w:tc>
        <w:tc>
          <w:tcPr>
            <w:tcW w:w="1260" w:type="dxa"/>
            <w:shd w:val="clear" w:color="auto" w:fill="auto"/>
            <w:noWrap/>
            <w:vAlign w:val="center"/>
            <w:hideMark/>
          </w:tcPr>
          <w:p w14:paraId="059995BE" w14:textId="1285B59B"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EE</w:t>
            </w:r>
          </w:p>
        </w:tc>
        <w:tc>
          <w:tcPr>
            <w:tcW w:w="2988" w:type="dxa"/>
            <w:shd w:val="clear" w:color="auto" w:fill="auto"/>
            <w:noWrap/>
            <w:vAlign w:val="center"/>
            <w:hideMark/>
          </w:tcPr>
          <w:p w14:paraId="7012592F" w14:textId="0C485590"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hideMark/>
          </w:tcPr>
          <w:p w14:paraId="0AF46500" w14:textId="09250676"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Interconexiones Ecuador, Panamá y Venezuela</w:t>
            </w:r>
            <w:r w:rsidR="00521322">
              <w:rPr>
                <w:rFonts w:ascii="Aptos Narrow" w:eastAsia="Times New Roman" w:hAnsi="Aptos Narrow" w:cs="Times New Roman"/>
                <w:color w:val="000000"/>
                <w:sz w:val="20"/>
                <w:szCs w:val="20"/>
                <w:lang w:eastAsia="es-CO"/>
              </w:rPr>
              <w:t>.</w:t>
            </w:r>
          </w:p>
        </w:tc>
      </w:tr>
      <w:tr w:rsidR="00BC5CCB" w:rsidRPr="0019619E" w14:paraId="4DFB6094" w14:textId="77777777" w:rsidTr="00BC5CCB">
        <w:trPr>
          <w:trHeight w:val="290"/>
        </w:trPr>
        <w:tc>
          <w:tcPr>
            <w:tcW w:w="704" w:type="dxa"/>
          </w:tcPr>
          <w:p w14:paraId="7A282119" w14:textId="2865ECAC"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7</w:t>
            </w:r>
          </w:p>
        </w:tc>
        <w:tc>
          <w:tcPr>
            <w:tcW w:w="1260" w:type="dxa"/>
            <w:shd w:val="clear" w:color="auto" w:fill="auto"/>
            <w:noWrap/>
            <w:vAlign w:val="center"/>
            <w:hideMark/>
          </w:tcPr>
          <w:p w14:paraId="361B5E79" w14:textId="575BDC88"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5304258B" w14:textId="33A00334" w:rsidR="00BC5CCB" w:rsidRPr="0019619E" w:rsidRDefault="00C83F56"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Suministro</w:t>
            </w:r>
          </w:p>
        </w:tc>
        <w:tc>
          <w:tcPr>
            <w:tcW w:w="9229" w:type="dxa"/>
            <w:shd w:val="clear" w:color="auto" w:fill="auto"/>
            <w:noWrap/>
            <w:vAlign w:val="center"/>
            <w:hideMark/>
          </w:tcPr>
          <w:p w14:paraId="61211A50" w14:textId="6C758733" w:rsidR="00BC5CCB" w:rsidRPr="0019619E" w:rsidRDefault="00BC5CCB" w:rsidP="0019619E">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Reconocimiento de servicios adicionales regulatorios al gestor del mercado</w:t>
            </w:r>
            <w:r w:rsidR="00521322">
              <w:rPr>
                <w:rFonts w:ascii="Aptos Narrow" w:eastAsia="Times New Roman" w:hAnsi="Aptos Narrow" w:cs="Times New Roman"/>
                <w:sz w:val="20"/>
                <w:szCs w:val="20"/>
                <w:lang w:eastAsia="es-CO"/>
              </w:rPr>
              <w:t>.</w:t>
            </w:r>
          </w:p>
        </w:tc>
      </w:tr>
      <w:tr w:rsidR="00BC5CCB" w:rsidRPr="0019619E" w14:paraId="4BB99CE4" w14:textId="77777777" w:rsidTr="00BC5CCB">
        <w:trPr>
          <w:trHeight w:val="290"/>
        </w:trPr>
        <w:tc>
          <w:tcPr>
            <w:tcW w:w="704" w:type="dxa"/>
          </w:tcPr>
          <w:p w14:paraId="52C495BE" w14:textId="693556ED"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8</w:t>
            </w:r>
          </w:p>
        </w:tc>
        <w:tc>
          <w:tcPr>
            <w:tcW w:w="1260" w:type="dxa"/>
            <w:shd w:val="clear" w:color="auto" w:fill="auto"/>
            <w:noWrap/>
            <w:vAlign w:val="center"/>
            <w:hideMark/>
          </w:tcPr>
          <w:p w14:paraId="3FB4EEB9" w14:textId="561A874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1B370AB2" w14:textId="2E32EE03" w:rsidR="00BC5CCB" w:rsidRPr="0019619E" w:rsidRDefault="00C83F56"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Suministro</w:t>
            </w:r>
          </w:p>
        </w:tc>
        <w:tc>
          <w:tcPr>
            <w:tcW w:w="9229" w:type="dxa"/>
            <w:shd w:val="clear" w:color="auto" w:fill="auto"/>
            <w:noWrap/>
            <w:vAlign w:val="center"/>
            <w:hideMark/>
          </w:tcPr>
          <w:p w14:paraId="29A22030" w14:textId="73D0A16A" w:rsidR="00BC5CCB" w:rsidRPr="0019619E" w:rsidRDefault="00BC5CCB" w:rsidP="0019619E">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Reconocimiento de incentivo por cumplimiento de indicadores al gestor del mercado de gas</w:t>
            </w:r>
            <w:r w:rsidR="00521322">
              <w:rPr>
                <w:rFonts w:ascii="Aptos Narrow" w:eastAsia="Times New Roman" w:hAnsi="Aptos Narrow" w:cs="Times New Roman"/>
                <w:sz w:val="20"/>
                <w:szCs w:val="20"/>
                <w:lang w:eastAsia="es-CO"/>
              </w:rPr>
              <w:t>.</w:t>
            </w:r>
          </w:p>
        </w:tc>
      </w:tr>
      <w:tr w:rsidR="00BC5CCB" w:rsidRPr="0019619E" w14:paraId="62912DD0" w14:textId="77777777" w:rsidTr="00BC5CCB">
        <w:trPr>
          <w:trHeight w:val="290"/>
        </w:trPr>
        <w:tc>
          <w:tcPr>
            <w:tcW w:w="704" w:type="dxa"/>
          </w:tcPr>
          <w:p w14:paraId="62F44287" w14:textId="3E54B723"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9</w:t>
            </w:r>
          </w:p>
        </w:tc>
        <w:tc>
          <w:tcPr>
            <w:tcW w:w="1260" w:type="dxa"/>
            <w:shd w:val="clear" w:color="auto" w:fill="auto"/>
            <w:noWrap/>
            <w:vAlign w:val="center"/>
            <w:hideMark/>
          </w:tcPr>
          <w:p w14:paraId="2AC4AD4C" w14:textId="75734A3F"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5639079D" w14:textId="3404F056" w:rsidR="00BC5CCB" w:rsidRPr="0019619E" w:rsidRDefault="00C83F56"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Suministro</w:t>
            </w:r>
          </w:p>
        </w:tc>
        <w:tc>
          <w:tcPr>
            <w:tcW w:w="9229" w:type="dxa"/>
            <w:shd w:val="clear" w:color="auto" w:fill="auto"/>
            <w:noWrap/>
            <w:vAlign w:val="center"/>
            <w:hideMark/>
          </w:tcPr>
          <w:p w14:paraId="64E5E50E" w14:textId="25CD634F" w:rsidR="00BC5CCB" w:rsidRPr="0019619E" w:rsidRDefault="00BC5CCB" w:rsidP="0019619E">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Proceso de selección / prórroga del gestor del mercado</w:t>
            </w:r>
            <w:r w:rsidR="00521322">
              <w:rPr>
                <w:rFonts w:ascii="Aptos Narrow" w:eastAsia="Times New Roman" w:hAnsi="Aptos Narrow" w:cs="Times New Roman"/>
                <w:sz w:val="20"/>
                <w:szCs w:val="20"/>
                <w:lang w:eastAsia="es-CO"/>
              </w:rPr>
              <w:t>.</w:t>
            </w:r>
          </w:p>
        </w:tc>
      </w:tr>
      <w:tr w:rsidR="00BC5CCB" w:rsidRPr="0019619E" w14:paraId="1558EAC4" w14:textId="77777777" w:rsidTr="00BC5CCB">
        <w:trPr>
          <w:trHeight w:val="290"/>
        </w:trPr>
        <w:tc>
          <w:tcPr>
            <w:tcW w:w="704" w:type="dxa"/>
          </w:tcPr>
          <w:p w14:paraId="1B591956" w14:textId="234B52A0"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10</w:t>
            </w:r>
          </w:p>
        </w:tc>
        <w:tc>
          <w:tcPr>
            <w:tcW w:w="1260" w:type="dxa"/>
            <w:shd w:val="clear" w:color="auto" w:fill="auto"/>
            <w:noWrap/>
            <w:vAlign w:val="center"/>
            <w:hideMark/>
          </w:tcPr>
          <w:p w14:paraId="76977BB2" w14:textId="397D6A05"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w:t>
            </w:r>
          </w:p>
        </w:tc>
        <w:tc>
          <w:tcPr>
            <w:tcW w:w="2988" w:type="dxa"/>
            <w:shd w:val="clear" w:color="auto" w:fill="auto"/>
            <w:noWrap/>
            <w:vAlign w:val="center"/>
            <w:hideMark/>
          </w:tcPr>
          <w:p w14:paraId="2C715486" w14:textId="7777777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Transporte</w:t>
            </w:r>
          </w:p>
        </w:tc>
        <w:tc>
          <w:tcPr>
            <w:tcW w:w="9229" w:type="dxa"/>
            <w:shd w:val="clear" w:color="auto" w:fill="auto"/>
            <w:noWrap/>
            <w:vAlign w:val="center"/>
            <w:hideMark/>
          </w:tcPr>
          <w:p w14:paraId="12C47212" w14:textId="57B5F161" w:rsidR="00BC5CCB" w:rsidRPr="0019619E" w:rsidRDefault="00521322" w:rsidP="0019619E">
            <w:pPr>
              <w:spacing w:before="0" w:after="0" w:line="240" w:lineRule="auto"/>
              <w:rPr>
                <w:rFonts w:ascii="Aptos Narrow" w:eastAsia="Times New Roman" w:hAnsi="Aptos Narrow" w:cs="Times New Roman"/>
                <w:sz w:val="20"/>
                <w:szCs w:val="20"/>
                <w:lang w:eastAsia="es-CO"/>
              </w:rPr>
            </w:pPr>
            <w:r>
              <w:rPr>
                <w:rFonts w:ascii="Aptos Narrow" w:eastAsia="Times New Roman" w:hAnsi="Aptos Narrow" w:cs="Times New Roman"/>
                <w:sz w:val="20"/>
                <w:szCs w:val="20"/>
                <w:lang w:eastAsia="es-CO"/>
              </w:rPr>
              <w:t>C</w:t>
            </w:r>
            <w:r w:rsidR="00BC5CCB" w:rsidRPr="0019619E">
              <w:rPr>
                <w:rFonts w:ascii="Aptos Narrow" w:eastAsia="Times New Roman" w:hAnsi="Aptos Narrow" w:cs="Times New Roman"/>
                <w:sz w:val="20"/>
                <w:szCs w:val="20"/>
                <w:lang w:eastAsia="es-CO"/>
              </w:rPr>
              <w:t>argos y conflictos de arbitramento</w:t>
            </w:r>
            <w:r w:rsidR="00724F02">
              <w:rPr>
                <w:rFonts w:ascii="Aptos Narrow" w:eastAsia="Times New Roman" w:hAnsi="Aptos Narrow" w:cs="Times New Roman"/>
                <w:sz w:val="20"/>
                <w:szCs w:val="20"/>
                <w:lang w:eastAsia="es-CO"/>
              </w:rPr>
              <w:t>.</w:t>
            </w:r>
          </w:p>
        </w:tc>
      </w:tr>
      <w:tr w:rsidR="00BC5CCB" w:rsidRPr="0019619E" w14:paraId="6A5414B1" w14:textId="77777777" w:rsidTr="00BC5CCB">
        <w:trPr>
          <w:trHeight w:val="322"/>
        </w:trPr>
        <w:tc>
          <w:tcPr>
            <w:tcW w:w="704" w:type="dxa"/>
          </w:tcPr>
          <w:p w14:paraId="09BA666B" w14:textId="12B501CA"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11</w:t>
            </w:r>
          </w:p>
        </w:tc>
        <w:tc>
          <w:tcPr>
            <w:tcW w:w="1260" w:type="dxa"/>
            <w:shd w:val="clear" w:color="auto" w:fill="auto"/>
            <w:noWrap/>
            <w:vAlign w:val="center"/>
            <w:hideMark/>
          </w:tcPr>
          <w:p w14:paraId="0F332CF5" w14:textId="41C04F99"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hideMark/>
          </w:tcPr>
          <w:p w14:paraId="39507EFB" w14:textId="7713DFCE"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hideMark/>
          </w:tcPr>
          <w:p w14:paraId="60244410" w14:textId="79FA091A"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de distribución mercados existentes</w:t>
            </w:r>
            <w:r w:rsidR="00724F02">
              <w:rPr>
                <w:rFonts w:ascii="Aptos Narrow" w:eastAsia="Times New Roman" w:hAnsi="Aptos Narrow" w:cs="Times New Roman"/>
                <w:color w:val="000000"/>
                <w:sz w:val="20"/>
                <w:szCs w:val="20"/>
                <w:lang w:eastAsia="es-CO"/>
              </w:rPr>
              <w:t>.</w:t>
            </w:r>
          </w:p>
        </w:tc>
      </w:tr>
      <w:tr w:rsidR="00BC5CCB" w:rsidRPr="0019619E" w14:paraId="11596CC5" w14:textId="77777777" w:rsidTr="00BC5CCB">
        <w:trPr>
          <w:trHeight w:val="284"/>
        </w:trPr>
        <w:tc>
          <w:tcPr>
            <w:tcW w:w="704" w:type="dxa"/>
          </w:tcPr>
          <w:p w14:paraId="52931559" w14:textId="6EA7E5BC"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12</w:t>
            </w:r>
          </w:p>
        </w:tc>
        <w:tc>
          <w:tcPr>
            <w:tcW w:w="1260" w:type="dxa"/>
            <w:shd w:val="clear" w:color="auto" w:fill="auto"/>
            <w:noWrap/>
            <w:vAlign w:val="center"/>
            <w:hideMark/>
          </w:tcPr>
          <w:p w14:paraId="36AAC64F" w14:textId="3CE25992"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hideMark/>
          </w:tcPr>
          <w:p w14:paraId="50868FC7" w14:textId="3147BC00"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hideMark/>
          </w:tcPr>
          <w:p w14:paraId="55469F48" w14:textId="083C15BF"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de comercialización mercados existentes</w:t>
            </w:r>
            <w:r w:rsidR="00724F02">
              <w:rPr>
                <w:rFonts w:ascii="Aptos Narrow" w:eastAsia="Times New Roman" w:hAnsi="Aptos Narrow" w:cs="Times New Roman"/>
                <w:color w:val="000000"/>
                <w:sz w:val="20"/>
                <w:szCs w:val="20"/>
                <w:lang w:eastAsia="es-CO"/>
              </w:rPr>
              <w:t>.</w:t>
            </w:r>
          </w:p>
        </w:tc>
      </w:tr>
      <w:tr w:rsidR="00BC5CCB" w:rsidRPr="0019619E" w14:paraId="0882C55F" w14:textId="77777777" w:rsidTr="00BC5CCB">
        <w:trPr>
          <w:trHeight w:val="290"/>
        </w:trPr>
        <w:tc>
          <w:tcPr>
            <w:tcW w:w="704" w:type="dxa"/>
          </w:tcPr>
          <w:p w14:paraId="1E4AF625" w14:textId="42E612D6"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13</w:t>
            </w:r>
          </w:p>
        </w:tc>
        <w:tc>
          <w:tcPr>
            <w:tcW w:w="1260" w:type="dxa"/>
            <w:shd w:val="clear" w:color="auto" w:fill="auto"/>
            <w:noWrap/>
            <w:vAlign w:val="center"/>
            <w:hideMark/>
          </w:tcPr>
          <w:p w14:paraId="2EAE6C5A" w14:textId="6AAA31F2"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hideMark/>
          </w:tcPr>
          <w:p w14:paraId="747F87AB" w14:textId="6B60389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hideMark/>
          </w:tcPr>
          <w:p w14:paraId="5B849631" w14:textId="041AF810"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mercados nuevos distribución</w:t>
            </w:r>
            <w:r w:rsidR="00724F02">
              <w:rPr>
                <w:rFonts w:ascii="Aptos Narrow" w:eastAsia="Times New Roman" w:hAnsi="Aptos Narrow" w:cs="Times New Roman"/>
                <w:color w:val="000000"/>
                <w:sz w:val="20"/>
                <w:szCs w:val="20"/>
                <w:lang w:eastAsia="es-CO"/>
              </w:rPr>
              <w:t>.</w:t>
            </w:r>
          </w:p>
        </w:tc>
      </w:tr>
      <w:tr w:rsidR="00BC5CCB" w:rsidRPr="0019619E" w14:paraId="5064A899" w14:textId="77777777" w:rsidTr="00BC5CCB">
        <w:trPr>
          <w:trHeight w:val="290"/>
        </w:trPr>
        <w:tc>
          <w:tcPr>
            <w:tcW w:w="704" w:type="dxa"/>
          </w:tcPr>
          <w:p w14:paraId="40117D5A" w14:textId="745051CA"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14</w:t>
            </w:r>
          </w:p>
        </w:tc>
        <w:tc>
          <w:tcPr>
            <w:tcW w:w="1260" w:type="dxa"/>
            <w:shd w:val="clear" w:color="auto" w:fill="auto"/>
            <w:noWrap/>
            <w:vAlign w:val="center"/>
            <w:hideMark/>
          </w:tcPr>
          <w:p w14:paraId="1BDA92BF" w14:textId="736D3830"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GN-GLP</w:t>
            </w:r>
          </w:p>
        </w:tc>
        <w:tc>
          <w:tcPr>
            <w:tcW w:w="2988" w:type="dxa"/>
            <w:shd w:val="clear" w:color="auto" w:fill="auto"/>
            <w:noWrap/>
            <w:vAlign w:val="center"/>
            <w:hideMark/>
          </w:tcPr>
          <w:p w14:paraId="2B3C7CEF" w14:textId="33CC680E"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Transversal</w:t>
            </w:r>
          </w:p>
        </w:tc>
        <w:tc>
          <w:tcPr>
            <w:tcW w:w="9229" w:type="dxa"/>
            <w:shd w:val="clear" w:color="auto" w:fill="auto"/>
            <w:noWrap/>
            <w:vAlign w:val="center"/>
            <w:hideMark/>
          </w:tcPr>
          <w:p w14:paraId="4A91A49B" w14:textId="19AB2FB8"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Cargos mercados nuevos comercialización</w:t>
            </w:r>
            <w:r w:rsidR="00724F02">
              <w:rPr>
                <w:rFonts w:ascii="Aptos Narrow" w:eastAsia="Times New Roman" w:hAnsi="Aptos Narrow" w:cs="Times New Roman"/>
                <w:color w:val="000000"/>
                <w:sz w:val="20"/>
                <w:szCs w:val="20"/>
                <w:lang w:eastAsia="es-CO"/>
              </w:rPr>
              <w:t>.</w:t>
            </w:r>
          </w:p>
        </w:tc>
      </w:tr>
      <w:tr w:rsidR="00BC5CCB" w:rsidRPr="0019619E" w14:paraId="11ADEBF0" w14:textId="77777777" w:rsidTr="00724F02">
        <w:trPr>
          <w:trHeight w:val="226"/>
        </w:trPr>
        <w:tc>
          <w:tcPr>
            <w:tcW w:w="704" w:type="dxa"/>
          </w:tcPr>
          <w:p w14:paraId="27CEC105" w14:textId="74A54E46" w:rsidR="00BC5CCB" w:rsidRPr="0019619E" w:rsidRDefault="00BC5CCB" w:rsidP="00C83F56">
            <w:pPr>
              <w:spacing w:before="0" w:after="0" w:line="240" w:lineRule="auto"/>
              <w:jc w:val="center"/>
              <w:rPr>
                <w:rFonts w:ascii="Aptos Narrow" w:eastAsia="Times New Roman" w:hAnsi="Aptos Narrow" w:cs="Times New Roman"/>
                <w:color w:val="000000"/>
                <w:sz w:val="20"/>
                <w:szCs w:val="20"/>
                <w:lang w:eastAsia="es-CO"/>
              </w:rPr>
            </w:pPr>
            <w:r>
              <w:rPr>
                <w:rFonts w:ascii="Aptos Narrow" w:eastAsia="Times New Roman" w:hAnsi="Aptos Narrow" w:cs="Times New Roman"/>
                <w:color w:val="000000"/>
                <w:sz w:val="20"/>
                <w:szCs w:val="20"/>
                <w:lang w:eastAsia="es-CO"/>
              </w:rPr>
              <w:t>15</w:t>
            </w:r>
          </w:p>
        </w:tc>
        <w:tc>
          <w:tcPr>
            <w:tcW w:w="1260" w:type="dxa"/>
            <w:shd w:val="clear" w:color="auto" w:fill="auto"/>
            <w:noWrap/>
            <w:vAlign w:val="center"/>
            <w:hideMark/>
          </w:tcPr>
          <w:p w14:paraId="40A4CAB3" w14:textId="3D9C1497"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GLP</w:t>
            </w:r>
          </w:p>
        </w:tc>
        <w:tc>
          <w:tcPr>
            <w:tcW w:w="2988" w:type="dxa"/>
            <w:shd w:val="clear" w:color="auto" w:fill="auto"/>
            <w:vAlign w:val="center"/>
            <w:hideMark/>
          </w:tcPr>
          <w:p w14:paraId="0D011C0F" w14:textId="09EC642B" w:rsidR="00BC5CCB" w:rsidRPr="0019619E" w:rsidRDefault="00BC5CCB" w:rsidP="0019619E">
            <w:pPr>
              <w:spacing w:before="0" w:after="0" w:line="240" w:lineRule="auto"/>
              <w:rPr>
                <w:rFonts w:ascii="Aptos Narrow" w:eastAsia="Times New Roman" w:hAnsi="Aptos Narrow" w:cs="Times New Roman"/>
                <w:color w:val="000000"/>
                <w:sz w:val="20"/>
                <w:szCs w:val="20"/>
                <w:lang w:eastAsia="es-CO"/>
              </w:rPr>
            </w:pPr>
            <w:r w:rsidRPr="0019619E">
              <w:rPr>
                <w:rFonts w:ascii="Aptos Narrow" w:eastAsia="Times New Roman" w:hAnsi="Aptos Narrow" w:cs="Times New Roman"/>
                <w:color w:val="000000"/>
                <w:sz w:val="20"/>
                <w:szCs w:val="20"/>
                <w:lang w:eastAsia="es-CO"/>
              </w:rPr>
              <w:t>Comercialización mayorista</w:t>
            </w:r>
          </w:p>
        </w:tc>
        <w:tc>
          <w:tcPr>
            <w:tcW w:w="9229" w:type="dxa"/>
            <w:shd w:val="clear" w:color="auto" w:fill="auto"/>
            <w:noWrap/>
            <w:vAlign w:val="center"/>
            <w:hideMark/>
          </w:tcPr>
          <w:p w14:paraId="7E9E158E" w14:textId="57525845" w:rsidR="00BC5CCB" w:rsidRPr="0019619E" w:rsidRDefault="00BC5CCB" w:rsidP="0019619E">
            <w:pPr>
              <w:spacing w:before="0" w:after="0" w:line="240" w:lineRule="auto"/>
              <w:rPr>
                <w:rFonts w:ascii="Aptos Narrow" w:eastAsia="Times New Roman" w:hAnsi="Aptos Narrow" w:cs="Times New Roman"/>
                <w:sz w:val="20"/>
                <w:szCs w:val="20"/>
                <w:lang w:eastAsia="es-CO"/>
              </w:rPr>
            </w:pPr>
            <w:r w:rsidRPr="0019619E">
              <w:rPr>
                <w:rFonts w:ascii="Aptos Narrow" w:eastAsia="Times New Roman" w:hAnsi="Aptos Narrow" w:cs="Times New Roman"/>
                <w:sz w:val="20"/>
                <w:szCs w:val="20"/>
                <w:lang w:eastAsia="es-CO"/>
              </w:rPr>
              <w:t>Capacidad de compra</w:t>
            </w:r>
            <w:r w:rsidR="00724F02">
              <w:rPr>
                <w:rFonts w:ascii="Aptos Narrow" w:eastAsia="Times New Roman" w:hAnsi="Aptos Narrow" w:cs="Times New Roman"/>
                <w:sz w:val="20"/>
                <w:szCs w:val="20"/>
                <w:lang w:eastAsia="es-CO"/>
              </w:rPr>
              <w:t>.</w:t>
            </w:r>
          </w:p>
        </w:tc>
      </w:tr>
    </w:tbl>
    <w:p w14:paraId="05A9A755" w14:textId="77777777" w:rsidR="00A151DE" w:rsidRPr="00E31E7A" w:rsidRDefault="00A151DE" w:rsidP="00A151DE">
      <w:pPr>
        <w:rPr>
          <w:lang w:val="es-MX"/>
        </w:rPr>
      </w:pPr>
    </w:p>
    <w:p w14:paraId="713319D2" w14:textId="6D26E6FF" w:rsidR="008066FD" w:rsidRPr="00BA6D78" w:rsidRDefault="008066FD" w:rsidP="001026E8">
      <w:pPr>
        <w:tabs>
          <w:tab w:val="left" w:pos="709"/>
        </w:tabs>
        <w:ind w:left="1418" w:hanging="1418"/>
        <w:jc w:val="both"/>
        <w:rPr>
          <w:rFonts w:cs="Arial"/>
        </w:rPr>
      </w:pPr>
    </w:p>
    <w:sectPr w:rsidR="008066FD" w:rsidRPr="00BA6D78" w:rsidSect="00E31E7A">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56783" w14:textId="77777777" w:rsidR="009A5A88" w:rsidRDefault="009A5A88" w:rsidP="00AA0519">
      <w:r>
        <w:separator/>
      </w:r>
    </w:p>
  </w:endnote>
  <w:endnote w:type="continuationSeparator" w:id="0">
    <w:p w14:paraId="0CC98DD1" w14:textId="77777777" w:rsidR="009A5A88" w:rsidRDefault="009A5A88"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BBB2"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114F61E0"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2D6A896C"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6B26ACCE" w14:textId="77777777" w:rsidR="00423CDC" w:rsidRPr="00256928" w:rsidRDefault="00423CDC" w:rsidP="00423CDC">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82E5"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69D15F69"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20461F48" w14:textId="77777777" w:rsidR="00423CDC" w:rsidRPr="000774A9" w:rsidRDefault="00423CDC" w:rsidP="00423CDC">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3D2AC25B" w14:textId="77777777" w:rsidR="00423CDC" w:rsidRPr="00256928" w:rsidRDefault="00423CDC" w:rsidP="00423CDC">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BF1E" w14:textId="77777777" w:rsidR="009A5A88" w:rsidRDefault="009A5A88" w:rsidP="00AA0519">
      <w:r>
        <w:separator/>
      </w:r>
    </w:p>
  </w:footnote>
  <w:footnote w:type="continuationSeparator" w:id="0">
    <w:p w14:paraId="1147DA6F" w14:textId="77777777" w:rsidR="009A5A88" w:rsidRDefault="009A5A88"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40D73072" w:rsidR="003F2F4B" w:rsidRPr="008C0A5F" w:rsidRDefault="00423CDC" w:rsidP="008C0A5F">
    <w:pPr>
      <w:pStyle w:val="Destinario"/>
      <w:spacing w:before="240"/>
      <w:ind w:left="708" w:hanging="708"/>
      <w:rPr>
        <w:sz w:val="22"/>
        <w:szCs w:val="22"/>
      </w:rPr>
    </w:pPr>
    <w:r>
      <w:rPr>
        <w:noProof/>
      </w:rPr>
      <w:drawing>
        <wp:anchor distT="0" distB="0" distL="114300" distR="114300" simplePos="0" relativeHeight="251669504" behindDoc="1" locked="0" layoutInCell="1" allowOverlap="1" wp14:anchorId="6CCA0AB2" wp14:editId="1A6A50A5">
          <wp:simplePos x="0" y="0"/>
          <wp:positionH relativeFrom="margin">
            <wp:align>right</wp:align>
          </wp:positionH>
          <wp:positionV relativeFrom="margin">
            <wp:posOffset>-686435</wp:posOffset>
          </wp:positionV>
          <wp:extent cx="643890" cy="359410"/>
          <wp:effectExtent l="0" t="0" r="3810" b="2540"/>
          <wp:wrapTight wrapText="bothSides">
            <wp:wrapPolygon edited="0">
              <wp:start x="0" y="0"/>
              <wp:lineTo x="0" y="20608"/>
              <wp:lineTo x="21089" y="20608"/>
              <wp:lineTo x="21089" y="0"/>
              <wp:lineTo x="0" y="0"/>
            </wp:wrapPolygon>
          </wp:wrapTight>
          <wp:docPr id="1667147419" name="Imagen 166714741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70528" behindDoc="0" locked="0" layoutInCell="1" allowOverlap="1" wp14:anchorId="626BF720" wp14:editId="77B2EABD">
          <wp:simplePos x="0" y="0"/>
          <wp:positionH relativeFrom="margin">
            <wp:posOffset>281940</wp:posOffset>
          </wp:positionH>
          <wp:positionV relativeFrom="margin">
            <wp:posOffset>-631190</wp:posOffset>
          </wp:positionV>
          <wp:extent cx="1033145" cy="359410"/>
          <wp:effectExtent l="0" t="0" r="0" b="2540"/>
          <wp:wrapSquare wrapText="bothSides"/>
          <wp:docPr id="82839099" name="Imagen 8283909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7A9DE704" w:rsidR="00F82573" w:rsidRDefault="00423CDC" w:rsidP="005B5736">
    <w:pPr>
      <w:pStyle w:val="Encabezado"/>
      <w:tabs>
        <w:tab w:val="clear" w:pos="4419"/>
        <w:tab w:val="left" w:pos="7274"/>
      </w:tabs>
      <w:ind w:right="-1369"/>
    </w:pPr>
    <w:r>
      <w:rPr>
        <w:noProof/>
      </w:rPr>
      <w:drawing>
        <wp:anchor distT="0" distB="0" distL="114300" distR="114300" simplePos="0" relativeHeight="251672576" behindDoc="0" locked="0" layoutInCell="1" allowOverlap="1" wp14:anchorId="516E4002" wp14:editId="00B7670C">
          <wp:simplePos x="0" y="0"/>
          <wp:positionH relativeFrom="margin">
            <wp:posOffset>5217160</wp:posOffset>
          </wp:positionH>
          <wp:positionV relativeFrom="margin">
            <wp:posOffset>-1158875</wp:posOffset>
          </wp:positionV>
          <wp:extent cx="644400" cy="360000"/>
          <wp:effectExtent l="0" t="0" r="3810" b="2540"/>
          <wp:wrapSquare wrapText="bothSides"/>
          <wp:docPr id="1021919197" name="Imagen 102191919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r>
      <w:rPr>
        <w:noProof/>
      </w:rPr>
      <w:drawing>
        <wp:anchor distT="0" distB="0" distL="114300" distR="114300" simplePos="0" relativeHeight="251673600" behindDoc="0" locked="0" layoutInCell="1" allowOverlap="1" wp14:anchorId="7854CF39" wp14:editId="5352B4F6">
          <wp:simplePos x="0" y="0"/>
          <wp:positionH relativeFrom="margin">
            <wp:posOffset>133350</wp:posOffset>
          </wp:positionH>
          <wp:positionV relativeFrom="margin">
            <wp:posOffset>-974725</wp:posOffset>
          </wp:positionV>
          <wp:extent cx="1033145" cy="359410"/>
          <wp:effectExtent l="0" t="0" r="0" b="2540"/>
          <wp:wrapSquare wrapText="bothSides"/>
          <wp:docPr id="170796923" name="Imagen 17079692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sidR="00401E6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22A8"/>
    <w:multiLevelType w:val="hybridMultilevel"/>
    <w:tmpl w:val="624EE95C"/>
    <w:lvl w:ilvl="0" w:tplc="240A0017">
      <w:start w:val="1"/>
      <w:numFmt w:val="lowerLetter"/>
      <w:lvlText w:val="%1)"/>
      <w:lvlJc w:val="left"/>
      <w:pPr>
        <w:ind w:left="790" w:hanging="360"/>
      </w:pPr>
    </w:lvl>
    <w:lvl w:ilvl="1" w:tplc="240A0019" w:tentative="1">
      <w:start w:val="1"/>
      <w:numFmt w:val="lowerLetter"/>
      <w:lvlText w:val="%2."/>
      <w:lvlJc w:val="left"/>
      <w:pPr>
        <w:ind w:left="1510" w:hanging="360"/>
      </w:pPr>
    </w:lvl>
    <w:lvl w:ilvl="2" w:tplc="240A001B" w:tentative="1">
      <w:start w:val="1"/>
      <w:numFmt w:val="lowerRoman"/>
      <w:lvlText w:val="%3."/>
      <w:lvlJc w:val="right"/>
      <w:pPr>
        <w:ind w:left="2230" w:hanging="180"/>
      </w:pPr>
    </w:lvl>
    <w:lvl w:ilvl="3" w:tplc="240A000F" w:tentative="1">
      <w:start w:val="1"/>
      <w:numFmt w:val="decimal"/>
      <w:lvlText w:val="%4."/>
      <w:lvlJc w:val="left"/>
      <w:pPr>
        <w:ind w:left="2950" w:hanging="360"/>
      </w:pPr>
    </w:lvl>
    <w:lvl w:ilvl="4" w:tplc="240A0019" w:tentative="1">
      <w:start w:val="1"/>
      <w:numFmt w:val="lowerLetter"/>
      <w:lvlText w:val="%5."/>
      <w:lvlJc w:val="left"/>
      <w:pPr>
        <w:ind w:left="3670" w:hanging="360"/>
      </w:pPr>
    </w:lvl>
    <w:lvl w:ilvl="5" w:tplc="240A001B" w:tentative="1">
      <w:start w:val="1"/>
      <w:numFmt w:val="lowerRoman"/>
      <w:lvlText w:val="%6."/>
      <w:lvlJc w:val="right"/>
      <w:pPr>
        <w:ind w:left="4390" w:hanging="180"/>
      </w:pPr>
    </w:lvl>
    <w:lvl w:ilvl="6" w:tplc="240A000F" w:tentative="1">
      <w:start w:val="1"/>
      <w:numFmt w:val="decimal"/>
      <w:lvlText w:val="%7."/>
      <w:lvlJc w:val="left"/>
      <w:pPr>
        <w:ind w:left="5110" w:hanging="360"/>
      </w:pPr>
    </w:lvl>
    <w:lvl w:ilvl="7" w:tplc="240A0019" w:tentative="1">
      <w:start w:val="1"/>
      <w:numFmt w:val="lowerLetter"/>
      <w:lvlText w:val="%8."/>
      <w:lvlJc w:val="left"/>
      <w:pPr>
        <w:ind w:left="5830" w:hanging="360"/>
      </w:pPr>
    </w:lvl>
    <w:lvl w:ilvl="8" w:tplc="240A001B" w:tentative="1">
      <w:start w:val="1"/>
      <w:numFmt w:val="lowerRoman"/>
      <w:lvlText w:val="%9."/>
      <w:lvlJc w:val="right"/>
      <w:pPr>
        <w:ind w:left="6550" w:hanging="180"/>
      </w:pPr>
    </w:lvl>
  </w:abstractNum>
  <w:abstractNum w:abstractNumId="1" w15:restartNumberingAfterBreak="0">
    <w:nsid w:val="4E4D3783"/>
    <w:multiLevelType w:val="hybridMultilevel"/>
    <w:tmpl w:val="97308D54"/>
    <w:lvl w:ilvl="0" w:tplc="FFFFFFFF">
      <w:start w:val="1"/>
      <w:numFmt w:val="lowerLetter"/>
      <w:lvlText w:val="%1)"/>
      <w:lvlJc w:val="lef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 w15:restartNumberingAfterBreak="0">
    <w:nsid w:val="55241511"/>
    <w:multiLevelType w:val="multilevel"/>
    <w:tmpl w:val="A29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906FD"/>
    <w:multiLevelType w:val="hybridMultilevel"/>
    <w:tmpl w:val="649661A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70404198">
    <w:abstractNumId w:val="3"/>
  </w:num>
  <w:num w:numId="2" w16cid:durableId="341203143">
    <w:abstractNumId w:val="2"/>
  </w:num>
  <w:num w:numId="3" w16cid:durableId="2007128026">
    <w:abstractNumId w:val="0"/>
  </w:num>
  <w:num w:numId="4" w16cid:durableId="174294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F8"/>
    <w:rsid w:val="00000E29"/>
    <w:rsid w:val="00004FFB"/>
    <w:rsid w:val="0000793A"/>
    <w:rsid w:val="00011EC2"/>
    <w:rsid w:val="00021C70"/>
    <w:rsid w:val="00022552"/>
    <w:rsid w:val="00040E20"/>
    <w:rsid w:val="00043566"/>
    <w:rsid w:val="00045DAF"/>
    <w:rsid w:val="00046BDF"/>
    <w:rsid w:val="000508E8"/>
    <w:rsid w:val="00052552"/>
    <w:rsid w:val="000555B8"/>
    <w:rsid w:val="00060F2C"/>
    <w:rsid w:val="0006349D"/>
    <w:rsid w:val="00066A9A"/>
    <w:rsid w:val="00070784"/>
    <w:rsid w:val="00071BA7"/>
    <w:rsid w:val="0007396C"/>
    <w:rsid w:val="00074D17"/>
    <w:rsid w:val="00081AB5"/>
    <w:rsid w:val="00096B9C"/>
    <w:rsid w:val="000A28A5"/>
    <w:rsid w:val="000A3D26"/>
    <w:rsid w:val="000B1873"/>
    <w:rsid w:val="000B439A"/>
    <w:rsid w:val="000B6686"/>
    <w:rsid w:val="000C2556"/>
    <w:rsid w:val="000C48C4"/>
    <w:rsid w:val="000D4763"/>
    <w:rsid w:val="000D7A1F"/>
    <w:rsid w:val="000F11F6"/>
    <w:rsid w:val="000F1A48"/>
    <w:rsid w:val="000F38B4"/>
    <w:rsid w:val="000F6963"/>
    <w:rsid w:val="000F71F5"/>
    <w:rsid w:val="001026E8"/>
    <w:rsid w:val="00111621"/>
    <w:rsid w:val="00112B43"/>
    <w:rsid w:val="00120CE0"/>
    <w:rsid w:val="001215BB"/>
    <w:rsid w:val="0012255A"/>
    <w:rsid w:val="00124C31"/>
    <w:rsid w:val="0014353D"/>
    <w:rsid w:val="001474A2"/>
    <w:rsid w:val="00153BE7"/>
    <w:rsid w:val="00163386"/>
    <w:rsid w:val="00164E3E"/>
    <w:rsid w:val="00165D68"/>
    <w:rsid w:val="00170E67"/>
    <w:rsid w:val="0017167B"/>
    <w:rsid w:val="001738A4"/>
    <w:rsid w:val="00180A5B"/>
    <w:rsid w:val="00186FFE"/>
    <w:rsid w:val="0019619E"/>
    <w:rsid w:val="00196D53"/>
    <w:rsid w:val="00197BBD"/>
    <w:rsid w:val="001A0B23"/>
    <w:rsid w:val="001B2695"/>
    <w:rsid w:val="001B3CD5"/>
    <w:rsid w:val="001C216E"/>
    <w:rsid w:val="001C411E"/>
    <w:rsid w:val="001D2BD7"/>
    <w:rsid w:val="001D5AE8"/>
    <w:rsid w:val="001E2DD2"/>
    <w:rsid w:val="001E4BE9"/>
    <w:rsid w:val="001E5581"/>
    <w:rsid w:val="001F303A"/>
    <w:rsid w:val="001F47AB"/>
    <w:rsid w:val="002023C7"/>
    <w:rsid w:val="002028D1"/>
    <w:rsid w:val="00202FDB"/>
    <w:rsid w:val="0020359C"/>
    <w:rsid w:val="00205FE1"/>
    <w:rsid w:val="002104E8"/>
    <w:rsid w:val="00210D3D"/>
    <w:rsid w:val="00211474"/>
    <w:rsid w:val="00212267"/>
    <w:rsid w:val="00212855"/>
    <w:rsid w:val="00227E4D"/>
    <w:rsid w:val="00230554"/>
    <w:rsid w:val="00237B86"/>
    <w:rsid w:val="0024085D"/>
    <w:rsid w:val="00242AD9"/>
    <w:rsid w:val="00254CA8"/>
    <w:rsid w:val="00254DAF"/>
    <w:rsid w:val="00256200"/>
    <w:rsid w:val="0025646E"/>
    <w:rsid w:val="0026104A"/>
    <w:rsid w:val="002667FA"/>
    <w:rsid w:val="00267363"/>
    <w:rsid w:val="00276D83"/>
    <w:rsid w:val="00282960"/>
    <w:rsid w:val="00285999"/>
    <w:rsid w:val="002A6959"/>
    <w:rsid w:val="002A78BE"/>
    <w:rsid w:val="002C244B"/>
    <w:rsid w:val="002C26C3"/>
    <w:rsid w:val="002C597A"/>
    <w:rsid w:val="002D4463"/>
    <w:rsid w:val="002D55F5"/>
    <w:rsid w:val="002E09F4"/>
    <w:rsid w:val="002E0E48"/>
    <w:rsid w:val="002E1B37"/>
    <w:rsid w:val="002E3291"/>
    <w:rsid w:val="002F2A8C"/>
    <w:rsid w:val="00300117"/>
    <w:rsid w:val="00300490"/>
    <w:rsid w:val="00314D66"/>
    <w:rsid w:val="00323DE0"/>
    <w:rsid w:val="00324760"/>
    <w:rsid w:val="00333766"/>
    <w:rsid w:val="00333A74"/>
    <w:rsid w:val="003352EF"/>
    <w:rsid w:val="0034037A"/>
    <w:rsid w:val="003505BC"/>
    <w:rsid w:val="0035150B"/>
    <w:rsid w:val="00353D1D"/>
    <w:rsid w:val="0035632E"/>
    <w:rsid w:val="00361842"/>
    <w:rsid w:val="00361DFF"/>
    <w:rsid w:val="0036757D"/>
    <w:rsid w:val="00373C3D"/>
    <w:rsid w:val="00374B83"/>
    <w:rsid w:val="0038014E"/>
    <w:rsid w:val="00382C84"/>
    <w:rsid w:val="00383875"/>
    <w:rsid w:val="00386C24"/>
    <w:rsid w:val="00395DF2"/>
    <w:rsid w:val="003A2A61"/>
    <w:rsid w:val="003A7FC9"/>
    <w:rsid w:val="003B1FEC"/>
    <w:rsid w:val="003B4EC5"/>
    <w:rsid w:val="003B61DE"/>
    <w:rsid w:val="003C4748"/>
    <w:rsid w:val="003C7E1C"/>
    <w:rsid w:val="003D0A31"/>
    <w:rsid w:val="003D46A5"/>
    <w:rsid w:val="003E017B"/>
    <w:rsid w:val="003E2517"/>
    <w:rsid w:val="003E296E"/>
    <w:rsid w:val="003F2F4B"/>
    <w:rsid w:val="003F3110"/>
    <w:rsid w:val="003F4A88"/>
    <w:rsid w:val="003F77C7"/>
    <w:rsid w:val="00401E61"/>
    <w:rsid w:val="004142B1"/>
    <w:rsid w:val="004170AF"/>
    <w:rsid w:val="00423CDC"/>
    <w:rsid w:val="00435A5E"/>
    <w:rsid w:val="00435B3C"/>
    <w:rsid w:val="004523BD"/>
    <w:rsid w:val="00456198"/>
    <w:rsid w:val="00456720"/>
    <w:rsid w:val="00457CC2"/>
    <w:rsid w:val="00460577"/>
    <w:rsid w:val="0046715F"/>
    <w:rsid w:val="00480F5C"/>
    <w:rsid w:val="00483D6B"/>
    <w:rsid w:val="004856A3"/>
    <w:rsid w:val="0049024B"/>
    <w:rsid w:val="004A3E69"/>
    <w:rsid w:val="004A6CAB"/>
    <w:rsid w:val="004C0041"/>
    <w:rsid w:val="004C0855"/>
    <w:rsid w:val="004C69B7"/>
    <w:rsid w:val="004C743A"/>
    <w:rsid w:val="004D10D6"/>
    <w:rsid w:val="004D606B"/>
    <w:rsid w:val="004E017D"/>
    <w:rsid w:val="004F1CF7"/>
    <w:rsid w:val="004F4273"/>
    <w:rsid w:val="00500F75"/>
    <w:rsid w:val="00515BEF"/>
    <w:rsid w:val="00521322"/>
    <w:rsid w:val="00526EAE"/>
    <w:rsid w:val="0053330D"/>
    <w:rsid w:val="00535165"/>
    <w:rsid w:val="00536900"/>
    <w:rsid w:val="0054690B"/>
    <w:rsid w:val="005604AC"/>
    <w:rsid w:val="00565091"/>
    <w:rsid w:val="00567CDF"/>
    <w:rsid w:val="005723D7"/>
    <w:rsid w:val="005738ED"/>
    <w:rsid w:val="005776EF"/>
    <w:rsid w:val="00587F12"/>
    <w:rsid w:val="00593405"/>
    <w:rsid w:val="00593CA1"/>
    <w:rsid w:val="005A3994"/>
    <w:rsid w:val="005A4453"/>
    <w:rsid w:val="005A76EC"/>
    <w:rsid w:val="005A77B1"/>
    <w:rsid w:val="005B4F83"/>
    <w:rsid w:val="005B53D9"/>
    <w:rsid w:val="005B5736"/>
    <w:rsid w:val="005B5FF0"/>
    <w:rsid w:val="005C287A"/>
    <w:rsid w:val="005C42EC"/>
    <w:rsid w:val="005C7C3A"/>
    <w:rsid w:val="005D7D66"/>
    <w:rsid w:val="005E366C"/>
    <w:rsid w:val="005E4381"/>
    <w:rsid w:val="005E6EDF"/>
    <w:rsid w:val="005F26B6"/>
    <w:rsid w:val="005F2BB1"/>
    <w:rsid w:val="005F6877"/>
    <w:rsid w:val="00602072"/>
    <w:rsid w:val="0060285E"/>
    <w:rsid w:val="00604FAF"/>
    <w:rsid w:val="0061543F"/>
    <w:rsid w:val="00627937"/>
    <w:rsid w:val="00651863"/>
    <w:rsid w:val="00653D1A"/>
    <w:rsid w:val="006629AD"/>
    <w:rsid w:val="00665AA7"/>
    <w:rsid w:val="006709A3"/>
    <w:rsid w:val="00673B9C"/>
    <w:rsid w:val="00677E7F"/>
    <w:rsid w:val="00680042"/>
    <w:rsid w:val="006876C5"/>
    <w:rsid w:val="00691179"/>
    <w:rsid w:val="00694A91"/>
    <w:rsid w:val="00697FC1"/>
    <w:rsid w:val="006A0DAA"/>
    <w:rsid w:val="006A2C15"/>
    <w:rsid w:val="006A6C16"/>
    <w:rsid w:val="006B2598"/>
    <w:rsid w:val="006C1C6E"/>
    <w:rsid w:val="006E1726"/>
    <w:rsid w:val="006E22E8"/>
    <w:rsid w:val="006E35A8"/>
    <w:rsid w:val="006E4894"/>
    <w:rsid w:val="006F4E2E"/>
    <w:rsid w:val="007019A5"/>
    <w:rsid w:val="00707255"/>
    <w:rsid w:val="00715D6D"/>
    <w:rsid w:val="00717096"/>
    <w:rsid w:val="007234AC"/>
    <w:rsid w:val="007247FF"/>
    <w:rsid w:val="00724F02"/>
    <w:rsid w:val="00725284"/>
    <w:rsid w:val="007321B6"/>
    <w:rsid w:val="00734675"/>
    <w:rsid w:val="00735C91"/>
    <w:rsid w:val="00735E1F"/>
    <w:rsid w:val="0074199A"/>
    <w:rsid w:val="00744736"/>
    <w:rsid w:val="007451F3"/>
    <w:rsid w:val="0075000A"/>
    <w:rsid w:val="007502C4"/>
    <w:rsid w:val="0075059F"/>
    <w:rsid w:val="0075159D"/>
    <w:rsid w:val="00752DEC"/>
    <w:rsid w:val="00755ACA"/>
    <w:rsid w:val="007562FE"/>
    <w:rsid w:val="0076224C"/>
    <w:rsid w:val="00762CBD"/>
    <w:rsid w:val="00763741"/>
    <w:rsid w:val="00767BE5"/>
    <w:rsid w:val="00773771"/>
    <w:rsid w:val="00776567"/>
    <w:rsid w:val="00776D79"/>
    <w:rsid w:val="00781609"/>
    <w:rsid w:val="0078631A"/>
    <w:rsid w:val="007A21E2"/>
    <w:rsid w:val="007A76F0"/>
    <w:rsid w:val="007A7C1D"/>
    <w:rsid w:val="007B004F"/>
    <w:rsid w:val="007B2080"/>
    <w:rsid w:val="007B5348"/>
    <w:rsid w:val="007D47C9"/>
    <w:rsid w:val="007D6E32"/>
    <w:rsid w:val="007E125D"/>
    <w:rsid w:val="007F3CC0"/>
    <w:rsid w:val="007F42E3"/>
    <w:rsid w:val="007F4E31"/>
    <w:rsid w:val="007F4F05"/>
    <w:rsid w:val="00800BE2"/>
    <w:rsid w:val="00804FA7"/>
    <w:rsid w:val="008066FD"/>
    <w:rsid w:val="00811B51"/>
    <w:rsid w:val="008206AC"/>
    <w:rsid w:val="00823401"/>
    <w:rsid w:val="008322EE"/>
    <w:rsid w:val="0083370A"/>
    <w:rsid w:val="00835A36"/>
    <w:rsid w:val="00847FE4"/>
    <w:rsid w:val="00853747"/>
    <w:rsid w:val="0086105D"/>
    <w:rsid w:val="008776E3"/>
    <w:rsid w:val="00883D63"/>
    <w:rsid w:val="00884F17"/>
    <w:rsid w:val="008914BB"/>
    <w:rsid w:val="008B0943"/>
    <w:rsid w:val="008C0A5F"/>
    <w:rsid w:val="008C160A"/>
    <w:rsid w:val="008E6FA1"/>
    <w:rsid w:val="008E7D42"/>
    <w:rsid w:val="008F3F86"/>
    <w:rsid w:val="008F5FB5"/>
    <w:rsid w:val="009015B6"/>
    <w:rsid w:val="0090266B"/>
    <w:rsid w:val="00902889"/>
    <w:rsid w:val="009067B4"/>
    <w:rsid w:val="009077DD"/>
    <w:rsid w:val="00911F40"/>
    <w:rsid w:val="0091644B"/>
    <w:rsid w:val="00923B70"/>
    <w:rsid w:val="009264B4"/>
    <w:rsid w:val="00930F73"/>
    <w:rsid w:val="009327EA"/>
    <w:rsid w:val="00952CB3"/>
    <w:rsid w:val="00957BE3"/>
    <w:rsid w:val="009613AB"/>
    <w:rsid w:val="009638C0"/>
    <w:rsid w:val="0097105B"/>
    <w:rsid w:val="00976702"/>
    <w:rsid w:val="0098243F"/>
    <w:rsid w:val="00982706"/>
    <w:rsid w:val="00983F53"/>
    <w:rsid w:val="009863AB"/>
    <w:rsid w:val="0099100D"/>
    <w:rsid w:val="0099200B"/>
    <w:rsid w:val="009A048A"/>
    <w:rsid w:val="009A0758"/>
    <w:rsid w:val="009A09D7"/>
    <w:rsid w:val="009A3312"/>
    <w:rsid w:val="009A4FCD"/>
    <w:rsid w:val="009A5A88"/>
    <w:rsid w:val="009C3C8E"/>
    <w:rsid w:val="009C6032"/>
    <w:rsid w:val="009C7D0F"/>
    <w:rsid w:val="009D0486"/>
    <w:rsid w:val="009D26F8"/>
    <w:rsid w:val="009E565C"/>
    <w:rsid w:val="009E7865"/>
    <w:rsid w:val="009F3478"/>
    <w:rsid w:val="009F3687"/>
    <w:rsid w:val="009F5428"/>
    <w:rsid w:val="00A053FC"/>
    <w:rsid w:val="00A073F2"/>
    <w:rsid w:val="00A109BF"/>
    <w:rsid w:val="00A151DE"/>
    <w:rsid w:val="00A15CDD"/>
    <w:rsid w:val="00A15D55"/>
    <w:rsid w:val="00A16308"/>
    <w:rsid w:val="00A24D61"/>
    <w:rsid w:val="00A35056"/>
    <w:rsid w:val="00A350FE"/>
    <w:rsid w:val="00A354AE"/>
    <w:rsid w:val="00A35A9A"/>
    <w:rsid w:val="00A414D8"/>
    <w:rsid w:val="00A42820"/>
    <w:rsid w:val="00A45468"/>
    <w:rsid w:val="00A507DC"/>
    <w:rsid w:val="00A5208C"/>
    <w:rsid w:val="00A55936"/>
    <w:rsid w:val="00A56C14"/>
    <w:rsid w:val="00A60C82"/>
    <w:rsid w:val="00A63908"/>
    <w:rsid w:val="00A76D4A"/>
    <w:rsid w:val="00A77A09"/>
    <w:rsid w:val="00A84924"/>
    <w:rsid w:val="00A8575E"/>
    <w:rsid w:val="00A90A86"/>
    <w:rsid w:val="00A92B44"/>
    <w:rsid w:val="00AA0519"/>
    <w:rsid w:val="00AA2555"/>
    <w:rsid w:val="00AA68C2"/>
    <w:rsid w:val="00AA7A5F"/>
    <w:rsid w:val="00AC38B6"/>
    <w:rsid w:val="00AC64ED"/>
    <w:rsid w:val="00AD0860"/>
    <w:rsid w:val="00AD0A69"/>
    <w:rsid w:val="00AD10A8"/>
    <w:rsid w:val="00AD3D48"/>
    <w:rsid w:val="00AE06FC"/>
    <w:rsid w:val="00AE2C6E"/>
    <w:rsid w:val="00AF6977"/>
    <w:rsid w:val="00AF7510"/>
    <w:rsid w:val="00B02324"/>
    <w:rsid w:val="00B23C86"/>
    <w:rsid w:val="00B24E43"/>
    <w:rsid w:val="00B355BC"/>
    <w:rsid w:val="00B37FAA"/>
    <w:rsid w:val="00B40E5A"/>
    <w:rsid w:val="00B47D21"/>
    <w:rsid w:val="00B54E0E"/>
    <w:rsid w:val="00B60B01"/>
    <w:rsid w:val="00B62451"/>
    <w:rsid w:val="00B6399D"/>
    <w:rsid w:val="00B72B00"/>
    <w:rsid w:val="00B73E55"/>
    <w:rsid w:val="00B74DFE"/>
    <w:rsid w:val="00B81B0D"/>
    <w:rsid w:val="00B81E6F"/>
    <w:rsid w:val="00B90722"/>
    <w:rsid w:val="00BA2A49"/>
    <w:rsid w:val="00BA2E77"/>
    <w:rsid w:val="00BA6D78"/>
    <w:rsid w:val="00BB0CA0"/>
    <w:rsid w:val="00BB3679"/>
    <w:rsid w:val="00BB5459"/>
    <w:rsid w:val="00BC3A2E"/>
    <w:rsid w:val="00BC5CCB"/>
    <w:rsid w:val="00BC7FF5"/>
    <w:rsid w:val="00BD498C"/>
    <w:rsid w:val="00BE275C"/>
    <w:rsid w:val="00BE5F26"/>
    <w:rsid w:val="00BF1F71"/>
    <w:rsid w:val="00C14319"/>
    <w:rsid w:val="00C22ACC"/>
    <w:rsid w:val="00C37D66"/>
    <w:rsid w:val="00C43938"/>
    <w:rsid w:val="00C43D2A"/>
    <w:rsid w:val="00C45744"/>
    <w:rsid w:val="00C62A17"/>
    <w:rsid w:val="00C62A8B"/>
    <w:rsid w:val="00C80CB5"/>
    <w:rsid w:val="00C81E1F"/>
    <w:rsid w:val="00C8340D"/>
    <w:rsid w:val="00C83F56"/>
    <w:rsid w:val="00C85C6E"/>
    <w:rsid w:val="00C9169C"/>
    <w:rsid w:val="00C93328"/>
    <w:rsid w:val="00CA0E73"/>
    <w:rsid w:val="00CA4993"/>
    <w:rsid w:val="00CB21C0"/>
    <w:rsid w:val="00CB3666"/>
    <w:rsid w:val="00CB654D"/>
    <w:rsid w:val="00CC2862"/>
    <w:rsid w:val="00CC3AA6"/>
    <w:rsid w:val="00CC4480"/>
    <w:rsid w:val="00CD5EA3"/>
    <w:rsid w:val="00CD6394"/>
    <w:rsid w:val="00CE2FC0"/>
    <w:rsid w:val="00CE66F4"/>
    <w:rsid w:val="00CF1C68"/>
    <w:rsid w:val="00CF7412"/>
    <w:rsid w:val="00D016F5"/>
    <w:rsid w:val="00D06EDB"/>
    <w:rsid w:val="00D073EE"/>
    <w:rsid w:val="00D13206"/>
    <w:rsid w:val="00D133D0"/>
    <w:rsid w:val="00D136C2"/>
    <w:rsid w:val="00D16B57"/>
    <w:rsid w:val="00D172B6"/>
    <w:rsid w:val="00D21993"/>
    <w:rsid w:val="00D22EBC"/>
    <w:rsid w:val="00D26AFD"/>
    <w:rsid w:val="00D31768"/>
    <w:rsid w:val="00D37A3C"/>
    <w:rsid w:val="00D45F44"/>
    <w:rsid w:val="00D47ABA"/>
    <w:rsid w:val="00D57EBB"/>
    <w:rsid w:val="00D6130E"/>
    <w:rsid w:val="00D63F04"/>
    <w:rsid w:val="00D72DFA"/>
    <w:rsid w:val="00D754A1"/>
    <w:rsid w:val="00D86A67"/>
    <w:rsid w:val="00D915DC"/>
    <w:rsid w:val="00D9203E"/>
    <w:rsid w:val="00D9674C"/>
    <w:rsid w:val="00DD54F8"/>
    <w:rsid w:val="00DE0437"/>
    <w:rsid w:val="00DE0F3C"/>
    <w:rsid w:val="00DF3A86"/>
    <w:rsid w:val="00DF4A1E"/>
    <w:rsid w:val="00DF79E2"/>
    <w:rsid w:val="00E00AE2"/>
    <w:rsid w:val="00E035CC"/>
    <w:rsid w:val="00E03CCB"/>
    <w:rsid w:val="00E04D42"/>
    <w:rsid w:val="00E22AB2"/>
    <w:rsid w:val="00E25E3A"/>
    <w:rsid w:val="00E27474"/>
    <w:rsid w:val="00E46DF7"/>
    <w:rsid w:val="00E47583"/>
    <w:rsid w:val="00E5210D"/>
    <w:rsid w:val="00E55E37"/>
    <w:rsid w:val="00E56853"/>
    <w:rsid w:val="00E77923"/>
    <w:rsid w:val="00E81B91"/>
    <w:rsid w:val="00E81C6B"/>
    <w:rsid w:val="00E82929"/>
    <w:rsid w:val="00E843C9"/>
    <w:rsid w:val="00E87562"/>
    <w:rsid w:val="00EA2883"/>
    <w:rsid w:val="00EA73B2"/>
    <w:rsid w:val="00EB4DF4"/>
    <w:rsid w:val="00EC5291"/>
    <w:rsid w:val="00EC692C"/>
    <w:rsid w:val="00ED53AA"/>
    <w:rsid w:val="00EE05DF"/>
    <w:rsid w:val="00EE08EF"/>
    <w:rsid w:val="00EE58BA"/>
    <w:rsid w:val="00EE600D"/>
    <w:rsid w:val="00EF444C"/>
    <w:rsid w:val="00EF44A6"/>
    <w:rsid w:val="00EF65F1"/>
    <w:rsid w:val="00F02D43"/>
    <w:rsid w:val="00F04188"/>
    <w:rsid w:val="00F06ACF"/>
    <w:rsid w:val="00F13D47"/>
    <w:rsid w:val="00F32EB0"/>
    <w:rsid w:val="00F33CEE"/>
    <w:rsid w:val="00F35EFC"/>
    <w:rsid w:val="00F40C49"/>
    <w:rsid w:val="00F51549"/>
    <w:rsid w:val="00F600EE"/>
    <w:rsid w:val="00F65437"/>
    <w:rsid w:val="00F6607F"/>
    <w:rsid w:val="00F66BF3"/>
    <w:rsid w:val="00F803F3"/>
    <w:rsid w:val="00F80B1D"/>
    <w:rsid w:val="00F8105E"/>
    <w:rsid w:val="00F82573"/>
    <w:rsid w:val="00F9099F"/>
    <w:rsid w:val="00F94AB7"/>
    <w:rsid w:val="00FA1543"/>
    <w:rsid w:val="00FA1AB5"/>
    <w:rsid w:val="00FA376A"/>
    <w:rsid w:val="00FA6661"/>
    <w:rsid w:val="00FA6C27"/>
    <w:rsid w:val="00FB07C1"/>
    <w:rsid w:val="00FB7343"/>
    <w:rsid w:val="00FB7AAE"/>
    <w:rsid w:val="00FC2B65"/>
    <w:rsid w:val="00FC759B"/>
    <w:rsid w:val="00FD2A8B"/>
    <w:rsid w:val="00FD726E"/>
    <w:rsid w:val="00FE3E99"/>
    <w:rsid w:val="00FE4482"/>
    <w:rsid w:val="00FE47F2"/>
    <w:rsid w:val="00FF27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qFormat/>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rsid w:val="00BA6D78"/>
    <w:rPr>
      <w:rFonts w:eastAsiaTheme="minorEastAsia"/>
      <w:lang w:val="es-ES_tradnl"/>
    </w:rPr>
  </w:style>
  <w:style w:type="paragraph" w:styleId="Prrafodelista">
    <w:name w:val="List Paragraph"/>
    <w:basedOn w:val="Normal"/>
    <w:uiPriority w:val="34"/>
    <w:rsid w:val="00AA68C2"/>
    <w:pPr>
      <w:ind w:left="720"/>
      <w:contextualSpacing/>
    </w:pPr>
  </w:style>
  <w:style w:type="character" w:styleId="Hipervnculo">
    <w:name w:val="Hyperlink"/>
    <w:basedOn w:val="Fuentedeprrafopredeter"/>
    <w:uiPriority w:val="99"/>
    <w:unhideWhenUsed/>
    <w:rsid w:val="006C1C6E"/>
    <w:rPr>
      <w:color w:val="0563C1" w:themeColor="hyperlink"/>
      <w:u w:val="single"/>
    </w:rPr>
  </w:style>
  <w:style w:type="character" w:styleId="Mencinsinresolver">
    <w:name w:val="Unresolved Mention"/>
    <w:basedOn w:val="Fuentedeprrafopredeter"/>
    <w:uiPriority w:val="99"/>
    <w:semiHidden/>
    <w:unhideWhenUsed/>
    <w:rsid w:val="006C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8377">
      <w:bodyDiv w:val="1"/>
      <w:marLeft w:val="0"/>
      <w:marRight w:val="0"/>
      <w:marTop w:val="0"/>
      <w:marBottom w:val="0"/>
      <w:divBdr>
        <w:top w:val="none" w:sz="0" w:space="0" w:color="auto"/>
        <w:left w:val="none" w:sz="0" w:space="0" w:color="auto"/>
        <w:bottom w:val="none" w:sz="0" w:space="0" w:color="auto"/>
        <w:right w:val="none" w:sz="0" w:space="0" w:color="auto"/>
      </w:divBdr>
    </w:div>
    <w:div w:id="99223538">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533738686">
      <w:bodyDiv w:val="1"/>
      <w:marLeft w:val="0"/>
      <w:marRight w:val="0"/>
      <w:marTop w:val="0"/>
      <w:marBottom w:val="0"/>
      <w:divBdr>
        <w:top w:val="none" w:sz="0" w:space="0" w:color="auto"/>
        <w:left w:val="none" w:sz="0" w:space="0" w:color="auto"/>
        <w:bottom w:val="none" w:sz="0" w:space="0" w:color="auto"/>
        <w:right w:val="none" w:sz="0" w:space="0" w:color="auto"/>
      </w:divBdr>
    </w:div>
    <w:div w:id="750009853">
      <w:bodyDiv w:val="1"/>
      <w:marLeft w:val="0"/>
      <w:marRight w:val="0"/>
      <w:marTop w:val="0"/>
      <w:marBottom w:val="0"/>
      <w:divBdr>
        <w:top w:val="none" w:sz="0" w:space="0" w:color="auto"/>
        <w:left w:val="none" w:sz="0" w:space="0" w:color="auto"/>
        <w:bottom w:val="none" w:sz="0" w:space="0" w:color="auto"/>
        <w:right w:val="none" w:sz="0" w:space="0" w:color="auto"/>
      </w:divBdr>
    </w:div>
    <w:div w:id="801386942">
      <w:bodyDiv w:val="1"/>
      <w:marLeft w:val="0"/>
      <w:marRight w:val="0"/>
      <w:marTop w:val="0"/>
      <w:marBottom w:val="0"/>
      <w:divBdr>
        <w:top w:val="none" w:sz="0" w:space="0" w:color="auto"/>
        <w:left w:val="none" w:sz="0" w:space="0" w:color="auto"/>
        <w:bottom w:val="none" w:sz="0" w:space="0" w:color="auto"/>
        <w:right w:val="none" w:sz="0" w:space="0" w:color="auto"/>
      </w:divBdr>
    </w:div>
    <w:div w:id="960720163">
      <w:bodyDiv w:val="1"/>
      <w:marLeft w:val="0"/>
      <w:marRight w:val="0"/>
      <w:marTop w:val="0"/>
      <w:marBottom w:val="0"/>
      <w:divBdr>
        <w:top w:val="none" w:sz="0" w:space="0" w:color="auto"/>
        <w:left w:val="none" w:sz="0" w:space="0" w:color="auto"/>
        <w:bottom w:val="none" w:sz="0" w:space="0" w:color="auto"/>
        <w:right w:val="none" w:sz="0" w:space="0" w:color="auto"/>
      </w:divBdr>
    </w:div>
    <w:div w:id="1267469865">
      <w:bodyDiv w:val="1"/>
      <w:marLeft w:val="0"/>
      <w:marRight w:val="0"/>
      <w:marTop w:val="0"/>
      <w:marBottom w:val="0"/>
      <w:divBdr>
        <w:top w:val="none" w:sz="0" w:space="0" w:color="auto"/>
        <w:left w:val="none" w:sz="0" w:space="0" w:color="auto"/>
        <w:bottom w:val="none" w:sz="0" w:space="0" w:color="auto"/>
        <w:right w:val="none" w:sz="0" w:space="0" w:color="auto"/>
      </w:divBdr>
    </w:div>
    <w:div w:id="1422408708">
      <w:bodyDiv w:val="1"/>
      <w:marLeft w:val="0"/>
      <w:marRight w:val="0"/>
      <w:marTop w:val="0"/>
      <w:marBottom w:val="0"/>
      <w:divBdr>
        <w:top w:val="none" w:sz="0" w:space="0" w:color="auto"/>
        <w:left w:val="none" w:sz="0" w:space="0" w:color="auto"/>
        <w:bottom w:val="none" w:sz="0" w:space="0" w:color="auto"/>
        <w:right w:val="none" w:sz="0" w:space="0" w:color="auto"/>
      </w:divBdr>
      <w:divsChild>
        <w:div w:id="733043881">
          <w:marLeft w:val="0"/>
          <w:marRight w:val="0"/>
          <w:marTop w:val="0"/>
          <w:marBottom w:val="0"/>
          <w:divBdr>
            <w:top w:val="none" w:sz="0" w:space="0" w:color="auto"/>
            <w:left w:val="none" w:sz="0" w:space="0" w:color="auto"/>
            <w:bottom w:val="none" w:sz="0" w:space="0" w:color="auto"/>
            <w:right w:val="none" w:sz="0" w:space="0" w:color="auto"/>
          </w:divBdr>
          <w:divsChild>
            <w:div w:id="260989920">
              <w:marLeft w:val="0"/>
              <w:marRight w:val="0"/>
              <w:marTop w:val="0"/>
              <w:marBottom w:val="0"/>
              <w:divBdr>
                <w:top w:val="none" w:sz="0" w:space="0" w:color="auto"/>
                <w:left w:val="none" w:sz="0" w:space="0" w:color="auto"/>
                <w:bottom w:val="none" w:sz="0" w:space="0" w:color="auto"/>
                <w:right w:val="none" w:sz="0" w:space="0" w:color="auto"/>
              </w:divBdr>
              <w:divsChild>
                <w:div w:id="792748086">
                  <w:marLeft w:val="0"/>
                  <w:marRight w:val="0"/>
                  <w:marTop w:val="0"/>
                  <w:marBottom w:val="0"/>
                  <w:divBdr>
                    <w:top w:val="none" w:sz="0" w:space="0" w:color="auto"/>
                    <w:left w:val="none" w:sz="0" w:space="0" w:color="auto"/>
                    <w:bottom w:val="none" w:sz="0" w:space="0" w:color="auto"/>
                    <w:right w:val="none" w:sz="0" w:space="0" w:color="auto"/>
                  </w:divBdr>
                  <w:divsChild>
                    <w:div w:id="5167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4033">
          <w:marLeft w:val="0"/>
          <w:marRight w:val="0"/>
          <w:marTop w:val="0"/>
          <w:marBottom w:val="0"/>
          <w:divBdr>
            <w:top w:val="none" w:sz="0" w:space="0" w:color="auto"/>
            <w:left w:val="none" w:sz="0" w:space="0" w:color="auto"/>
            <w:bottom w:val="none" w:sz="0" w:space="0" w:color="auto"/>
            <w:right w:val="none" w:sz="0" w:space="0" w:color="auto"/>
          </w:divBdr>
          <w:divsChild>
            <w:div w:id="706566228">
              <w:marLeft w:val="0"/>
              <w:marRight w:val="0"/>
              <w:marTop w:val="0"/>
              <w:marBottom w:val="0"/>
              <w:divBdr>
                <w:top w:val="none" w:sz="0" w:space="0" w:color="auto"/>
                <w:left w:val="none" w:sz="0" w:space="0" w:color="auto"/>
                <w:bottom w:val="none" w:sz="0" w:space="0" w:color="auto"/>
                <w:right w:val="none" w:sz="0" w:space="0" w:color="auto"/>
              </w:divBdr>
              <w:divsChild>
                <w:div w:id="679115258">
                  <w:marLeft w:val="0"/>
                  <w:marRight w:val="0"/>
                  <w:marTop w:val="0"/>
                  <w:marBottom w:val="0"/>
                  <w:divBdr>
                    <w:top w:val="none" w:sz="0" w:space="0" w:color="auto"/>
                    <w:left w:val="none" w:sz="0" w:space="0" w:color="auto"/>
                    <w:bottom w:val="none" w:sz="0" w:space="0" w:color="auto"/>
                    <w:right w:val="none" w:sz="0" w:space="0" w:color="auto"/>
                  </w:divBdr>
                  <w:divsChild>
                    <w:div w:id="184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43727">
      <w:bodyDiv w:val="1"/>
      <w:marLeft w:val="0"/>
      <w:marRight w:val="0"/>
      <w:marTop w:val="0"/>
      <w:marBottom w:val="0"/>
      <w:divBdr>
        <w:top w:val="none" w:sz="0" w:space="0" w:color="auto"/>
        <w:left w:val="none" w:sz="0" w:space="0" w:color="auto"/>
        <w:bottom w:val="none" w:sz="0" w:space="0" w:color="auto"/>
        <w:right w:val="none" w:sz="0" w:space="0" w:color="auto"/>
      </w:divBdr>
    </w:div>
    <w:div w:id="1699697053">
      <w:bodyDiv w:val="1"/>
      <w:marLeft w:val="0"/>
      <w:marRight w:val="0"/>
      <w:marTop w:val="0"/>
      <w:marBottom w:val="0"/>
      <w:divBdr>
        <w:top w:val="none" w:sz="0" w:space="0" w:color="auto"/>
        <w:left w:val="none" w:sz="0" w:space="0" w:color="auto"/>
        <w:bottom w:val="none" w:sz="0" w:space="0" w:color="auto"/>
        <w:right w:val="none" w:sz="0" w:space="0" w:color="auto"/>
      </w:divBdr>
    </w:div>
    <w:div w:id="1976979876">
      <w:bodyDiv w:val="1"/>
      <w:marLeft w:val="0"/>
      <w:marRight w:val="0"/>
      <w:marTop w:val="0"/>
      <w:marBottom w:val="0"/>
      <w:divBdr>
        <w:top w:val="none" w:sz="0" w:space="0" w:color="auto"/>
        <w:left w:val="none" w:sz="0" w:space="0" w:color="auto"/>
        <w:bottom w:val="none" w:sz="0" w:space="0" w:color="auto"/>
        <w:right w:val="none" w:sz="0" w:space="0" w:color="auto"/>
      </w:divBdr>
    </w:div>
    <w:div w:id="2097826334">
      <w:bodyDiv w:val="1"/>
      <w:marLeft w:val="0"/>
      <w:marRight w:val="0"/>
      <w:marTop w:val="0"/>
      <w:marBottom w:val="0"/>
      <w:divBdr>
        <w:top w:val="none" w:sz="0" w:space="0" w:color="auto"/>
        <w:left w:val="none" w:sz="0" w:space="0" w:color="auto"/>
        <w:bottom w:val="none" w:sz="0" w:space="0" w:color="auto"/>
        <w:right w:val="none" w:sz="0" w:space="0" w:color="auto"/>
      </w:divBdr>
      <w:divsChild>
        <w:div w:id="440612056">
          <w:marLeft w:val="0"/>
          <w:marRight w:val="0"/>
          <w:marTop w:val="0"/>
          <w:marBottom w:val="0"/>
          <w:divBdr>
            <w:top w:val="none" w:sz="0" w:space="0" w:color="auto"/>
            <w:left w:val="none" w:sz="0" w:space="0" w:color="auto"/>
            <w:bottom w:val="none" w:sz="0" w:space="0" w:color="auto"/>
            <w:right w:val="none" w:sz="0" w:space="0" w:color="auto"/>
          </w:divBdr>
          <w:divsChild>
            <w:div w:id="1923566274">
              <w:marLeft w:val="0"/>
              <w:marRight w:val="0"/>
              <w:marTop w:val="0"/>
              <w:marBottom w:val="0"/>
              <w:divBdr>
                <w:top w:val="none" w:sz="0" w:space="0" w:color="auto"/>
                <w:left w:val="none" w:sz="0" w:space="0" w:color="auto"/>
                <w:bottom w:val="none" w:sz="0" w:space="0" w:color="auto"/>
                <w:right w:val="none" w:sz="0" w:space="0" w:color="auto"/>
              </w:divBdr>
              <w:divsChild>
                <w:div w:id="1696493662">
                  <w:marLeft w:val="0"/>
                  <w:marRight w:val="0"/>
                  <w:marTop w:val="0"/>
                  <w:marBottom w:val="0"/>
                  <w:divBdr>
                    <w:top w:val="none" w:sz="0" w:space="0" w:color="auto"/>
                    <w:left w:val="none" w:sz="0" w:space="0" w:color="auto"/>
                    <w:bottom w:val="none" w:sz="0" w:space="0" w:color="auto"/>
                    <w:right w:val="none" w:sz="0" w:space="0" w:color="auto"/>
                  </w:divBdr>
                  <w:divsChild>
                    <w:div w:id="461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63996">
          <w:marLeft w:val="0"/>
          <w:marRight w:val="0"/>
          <w:marTop w:val="0"/>
          <w:marBottom w:val="0"/>
          <w:divBdr>
            <w:top w:val="none" w:sz="0" w:space="0" w:color="auto"/>
            <w:left w:val="none" w:sz="0" w:space="0" w:color="auto"/>
            <w:bottom w:val="none" w:sz="0" w:space="0" w:color="auto"/>
            <w:right w:val="none" w:sz="0" w:space="0" w:color="auto"/>
          </w:divBdr>
          <w:divsChild>
            <w:div w:id="2137412388">
              <w:marLeft w:val="0"/>
              <w:marRight w:val="0"/>
              <w:marTop w:val="0"/>
              <w:marBottom w:val="0"/>
              <w:divBdr>
                <w:top w:val="none" w:sz="0" w:space="0" w:color="auto"/>
                <w:left w:val="none" w:sz="0" w:space="0" w:color="auto"/>
                <w:bottom w:val="none" w:sz="0" w:space="0" w:color="auto"/>
                <w:right w:val="none" w:sz="0" w:space="0" w:color="auto"/>
              </w:divBdr>
              <w:divsChild>
                <w:div w:id="1387030972">
                  <w:marLeft w:val="0"/>
                  <w:marRight w:val="0"/>
                  <w:marTop w:val="0"/>
                  <w:marBottom w:val="0"/>
                  <w:divBdr>
                    <w:top w:val="none" w:sz="0" w:space="0" w:color="auto"/>
                    <w:left w:val="none" w:sz="0" w:space="0" w:color="auto"/>
                    <w:bottom w:val="none" w:sz="0" w:space="0" w:color="auto"/>
                    <w:right w:val="none" w:sz="0" w:space="0" w:color="auto"/>
                  </w:divBdr>
                  <w:divsChild>
                    <w:div w:id="12488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g@creg.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ospina@creg.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23</Pages>
  <Words>4158</Words>
  <Characters>22875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100</cp:revision>
  <cp:lastPrinted>2023-11-01T15:31:00Z</cp:lastPrinted>
  <dcterms:created xsi:type="dcterms:W3CDTF">2024-11-20T21:25:00Z</dcterms:created>
  <dcterms:modified xsi:type="dcterms:W3CDTF">2024-11-22T16:06:00Z</dcterms:modified>
</cp:coreProperties>
</file>