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E182" w14:textId="77777777" w:rsidR="00A71B19" w:rsidRPr="001904C6" w:rsidRDefault="00000000" w:rsidP="004A486F">
      <w:pPr>
        <w:rPr>
          <w:b/>
        </w:rPr>
      </w:pPr>
      <w:r>
        <w:rPr>
          <w:noProof/>
        </w:rPr>
        <w:object w:dxaOrig="1440" w:dyaOrig="1440" w14:anchorId="7B88E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97.15pt;margin-top:-55.55pt;width:52.5pt;height:48.75pt;z-index:251659264" fillcolor="#0c9">
            <v:imagedata r:id="rId11" o:title=""/>
          </v:shape>
          <o:OLEObject Type="Embed" ProgID="PBrush" ShapeID="_x0000_s2050" DrawAspect="Content" ObjectID="_1794292006" r:id="rId12"/>
        </w:object>
      </w:r>
    </w:p>
    <w:p w14:paraId="7B88E183" w14:textId="77777777" w:rsidR="00A71B19" w:rsidRPr="007E4BE1" w:rsidRDefault="00A71B19" w:rsidP="004A486F">
      <w:pPr>
        <w:pStyle w:val="TITULO"/>
        <w:rPr>
          <w:b w:val="0"/>
          <w:noProof/>
        </w:rPr>
      </w:pPr>
      <w:r w:rsidRPr="007E4BE1">
        <w:rPr>
          <w:b w:val="0"/>
        </w:rPr>
        <w:t>Ministerio de Minas y Energía</w:t>
      </w:r>
    </w:p>
    <w:p w14:paraId="7B88E184" w14:textId="77777777" w:rsidR="00A71B19" w:rsidRPr="00F344FC" w:rsidRDefault="00A71B19" w:rsidP="004A486F">
      <w:pPr>
        <w:pStyle w:val="TITULO"/>
      </w:pPr>
    </w:p>
    <w:p w14:paraId="7B88E186" w14:textId="4A5F628D" w:rsidR="00A71B19" w:rsidRPr="00F344FC" w:rsidRDefault="00A71B19" w:rsidP="004A486F">
      <w:pPr>
        <w:pStyle w:val="TITULO"/>
      </w:pPr>
      <w:r w:rsidRPr="00F344FC">
        <w:t>COMISIÓN DE REGULACIÓN DE ENERGÍA Y GAS</w:t>
      </w:r>
    </w:p>
    <w:p w14:paraId="7B88E187" w14:textId="77777777" w:rsidR="00A71B19" w:rsidRPr="00F344FC" w:rsidRDefault="00A71B19" w:rsidP="004A486F">
      <w:pPr>
        <w:pStyle w:val="TITULO"/>
        <w:ind w:left="708" w:hanging="708"/>
      </w:pPr>
    </w:p>
    <w:p w14:paraId="7B88E188" w14:textId="48803D81" w:rsidR="00A71B19" w:rsidRPr="00920A9C" w:rsidRDefault="00A71B19" w:rsidP="004A486F">
      <w:pPr>
        <w:pStyle w:val="TITULO"/>
      </w:pPr>
      <w:r w:rsidRPr="00920A9C">
        <w:t xml:space="preserve">RESOLUCIÓN </w:t>
      </w:r>
      <w:r w:rsidR="00801164">
        <w:t xml:space="preserve">CREG </w:t>
      </w:r>
      <w:r w:rsidRPr="00920A9C">
        <w:t xml:space="preserve">No. </w:t>
      </w:r>
      <w:r w:rsidR="00801164" w:rsidRPr="004F1179">
        <w:rPr>
          <w:sz w:val="32"/>
          <w:szCs w:val="32"/>
        </w:rPr>
        <w:t>10</w:t>
      </w:r>
      <w:r w:rsidR="00EE0F69" w:rsidRPr="004F1179">
        <w:rPr>
          <w:sz w:val="32"/>
          <w:szCs w:val="32"/>
        </w:rPr>
        <w:t xml:space="preserve">1 </w:t>
      </w:r>
      <w:r w:rsidR="004F1179" w:rsidRPr="004F1179">
        <w:rPr>
          <w:sz w:val="32"/>
          <w:szCs w:val="32"/>
        </w:rPr>
        <w:t>065</w:t>
      </w:r>
      <w:r w:rsidR="00EE0F69" w:rsidRPr="004F1179">
        <w:rPr>
          <w:sz w:val="32"/>
          <w:szCs w:val="32"/>
        </w:rPr>
        <w:t xml:space="preserve"> </w:t>
      </w:r>
      <w:r w:rsidRPr="004F1179">
        <w:rPr>
          <w:sz w:val="32"/>
          <w:szCs w:val="32"/>
        </w:rPr>
        <w:t xml:space="preserve">DE </w:t>
      </w:r>
      <w:r w:rsidR="00DC235C" w:rsidRPr="004F1179">
        <w:rPr>
          <w:sz w:val="32"/>
          <w:szCs w:val="32"/>
        </w:rPr>
        <w:t>20</w:t>
      </w:r>
      <w:r w:rsidR="00C065EF" w:rsidRPr="004F1179">
        <w:rPr>
          <w:sz w:val="32"/>
          <w:szCs w:val="32"/>
        </w:rPr>
        <w:t>2</w:t>
      </w:r>
      <w:r w:rsidR="00F53FFD" w:rsidRPr="004F1179">
        <w:rPr>
          <w:sz w:val="32"/>
          <w:szCs w:val="32"/>
        </w:rPr>
        <w:t>4</w:t>
      </w:r>
    </w:p>
    <w:p w14:paraId="7B88E189" w14:textId="77777777" w:rsidR="00A71B19" w:rsidRPr="00920A9C" w:rsidRDefault="00A71B19" w:rsidP="004A486F">
      <w:pPr>
        <w:jc w:val="center"/>
        <w:rPr>
          <w:b/>
          <w:snapToGrid w:val="0"/>
        </w:rPr>
      </w:pPr>
    </w:p>
    <w:p w14:paraId="7B88E18A" w14:textId="310F5FDE" w:rsidR="00A71B19" w:rsidRPr="00920A9C" w:rsidRDefault="00A71B19" w:rsidP="004A486F">
      <w:pPr>
        <w:jc w:val="center"/>
        <w:rPr>
          <w:b/>
        </w:rPr>
      </w:pPr>
      <w:r w:rsidRPr="004F1179">
        <w:rPr>
          <w:b/>
        </w:rPr>
        <w:t>(</w:t>
      </w:r>
      <w:r w:rsidR="004F1179">
        <w:rPr>
          <w:b/>
        </w:rPr>
        <w:t>21</w:t>
      </w:r>
      <w:r w:rsidR="00EE0F69" w:rsidRPr="004F1179">
        <w:rPr>
          <w:b/>
        </w:rPr>
        <w:t xml:space="preserve"> </w:t>
      </w:r>
      <w:r w:rsidR="006804BB" w:rsidRPr="004F1179">
        <w:rPr>
          <w:b/>
        </w:rPr>
        <w:t>NOV</w:t>
      </w:r>
      <w:r w:rsidR="00EE0F69" w:rsidRPr="004F1179">
        <w:rPr>
          <w:b/>
        </w:rPr>
        <w:t>. 2024</w:t>
      </w:r>
      <w:r w:rsidRPr="004F1179">
        <w:rPr>
          <w:b/>
        </w:rPr>
        <w:t>)</w:t>
      </w:r>
    </w:p>
    <w:p w14:paraId="7D551E0A" w14:textId="77777777" w:rsidR="003C12F6" w:rsidRPr="00920A9C" w:rsidRDefault="003C12F6" w:rsidP="004A486F">
      <w:pPr>
        <w:jc w:val="center"/>
        <w:rPr>
          <w:b/>
        </w:rPr>
      </w:pPr>
    </w:p>
    <w:p w14:paraId="2D3855B3" w14:textId="033DDBA5" w:rsidR="00622769" w:rsidRPr="00622769" w:rsidRDefault="00622769" w:rsidP="004A486F">
      <w:pPr>
        <w:jc w:val="center"/>
      </w:pPr>
      <w:bookmarkStart w:id="0" w:name="_Hlk182827948"/>
      <w:bookmarkStart w:id="1" w:name="_Toc259626849"/>
      <w:r w:rsidRPr="00920A9C">
        <w:t xml:space="preserve">Por la cual se </w:t>
      </w:r>
      <w:r w:rsidR="001A32E4">
        <w:t xml:space="preserve">amplía la vigencia del </w:t>
      </w:r>
      <w:r w:rsidRPr="00920A9C">
        <w:t xml:space="preserve">programa transitorio para la </w:t>
      </w:r>
      <w:proofErr w:type="gramStart"/>
      <w:r w:rsidRPr="00920A9C">
        <w:t>participación activa</w:t>
      </w:r>
      <w:proofErr w:type="gramEnd"/>
      <w:r w:rsidRPr="00920A9C">
        <w:t xml:space="preserve"> de la demanda en la bolsa de energía</w:t>
      </w:r>
      <w:r w:rsidR="001A32E4">
        <w:t xml:space="preserve"> establecido en la Resolución CREG 101 054 de 2024</w:t>
      </w:r>
      <w:bookmarkEnd w:id="0"/>
    </w:p>
    <w:p w14:paraId="653C8BFE" w14:textId="0AB91D7A" w:rsidR="00622769" w:rsidRPr="00622769" w:rsidRDefault="00622769" w:rsidP="00C100B7">
      <w:pPr>
        <w:spacing w:before="600" w:after="600"/>
        <w:jc w:val="center"/>
      </w:pPr>
      <w:r w:rsidRPr="00622769">
        <w:rPr>
          <w:b/>
          <w:bCs/>
        </w:rPr>
        <w:t>LA COMISIÓN DE REGULACIÓN DE ENERGÍA Y GAS</w:t>
      </w:r>
    </w:p>
    <w:p w14:paraId="5ED3728D" w14:textId="46A900B4" w:rsidR="00622769" w:rsidRPr="00622769" w:rsidRDefault="00622769" w:rsidP="004A486F">
      <w:r w:rsidRPr="00622769">
        <w:t>en ejercicio de las atribuciones legales, en especial las conferidas por las Leyes 142 y 143 de 1994, y los decretos 1524 y 2253 de 1994</w:t>
      </w:r>
    </w:p>
    <w:p w14:paraId="7B88E194" w14:textId="77777777" w:rsidR="00A71B19" w:rsidRDefault="00A71B19" w:rsidP="004A486F"/>
    <w:bookmarkEnd w:id="1"/>
    <w:p w14:paraId="7B88E19B" w14:textId="77777777" w:rsidR="00A71B19" w:rsidRPr="004954F1" w:rsidRDefault="00A71B19" w:rsidP="00C100B7">
      <w:pPr>
        <w:pStyle w:val="TITULO"/>
        <w:spacing w:before="480" w:after="480"/>
        <w:rPr>
          <w:lang w:val="pt-PT"/>
        </w:rPr>
      </w:pPr>
      <w:r w:rsidRPr="004954F1">
        <w:rPr>
          <w:lang w:val="pt-PT"/>
        </w:rPr>
        <w:t>C O N S I D E R A N D O</w:t>
      </w:r>
      <w:r w:rsidR="00D61DB5" w:rsidRPr="004954F1">
        <w:rPr>
          <w:lang w:val="pt-PT"/>
        </w:rPr>
        <w:t xml:space="preserve">  Q U E</w:t>
      </w:r>
      <w:r w:rsidRPr="004954F1">
        <w:rPr>
          <w:lang w:val="pt-PT"/>
        </w:rPr>
        <w:t>:</w:t>
      </w:r>
    </w:p>
    <w:p w14:paraId="0CB5BCD6" w14:textId="77777777" w:rsidR="00D802D0" w:rsidRPr="003A2D6E" w:rsidRDefault="00D802D0" w:rsidP="001107AD">
      <w:pPr>
        <w:spacing w:before="240" w:after="240"/>
        <w:ind w:right="51"/>
      </w:pPr>
      <w:r w:rsidRPr="003A2D6E">
        <w:t>El artículo 334 de la Constitución Política establece que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08A93350" w14:textId="77777777" w:rsidR="00D802D0" w:rsidRPr="003A2D6E" w:rsidRDefault="00D802D0" w:rsidP="001107AD">
      <w:pPr>
        <w:spacing w:before="240" w:after="240"/>
        <w:ind w:right="51"/>
      </w:pPr>
      <w:r w:rsidRPr="003A2D6E">
        <w:t>El artículo 365 de la misma Carta Política establece que los servicios públicos son inherentes a la finalidad social del Estado y es deber de este asegurar su prestación eficiente a todos los habitantes del territorio nacional.</w:t>
      </w:r>
    </w:p>
    <w:p w14:paraId="64BBD825" w14:textId="77777777" w:rsidR="00D802D0" w:rsidRPr="003A2D6E" w:rsidRDefault="00D802D0" w:rsidP="001107AD">
      <w:pPr>
        <w:spacing w:before="240" w:after="240"/>
        <w:ind w:right="51"/>
      </w:pPr>
      <w:r w:rsidRPr="003A2D6E">
        <w:t>Atendiendo a lo dispuesto, en el artículo 2 de la Ley 142 de 1994, dentro de los fines que persigue la intervención del Estado en la prestación de los servicios públicos domiciliarios se encuentran la prestación eficiente, continua e ininterrumpida, la libre competencia, y la no utilización abusiva de la posición dominante.</w:t>
      </w:r>
    </w:p>
    <w:p w14:paraId="230714EC" w14:textId="7686DF8A" w:rsidR="0066660C" w:rsidRPr="003A2D6E" w:rsidRDefault="0066660C" w:rsidP="001107AD">
      <w:pPr>
        <w:spacing w:before="240" w:after="240"/>
        <w:ind w:right="51"/>
      </w:pPr>
      <w:r w:rsidRPr="003A2D6E">
        <w:t>La Ley 142 de 1994 señala en el artículo 74, numeral 1, que corresponde a esta Comisión “Expedir regulaciones específicas para</w:t>
      </w:r>
      <w:r w:rsidR="00377E7D">
        <w:t xml:space="preserve"> (</w:t>
      </w:r>
      <w:r w:rsidRPr="003A2D6E">
        <w:t>...</w:t>
      </w:r>
      <w:r w:rsidR="00377E7D">
        <w:t>)</w:t>
      </w:r>
      <w:r w:rsidRPr="003A2D6E">
        <w:t xml:space="preserve"> el uso eficiente de energía y gas por parte de los consumidores</w:t>
      </w:r>
      <w:r w:rsidR="00377E7D">
        <w:t xml:space="preserve"> (</w:t>
      </w:r>
      <w:r w:rsidRPr="003A2D6E">
        <w:t>...</w:t>
      </w:r>
      <w:r w:rsidR="00377E7D">
        <w:t>)</w:t>
      </w:r>
      <w:r w:rsidRPr="003A2D6E">
        <w:t>”.</w:t>
      </w:r>
    </w:p>
    <w:p w14:paraId="2042E69C" w14:textId="77777777" w:rsidR="009C6993" w:rsidRPr="003A2D6E" w:rsidRDefault="009C6993" w:rsidP="001107AD">
      <w:pPr>
        <w:spacing w:before="240" w:after="240"/>
        <w:ind w:right="51"/>
      </w:pPr>
      <w:r w:rsidRPr="003A2D6E">
        <w:t>El artículo 4 de la Ley 143 de 1994, señala que uno de los objetivos del Estado con respecto al servicio de energía es abastecer la demanda de electricidad “en un marco de uso racional y eficiente de los diferentes recursos energéticos del país”.</w:t>
      </w:r>
    </w:p>
    <w:p w14:paraId="5976403D" w14:textId="77777777" w:rsidR="00F56FE5" w:rsidRPr="003A2D6E" w:rsidRDefault="00F56FE5" w:rsidP="001107AD">
      <w:pPr>
        <w:spacing w:before="240" w:after="240"/>
        <w:ind w:right="51"/>
      </w:pPr>
      <w:r w:rsidRPr="003A2D6E">
        <w:t xml:space="preserve">Así mismo, en su artículo 20, definió como objetivo fundamental de la regulación en el sector eléctrico asegurar una adecuada prestación del servicio mediante el </w:t>
      </w:r>
      <w:r w:rsidRPr="003A2D6E">
        <w:lastRenderedPageBreak/>
        <w:t>aprovechamiento eficiente de los diferentes recursos energéticos, en beneficio del usuario en términos de calidad, oportunidad y costo del servicio.</w:t>
      </w:r>
    </w:p>
    <w:p w14:paraId="575890D1" w14:textId="7F1B694C" w:rsidR="00872AFD" w:rsidRPr="003A2D6E" w:rsidRDefault="00872AFD" w:rsidP="001107AD">
      <w:pPr>
        <w:spacing w:before="240" w:after="240"/>
        <w:ind w:right="51"/>
      </w:pPr>
      <w:r w:rsidRPr="003A2D6E">
        <w:t>Para el cumplimiento del objetivo señalado, la mencionada Ley 143 de 1994, artículo 23, le atribuyó a la Comisión de Regulación de Energía y Gas</w:t>
      </w:r>
      <w:r w:rsidR="009D22B1">
        <w:t xml:space="preserve">, </w:t>
      </w:r>
      <w:r w:rsidRPr="003A2D6E">
        <w:t>CREG, entre otras, las funciones de crear las condiciones para asegurar la disponibilidad de una oferta energética eficiente capaz de abastecer la demanda bajo criterios sociales, económicos, ambientales y de viabilidad financiera, promover y preservar la competencia.</w:t>
      </w:r>
    </w:p>
    <w:p w14:paraId="721FE0F7" w14:textId="77777777" w:rsidR="00872AFD" w:rsidRPr="003A2D6E" w:rsidRDefault="00872AFD" w:rsidP="001107AD">
      <w:pPr>
        <w:spacing w:before="240" w:after="240"/>
        <w:ind w:right="51"/>
      </w:pPr>
      <w:r w:rsidRPr="003A2D6E">
        <w:t>En los artículos </w:t>
      </w:r>
      <w:hyperlink r:id="rId13" w:anchor="66" w:tgtFrame="_blank" w:history="1">
        <w:r w:rsidRPr="003A2D6E">
          <w:t>66</w:t>
        </w:r>
      </w:hyperlink>
      <w:r w:rsidRPr="003A2D6E">
        <w:t> y </w:t>
      </w:r>
      <w:hyperlink r:id="rId14" w:anchor="68" w:tgtFrame="_blank" w:history="1">
        <w:r w:rsidRPr="003A2D6E">
          <w:t>68</w:t>
        </w:r>
      </w:hyperlink>
      <w:r w:rsidRPr="003A2D6E">
        <w:t> de la Ley 143 de 1994, el legislador estableció que el ahorro y el uso eficiente de la energía son “objetivos prioritarios en el desarrollo de las actividades del sector eléctrico” y que se deben tener en cuenta como criterio para el desarrollo de proyectos de estas actividades.</w:t>
      </w:r>
    </w:p>
    <w:p w14:paraId="73AE39B2" w14:textId="1DACC7B5" w:rsidR="00250BCA" w:rsidRPr="005F6B9B" w:rsidRDefault="00250BCA" w:rsidP="001107AD">
      <w:pPr>
        <w:spacing w:before="240" w:after="240"/>
        <w:ind w:right="51"/>
      </w:pPr>
      <w:r>
        <w:t>Mediante la Resolución CREG 026 de 2014</w:t>
      </w:r>
      <w:r w:rsidR="00A84CEF">
        <w:t xml:space="preserve"> la Comisión </w:t>
      </w:r>
      <w:r w:rsidR="00093CA8">
        <w:t>estableció el Estatuto para Situaciones de Riesgo de Desabast</w:t>
      </w:r>
      <w:r w:rsidR="00E85337">
        <w:t>eci</w:t>
      </w:r>
      <w:r w:rsidR="00202C0F">
        <w:t xml:space="preserve">miento </w:t>
      </w:r>
      <w:r w:rsidR="00695962">
        <w:t>en donde se establece</w:t>
      </w:r>
      <w:r w:rsidR="007076DC">
        <w:t xml:space="preserve"> la definición de la senda de referencia</w:t>
      </w:r>
      <w:r w:rsidR="00FE0FC3">
        <w:t xml:space="preserve"> la cual señala el valor mínimo</w:t>
      </w:r>
      <w:r w:rsidR="009558F5">
        <w:t xml:space="preserve"> </w:t>
      </w:r>
      <w:r w:rsidR="00C57B78">
        <w:t xml:space="preserve">del nivel del embalse </w:t>
      </w:r>
      <w:r w:rsidR="0061670A">
        <w:t xml:space="preserve">para mantener </w:t>
      </w:r>
      <w:r w:rsidR="00E559CD">
        <w:t xml:space="preserve">la atención segura, confiable y </w:t>
      </w:r>
      <w:r w:rsidR="005A0082">
        <w:t xml:space="preserve">con calidad </w:t>
      </w:r>
      <w:r w:rsidR="00660D5B">
        <w:t>de la demanda.</w:t>
      </w:r>
    </w:p>
    <w:p w14:paraId="284686D6" w14:textId="6FC4BC54" w:rsidR="00872AFD" w:rsidRPr="003A2D6E" w:rsidRDefault="00872AFD" w:rsidP="001107AD">
      <w:pPr>
        <w:spacing w:before="240" w:after="240"/>
        <w:ind w:right="51"/>
      </w:pPr>
      <w:r w:rsidRPr="003A2D6E">
        <w:t>La Ley 1715 de 2014, en su artículo 6, ordena a la CREG establecer los mecanismos para incentivar la respuesta de la demanda y la mejora en eficiencia energética del Sistema Interconectado Nacional</w:t>
      </w:r>
      <w:r w:rsidR="009D22B1">
        <w:t xml:space="preserve">, </w:t>
      </w:r>
      <w:r w:rsidR="00A75AE4">
        <w:t>SIN</w:t>
      </w:r>
      <w:r w:rsidRPr="003A2D6E">
        <w:t>, conforme con los principios y criterios de las Leyes </w:t>
      </w:r>
      <w:hyperlink r:id="rId15" w:anchor="INICIO" w:tgtFrame="_blank" w:history="1">
        <w:r w:rsidRPr="003A2D6E">
          <w:t>142</w:t>
        </w:r>
      </w:hyperlink>
      <w:r w:rsidRPr="003A2D6E">
        <w:t> y </w:t>
      </w:r>
      <w:hyperlink r:id="rId16" w:anchor="INICIO" w:tgtFrame="_blank" w:history="1">
        <w:r w:rsidRPr="003A2D6E">
          <w:t>143</w:t>
        </w:r>
      </w:hyperlink>
      <w:r w:rsidRPr="003A2D6E">
        <w:t> de 1994 y los lineamientos de política energética que se fijen para tal fin.</w:t>
      </w:r>
    </w:p>
    <w:p w14:paraId="4E4DAA31" w14:textId="4B8640D7" w:rsidR="00872AFD" w:rsidRPr="003A2D6E" w:rsidRDefault="00872AFD" w:rsidP="001107AD">
      <w:pPr>
        <w:spacing w:before="240" w:after="240"/>
        <w:ind w:right="51"/>
      </w:pPr>
      <w:r w:rsidRPr="003A2D6E">
        <w:t>En el artículo </w:t>
      </w:r>
      <w:hyperlink r:id="rId17" w:anchor="31" w:tgtFrame="_blank" w:history="1">
        <w:r w:rsidRPr="003A2D6E">
          <w:t>31</w:t>
        </w:r>
      </w:hyperlink>
      <w:r w:rsidRPr="003A2D6E">
        <w:t> de la misma ley se señala que la CREG deberá establecer mecanismos regulatorios para incentivar la respuesta de la demanda con el objeto de desplazar los consumos en periodos punta y procurar el aplanamiento de la curva de demanda; así como para responder a requerimientos de confiabilidad establecidos por el Ministerio de Minas y Energía o por la misma CREG.</w:t>
      </w:r>
    </w:p>
    <w:p w14:paraId="34CF63BA" w14:textId="1A21F751" w:rsidR="008B0F64" w:rsidRDefault="008B0F64" w:rsidP="001107AD">
      <w:pPr>
        <w:spacing w:before="240" w:after="240"/>
        <w:ind w:right="51"/>
      </w:pPr>
      <w:r w:rsidRPr="003A2D6E">
        <w:t>El Decreto </w:t>
      </w:r>
      <w:hyperlink r:id="rId18" w:anchor="INICIO" w:tgtFrame="_blank" w:history="1">
        <w:r w:rsidRPr="003A2D6E">
          <w:t>2108</w:t>
        </w:r>
      </w:hyperlink>
      <w:r w:rsidRPr="003A2D6E">
        <w:t> de 2015, que adicionó el numeral </w:t>
      </w:r>
      <w:hyperlink r:id="rId19" w:anchor="2.2.3.1.4" w:tgtFrame="_blank" w:history="1">
        <w:r w:rsidRPr="003A2D6E">
          <w:t>2.2.3.1.4</w:t>
        </w:r>
      </w:hyperlink>
      <w:r w:rsidRPr="003A2D6E">
        <w:t> del Decreto 1073 de 2015, Decreto Único Reglamentario del Sector de Minas y Energía, faculta a la CREG para tomar las medidas que garanticen la continuidad y calidad en la prestación del servicio de energía eléctrica en el SIN, en forma oportuna y permanente ante situaciones extraordinarias, transitorias y críticas, que puedan presentarse en un momento determinado y afectar la atención de la demanda eléctrica y el suministro oportuno.</w:t>
      </w:r>
    </w:p>
    <w:p w14:paraId="1F0FD523" w14:textId="36FAB9C7" w:rsidR="00842ED7" w:rsidRDefault="00842ED7" w:rsidP="001107AD">
      <w:pPr>
        <w:spacing w:before="240" w:after="240"/>
        <w:ind w:right="51"/>
      </w:pPr>
      <w:r w:rsidRPr="00842ED7">
        <w:t xml:space="preserve">Mediante la Resolución CREG 701 041 de 2024, la Comisión publicó el proyecto de resolución “Por la cual se establecen un programa transitorio para la </w:t>
      </w:r>
      <w:proofErr w:type="gramStart"/>
      <w:r w:rsidRPr="00842ED7">
        <w:t>participación activa</w:t>
      </w:r>
      <w:proofErr w:type="gramEnd"/>
      <w:r w:rsidRPr="00842ED7">
        <w:t xml:space="preserve"> de la demanda en la bolsa de energía”.</w:t>
      </w:r>
    </w:p>
    <w:p w14:paraId="419DF5D4" w14:textId="7AEE5692" w:rsidR="00C5621E" w:rsidRPr="00C5621E" w:rsidRDefault="00B76140" w:rsidP="008E422B">
      <w:pPr>
        <w:spacing w:before="240" w:after="240"/>
        <w:ind w:right="51"/>
        <w:rPr>
          <w:i/>
          <w:iCs/>
        </w:rPr>
      </w:pPr>
      <w:r>
        <w:t>Agotado</w:t>
      </w:r>
      <w:r w:rsidR="00660978">
        <w:t xml:space="preserve"> el periodo de consulta</w:t>
      </w:r>
      <w:r w:rsidR="00526B3F">
        <w:t xml:space="preserve"> </w:t>
      </w:r>
      <w:r w:rsidR="007E34E7">
        <w:t xml:space="preserve">del mencionado proyecto, </w:t>
      </w:r>
      <w:r w:rsidR="00334A48">
        <w:t xml:space="preserve">la Comisión </w:t>
      </w:r>
      <w:r w:rsidR="00D017D0">
        <w:t>expidió la Resolución CREG 101 04</w:t>
      </w:r>
      <w:r w:rsidR="001D40E4">
        <w:t>3 de 2024</w:t>
      </w:r>
      <w:r w:rsidR="008E422B">
        <w:t>.</w:t>
      </w:r>
    </w:p>
    <w:p w14:paraId="63EC9344" w14:textId="7B3D7FAA" w:rsidR="00C5621E" w:rsidRDefault="00C5621E" w:rsidP="001107AD">
      <w:pPr>
        <w:spacing w:before="240" w:after="240"/>
        <w:ind w:right="51"/>
      </w:pPr>
      <w:r>
        <w:t xml:space="preserve">En la Circular CREG 041 de 2024, se realizó un balance de la aplicación de la Resolución CREG 101 043 de 2024 y se estableció la finalización del programa de transitorio establecido en dicha resolución para la </w:t>
      </w:r>
      <w:proofErr w:type="gramStart"/>
      <w:r>
        <w:t>participación activa</w:t>
      </w:r>
      <w:proofErr w:type="gramEnd"/>
      <w:r>
        <w:t xml:space="preserve"> de la demanda en la bolsa de energía.</w:t>
      </w:r>
    </w:p>
    <w:p w14:paraId="4AAC3791" w14:textId="5161AAD5" w:rsidR="00B755D6" w:rsidRDefault="00C5621E" w:rsidP="001107AD">
      <w:pPr>
        <w:spacing w:before="240" w:after="240"/>
        <w:ind w:right="51"/>
        <w:rPr>
          <w:rFonts w:eastAsia="Bookman Old Style" w:cs="Bookman Old Style"/>
          <w:color w:val="000000" w:themeColor="text1"/>
        </w:rPr>
      </w:pPr>
      <w:r>
        <w:lastRenderedPageBreak/>
        <w:t>A partir de los resultados positivos obtenidos en aplicación de la primera etapa del mecanismo transitorio definido en la Resolución CREG 101 043 de 2024, se consideró conveniente avanzar en la implementación de un programa con vocación de permanencia para la participación de la demanda en el Mercado de Energía Mayorista.</w:t>
      </w:r>
      <w:r w:rsidR="346977BE">
        <w:t xml:space="preserve"> La propuesta regulatoria</w:t>
      </w:r>
      <w:r w:rsidR="00D3510D">
        <w:t xml:space="preserve"> </w:t>
      </w:r>
      <w:r w:rsidR="00D95E9F">
        <w:rPr>
          <w:rFonts w:eastAsia="Bookman Old Style" w:cs="Bookman Old Style"/>
          <w:color w:val="000000" w:themeColor="text1"/>
        </w:rPr>
        <w:t>fue consultada</w:t>
      </w:r>
      <w:r w:rsidR="346977BE" w:rsidRPr="402A19F1">
        <w:rPr>
          <w:rFonts w:eastAsia="Bookman Old Style" w:cs="Bookman Old Style"/>
          <w:color w:val="000000" w:themeColor="text1"/>
        </w:rPr>
        <w:t xml:space="preserve"> a través de</w:t>
      </w:r>
      <w:r w:rsidR="00D95E9F">
        <w:rPr>
          <w:rFonts w:eastAsia="Bookman Old Style" w:cs="Bookman Old Style"/>
          <w:color w:val="000000" w:themeColor="text1"/>
        </w:rPr>
        <w:t>l</w:t>
      </w:r>
      <w:r w:rsidR="346977BE" w:rsidRPr="402A19F1">
        <w:rPr>
          <w:rFonts w:eastAsia="Bookman Old Style" w:cs="Bookman Old Style"/>
          <w:color w:val="000000" w:themeColor="text1"/>
        </w:rPr>
        <w:t xml:space="preserve"> </w:t>
      </w:r>
      <w:r w:rsidR="00B36F18">
        <w:rPr>
          <w:rFonts w:eastAsia="Bookman Old Style" w:cs="Bookman Old Style"/>
          <w:color w:val="000000" w:themeColor="text1"/>
        </w:rPr>
        <w:t>proyecto regulatorio</w:t>
      </w:r>
      <w:r w:rsidR="0CB3D6F9" w:rsidRPr="402A19F1">
        <w:rPr>
          <w:rFonts w:eastAsia="Bookman Old Style" w:cs="Bookman Old Style"/>
          <w:color w:val="000000" w:themeColor="text1"/>
        </w:rPr>
        <w:t xml:space="preserve"> CREG 701 054 de 2024</w:t>
      </w:r>
      <w:r w:rsidR="002B7EEC">
        <w:rPr>
          <w:rFonts w:eastAsia="Bookman Old Style" w:cs="Bookman Old Style"/>
          <w:color w:val="000000" w:themeColor="text1"/>
        </w:rPr>
        <w:t xml:space="preserve"> y la Comisión se encuentra adelantando el análisis de los comentarios recibidos durante el periodo de consulta pública.</w:t>
      </w:r>
    </w:p>
    <w:p w14:paraId="468030A5" w14:textId="2C00363E" w:rsidR="00AB142D" w:rsidRDefault="00FD3676" w:rsidP="00AB142D">
      <w:pPr>
        <w:spacing w:before="240" w:after="240"/>
        <w:ind w:right="51"/>
        <w:rPr>
          <w:rFonts w:eastAsia="Bookman Old Style" w:cs="Bookman Old Style"/>
          <w:color w:val="000000" w:themeColor="text1"/>
        </w:rPr>
      </w:pPr>
      <w:r>
        <w:rPr>
          <w:rFonts w:eastAsia="Bookman Old Style" w:cs="Bookman Old Style"/>
          <w:color w:val="000000" w:themeColor="text1"/>
        </w:rPr>
        <w:t>Posteriormente, m</w:t>
      </w:r>
      <w:r w:rsidRPr="00FD3676">
        <w:rPr>
          <w:rFonts w:eastAsia="Bookman Old Style" w:cs="Bookman Old Style"/>
          <w:color w:val="000000" w:themeColor="text1"/>
        </w:rPr>
        <w:t xml:space="preserve">ediante la Resolución CREG 701 066 de 2024, la Comisión publicó el proyecto de resolución “Por la cual se establecen un programa transitorio para la </w:t>
      </w:r>
      <w:proofErr w:type="gramStart"/>
      <w:r w:rsidRPr="00FD3676">
        <w:rPr>
          <w:rFonts w:eastAsia="Bookman Old Style" w:cs="Bookman Old Style"/>
          <w:color w:val="000000" w:themeColor="text1"/>
        </w:rPr>
        <w:t>participación activa</w:t>
      </w:r>
      <w:proofErr w:type="gramEnd"/>
      <w:r w:rsidRPr="00FD3676">
        <w:rPr>
          <w:rFonts w:eastAsia="Bookman Old Style" w:cs="Bookman Old Style"/>
          <w:color w:val="000000" w:themeColor="text1"/>
        </w:rPr>
        <w:t xml:space="preserve"> de la demanda en la bolsa de energía”</w:t>
      </w:r>
      <w:r>
        <w:rPr>
          <w:rFonts w:eastAsia="Bookman Old Style" w:cs="Bookman Old Style"/>
          <w:color w:val="000000" w:themeColor="text1"/>
        </w:rPr>
        <w:t>, teniendo en cuenta l</w:t>
      </w:r>
      <w:r w:rsidR="00CA33FC" w:rsidRPr="005F6B9B">
        <w:rPr>
          <w:rFonts w:eastAsia="Bookman Old Style" w:cs="Bookman Old Style"/>
          <w:color w:val="000000" w:themeColor="text1"/>
        </w:rPr>
        <w:t>as</w:t>
      </w:r>
      <w:r w:rsidR="00CA33FC">
        <w:rPr>
          <w:rFonts w:eastAsia="Bookman Old Style" w:cs="Bookman Old Style"/>
          <w:color w:val="000000" w:themeColor="text1"/>
        </w:rPr>
        <w:t xml:space="preserve"> condiciones hidrológicas </w:t>
      </w:r>
      <w:r w:rsidR="00981AED">
        <w:rPr>
          <w:rFonts w:eastAsia="Bookman Old Style" w:cs="Bookman Old Style"/>
          <w:color w:val="000000" w:themeColor="text1"/>
        </w:rPr>
        <w:t>y la tendencia observada en el nivel de los embalses</w:t>
      </w:r>
      <w:r w:rsidR="00C33043">
        <w:rPr>
          <w:rFonts w:eastAsia="Bookman Old Style" w:cs="Bookman Old Style"/>
          <w:color w:val="000000" w:themeColor="text1"/>
        </w:rPr>
        <w:t>,</w:t>
      </w:r>
      <w:r>
        <w:rPr>
          <w:rFonts w:eastAsia="Bookman Old Style" w:cs="Bookman Old Style"/>
          <w:color w:val="000000" w:themeColor="text1"/>
        </w:rPr>
        <w:t xml:space="preserve"> vigentes para la época. </w:t>
      </w:r>
    </w:p>
    <w:p w14:paraId="559E0DB4" w14:textId="36BA7BA9" w:rsidR="00FD3676" w:rsidRPr="008E422B" w:rsidRDefault="00FD3676" w:rsidP="00FD3676">
      <w:pPr>
        <w:spacing w:before="240" w:after="240"/>
        <w:ind w:right="51"/>
      </w:pPr>
      <w:r>
        <w:t>Agotado el periodo de consulta del mencionado proyecto, la Comisión expidió la Resolución CREG 101 0</w:t>
      </w:r>
      <w:r w:rsidR="00DE1D9D">
        <w:t>54</w:t>
      </w:r>
      <w:r>
        <w:t xml:space="preserve"> de 2024</w:t>
      </w:r>
      <w:r w:rsidR="00AB142D">
        <w:t>, precisando que</w:t>
      </w:r>
      <w:r w:rsidR="008E422B">
        <w:t>,</w:t>
      </w:r>
      <w:r w:rsidR="00AB142D">
        <w:t xml:space="preserve"> su vigencia sería hasta el </w:t>
      </w:r>
      <w:r w:rsidR="00AB142D" w:rsidRPr="00AB142D">
        <w:t>2 de noviembre de 2024 o hasta su prórroga</w:t>
      </w:r>
      <w:r w:rsidR="00AB142D">
        <w:t>, que puede ser hasta por 1 mes</w:t>
      </w:r>
      <w:r w:rsidR="00C33043">
        <w:t>.</w:t>
      </w:r>
      <w:r w:rsidR="00AB142D">
        <w:t xml:space="preserve"> </w:t>
      </w:r>
    </w:p>
    <w:p w14:paraId="3EC519B2" w14:textId="4AA568EB" w:rsidR="00891482" w:rsidRDefault="00997753" w:rsidP="00DE1D9D">
      <w:pPr>
        <w:spacing w:before="240" w:after="240"/>
        <w:ind w:right="51"/>
      </w:pPr>
      <w:r>
        <w:t xml:space="preserve">Dentro de </w:t>
      </w:r>
      <w:r w:rsidR="006914D9">
        <w:t xml:space="preserve">los elementos </w:t>
      </w:r>
      <w:r>
        <w:t>para la expedición de la Resolución CREG 101 054 de 2024, la Comisi</w:t>
      </w:r>
      <w:r w:rsidR="006914D9">
        <w:t>ó</w:t>
      </w:r>
      <w:r>
        <w:t>n</w:t>
      </w:r>
      <w:r w:rsidR="006914D9">
        <w:t xml:space="preserve"> </w:t>
      </w:r>
      <w:r w:rsidR="00891482">
        <w:t xml:space="preserve">consideró lo </w:t>
      </w:r>
      <w:r w:rsidR="0002161C">
        <w:t>siguiente</w:t>
      </w:r>
      <w:r w:rsidR="006914D9">
        <w:t>:</w:t>
      </w:r>
    </w:p>
    <w:p w14:paraId="0076C8A6" w14:textId="77777777" w:rsidR="00891482" w:rsidRPr="00C100B7" w:rsidRDefault="00891482" w:rsidP="00C100B7">
      <w:pPr>
        <w:spacing w:before="240" w:after="240"/>
        <w:ind w:left="708" w:right="51"/>
        <w:rPr>
          <w:i/>
          <w:iCs/>
        </w:rPr>
      </w:pPr>
      <w:r w:rsidRPr="00C100B7">
        <w:rPr>
          <w:i/>
          <w:iCs/>
        </w:rPr>
        <w:t>Los aportes hidrológicos en el Sistema Interconectado Nacional han presentado una tendencia a la baja durante los meses de julio, agosto y lo corrido de septiembre en donde se tienen valores de 93,1 %, 65,56% y 64,8% de la media histórica y con valores para algunos días inferiores al 50% de la media.</w:t>
      </w:r>
    </w:p>
    <w:p w14:paraId="4F6C3D69" w14:textId="77777777" w:rsidR="00891482" w:rsidRPr="00C100B7" w:rsidRDefault="00891482" w:rsidP="00C100B7">
      <w:pPr>
        <w:spacing w:before="240" w:after="240"/>
        <w:ind w:left="708" w:right="51"/>
        <w:rPr>
          <w:i/>
          <w:iCs/>
        </w:rPr>
      </w:pPr>
      <w:r w:rsidRPr="00C100B7">
        <w:rPr>
          <w:i/>
          <w:iCs/>
        </w:rPr>
        <w:t xml:space="preserve">El último reporte sobre la evolución del comportamiento del fenómeno de La Niña preparado por la </w:t>
      </w:r>
      <w:proofErr w:type="spellStart"/>
      <w:r w:rsidRPr="00C100B7">
        <w:rPr>
          <w:i/>
          <w:iCs/>
        </w:rPr>
        <w:t>NOAA</w:t>
      </w:r>
      <w:proofErr w:type="spellEnd"/>
      <w:r w:rsidRPr="00C100B7">
        <w:rPr>
          <w:i/>
          <w:iCs/>
        </w:rPr>
        <w:t xml:space="preserve"> muestra una probabilidad de ocurrencia de cerca de 40 % para el trimestre agosto-septiembre-octubre y que aumenta a 80 % en el trimestre noviembre-diciembre-enero para luego reducirse progresivamente durante el 2025.</w:t>
      </w:r>
    </w:p>
    <w:p w14:paraId="7C330A25" w14:textId="77777777" w:rsidR="00891482" w:rsidRPr="00C100B7" w:rsidRDefault="00891482" w:rsidP="00C100B7">
      <w:pPr>
        <w:spacing w:before="240" w:after="240"/>
        <w:ind w:left="708" w:right="51"/>
        <w:rPr>
          <w:i/>
          <w:iCs/>
        </w:rPr>
      </w:pPr>
      <w:r w:rsidRPr="00C100B7">
        <w:rPr>
          <w:i/>
          <w:iCs/>
        </w:rPr>
        <w:t>El día 18 de septiembre de 2024 el nivel agregado del embalse fue de 50,64% y se ubicó por debajo de la senda de referencia del embalse, definida de acuerdo con la Resolución CREG 026 de 2014, en -0,16 puntos porcentuales y el 19 de septiembre en un valor de -0.7 puntos porcentuales.</w:t>
      </w:r>
    </w:p>
    <w:p w14:paraId="58DF315C" w14:textId="77777777" w:rsidR="00891482" w:rsidRPr="00C100B7" w:rsidRDefault="00891482" w:rsidP="00C100B7">
      <w:pPr>
        <w:spacing w:before="240" w:after="240"/>
        <w:ind w:left="708" w:right="51"/>
        <w:rPr>
          <w:i/>
          <w:iCs/>
        </w:rPr>
      </w:pPr>
      <w:r w:rsidRPr="00C100B7">
        <w:rPr>
          <w:i/>
          <w:iCs/>
        </w:rPr>
        <w:t xml:space="preserve">En la sesión de la Comisión Asesora de Coordinación y Seguimiento de la Situación Energética, </w:t>
      </w:r>
      <w:proofErr w:type="spellStart"/>
      <w:r w:rsidRPr="00C100B7">
        <w:rPr>
          <w:i/>
          <w:iCs/>
        </w:rPr>
        <w:t>CACSSE</w:t>
      </w:r>
      <w:proofErr w:type="spellEnd"/>
      <w:r w:rsidRPr="00C100B7">
        <w:rPr>
          <w:i/>
          <w:iCs/>
        </w:rPr>
        <w:t>, del 20 de septiembre de 2024, el Centro Nacional de Despacho, recomendó la adopción de medidas orientadas a permitir la respuesta de la demanda en el Mercado Mayorista de Energía.</w:t>
      </w:r>
    </w:p>
    <w:p w14:paraId="5D665A6E" w14:textId="0962BDD9" w:rsidR="00144353" w:rsidRDefault="00891482" w:rsidP="00C100B7">
      <w:pPr>
        <w:spacing w:before="240" w:after="240"/>
        <w:ind w:left="708" w:right="51"/>
      </w:pPr>
      <w:r w:rsidRPr="00C100B7">
        <w:rPr>
          <w:i/>
          <w:iCs/>
        </w:rPr>
        <w:t>Las condiciones hidrológicas actuales del país y la tendencia observada en el nivel de los embalses hacen necesario que se implemente una medida regulatoria de aplicación inmediata que permita mitigar oportunamente el riesgo de desabastecimiento o fallas en la continuidad y confiabilidad del servicio público domiciliario de energía eléctrica apoyando la recuperación del embalse del Sistema Interconectado Nacional.</w:t>
      </w:r>
      <w:r w:rsidR="00997753">
        <w:t xml:space="preserve"> </w:t>
      </w:r>
    </w:p>
    <w:p w14:paraId="58D5F07C" w14:textId="77777777" w:rsidR="00C100B7" w:rsidRDefault="00DE1D9D" w:rsidP="008E422B">
      <w:pPr>
        <w:spacing w:before="240" w:after="240"/>
        <w:ind w:right="51"/>
      </w:pPr>
      <w:r>
        <w:t>El Comité de Expertos</w:t>
      </w:r>
      <w:r w:rsidR="00AB142D">
        <w:t>,</w:t>
      </w:r>
      <w:r>
        <w:t xml:space="preserve"> fundamentado en </w:t>
      </w:r>
      <w:r w:rsidRPr="00DE1D9D">
        <w:t>lo</w:t>
      </w:r>
      <w:r w:rsidR="00AB142D">
        <w:t xml:space="preserve"> dispuesto en los</w:t>
      </w:r>
      <w:r w:rsidRPr="00DE1D9D">
        <w:t xml:space="preserve"> artículos 19 y 20 de la Resolución CREG 101 054 de 2024</w:t>
      </w:r>
      <w:r>
        <w:t>,</w:t>
      </w:r>
      <w:r w:rsidRPr="00DE1D9D">
        <w:t xml:space="preserve"> </w:t>
      </w:r>
      <w:r>
        <w:t xml:space="preserve">a través de la Circular </w:t>
      </w:r>
      <w:r w:rsidR="00AB142D">
        <w:t xml:space="preserve">082 del 31 de </w:t>
      </w:r>
      <w:r w:rsidR="00AB142D">
        <w:lastRenderedPageBreak/>
        <w:t xml:space="preserve">octubre de 2024, </w:t>
      </w:r>
      <w:r w:rsidRPr="00DE1D9D">
        <w:t>decidió prorrogar por un (1) mes la duración del mecanismo RD transitorio</w:t>
      </w:r>
      <w:r w:rsidR="00AB142D">
        <w:t>.</w:t>
      </w:r>
      <w:r w:rsidRPr="00DE1D9D">
        <w:t xml:space="preserve"> </w:t>
      </w:r>
      <w:r>
        <w:t xml:space="preserve"> </w:t>
      </w:r>
    </w:p>
    <w:p w14:paraId="028B6B03" w14:textId="445A575A" w:rsidR="00686775" w:rsidRDefault="008E422B" w:rsidP="008E422B">
      <w:pPr>
        <w:spacing w:before="240" w:after="240"/>
        <w:ind w:right="51"/>
        <w:rPr>
          <w:rFonts w:eastAsia="Bookman Old Style" w:cs="Bookman Old Style"/>
          <w:color w:val="000000" w:themeColor="text1"/>
        </w:rPr>
      </w:pPr>
      <w:r w:rsidRPr="00C100B7">
        <w:rPr>
          <w:rFonts w:eastAsia="Bookman Old Style" w:cs="Bookman Old Style"/>
          <w:color w:val="000000" w:themeColor="text1"/>
        </w:rPr>
        <w:t xml:space="preserve">Analizados los aportes hidrológicos en el </w:t>
      </w:r>
      <w:r w:rsidR="00086929">
        <w:rPr>
          <w:rFonts w:eastAsia="Bookman Old Style" w:cs="Bookman Old Style"/>
          <w:color w:val="000000" w:themeColor="text1"/>
        </w:rPr>
        <w:t xml:space="preserve">SIN </w:t>
      </w:r>
      <w:r w:rsidR="00686775">
        <w:rPr>
          <w:rFonts w:eastAsia="Bookman Old Style" w:cs="Bookman Old Style"/>
          <w:color w:val="000000" w:themeColor="text1"/>
        </w:rPr>
        <w:t xml:space="preserve">se encuentra que para septiembre </w:t>
      </w:r>
      <w:r w:rsidR="0024283B">
        <w:rPr>
          <w:rFonts w:eastAsia="Bookman Old Style" w:cs="Bookman Old Style"/>
          <w:color w:val="000000" w:themeColor="text1"/>
        </w:rPr>
        <w:t xml:space="preserve">el valor estuvo en </w:t>
      </w:r>
      <w:r w:rsidR="00902B82">
        <w:rPr>
          <w:rFonts w:eastAsia="Bookman Old Style" w:cs="Bookman Old Style"/>
          <w:color w:val="000000" w:themeColor="text1"/>
        </w:rPr>
        <w:t>59</w:t>
      </w:r>
      <w:r w:rsidR="002633D5">
        <w:rPr>
          <w:rFonts w:eastAsia="Bookman Old Style" w:cs="Bookman Old Style"/>
          <w:color w:val="000000" w:themeColor="text1"/>
        </w:rPr>
        <w:t>,</w:t>
      </w:r>
      <w:r w:rsidR="00902B82">
        <w:rPr>
          <w:rFonts w:eastAsia="Bookman Old Style" w:cs="Bookman Old Style"/>
          <w:color w:val="000000" w:themeColor="text1"/>
        </w:rPr>
        <w:t>2% de la media histórica, mie</w:t>
      </w:r>
      <w:r w:rsidR="00861CCE">
        <w:rPr>
          <w:rFonts w:eastAsia="Bookman Old Style" w:cs="Bookman Old Style"/>
          <w:color w:val="000000" w:themeColor="text1"/>
        </w:rPr>
        <w:t>ntras que para octubre</w:t>
      </w:r>
      <w:r w:rsidR="00CE274C">
        <w:rPr>
          <w:rFonts w:eastAsia="Bookman Old Style" w:cs="Bookman Old Style"/>
          <w:color w:val="000000" w:themeColor="text1"/>
        </w:rPr>
        <w:t xml:space="preserve"> fue</w:t>
      </w:r>
      <w:r w:rsidR="00861CCE">
        <w:rPr>
          <w:rFonts w:eastAsia="Bookman Old Style" w:cs="Bookman Old Style"/>
          <w:color w:val="000000" w:themeColor="text1"/>
        </w:rPr>
        <w:t xml:space="preserve"> </w:t>
      </w:r>
      <w:r w:rsidR="002633D5">
        <w:rPr>
          <w:rFonts w:eastAsia="Bookman Old Style" w:cs="Bookman Old Style"/>
          <w:color w:val="000000" w:themeColor="text1"/>
        </w:rPr>
        <w:t>62,4%</w:t>
      </w:r>
      <w:r w:rsidR="00861CCE">
        <w:rPr>
          <w:rFonts w:eastAsia="Bookman Old Style" w:cs="Bookman Old Style"/>
          <w:color w:val="000000" w:themeColor="text1"/>
        </w:rPr>
        <w:t xml:space="preserve"> </w:t>
      </w:r>
      <w:r w:rsidR="002633D5">
        <w:rPr>
          <w:rFonts w:eastAsia="Bookman Old Style" w:cs="Bookman Old Style"/>
          <w:color w:val="000000" w:themeColor="text1"/>
        </w:rPr>
        <w:t xml:space="preserve">y en lo corrido del mes de noviembre </w:t>
      </w:r>
      <w:r w:rsidR="001D77CF">
        <w:rPr>
          <w:rFonts w:eastAsia="Bookman Old Style" w:cs="Bookman Old Style"/>
          <w:color w:val="000000" w:themeColor="text1"/>
        </w:rPr>
        <w:t>el valor se ubica en 6</w:t>
      </w:r>
      <w:r w:rsidR="00CE274C">
        <w:rPr>
          <w:rFonts w:eastAsia="Bookman Old Style" w:cs="Bookman Old Style"/>
          <w:color w:val="000000" w:themeColor="text1"/>
        </w:rPr>
        <w:t>1,9</w:t>
      </w:r>
      <w:r w:rsidR="001D77CF">
        <w:rPr>
          <w:rFonts w:eastAsia="Bookman Old Style" w:cs="Bookman Old Style"/>
          <w:color w:val="000000" w:themeColor="text1"/>
        </w:rPr>
        <w:t>%</w:t>
      </w:r>
      <w:r w:rsidR="009A79A9">
        <w:rPr>
          <w:rFonts w:eastAsia="Bookman Old Style" w:cs="Bookman Old Style"/>
          <w:color w:val="000000" w:themeColor="text1"/>
        </w:rPr>
        <w:t xml:space="preserve"> situación atípica para la estación de invierno</w:t>
      </w:r>
      <w:r w:rsidR="009D22B1">
        <w:rPr>
          <w:rFonts w:eastAsia="Bookman Old Style" w:cs="Bookman Old Style"/>
          <w:color w:val="000000" w:themeColor="text1"/>
        </w:rPr>
        <w:t>.</w:t>
      </w:r>
    </w:p>
    <w:p w14:paraId="178A60F0" w14:textId="6C242E7D" w:rsidR="009D22B1" w:rsidRPr="00C100B7" w:rsidRDefault="009D22B1" w:rsidP="008E422B">
      <w:pPr>
        <w:spacing w:before="240" w:after="240"/>
        <w:ind w:right="51"/>
        <w:rPr>
          <w:rFonts w:eastAsia="Bookman Old Style" w:cs="Bookman Old Style"/>
          <w:color w:val="000000" w:themeColor="text1"/>
        </w:rPr>
      </w:pPr>
      <w:r>
        <w:rPr>
          <w:rFonts w:eastAsia="Bookman Old Style" w:cs="Bookman Old Style"/>
          <w:color w:val="000000" w:themeColor="text1"/>
        </w:rPr>
        <w:t>El nivel del embalse útil del sistema</w:t>
      </w:r>
      <w:r w:rsidR="00E168F7">
        <w:rPr>
          <w:rFonts w:eastAsia="Bookman Old Style" w:cs="Bookman Old Style"/>
          <w:color w:val="000000" w:themeColor="text1"/>
        </w:rPr>
        <w:t xml:space="preserve"> se encuentra en </w:t>
      </w:r>
      <w:r w:rsidR="00614784">
        <w:rPr>
          <w:rFonts w:eastAsia="Bookman Old Style" w:cs="Bookman Old Style"/>
          <w:color w:val="000000" w:themeColor="text1"/>
        </w:rPr>
        <w:t>57,6%</w:t>
      </w:r>
      <w:r w:rsidR="00652EC9">
        <w:rPr>
          <w:rFonts w:eastAsia="Bookman Old Style" w:cs="Bookman Old Style"/>
          <w:color w:val="000000" w:themeColor="text1"/>
        </w:rPr>
        <w:t xml:space="preserve"> por debajo en 6,3 puntos porcentuales del mínimo historio de los </w:t>
      </w:r>
      <w:r w:rsidR="00B931C6">
        <w:rPr>
          <w:rFonts w:eastAsia="Bookman Old Style" w:cs="Bookman Old Style"/>
          <w:color w:val="000000" w:themeColor="text1"/>
        </w:rPr>
        <w:t>ú</w:t>
      </w:r>
      <w:r w:rsidR="00652EC9">
        <w:rPr>
          <w:rFonts w:eastAsia="Bookman Old Style" w:cs="Bookman Old Style"/>
          <w:color w:val="000000" w:themeColor="text1"/>
        </w:rPr>
        <w:t xml:space="preserve">ltimos </w:t>
      </w:r>
      <w:r w:rsidR="00B931C6">
        <w:rPr>
          <w:rFonts w:eastAsia="Bookman Old Style" w:cs="Bookman Old Style"/>
          <w:color w:val="000000" w:themeColor="text1"/>
        </w:rPr>
        <w:t xml:space="preserve">23 años situación que se ve reflejada en una brecha de </w:t>
      </w:r>
      <w:r w:rsidR="009238D5">
        <w:rPr>
          <w:rFonts w:eastAsia="Bookman Old Style" w:cs="Bookman Old Style"/>
          <w:color w:val="000000" w:themeColor="text1"/>
        </w:rPr>
        <w:t>-</w:t>
      </w:r>
      <w:r w:rsidR="00B931C6">
        <w:rPr>
          <w:rFonts w:eastAsia="Bookman Old Style" w:cs="Bookman Old Style"/>
          <w:color w:val="000000" w:themeColor="text1"/>
        </w:rPr>
        <w:t>5.</w:t>
      </w:r>
      <w:r w:rsidR="009238D5">
        <w:rPr>
          <w:rFonts w:eastAsia="Bookman Old Style" w:cs="Bookman Old Style"/>
          <w:color w:val="000000" w:themeColor="text1"/>
        </w:rPr>
        <w:t xml:space="preserve">93 puntos porcentuales del </w:t>
      </w:r>
      <w:r w:rsidR="008025DA">
        <w:rPr>
          <w:rFonts w:eastAsia="Bookman Old Style" w:cs="Bookman Old Style"/>
          <w:color w:val="000000" w:themeColor="text1"/>
        </w:rPr>
        <w:t xml:space="preserve">embalse útil frente a la senda de referencia </w:t>
      </w:r>
      <w:r w:rsidR="0014154E">
        <w:rPr>
          <w:rFonts w:eastAsia="Bookman Old Style" w:cs="Bookman Old Style"/>
          <w:color w:val="000000" w:themeColor="text1"/>
        </w:rPr>
        <w:t xml:space="preserve">establecida de acuerdo con lo dispuesto </w:t>
      </w:r>
      <w:r w:rsidR="00BB0FBF">
        <w:rPr>
          <w:rFonts w:eastAsia="Bookman Old Style" w:cs="Bookman Old Style"/>
          <w:color w:val="000000" w:themeColor="text1"/>
        </w:rPr>
        <w:t xml:space="preserve">en el </w:t>
      </w:r>
      <w:r w:rsidR="00F62ACF">
        <w:rPr>
          <w:rFonts w:eastAsia="Bookman Old Style" w:cs="Bookman Old Style"/>
          <w:color w:val="000000" w:themeColor="text1"/>
        </w:rPr>
        <w:t>E</w:t>
      </w:r>
      <w:r w:rsidR="00BB0FBF">
        <w:rPr>
          <w:rFonts w:eastAsia="Bookman Old Style" w:cs="Bookman Old Style"/>
          <w:color w:val="000000" w:themeColor="text1"/>
        </w:rPr>
        <w:t xml:space="preserve">statuto para </w:t>
      </w:r>
      <w:r w:rsidR="00F62ACF">
        <w:rPr>
          <w:rFonts w:eastAsia="Bookman Old Style" w:cs="Bookman Old Style"/>
          <w:color w:val="000000" w:themeColor="text1"/>
        </w:rPr>
        <w:t>S</w:t>
      </w:r>
      <w:r w:rsidR="00BB0FBF">
        <w:rPr>
          <w:rFonts w:eastAsia="Bookman Old Style" w:cs="Bookman Old Style"/>
          <w:color w:val="000000" w:themeColor="text1"/>
        </w:rPr>
        <w:t>ituacio</w:t>
      </w:r>
      <w:r w:rsidR="00F62ACF">
        <w:rPr>
          <w:rFonts w:eastAsia="Bookman Old Style" w:cs="Bookman Old Style"/>
          <w:color w:val="000000" w:themeColor="text1"/>
        </w:rPr>
        <w:t>nes de Riesgo de Desabastecimiento.</w:t>
      </w:r>
      <w:r>
        <w:rPr>
          <w:rFonts w:eastAsia="Bookman Old Style" w:cs="Bookman Old Style"/>
          <w:color w:val="000000" w:themeColor="text1"/>
        </w:rPr>
        <w:t xml:space="preserve"> </w:t>
      </w:r>
      <w:r w:rsidR="00F62ACF">
        <w:rPr>
          <w:rFonts w:eastAsia="Bookman Old Style" w:cs="Bookman Old Style"/>
          <w:color w:val="000000" w:themeColor="text1"/>
        </w:rPr>
        <w:t xml:space="preserve">Esta brecha </w:t>
      </w:r>
      <w:r w:rsidR="00C572AC">
        <w:rPr>
          <w:rFonts w:eastAsia="Bookman Old Style" w:cs="Bookman Old Style"/>
          <w:color w:val="000000" w:themeColor="text1"/>
        </w:rPr>
        <w:t>corresponde a aproximadamente 1.100 GWh</w:t>
      </w:r>
      <w:r w:rsidR="00067037">
        <w:rPr>
          <w:rFonts w:eastAsia="Bookman Old Style" w:cs="Bookman Old Style"/>
          <w:color w:val="000000" w:themeColor="text1"/>
        </w:rPr>
        <w:t xml:space="preserve"> menos embalsados </w:t>
      </w:r>
      <w:r w:rsidR="00A40602">
        <w:rPr>
          <w:rFonts w:eastAsia="Bookman Old Style" w:cs="Bookman Old Style"/>
          <w:color w:val="000000" w:themeColor="text1"/>
        </w:rPr>
        <w:t>de lo previsto en la senda</w:t>
      </w:r>
      <w:r w:rsidR="00C212B7">
        <w:rPr>
          <w:rFonts w:eastAsia="Bookman Old Style" w:cs="Bookman Old Style"/>
          <w:color w:val="000000" w:themeColor="text1"/>
        </w:rPr>
        <w:t>, la cual busca garantizar el suministro de energía</w:t>
      </w:r>
      <w:r w:rsidR="00AB0AC2">
        <w:rPr>
          <w:rFonts w:eastAsia="Bookman Old Style" w:cs="Bookman Old Style"/>
          <w:color w:val="000000" w:themeColor="text1"/>
        </w:rPr>
        <w:t xml:space="preserve"> y prepararnos para la estación de verano que inicia</w:t>
      </w:r>
      <w:r w:rsidR="004F5C7E">
        <w:rPr>
          <w:rFonts w:eastAsia="Bookman Old Style" w:cs="Bookman Old Style"/>
          <w:color w:val="000000" w:themeColor="text1"/>
        </w:rPr>
        <w:t xml:space="preserve"> en diciembre de 2024 y finaliza en mayo del próximo año.</w:t>
      </w:r>
    </w:p>
    <w:p w14:paraId="2EE58966" w14:textId="636BD94D" w:rsidR="00A40602" w:rsidRDefault="0028791B" w:rsidP="008E422B">
      <w:pPr>
        <w:spacing w:before="240" w:after="240"/>
        <w:ind w:right="51"/>
        <w:rPr>
          <w:rFonts w:eastAsia="Bookman Old Style" w:cs="Bookman Old Style"/>
          <w:color w:val="000000" w:themeColor="text1"/>
        </w:rPr>
      </w:pPr>
      <w:r w:rsidRPr="00C100B7">
        <w:rPr>
          <w:rFonts w:eastAsia="Bookman Old Style" w:cs="Bookman Old Style"/>
          <w:color w:val="000000" w:themeColor="text1"/>
        </w:rPr>
        <w:t xml:space="preserve">En aplicación de la </w:t>
      </w:r>
      <w:r w:rsidR="009779E9" w:rsidRPr="00C100B7">
        <w:rPr>
          <w:rFonts w:eastAsia="Bookman Old Style" w:cs="Bookman Old Style"/>
          <w:color w:val="000000" w:themeColor="text1"/>
        </w:rPr>
        <w:t xml:space="preserve">Resolución 101 054 de 2024 se han presentado reducciones de demanda diaria por parte de los usuarios participantes en el programa transitorio de 0,6 GWh </w:t>
      </w:r>
      <w:r w:rsidR="00440C6E" w:rsidRPr="00C100B7">
        <w:rPr>
          <w:rFonts w:eastAsia="Bookman Old Style" w:cs="Bookman Old Style"/>
          <w:color w:val="000000" w:themeColor="text1"/>
        </w:rPr>
        <w:t>en promedio durante el mes de octubre</w:t>
      </w:r>
      <w:r w:rsidR="00F72FB3" w:rsidRPr="00C100B7">
        <w:rPr>
          <w:rFonts w:eastAsia="Bookman Old Style" w:cs="Bookman Old Style"/>
          <w:color w:val="000000" w:themeColor="text1"/>
        </w:rPr>
        <w:t xml:space="preserve"> apoyando la </w:t>
      </w:r>
      <w:r w:rsidR="008E06BD" w:rsidRPr="00C100B7">
        <w:rPr>
          <w:rFonts w:eastAsia="Bookman Old Style" w:cs="Bookman Old Style"/>
          <w:color w:val="000000" w:themeColor="text1"/>
        </w:rPr>
        <w:t>reducción en el uso del embalse del SIN.</w:t>
      </w:r>
    </w:p>
    <w:p w14:paraId="67AB5841" w14:textId="5347B0A3" w:rsidR="00745958" w:rsidRPr="00745958" w:rsidRDefault="00745958" w:rsidP="00745958">
      <w:pPr>
        <w:spacing w:before="240" w:after="240"/>
        <w:ind w:right="51"/>
        <w:rPr>
          <w:rFonts w:eastAsia="Bookman Old Style" w:cs="Bookman Old Style"/>
          <w:color w:val="000000" w:themeColor="text1"/>
        </w:rPr>
      </w:pPr>
      <w:r w:rsidRPr="00745958">
        <w:rPr>
          <w:rFonts w:eastAsia="Bookman Old Style" w:cs="Bookman Old Style"/>
          <w:color w:val="000000" w:themeColor="text1"/>
        </w:rPr>
        <w:t>Mediante la Resolución CREG 701 0</w:t>
      </w:r>
      <w:r>
        <w:rPr>
          <w:rFonts w:eastAsia="Bookman Old Style" w:cs="Bookman Old Style"/>
          <w:color w:val="000000" w:themeColor="text1"/>
        </w:rPr>
        <w:t>74</w:t>
      </w:r>
      <w:r w:rsidRPr="00745958">
        <w:rPr>
          <w:rFonts w:eastAsia="Bookman Old Style" w:cs="Bookman Old Style"/>
          <w:color w:val="000000" w:themeColor="text1"/>
        </w:rPr>
        <w:t xml:space="preserve"> de 2024, la Comisión publicó el proyecto de resolución “</w:t>
      </w:r>
      <w:r w:rsidR="00A562C6" w:rsidRPr="00A562C6">
        <w:rPr>
          <w:rFonts w:eastAsia="Bookman Old Style" w:cs="Bookman Old Style"/>
          <w:color w:val="000000" w:themeColor="text1"/>
        </w:rPr>
        <w:t xml:space="preserve">Por la cual se amplía la vigencia del programa transitorio para la </w:t>
      </w:r>
      <w:proofErr w:type="gramStart"/>
      <w:r w:rsidR="00A562C6" w:rsidRPr="00A562C6">
        <w:rPr>
          <w:rFonts w:eastAsia="Bookman Old Style" w:cs="Bookman Old Style"/>
          <w:color w:val="000000" w:themeColor="text1"/>
        </w:rPr>
        <w:t>participación activa</w:t>
      </w:r>
      <w:proofErr w:type="gramEnd"/>
      <w:r w:rsidR="00A562C6" w:rsidRPr="00A562C6">
        <w:rPr>
          <w:rFonts w:eastAsia="Bookman Old Style" w:cs="Bookman Old Style"/>
          <w:color w:val="000000" w:themeColor="text1"/>
        </w:rPr>
        <w:t xml:space="preserve"> de la demanda en la bolsa de energía establecido en la Resolución CREG 101 054 de 2024</w:t>
      </w:r>
      <w:r w:rsidRPr="00745958">
        <w:rPr>
          <w:rFonts w:eastAsia="Bookman Old Style" w:cs="Bookman Old Style"/>
          <w:color w:val="000000" w:themeColor="text1"/>
        </w:rPr>
        <w:t>”.</w:t>
      </w:r>
    </w:p>
    <w:p w14:paraId="1F0E5CBD" w14:textId="77777777" w:rsidR="00745958" w:rsidRPr="00745958" w:rsidRDefault="00745958" w:rsidP="00745958">
      <w:pPr>
        <w:spacing w:before="240" w:after="240"/>
        <w:ind w:right="51"/>
        <w:rPr>
          <w:rFonts w:eastAsia="Bookman Old Style" w:cs="Bookman Old Style"/>
          <w:color w:val="000000" w:themeColor="text1"/>
        </w:rPr>
      </w:pPr>
      <w:r w:rsidRPr="00745958">
        <w:rPr>
          <w:rFonts w:eastAsia="Bookman Old Style" w:cs="Bookman Old Style"/>
          <w:color w:val="000000" w:themeColor="text1"/>
        </w:rPr>
        <w:t>El análisis de las observaciones y sugerencias recibidas en la consulta, se encuentran en el documento soporte que acompaña esta resolución.</w:t>
      </w:r>
    </w:p>
    <w:p w14:paraId="33B8903A" w14:textId="77777777" w:rsidR="00745958" w:rsidRPr="00745958" w:rsidRDefault="00745958" w:rsidP="00745958">
      <w:pPr>
        <w:spacing w:before="240" w:after="240"/>
        <w:ind w:right="51"/>
        <w:rPr>
          <w:rFonts w:eastAsia="Bookman Old Style" w:cs="Bookman Old Style"/>
          <w:color w:val="000000" w:themeColor="text1"/>
        </w:rPr>
      </w:pPr>
      <w:r w:rsidRPr="00745958">
        <w:rPr>
          <w:rFonts w:eastAsia="Bookman Old Style" w:cs="Bookman Old Style"/>
          <w:color w:val="000000" w:themeColor="text1"/>
        </w:rPr>
        <w:t>De conformidad con lo señalado en artículo 2.2.2.30.4 del Decreto 1074 de 2015, “por el cual se expide el Decreto Único Reglamentario del Sector de Industria y Comercio”, la Comisión decidió, por unanimidad, no informar a la Superintendencia de Industria y Comercio el proyecto regulatorio, por configurarse la condición descrita en su numeral 1.2 “Garantizar la seguridad en el suministro de un bien o servicio público esencial, sea o no domiciliario”, debido a la existencia de razones climáticas que se encuentran por fuera de los escenarios proyectados y referencias históricas para el estación de invierno 2024.</w:t>
      </w:r>
    </w:p>
    <w:p w14:paraId="59D12033" w14:textId="5164F44A" w:rsidR="000724C9" w:rsidRPr="00C100B7" w:rsidRDefault="00745958" w:rsidP="00745958">
      <w:pPr>
        <w:spacing w:before="240" w:after="240"/>
        <w:ind w:right="51"/>
        <w:rPr>
          <w:rFonts w:eastAsia="Bookman Old Style" w:cs="Bookman Old Style"/>
          <w:color w:val="000000" w:themeColor="text1"/>
        </w:rPr>
      </w:pPr>
      <w:r w:rsidRPr="00745958">
        <w:rPr>
          <w:rFonts w:eastAsia="Bookman Old Style" w:cs="Bookman Old Style"/>
          <w:color w:val="000000" w:themeColor="text1"/>
        </w:rPr>
        <w:t xml:space="preserve">La Comisión de Regulación de Energía y Gas, en su sesión </w:t>
      </w:r>
      <w:r w:rsidRPr="004F1179">
        <w:rPr>
          <w:rFonts w:eastAsia="Bookman Old Style" w:cs="Bookman Old Style"/>
          <w:color w:val="000000" w:themeColor="text1"/>
        </w:rPr>
        <w:t>13</w:t>
      </w:r>
      <w:r w:rsidR="00040257" w:rsidRPr="004F1179">
        <w:rPr>
          <w:rFonts w:eastAsia="Bookman Old Style" w:cs="Bookman Old Style"/>
          <w:color w:val="000000" w:themeColor="text1"/>
        </w:rPr>
        <w:t>5</w:t>
      </w:r>
      <w:r w:rsidR="004F1179" w:rsidRPr="004F1179">
        <w:rPr>
          <w:rFonts w:eastAsia="Bookman Old Style" w:cs="Bookman Old Style"/>
          <w:color w:val="000000" w:themeColor="text1"/>
        </w:rPr>
        <w:t>8</w:t>
      </w:r>
      <w:r w:rsidRPr="004F1179">
        <w:rPr>
          <w:rFonts w:eastAsia="Bookman Old Style" w:cs="Bookman Old Style"/>
          <w:color w:val="000000" w:themeColor="text1"/>
        </w:rPr>
        <w:t xml:space="preserve"> del </w:t>
      </w:r>
      <w:r w:rsidR="004F1179" w:rsidRPr="004F1179">
        <w:rPr>
          <w:rFonts w:eastAsia="Bookman Old Style" w:cs="Bookman Old Style"/>
          <w:color w:val="000000" w:themeColor="text1"/>
        </w:rPr>
        <w:t>21</w:t>
      </w:r>
      <w:r w:rsidRPr="004F1179">
        <w:rPr>
          <w:rFonts w:eastAsia="Bookman Old Style" w:cs="Bookman Old Style"/>
          <w:color w:val="000000" w:themeColor="text1"/>
        </w:rPr>
        <w:t xml:space="preserve"> de </w:t>
      </w:r>
      <w:r w:rsidR="00C414D3" w:rsidRPr="004F1179">
        <w:rPr>
          <w:rFonts w:eastAsia="Bookman Old Style" w:cs="Bookman Old Style"/>
          <w:color w:val="000000" w:themeColor="text1"/>
        </w:rPr>
        <w:t xml:space="preserve">noviembre </w:t>
      </w:r>
      <w:r w:rsidRPr="004F1179">
        <w:rPr>
          <w:rFonts w:eastAsia="Bookman Old Style" w:cs="Bookman Old Style"/>
          <w:color w:val="000000" w:themeColor="text1"/>
        </w:rPr>
        <w:t>de 2024</w:t>
      </w:r>
      <w:r w:rsidRPr="00745958">
        <w:rPr>
          <w:rFonts w:eastAsia="Bookman Old Style" w:cs="Bookman Old Style"/>
          <w:color w:val="000000" w:themeColor="text1"/>
        </w:rPr>
        <w:t>, acordó expedir la presente resolución,</w:t>
      </w:r>
    </w:p>
    <w:p w14:paraId="5EE9AA80" w14:textId="77777777" w:rsidR="00FD3676" w:rsidRDefault="00FD3676" w:rsidP="001107AD">
      <w:pPr>
        <w:spacing w:before="240" w:after="240"/>
        <w:ind w:right="51"/>
        <w:rPr>
          <w:rFonts w:eastAsia="Bookman Old Style" w:cs="Bookman Old Style"/>
          <w:color w:val="000000" w:themeColor="text1"/>
        </w:rPr>
      </w:pPr>
    </w:p>
    <w:p w14:paraId="7CBA10B0" w14:textId="77777777" w:rsidR="004F1179" w:rsidRDefault="004F1179" w:rsidP="001107AD">
      <w:pPr>
        <w:spacing w:before="240" w:after="240"/>
        <w:ind w:right="51"/>
        <w:rPr>
          <w:rFonts w:eastAsia="Bookman Old Style" w:cs="Bookman Old Style"/>
          <w:color w:val="000000" w:themeColor="text1"/>
        </w:rPr>
      </w:pPr>
    </w:p>
    <w:p w14:paraId="099B4874" w14:textId="77777777" w:rsidR="004F1179" w:rsidRDefault="004F1179" w:rsidP="001107AD">
      <w:pPr>
        <w:spacing w:before="240" w:after="240"/>
        <w:ind w:right="51"/>
        <w:rPr>
          <w:rFonts w:eastAsia="Bookman Old Style" w:cs="Bookman Old Style"/>
          <w:color w:val="000000" w:themeColor="text1"/>
        </w:rPr>
      </w:pPr>
    </w:p>
    <w:p w14:paraId="7B88E1C3" w14:textId="133A0AE0" w:rsidR="00A71B19" w:rsidRPr="004954F1" w:rsidRDefault="00A71B19" w:rsidP="004A486F">
      <w:pPr>
        <w:pStyle w:val="TITULO"/>
        <w:rPr>
          <w:spacing w:val="40"/>
          <w:lang w:val="pt-PT"/>
        </w:rPr>
      </w:pPr>
      <w:bookmarkStart w:id="2" w:name="_Toc259626851"/>
      <w:r w:rsidRPr="004954F1">
        <w:rPr>
          <w:lang w:val="pt-PT"/>
        </w:rPr>
        <w:t xml:space="preserve">R E S U E L V </w:t>
      </w:r>
      <w:r w:rsidRPr="004954F1">
        <w:rPr>
          <w:spacing w:val="40"/>
          <w:lang w:val="pt-PT"/>
        </w:rPr>
        <w:t>E:</w:t>
      </w:r>
      <w:bookmarkEnd w:id="2"/>
    </w:p>
    <w:p w14:paraId="5EC8DE7F" w14:textId="77777777" w:rsidR="007370C5" w:rsidRPr="004954F1" w:rsidRDefault="007370C5" w:rsidP="004A486F">
      <w:pPr>
        <w:pStyle w:val="TITULO"/>
        <w:rPr>
          <w:spacing w:val="40"/>
          <w:lang w:val="pt-PT"/>
        </w:rPr>
      </w:pPr>
    </w:p>
    <w:p w14:paraId="65F69F4C" w14:textId="77777777" w:rsidR="00515620" w:rsidRPr="004954F1" w:rsidRDefault="00515620" w:rsidP="004A486F">
      <w:pPr>
        <w:pStyle w:val="Artculo"/>
        <w:numPr>
          <w:ilvl w:val="0"/>
          <w:numId w:val="0"/>
        </w:numPr>
        <w:spacing w:before="0" w:after="0"/>
        <w:jc w:val="center"/>
        <w:rPr>
          <w:lang w:val="pt-PT"/>
        </w:rPr>
      </w:pPr>
      <w:bookmarkStart w:id="3" w:name="_Hlk164841710"/>
    </w:p>
    <w:bookmarkEnd w:id="3"/>
    <w:p w14:paraId="0CA8E184" w14:textId="08B01A96" w:rsidR="008E422B" w:rsidRDefault="008E422B" w:rsidP="009565D6">
      <w:pPr>
        <w:pStyle w:val="Artculo"/>
        <w:ind w:left="0" w:firstLine="0"/>
        <w:rPr>
          <w:b w:val="0"/>
        </w:rPr>
      </w:pPr>
      <w:r>
        <w:rPr>
          <w:b w:val="0"/>
        </w:rPr>
        <w:lastRenderedPageBreak/>
        <w:t xml:space="preserve">Ampliar la vigencia del programa transitorio para la </w:t>
      </w:r>
      <w:proofErr w:type="gramStart"/>
      <w:r>
        <w:rPr>
          <w:b w:val="0"/>
        </w:rPr>
        <w:t>participación activa</w:t>
      </w:r>
      <w:proofErr w:type="gramEnd"/>
      <w:r>
        <w:rPr>
          <w:b w:val="0"/>
        </w:rPr>
        <w:t xml:space="preserve"> de la demanda en la bolsa de energía establecido en la Resolución CREG 101 054 de 2024, hasta el </w:t>
      </w:r>
      <w:r w:rsidR="00C100B7">
        <w:rPr>
          <w:b w:val="0"/>
        </w:rPr>
        <w:t>1</w:t>
      </w:r>
      <w:r>
        <w:rPr>
          <w:b w:val="0"/>
        </w:rPr>
        <w:t xml:space="preserve"> de </w:t>
      </w:r>
      <w:r w:rsidR="00C100B7">
        <w:rPr>
          <w:b w:val="0"/>
        </w:rPr>
        <w:t xml:space="preserve">marzo </w:t>
      </w:r>
      <w:r>
        <w:rPr>
          <w:b w:val="0"/>
        </w:rPr>
        <w:t>de 2025.</w:t>
      </w:r>
    </w:p>
    <w:p w14:paraId="2ECE5898" w14:textId="3D725EB7" w:rsidR="00C71FE4" w:rsidRPr="008E422B" w:rsidRDefault="00D92505" w:rsidP="00C71FE4">
      <w:pPr>
        <w:pStyle w:val="Artculo"/>
        <w:numPr>
          <w:ilvl w:val="0"/>
          <w:numId w:val="0"/>
        </w:numPr>
        <w:rPr>
          <w:b w:val="0"/>
        </w:rPr>
      </w:pPr>
      <w:r w:rsidRPr="00D92505">
        <w:rPr>
          <w:b w:val="0"/>
        </w:rPr>
        <w:t>La última presentación de ofertas se realizará el 19 de febrero de 2025 para la desconexión durante la semana del 23 de febrero al 1 de marzo del 2025</w:t>
      </w:r>
      <w:r>
        <w:rPr>
          <w:b w:val="0"/>
        </w:rPr>
        <w:t>.</w:t>
      </w:r>
    </w:p>
    <w:p w14:paraId="282506BB" w14:textId="42369E0E" w:rsidR="0032372F" w:rsidRPr="005A6DF7" w:rsidRDefault="00F24138" w:rsidP="009565D6">
      <w:pPr>
        <w:pStyle w:val="Artculo"/>
        <w:ind w:left="0" w:firstLine="0"/>
        <w:rPr>
          <w:b w:val="0"/>
        </w:rPr>
      </w:pPr>
      <w:r w:rsidRPr="005A6DF7">
        <w:t xml:space="preserve">Vigencia. </w:t>
      </w:r>
      <w:r w:rsidRPr="005A6DF7">
        <w:rPr>
          <w:b w:val="0"/>
        </w:rPr>
        <w:t xml:space="preserve">Esta Resolución rige a partir de la fecha de su publicación en el Diario Oficial y hasta </w:t>
      </w:r>
      <w:r w:rsidR="002D3695" w:rsidRPr="005A6DF7">
        <w:rPr>
          <w:b w:val="0"/>
        </w:rPr>
        <w:t xml:space="preserve">el </w:t>
      </w:r>
      <w:r w:rsidR="00C100B7">
        <w:rPr>
          <w:b w:val="0"/>
          <w:bCs w:val="0"/>
        </w:rPr>
        <w:t>1</w:t>
      </w:r>
      <w:r w:rsidR="002D3695" w:rsidRPr="005A6DF7">
        <w:rPr>
          <w:b w:val="0"/>
        </w:rPr>
        <w:t xml:space="preserve"> de </w:t>
      </w:r>
      <w:r w:rsidR="00C100B7">
        <w:rPr>
          <w:b w:val="0"/>
        </w:rPr>
        <w:t xml:space="preserve">marzo </w:t>
      </w:r>
      <w:r w:rsidR="008E422B">
        <w:rPr>
          <w:b w:val="0"/>
        </w:rPr>
        <w:t>de 2025.</w:t>
      </w:r>
    </w:p>
    <w:p w14:paraId="7B88E3A3" w14:textId="77777777" w:rsidR="009D347C" w:rsidRDefault="009D347C" w:rsidP="004A486F">
      <w:pPr>
        <w:rPr>
          <w:spacing w:val="-3"/>
        </w:rPr>
      </w:pPr>
    </w:p>
    <w:p w14:paraId="5D4C1370" w14:textId="6DDF177D" w:rsidR="008A121C" w:rsidRDefault="00EE0F69" w:rsidP="004A486F">
      <w:pPr>
        <w:jc w:val="center"/>
        <w:rPr>
          <w:b/>
          <w:bCs/>
          <w:sz w:val="23"/>
          <w:szCs w:val="23"/>
        </w:rPr>
      </w:pPr>
      <w:r>
        <w:rPr>
          <w:b/>
          <w:bCs/>
          <w:sz w:val="23"/>
          <w:szCs w:val="23"/>
        </w:rPr>
        <w:t>PUBLÍQUESE Y CÚMPLASE</w:t>
      </w:r>
    </w:p>
    <w:p w14:paraId="0AC795BC" w14:textId="77777777" w:rsidR="00CD124A" w:rsidRDefault="00CD124A" w:rsidP="004A486F">
      <w:pPr>
        <w:jc w:val="center"/>
        <w:rPr>
          <w:sz w:val="22"/>
          <w:szCs w:val="22"/>
        </w:rPr>
      </w:pPr>
    </w:p>
    <w:p w14:paraId="677C1B9A" w14:textId="2080B48E" w:rsidR="00094C7E" w:rsidRDefault="00094C7E" w:rsidP="00094C7E">
      <w:r w:rsidRPr="00152426">
        <w:t xml:space="preserve">Dada en Bogotá, D.C. a los </w:t>
      </w:r>
      <w:r w:rsidR="004F1179" w:rsidRPr="004F1179">
        <w:t>21</w:t>
      </w:r>
      <w:r w:rsidRPr="004F1179">
        <w:t xml:space="preserve"> días del mes de noviembre de 2024</w:t>
      </w:r>
      <w:r w:rsidRPr="00152426">
        <w:t>.</w:t>
      </w:r>
    </w:p>
    <w:p w14:paraId="1F3BCA93" w14:textId="77777777" w:rsidR="00094C7E" w:rsidRDefault="00094C7E" w:rsidP="00094C7E"/>
    <w:p w14:paraId="4C8C35B5" w14:textId="77777777" w:rsidR="00094C7E" w:rsidRDefault="00094C7E" w:rsidP="00094C7E"/>
    <w:p w14:paraId="1325A4BE" w14:textId="77777777" w:rsidR="00094C7E" w:rsidRDefault="00094C7E" w:rsidP="00094C7E"/>
    <w:p w14:paraId="53D724E5" w14:textId="77777777" w:rsidR="00094C7E" w:rsidRDefault="00094C7E" w:rsidP="00094C7E"/>
    <w:tbl>
      <w:tblPr>
        <w:tblW w:w="10129" w:type="dxa"/>
        <w:jc w:val="center"/>
        <w:tblLayout w:type="fixed"/>
        <w:tblCellMar>
          <w:left w:w="70" w:type="dxa"/>
          <w:right w:w="70" w:type="dxa"/>
        </w:tblCellMar>
        <w:tblLook w:val="0000" w:firstRow="0" w:lastRow="0" w:firstColumn="0" w:lastColumn="0" w:noHBand="0" w:noVBand="0"/>
      </w:tblPr>
      <w:tblGrid>
        <w:gridCol w:w="6048"/>
        <w:gridCol w:w="4081"/>
      </w:tblGrid>
      <w:tr w:rsidR="00094C7E" w:rsidRPr="00074218" w14:paraId="654F730A" w14:textId="77777777" w:rsidTr="00805596">
        <w:trPr>
          <w:jc w:val="center"/>
        </w:trPr>
        <w:tc>
          <w:tcPr>
            <w:tcW w:w="5670" w:type="dxa"/>
          </w:tcPr>
          <w:p w14:paraId="7FAF4792" w14:textId="77777777" w:rsidR="00094C7E" w:rsidRPr="00074218" w:rsidRDefault="00094C7E" w:rsidP="00805596">
            <w:pPr>
              <w:tabs>
                <w:tab w:val="left" w:pos="-720"/>
              </w:tabs>
              <w:suppressAutoHyphens/>
              <w:spacing w:line="276" w:lineRule="auto"/>
              <w:jc w:val="center"/>
              <w:rPr>
                <w:b/>
                <w:spacing w:val="-3"/>
              </w:rPr>
            </w:pPr>
            <w:r w:rsidRPr="00074218">
              <w:rPr>
                <w:b/>
                <w:spacing w:val="-3"/>
              </w:rPr>
              <w:t>OMAR ANDRÉS CAMACHO MORALES</w:t>
            </w:r>
          </w:p>
          <w:p w14:paraId="025998D7" w14:textId="77777777" w:rsidR="00094C7E" w:rsidRPr="00074218" w:rsidRDefault="00094C7E" w:rsidP="00805596">
            <w:pPr>
              <w:tabs>
                <w:tab w:val="left" w:pos="-720"/>
              </w:tabs>
              <w:suppressAutoHyphens/>
              <w:spacing w:line="276" w:lineRule="auto"/>
              <w:jc w:val="center"/>
              <w:rPr>
                <w:spacing w:val="-3"/>
              </w:rPr>
            </w:pPr>
            <w:r w:rsidRPr="00074218">
              <w:rPr>
                <w:spacing w:val="-3"/>
              </w:rPr>
              <w:t>Ministro de Minas y Energía</w:t>
            </w:r>
          </w:p>
          <w:p w14:paraId="424919B1" w14:textId="77777777" w:rsidR="00094C7E" w:rsidRPr="00074218" w:rsidRDefault="00094C7E" w:rsidP="00805596">
            <w:pPr>
              <w:tabs>
                <w:tab w:val="left" w:pos="-720"/>
              </w:tabs>
              <w:suppressAutoHyphens/>
              <w:spacing w:line="276" w:lineRule="auto"/>
              <w:jc w:val="center"/>
              <w:rPr>
                <w:b/>
                <w:strike/>
                <w:spacing w:val="-3"/>
              </w:rPr>
            </w:pPr>
            <w:r w:rsidRPr="00074218">
              <w:t xml:space="preserve"> Presidente</w:t>
            </w:r>
          </w:p>
        </w:tc>
        <w:tc>
          <w:tcPr>
            <w:tcW w:w="3826" w:type="dxa"/>
          </w:tcPr>
          <w:p w14:paraId="096B6DE1" w14:textId="77777777" w:rsidR="00094C7E" w:rsidRPr="00074218" w:rsidRDefault="00094C7E" w:rsidP="00805596">
            <w:pPr>
              <w:tabs>
                <w:tab w:val="left" w:pos="-720"/>
              </w:tabs>
              <w:suppressAutoHyphens/>
              <w:spacing w:line="276" w:lineRule="auto"/>
              <w:jc w:val="center"/>
              <w:rPr>
                <w:b/>
              </w:rPr>
            </w:pPr>
            <w:r>
              <w:rPr>
                <w:b/>
              </w:rPr>
              <w:t>ANTONIO JIMENEZ RIVERA</w:t>
            </w:r>
          </w:p>
          <w:p w14:paraId="7962FB4B" w14:textId="77777777" w:rsidR="00094C7E" w:rsidRPr="00074218" w:rsidRDefault="00094C7E" w:rsidP="00805596">
            <w:pPr>
              <w:tabs>
                <w:tab w:val="left" w:pos="-720"/>
              </w:tabs>
              <w:suppressAutoHyphens/>
              <w:spacing w:line="276" w:lineRule="auto"/>
              <w:jc w:val="center"/>
              <w:rPr>
                <w:b/>
                <w:spacing w:val="-3"/>
              </w:rPr>
            </w:pPr>
            <w:r w:rsidRPr="00074218">
              <w:rPr>
                <w:spacing w:val="-3"/>
              </w:rPr>
              <w:t>Director Ejecutivo</w:t>
            </w:r>
          </w:p>
        </w:tc>
      </w:tr>
    </w:tbl>
    <w:p w14:paraId="52B2C571" w14:textId="77777777" w:rsidR="00197022" w:rsidRPr="00C435C3" w:rsidRDefault="00197022" w:rsidP="004A486F"/>
    <w:p w14:paraId="1A6F2A94" w14:textId="1B994B29" w:rsidR="00CD124A" w:rsidRPr="00813301" w:rsidRDefault="00CD124A" w:rsidP="004A486F">
      <w:pPr>
        <w:rPr>
          <w:sz w:val="22"/>
          <w:szCs w:val="22"/>
        </w:rPr>
      </w:pPr>
    </w:p>
    <w:sectPr w:rsidR="00CD124A" w:rsidRPr="00813301" w:rsidSect="00E6389E">
      <w:headerReference w:type="default" r:id="rId20"/>
      <w:headerReference w:type="first" r:id="rId21"/>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46AC0" w14:textId="77777777" w:rsidR="0041742A" w:rsidRDefault="0041742A" w:rsidP="008D3705">
      <w:r>
        <w:separator/>
      </w:r>
    </w:p>
  </w:endnote>
  <w:endnote w:type="continuationSeparator" w:id="0">
    <w:p w14:paraId="4F02A65C" w14:textId="77777777" w:rsidR="0041742A" w:rsidRDefault="0041742A" w:rsidP="008D3705">
      <w:r>
        <w:continuationSeparator/>
      </w:r>
    </w:p>
  </w:endnote>
  <w:endnote w:type="continuationNotice" w:id="1">
    <w:p w14:paraId="42AC0594" w14:textId="77777777" w:rsidR="0041742A" w:rsidRDefault="00417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Negrita">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F651A" w14:textId="77777777" w:rsidR="0041742A" w:rsidRDefault="0041742A" w:rsidP="008D3705">
      <w:r>
        <w:separator/>
      </w:r>
    </w:p>
  </w:footnote>
  <w:footnote w:type="continuationSeparator" w:id="0">
    <w:p w14:paraId="5F736F16" w14:textId="77777777" w:rsidR="0041742A" w:rsidRDefault="0041742A" w:rsidP="008D3705">
      <w:r>
        <w:continuationSeparator/>
      </w:r>
    </w:p>
  </w:footnote>
  <w:footnote w:type="continuationNotice" w:id="1">
    <w:p w14:paraId="537EB9A2" w14:textId="77777777" w:rsidR="0041742A" w:rsidRDefault="004174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4" w14:textId="60C10FD1" w:rsidR="007E4BE1" w:rsidRDefault="007E4BE1" w:rsidP="008D3705">
    <w:bookmarkStart w:id="4" w:name="_Toc259626850"/>
  </w:p>
  <w:p w14:paraId="7B88E5B5" w14:textId="7AF9D331" w:rsidR="007E4BE1" w:rsidRPr="00951F79" w:rsidRDefault="00352128" w:rsidP="008D3705">
    <w:r w:rsidRPr="00654384">
      <w:t>Resolución</w:t>
    </w:r>
    <w:r w:rsidR="000B17D2">
      <w:t xml:space="preserve"> CREG </w:t>
    </w:r>
    <w:r w:rsidR="007E4BE1" w:rsidRPr="00654384">
      <w:t>No.</w:t>
    </w:r>
    <w:r w:rsidR="007E4BE1">
      <w:t xml:space="preserve"> </w:t>
    </w:r>
    <w:r w:rsidR="000B17D2">
      <w:rPr>
        <w:b/>
        <w:bCs/>
        <w:u w:val="single"/>
      </w:rPr>
      <w:t>1</w:t>
    </w:r>
    <w:r w:rsidR="00EE0F69" w:rsidRPr="00500326">
      <w:rPr>
        <w:b/>
        <w:bCs/>
        <w:u w:val="single"/>
      </w:rPr>
      <w:t xml:space="preserve">01 </w:t>
    </w:r>
    <w:r w:rsidR="004F1179">
      <w:rPr>
        <w:b/>
        <w:bCs/>
        <w:u w:val="single"/>
      </w:rPr>
      <w:t>065</w:t>
    </w:r>
    <w:r w:rsidR="00EE0F69">
      <w:t xml:space="preserve">  </w:t>
    </w:r>
    <w:r w:rsidR="00252815">
      <w:t xml:space="preserve"> </w:t>
    </w:r>
    <w:r w:rsidR="007E4BE1">
      <w:t>DE</w:t>
    </w:r>
    <w:r w:rsidR="00252815">
      <w:t xml:space="preserve"> </w:t>
    </w:r>
    <w:r w:rsidR="007E4BE1">
      <w:t xml:space="preserve"> </w:t>
    </w:r>
    <w:r w:rsidR="00EE0F69">
      <w:t xml:space="preserve"> </w:t>
    </w:r>
    <w:r w:rsidR="004F1179">
      <w:rPr>
        <w:b/>
        <w:bCs/>
        <w:u w:val="single"/>
      </w:rPr>
      <w:t>21</w:t>
    </w:r>
    <w:r w:rsidRPr="004F1179">
      <w:rPr>
        <w:u w:val="single"/>
      </w:rPr>
      <w:t xml:space="preserve"> </w:t>
    </w:r>
    <w:r w:rsidR="008E422B" w:rsidRPr="004F1179">
      <w:rPr>
        <w:b/>
        <w:bCs/>
        <w:u w:val="single"/>
      </w:rPr>
      <w:t>NOV</w:t>
    </w:r>
    <w:r w:rsidR="00EE0F69" w:rsidRPr="004F1179">
      <w:rPr>
        <w:b/>
        <w:bCs/>
        <w:u w:val="single"/>
      </w:rPr>
      <w:t>. 2024</w:t>
    </w:r>
    <w:r w:rsidR="009B1D7D">
      <w:t xml:space="preserve"> </w:t>
    </w:r>
    <w:r w:rsidR="00252815">
      <w:t xml:space="preserve">        </w:t>
    </w:r>
    <w:r w:rsidR="007E4BE1" w:rsidRPr="00654384">
      <w:t xml:space="preserve">HOJA No. </w:t>
    </w:r>
    <w:r w:rsidR="007E4BE1">
      <w:fldChar w:fldCharType="begin"/>
    </w:r>
    <w:r w:rsidR="007E4BE1">
      <w:instrText xml:space="preserve"> PAGE   \* MERGEFORMAT </w:instrText>
    </w:r>
    <w:r w:rsidR="007E4BE1">
      <w:fldChar w:fldCharType="separate"/>
    </w:r>
    <w:r w:rsidR="0079392B">
      <w:rPr>
        <w:noProof/>
      </w:rPr>
      <w:t>65</w:t>
    </w:r>
    <w:r w:rsidR="007E4BE1">
      <w:rPr>
        <w:noProof/>
      </w:rPr>
      <w:fldChar w:fldCharType="end"/>
    </w:r>
    <w:r w:rsidR="007E4BE1" w:rsidRPr="00654384">
      <w:t>/</w:t>
    </w:r>
    <w:fldSimple w:instr=" NUMPAGES  \* MERGEFORMAT ">
      <w:r w:rsidR="0079392B">
        <w:rPr>
          <w:noProof/>
        </w:rPr>
        <w:t>65</w:t>
      </w:r>
    </w:fldSimple>
  </w:p>
  <w:p w14:paraId="7B88E5B6" w14:textId="77777777" w:rsidR="007E4BE1" w:rsidRDefault="007E4BE1" w:rsidP="001904C6">
    <w:r>
      <w:rPr>
        <w:noProof/>
        <w:lang w:eastAsia="es-CO"/>
      </w:rPr>
      <mc:AlternateContent>
        <mc:Choice Requires="wps">
          <w:drawing>
            <wp:anchor distT="0" distB="0" distL="114300" distR="114300" simplePos="0" relativeHeight="251658240" behindDoc="0" locked="0" layoutInCell="1" allowOverlap="1" wp14:anchorId="7B88E5BD" wp14:editId="05F7038D">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35ADE30" id="Rectángulo 2"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bookmarkEnd w:id="4"/>
  <w:p w14:paraId="752E69C3" w14:textId="0F02F010" w:rsidR="000B17D2" w:rsidRPr="00F674B4" w:rsidRDefault="000B17D2" w:rsidP="001904C6">
    <w:pPr>
      <w:rPr>
        <w:i/>
        <w:iCs/>
        <w:sz w:val="22"/>
        <w:szCs w:val="36"/>
      </w:rPr>
    </w:pPr>
    <w:r w:rsidRPr="00F674B4">
      <w:rPr>
        <w:i/>
        <w:iCs/>
        <w:sz w:val="22"/>
        <w:szCs w:val="36"/>
      </w:rPr>
      <w:t xml:space="preserve">Por la cual se amplía la vigencia del programa transitorio para la </w:t>
    </w:r>
    <w:proofErr w:type="gramStart"/>
    <w:r w:rsidRPr="00F674B4">
      <w:rPr>
        <w:i/>
        <w:iCs/>
        <w:sz w:val="22"/>
        <w:szCs w:val="36"/>
      </w:rPr>
      <w:t>participación activa</w:t>
    </w:r>
    <w:proofErr w:type="gramEnd"/>
    <w:r w:rsidRPr="00F674B4">
      <w:rPr>
        <w:i/>
        <w:iCs/>
        <w:sz w:val="22"/>
        <w:szCs w:val="36"/>
      </w:rPr>
      <w:t xml:space="preserve"> de la demanda en la bolsa de energía establecido en la Resolución CREG 101 054 de 2024</w:t>
    </w:r>
  </w:p>
  <w:p w14:paraId="7B88E5B9" w14:textId="77777777" w:rsidR="007E4BE1" w:rsidRPr="00DF40E1" w:rsidRDefault="007E4BE1" w:rsidP="001904C6">
    <w:pPr>
      <w:rPr>
        <w:sz w:val="16"/>
      </w:rPr>
    </w:pPr>
    <w:r w:rsidRPr="001904C6">
      <w:rPr>
        <w:noProof/>
        <w:sz w:val="16"/>
        <w:lang w:eastAsia="es-CO"/>
      </w:rPr>
      <mc:AlternateContent>
        <mc:Choice Requires="wps">
          <w:drawing>
            <wp:anchor distT="0" distB="0" distL="114300" distR="114300" simplePos="0" relativeHeight="251658242" behindDoc="0" locked="0" layoutInCell="1" allowOverlap="1" wp14:anchorId="7B88E5BF" wp14:editId="704FEA7F">
              <wp:simplePos x="0" y="0"/>
              <wp:positionH relativeFrom="column">
                <wp:posOffset>15419</wp:posOffset>
              </wp:positionH>
              <wp:positionV relativeFrom="paragraph">
                <wp:posOffset>-3726</wp:posOffset>
              </wp:positionV>
              <wp:extent cx="5978105" cy="0"/>
              <wp:effectExtent l="0" t="0" r="22860" b="19050"/>
              <wp:wrapNone/>
              <wp:docPr id="3" name="Conector recto 3"/>
              <wp:cNvGraphicFramePr/>
              <a:graphic xmlns:a="http://schemas.openxmlformats.org/drawingml/2006/main">
                <a:graphicData uri="http://schemas.microsoft.com/office/word/2010/wordprocessingShape">
                  <wps:wsp>
                    <wps:cNvCnPr/>
                    <wps:spPr>
                      <a:xfrm>
                        <a:off x="0" y="0"/>
                        <a:ext cx="5978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54A7FD6" id="Conector recto 3"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2pt,-.3pt" to="471.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" strokecolor="black [321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A" w14:textId="21792E16" w:rsidR="007E4BE1" w:rsidRPr="00F344FC" w:rsidRDefault="007E4BE1" w:rsidP="00F344FC">
    <w:pPr>
      <w:pStyle w:val="TITULO"/>
      <w:jc w:val="both"/>
      <w:rPr>
        <w:rFonts w:ascii="Arial" w:hAnsi="Arial"/>
        <w:b w:val="0"/>
        <w:sz w:val="20"/>
        <w:szCs w:val="20"/>
      </w:rPr>
    </w:pPr>
    <w:r>
      <w:rPr>
        <w:rFonts w:ascii="Arial" w:hAnsi="Arial"/>
        <w:sz w:val="20"/>
        <w:szCs w:val="20"/>
      </w:rPr>
      <w:t xml:space="preserve">                                                             </w:t>
    </w:r>
    <w:r w:rsidRPr="00F344FC">
      <w:rPr>
        <w:rFonts w:ascii="Arial" w:hAnsi="Arial"/>
        <w:b w:val="0"/>
        <w:sz w:val="20"/>
        <w:szCs w:val="20"/>
      </w:rPr>
      <w:t>República de Colombia</w:t>
    </w:r>
  </w:p>
  <w:p w14:paraId="7B88E5BB" w14:textId="77777777" w:rsidR="007E4BE1" w:rsidRDefault="007E4BE1" w:rsidP="007C7785">
    <w:pPr>
      <w:pStyle w:val="Encabezado"/>
    </w:pPr>
  </w:p>
  <w:p w14:paraId="7B88E5BC" w14:textId="77777777" w:rsidR="007E4BE1" w:rsidRDefault="007E4BE1" w:rsidP="007C7785">
    <w:pPr>
      <w:pStyle w:val="Encabezado"/>
    </w:pPr>
    <w:r>
      <w:rPr>
        <w:noProof/>
        <w:lang w:eastAsia="es-CO"/>
      </w:rPr>
      <mc:AlternateContent>
        <mc:Choice Requires="wps">
          <w:drawing>
            <wp:anchor distT="0" distB="0" distL="114300" distR="114300" simplePos="0" relativeHeight="251658241" behindDoc="0" locked="0" layoutInCell="1" allowOverlap="1" wp14:anchorId="7B88E5C1" wp14:editId="44E405C5">
              <wp:simplePos x="0" y="0"/>
              <wp:positionH relativeFrom="column">
                <wp:posOffset>-213360</wp:posOffset>
              </wp:positionH>
              <wp:positionV relativeFrom="paragraph">
                <wp:posOffset>377190</wp:posOffset>
              </wp:positionV>
              <wp:extent cx="6343650" cy="9839325"/>
              <wp:effectExtent l="15240" t="15240" r="13335" b="133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1C60914" id="Rectángulo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346"/>
    <w:multiLevelType w:val="hybridMultilevel"/>
    <w:tmpl w:val="189099E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4F569F"/>
    <w:multiLevelType w:val="multilevel"/>
    <w:tmpl w:val="45F06752"/>
    <w:lvl w:ilvl="0">
      <w:start w:val="1"/>
      <w:numFmt w:val="decimal"/>
      <w:pStyle w:val="EstiloTtulo1Ari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1"/>
      <w:numFmt w:val="decimal"/>
      <w:lvlRestart w:val="0"/>
      <w:pStyle w:val="Estilottul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56B4BA6"/>
    <w:multiLevelType w:val="hybridMultilevel"/>
    <w:tmpl w:val="7ABACD60"/>
    <w:name w:val="WW8Num64232"/>
    <w:lvl w:ilvl="0" w:tplc="0C0A0001">
      <w:start w:val="1"/>
      <w:numFmt w:val="lowerLetter"/>
      <w:lvlText w:val="%1)"/>
      <w:lvlJc w:val="left"/>
      <w:pPr>
        <w:ind w:left="720" w:hanging="360"/>
      </w:pPr>
      <w:rPr>
        <w:rFonts w:cs="Arial" w:hint="default"/>
        <w:b/>
        <w:color w:val="auto"/>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 w15:restartNumberingAfterBreak="0">
    <w:nsid w:val="16033740"/>
    <w:multiLevelType w:val="hybridMultilevel"/>
    <w:tmpl w:val="D8A8451A"/>
    <w:lvl w:ilvl="0" w:tplc="5818256A">
      <w:start w:val="1"/>
      <w:numFmt w:val="lowerLetter"/>
      <w:pStyle w:val="Prrafodelista"/>
      <w:lvlText w:val="%1."/>
      <w:lvlJc w:val="left"/>
      <w:pPr>
        <w:ind w:left="360" w:hanging="360"/>
      </w:pPr>
      <w:rPr>
        <w:rFonts w:ascii="Bookman Old Style" w:eastAsia="Times New Roman" w:hAnsi="Bookman Old Style" w:cs="Arial"/>
      </w:rPr>
    </w:lvl>
    <w:lvl w:ilvl="1" w:tplc="252A424C">
      <w:start w:val="1"/>
      <w:numFmt w:val="bullet"/>
      <w:lvlText w:val="o"/>
      <w:lvlJc w:val="left"/>
      <w:pPr>
        <w:ind w:left="1080" w:hanging="360"/>
      </w:pPr>
      <w:rPr>
        <w:rFonts w:ascii="Courier New" w:hAnsi="Courier New" w:cs="Courier New" w:hint="default"/>
      </w:rPr>
    </w:lvl>
    <w:lvl w:ilvl="2" w:tplc="BC861566" w:tentative="1">
      <w:start w:val="1"/>
      <w:numFmt w:val="bullet"/>
      <w:lvlText w:val=""/>
      <w:lvlJc w:val="left"/>
      <w:pPr>
        <w:ind w:left="1800" w:hanging="360"/>
      </w:pPr>
      <w:rPr>
        <w:rFonts w:ascii="Wingdings" w:hAnsi="Wingdings" w:hint="default"/>
      </w:rPr>
    </w:lvl>
    <w:lvl w:ilvl="3" w:tplc="532C128E" w:tentative="1">
      <w:start w:val="1"/>
      <w:numFmt w:val="bullet"/>
      <w:lvlText w:val=""/>
      <w:lvlJc w:val="left"/>
      <w:pPr>
        <w:ind w:left="2520" w:hanging="360"/>
      </w:pPr>
      <w:rPr>
        <w:rFonts w:ascii="Symbol" w:hAnsi="Symbol" w:hint="default"/>
      </w:rPr>
    </w:lvl>
    <w:lvl w:ilvl="4" w:tplc="2A4022FE" w:tentative="1">
      <w:start w:val="1"/>
      <w:numFmt w:val="bullet"/>
      <w:lvlText w:val="o"/>
      <w:lvlJc w:val="left"/>
      <w:pPr>
        <w:ind w:left="3240" w:hanging="360"/>
      </w:pPr>
      <w:rPr>
        <w:rFonts w:ascii="Courier New" w:hAnsi="Courier New" w:cs="Courier New" w:hint="default"/>
      </w:rPr>
    </w:lvl>
    <w:lvl w:ilvl="5" w:tplc="BC941F30" w:tentative="1">
      <w:start w:val="1"/>
      <w:numFmt w:val="bullet"/>
      <w:lvlText w:val=""/>
      <w:lvlJc w:val="left"/>
      <w:pPr>
        <w:ind w:left="3960" w:hanging="360"/>
      </w:pPr>
      <w:rPr>
        <w:rFonts w:ascii="Wingdings" w:hAnsi="Wingdings" w:hint="default"/>
      </w:rPr>
    </w:lvl>
    <w:lvl w:ilvl="6" w:tplc="F8708C06" w:tentative="1">
      <w:start w:val="1"/>
      <w:numFmt w:val="bullet"/>
      <w:lvlText w:val=""/>
      <w:lvlJc w:val="left"/>
      <w:pPr>
        <w:ind w:left="4680" w:hanging="360"/>
      </w:pPr>
      <w:rPr>
        <w:rFonts w:ascii="Symbol" w:hAnsi="Symbol" w:hint="default"/>
      </w:rPr>
    </w:lvl>
    <w:lvl w:ilvl="7" w:tplc="247E4F06" w:tentative="1">
      <w:start w:val="1"/>
      <w:numFmt w:val="bullet"/>
      <w:lvlText w:val="o"/>
      <w:lvlJc w:val="left"/>
      <w:pPr>
        <w:ind w:left="5400" w:hanging="360"/>
      </w:pPr>
      <w:rPr>
        <w:rFonts w:ascii="Courier New" w:hAnsi="Courier New" w:cs="Courier New" w:hint="default"/>
      </w:rPr>
    </w:lvl>
    <w:lvl w:ilvl="8" w:tplc="EF16B678" w:tentative="1">
      <w:start w:val="1"/>
      <w:numFmt w:val="bullet"/>
      <w:lvlText w:val=""/>
      <w:lvlJc w:val="left"/>
      <w:pPr>
        <w:ind w:left="6120" w:hanging="360"/>
      </w:pPr>
      <w:rPr>
        <w:rFonts w:ascii="Wingdings" w:hAnsi="Wingdings" w:hint="default"/>
      </w:rPr>
    </w:lvl>
  </w:abstractNum>
  <w:abstractNum w:abstractNumId="4" w15:restartNumberingAfterBreak="0">
    <w:nsid w:val="17526398"/>
    <w:multiLevelType w:val="multilevel"/>
    <w:tmpl w:val="D884D35C"/>
    <w:lvl w:ilvl="0">
      <w:start w:val="1"/>
      <w:numFmt w:val="decimal"/>
      <w:pStyle w:val="Ttulo1"/>
      <w:lvlText w:val="ANEXO %1"/>
      <w:lvlJc w:val="left"/>
      <w:pPr>
        <w:ind w:left="360" w:hanging="360"/>
      </w:pPr>
      <w:rPr>
        <w:rFonts w:hint="default"/>
        <w:b/>
        <w:i w:val="0"/>
      </w:rPr>
    </w:lvl>
    <w:lvl w:ilvl="1">
      <w:start w:val="1"/>
      <w:numFmt w:val="decimal"/>
      <w:pStyle w:val="Ttulo2"/>
      <w:lvlText w:val="%1.%2"/>
      <w:lvlJc w:val="left"/>
      <w:pPr>
        <w:ind w:left="576" w:hanging="576"/>
      </w:pPr>
    </w:lvl>
    <w:lvl w:ilvl="2">
      <w:start w:val="1"/>
      <w:numFmt w:val="decimal"/>
      <w:pStyle w:val="Ttulo3"/>
      <w:lvlText w:val="%1.%2.%3"/>
      <w:lvlJc w:val="left"/>
      <w:pPr>
        <w:ind w:left="3839"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194A5656"/>
    <w:multiLevelType w:val="hybridMultilevel"/>
    <w:tmpl w:val="BA6A2B36"/>
    <w:lvl w:ilvl="0" w:tplc="1622785A">
      <w:start w:val="1"/>
      <w:numFmt w:val="decimal"/>
      <w:pStyle w:val="Artculo"/>
      <w:lvlText w:val="Artículo %1."/>
      <w:lvlJc w:val="left"/>
      <w:pPr>
        <w:ind w:left="1920" w:hanging="360"/>
      </w:pPr>
      <w:rPr>
        <w:rFonts w:hint="default"/>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0D44A35"/>
    <w:multiLevelType w:val="multilevel"/>
    <w:tmpl w:val="C36C83EA"/>
    <w:name w:val="Lista4"/>
    <w:lvl w:ilvl="0">
      <w:start w:val="1"/>
      <w:numFmt w:val="decimal"/>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13F60F2"/>
    <w:multiLevelType w:val="hybridMultilevel"/>
    <w:tmpl w:val="C3EA8EB2"/>
    <w:lvl w:ilvl="0" w:tplc="2F58956C">
      <w:start w:val="1"/>
      <w:numFmt w:val="lowerLetter"/>
      <w:lvlText w:val="%1)"/>
      <w:lvlJc w:val="left"/>
      <w:pPr>
        <w:ind w:left="720" w:hanging="360"/>
      </w:pPr>
      <w:rPr>
        <w:rFonts w:ascii="Bookman Old Style" w:eastAsia="Times New Roman" w:hAnsi="Bookman Old Style"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6BE2F0F"/>
    <w:multiLevelType w:val="hybridMultilevel"/>
    <w:tmpl w:val="11AA2ECA"/>
    <w:name w:val="Lista4322222"/>
    <w:lvl w:ilvl="0" w:tplc="07E05BCA">
      <w:start w:val="1"/>
      <w:numFmt w:val="decimal"/>
      <w:lvlText w:val="%1."/>
      <w:lvlJc w:val="left"/>
      <w:pPr>
        <w:ind w:left="720" w:hanging="360"/>
      </w:pPr>
      <w:rPr>
        <w:rFonts w:hint="default"/>
      </w:rPr>
    </w:lvl>
    <w:lvl w:ilvl="1" w:tplc="CD9430A6" w:tentative="1">
      <w:start w:val="1"/>
      <w:numFmt w:val="lowerLetter"/>
      <w:lvlText w:val="%2."/>
      <w:lvlJc w:val="left"/>
      <w:pPr>
        <w:ind w:left="1440" w:hanging="360"/>
      </w:pPr>
    </w:lvl>
    <w:lvl w:ilvl="2" w:tplc="A3940E8A" w:tentative="1">
      <w:start w:val="1"/>
      <w:numFmt w:val="lowerRoman"/>
      <w:lvlText w:val="%3."/>
      <w:lvlJc w:val="right"/>
      <w:pPr>
        <w:ind w:left="2160" w:hanging="180"/>
      </w:pPr>
    </w:lvl>
    <w:lvl w:ilvl="3" w:tplc="187A6DB8" w:tentative="1">
      <w:start w:val="1"/>
      <w:numFmt w:val="decimal"/>
      <w:lvlText w:val="%4."/>
      <w:lvlJc w:val="left"/>
      <w:pPr>
        <w:ind w:left="2880" w:hanging="360"/>
      </w:pPr>
    </w:lvl>
    <w:lvl w:ilvl="4" w:tplc="B1CEA2E0" w:tentative="1">
      <w:start w:val="1"/>
      <w:numFmt w:val="lowerLetter"/>
      <w:lvlText w:val="%5."/>
      <w:lvlJc w:val="left"/>
      <w:pPr>
        <w:ind w:left="3600" w:hanging="360"/>
      </w:pPr>
    </w:lvl>
    <w:lvl w:ilvl="5" w:tplc="DD268AD8" w:tentative="1">
      <w:start w:val="1"/>
      <w:numFmt w:val="lowerRoman"/>
      <w:lvlText w:val="%6."/>
      <w:lvlJc w:val="right"/>
      <w:pPr>
        <w:ind w:left="4320" w:hanging="180"/>
      </w:pPr>
    </w:lvl>
    <w:lvl w:ilvl="6" w:tplc="FE7A34A2" w:tentative="1">
      <w:start w:val="1"/>
      <w:numFmt w:val="decimal"/>
      <w:lvlText w:val="%7."/>
      <w:lvlJc w:val="left"/>
      <w:pPr>
        <w:ind w:left="5040" w:hanging="360"/>
      </w:pPr>
    </w:lvl>
    <w:lvl w:ilvl="7" w:tplc="AFCA5AC2" w:tentative="1">
      <w:start w:val="1"/>
      <w:numFmt w:val="lowerLetter"/>
      <w:lvlText w:val="%8."/>
      <w:lvlJc w:val="left"/>
      <w:pPr>
        <w:ind w:left="5760" w:hanging="360"/>
      </w:pPr>
    </w:lvl>
    <w:lvl w:ilvl="8" w:tplc="179AB3D2" w:tentative="1">
      <w:start w:val="1"/>
      <w:numFmt w:val="lowerRoman"/>
      <w:lvlText w:val="%9."/>
      <w:lvlJc w:val="right"/>
      <w:pPr>
        <w:ind w:left="6480" w:hanging="180"/>
      </w:pPr>
    </w:lvl>
  </w:abstractNum>
  <w:abstractNum w:abstractNumId="9" w15:restartNumberingAfterBreak="0">
    <w:nsid w:val="593647F2"/>
    <w:multiLevelType w:val="hybridMultilevel"/>
    <w:tmpl w:val="D4D48B00"/>
    <w:lvl w:ilvl="0" w:tplc="EB6669CA">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AAB13D7"/>
    <w:multiLevelType w:val="hybridMultilevel"/>
    <w:tmpl w:val="7FEAD01E"/>
    <w:name w:val="Lista4322"/>
    <w:lvl w:ilvl="0" w:tplc="A2B81818">
      <w:start w:val="1"/>
      <w:numFmt w:val="decimal"/>
      <w:lvlText w:val="CAPÍTULO %1."/>
      <w:lvlJc w:val="left"/>
      <w:pPr>
        <w:ind w:left="360" w:hanging="360"/>
      </w:pPr>
      <w:rPr>
        <w:rFonts w:ascii="Bookman Old Style" w:hAnsi="Bookman Old Style" w:hint="default"/>
        <w:b/>
        <w:i w:val="0"/>
        <w:sz w:val="24"/>
      </w:rPr>
    </w:lvl>
    <w:lvl w:ilvl="1" w:tplc="BC7212C6" w:tentative="1">
      <w:start w:val="1"/>
      <w:numFmt w:val="lowerLetter"/>
      <w:lvlText w:val="%2."/>
      <w:lvlJc w:val="left"/>
      <w:pPr>
        <w:ind w:left="1080" w:hanging="360"/>
      </w:pPr>
    </w:lvl>
    <w:lvl w:ilvl="2" w:tplc="A446BFEE" w:tentative="1">
      <w:start w:val="1"/>
      <w:numFmt w:val="lowerRoman"/>
      <w:lvlText w:val="%3."/>
      <w:lvlJc w:val="right"/>
      <w:pPr>
        <w:ind w:left="1800" w:hanging="180"/>
      </w:pPr>
    </w:lvl>
    <w:lvl w:ilvl="3" w:tplc="AA4A5ACA" w:tentative="1">
      <w:start w:val="1"/>
      <w:numFmt w:val="decimal"/>
      <w:lvlText w:val="%4."/>
      <w:lvlJc w:val="left"/>
      <w:pPr>
        <w:ind w:left="2520" w:hanging="360"/>
      </w:pPr>
    </w:lvl>
    <w:lvl w:ilvl="4" w:tplc="4DB8D95A" w:tentative="1">
      <w:start w:val="1"/>
      <w:numFmt w:val="lowerLetter"/>
      <w:lvlText w:val="%5."/>
      <w:lvlJc w:val="left"/>
      <w:pPr>
        <w:ind w:left="3240" w:hanging="360"/>
      </w:pPr>
    </w:lvl>
    <w:lvl w:ilvl="5" w:tplc="D4DC958A" w:tentative="1">
      <w:start w:val="1"/>
      <w:numFmt w:val="lowerRoman"/>
      <w:lvlText w:val="%6."/>
      <w:lvlJc w:val="right"/>
      <w:pPr>
        <w:ind w:left="3960" w:hanging="180"/>
      </w:pPr>
    </w:lvl>
    <w:lvl w:ilvl="6" w:tplc="67940270" w:tentative="1">
      <w:start w:val="1"/>
      <w:numFmt w:val="decimal"/>
      <w:lvlText w:val="%7."/>
      <w:lvlJc w:val="left"/>
      <w:pPr>
        <w:ind w:left="4680" w:hanging="360"/>
      </w:pPr>
    </w:lvl>
    <w:lvl w:ilvl="7" w:tplc="CBDC6ABC" w:tentative="1">
      <w:start w:val="1"/>
      <w:numFmt w:val="lowerLetter"/>
      <w:lvlText w:val="%8."/>
      <w:lvlJc w:val="left"/>
      <w:pPr>
        <w:ind w:left="5400" w:hanging="360"/>
      </w:pPr>
    </w:lvl>
    <w:lvl w:ilvl="8" w:tplc="318638EC" w:tentative="1">
      <w:start w:val="1"/>
      <w:numFmt w:val="lowerRoman"/>
      <w:lvlText w:val="%9."/>
      <w:lvlJc w:val="right"/>
      <w:pPr>
        <w:ind w:left="6120" w:hanging="180"/>
      </w:pPr>
    </w:lvl>
  </w:abstractNum>
  <w:abstractNum w:abstractNumId="11" w15:restartNumberingAfterBreak="0">
    <w:nsid w:val="695B0952"/>
    <w:multiLevelType w:val="hybridMultilevel"/>
    <w:tmpl w:val="D4D48B00"/>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C81455"/>
    <w:multiLevelType w:val="hybridMultilevel"/>
    <w:tmpl w:val="5880B018"/>
    <w:lvl w:ilvl="0" w:tplc="2F58956C">
      <w:start w:val="1"/>
      <w:numFmt w:val="lowerLetter"/>
      <w:lvlText w:val="%1)"/>
      <w:lvlJc w:val="left"/>
      <w:pPr>
        <w:ind w:left="720" w:hanging="360"/>
      </w:pPr>
      <w:rPr>
        <w:rFonts w:ascii="Bookman Old Style" w:eastAsia="Times New Roman" w:hAnsi="Bookman Old Style"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C3B246F"/>
    <w:multiLevelType w:val="hybridMultilevel"/>
    <w:tmpl w:val="08B0BD0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6607048">
    <w:abstractNumId w:val="3"/>
  </w:num>
  <w:num w:numId="2" w16cid:durableId="423498813">
    <w:abstractNumId w:val="4"/>
  </w:num>
  <w:num w:numId="3" w16cid:durableId="1750615731">
    <w:abstractNumId w:val="1"/>
  </w:num>
  <w:num w:numId="4" w16cid:durableId="286787741">
    <w:abstractNumId w:val="5"/>
  </w:num>
  <w:num w:numId="5" w16cid:durableId="229966877">
    <w:abstractNumId w:val="12"/>
  </w:num>
  <w:num w:numId="6" w16cid:durableId="1114598439">
    <w:abstractNumId w:val="9"/>
  </w:num>
  <w:num w:numId="7" w16cid:durableId="363408376">
    <w:abstractNumId w:val="13"/>
  </w:num>
  <w:num w:numId="8" w16cid:durableId="910846684">
    <w:abstractNumId w:val="7"/>
  </w:num>
  <w:num w:numId="9" w16cid:durableId="1963459637">
    <w:abstractNumId w:val="0"/>
  </w:num>
  <w:num w:numId="10" w16cid:durableId="495262640">
    <w:abstractNumId w:val="5"/>
  </w:num>
  <w:num w:numId="11" w16cid:durableId="89085167">
    <w:abstractNumId w:val="5"/>
  </w:num>
  <w:num w:numId="12" w16cid:durableId="857885641">
    <w:abstractNumId w:val="5"/>
  </w:num>
  <w:num w:numId="13" w16cid:durableId="584606606">
    <w:abstractNumId w:val="5"/>
  </w:num>
  <w:num w:numId="14" w16cid:durableId="1271817307">
    <w:abstractNumId w:val="5"/>
  </w:num>
  <w:num w:numId="15" w16cid:durableId="1648775198">
    <w:abstractNumId w:val="5"/>
  </w:num>
  <w:num w:numId="16" w16cid:durableId="31538760">
    <w:abstractNumId w:val="5"/>
  </w:num>
  <w:num w:numId="17" w16cid:durableId="806777156">
    <w:abstractNumId w:val="5"/>
  </w:num>
  <w:num w:numId="18" w16cid:durableId="228276162">
    <w:abstractNumId w:val="5"/>
  </w:num>
  <w:num w:numId="19" w16cid:durableId="1533961585">
    <w:abstractNumId w:val="5"/>
  </w:num>
  <w:num w:numId="20" w16cid:durableId="1357462290">
    <w:abstractNumId w:val="5"/>
  </w:num>
  <w:num w:numId="21" w16cid:durableId="1335721910">
    <w:abstractNumId w:val="5"/>
  </w:num>
  <w:num w:numId="22" w16cid:durableId="778793863">
    <w:abstractNumId w:val="5"/>
  </w:num>
  <w:num w:numId="23" w16cid:durableId="912351621">
    <w:abstractNumId w:val="5"/>
  </w:num>
  <w:num w:numId="24" w16cid:durableId="528644425">
    <w:abstractNumId w:val="5"/>
  </w:num>
  <w:num w:numId="25" w16cid:durableId="1108817863">
    <w:abstractNumId w:val="5"/>
  </w:num>
  <w:num w:numId="26" w16cid:durableId="1496803238">
    <w:abstractNumId w:val="5"/>
  </w:num>
  <w:num w:numId="27" w16cid:durableId="1002898228">
    <w:abstractNumId w:val="5"/>
  </w:num>
  <w:num w:numId="28" w16cid:durableId="1016539800">
    <w:abstractNumId w:val="5"/>
  </w:num>
  <w:num w:numId="29" w16cid:durableId="514810911">
    <w:abstractNumId w:val="5"/>
  </w:num>
  <w:num w:numId="30" w16cid:durableId="229191010">
    <w:abstractNumId w:val="5"/>
  </w:num>
  <w:num w:numId="31" w16cid:durableId="1964535162">
    <w:abstractNumId w:val="5"/>
  </w:num>
  <w:num w:numId="32" w16cid:durableId="355694550">
    <w:abstractNumId w:val="5"/>
  </w:num>
  <w:num w:numId="33" w16cid:durableId="1302271367">
    <w:abstractNumId w:val="11"/>
  </w:num>
  <w:num w:numId="34" w16cid:durableId="1982030999">
    <w:abstractNumId w:val="3"/>
  </w:num>
  <w:num w:numId="35" w16cid:durableId="1046179076">
    <w:abstractNumId w:val="3"/>
  </w:num>
  <w:num w:numId="36" w16cid:durableId="473914323">
    <w:abstractNumId w:val="5"/>
  </w:num>
  <w:num w:numId="37" w16cid:durableId="1445423254">
    <w:abstractNumId w:val="5"/>
  </w:num>
  <w:num w:numId="38" w16cid:durableId="712922257">
    <w:abstractNumId w:val="5"/>
  </w:num>
  <w:num w:numId="39" w16cid:durableId="1308821325">
    <w:abstractNumId w:val="5"/>
  </w:num>
  <w:num w:numId="40" w16cid:durableId="224608741">
    <w:abstractNumId w:val="5"/>
  </w:num>
  <w:num w:numId="41" w16cid:durableId="685910884">
    <w:abstractNumId w:val="5"/>
  </w:num>
  <w:num w:numId="42" w16cid:durableId="1537035762">
    <w:abstractNumId w:val="5"/>
  </w:num>
  <w:num w:numId="43" w16cid:durableId="1254364127">
    <w:abstractNumId w:val="5"/>
  </w:num>
  <w:num w:numId="44" w16cid:durableId="20909557">
    <w:abstractNumId w:val="5"/>
  </w:num>
  <w:num w:numId="45" w16cid:durableId="1881699826">
    <w:abstractNumId w:val="5"/>
  </w:num>
  <w:num w:numId="46" w16cid:durableId="84601679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851"/>
    <w:rsid w:val="00000EF4"/>
    <w:rsid w:val="00000F33"/>
    <w:rsid w:val="0000169B"/>
    <w:rsid w:val="00001721"/>
    <w:rsid w:val="00001B16"/>
    <w:rsid w:val="00001F6A"/>
    <w:rsid w:val="00001FB3"/>
    <w:rsid w:val="00002EAA"/>
    <w:rsid w:val="0000308B"/>
    <w:rsid w:val="000040C4"/>
    <w:rsid w:val="000042AC"/>
    <w:rsid w:val="00004654"/>
    <w:rsid w:val="000047E4"/>
    <w:rsid w:val="00004A40"/>
    <w:rsid w:val="000054C6"/>
    <w:rsid w:val="00005788"/>
    <w:rsid w:val="0000634E"/>
    <w:rsid w:val="000066DA"/>
    <w:rsid w:val="00006AE2"/>
    <w:rsid w:val="00006D48"/>
    <w:rsid w:val="00006F11"/>
    <w:rsid w:val="00007174"/>
    <w:rsid w:val="000071B5"/>
    <w:rsid w:val="000072A0"/>
    <w:rsid w:val="000076A1"/>
    <w:rsid w:val="000100B4"/>
    <w:rsid w:val="000117DD"/>
    <w:rsid w:val="00011925"/>
    <w:rsid w:val="000121AB"/>
    <w:rsid w:val="00012259"/>
    <w:rsid w:val="000122BE"/>
    <w:rsid w:val="0001285E"/>
    <w:rsid w:val="00013252"/>
    <w:rsid w:val="0001334E"/>
    <w:rsid w:val="000134BC"/>
    <w:rsid w:val="000148F7"/>
    <w:rsid w:val="00014F73"/>
    <w:rsid w:val="0001505F"/>
    <w:rsid w:val="00015169"/>
    <w:rsid w:val="0001575E"/>
    <w:rsid w:val="00015B5F"/>
    <w:rsid w:val="00016568"/>
    <w:rsid w:val="00016928"/>
    <w:rsid w:val="000172EB"/>
    <w:rsid w:val="00017BB4"/>
    <w:rsid w:val="00017E02"/>
    <w:rsid w:val="00017F35"/>
    <w:rsid w:val="0002024B"/>
    <w:rsid w:val="00020B77"/>
    <w:rsid w:val="00020BA1"/>
    <w:rsid w:val="00020ED9"/>
    <w:rsid w:val="0002161C"/>
    <w:rsid w:val="000216E4"/>
    <w:rsid w:val="00021A26"/>
    <w:rsid w:val="00021D11"/>
    <w:rsid w:val="000225A1"/>
    <w:rsid w:val="00023239"/>
    <w:rsid w:val="00024547"/>
    <w:rsid w:val="00024C05"/>
    <w:rsid w:val="00024EA7"/>
    <w:rsid w:val="00024EDC"/>
    <w:rsid w:val="00024F3A"/>
    <w:rsid w:val="00024FD2"/>
    <w:rsid w:val="0002513B"/>
    <w:rsid w:val="00025383"/>
    <w:rsid w:val="0002547E"/>
    <w:rsid w:val="000259A1"/>
    <w:rsid w:val="00025A5E"/>
    <w:rsid w:val="00025F89"/>
    <w:rsid w:val="000265A6"/>
    <w:rsid w:val="0002666D"/>
    <w:rsid w:val="00026AA3"/>
    <w:rsid w:val="00027A63"/>
    <w:rsid w:val="00027E96"/>
    <w:rsid w:val="00027F25"/>
    <w:rsid w:val="00030306"/>
    <w:rsid w:val="00030528"/>
    <w:rsid w:val="000308A0"/>
    <w:rsid w:val="00030BEC"/>
    <w:rsid w:val="00031259"/>
    <w:rsid w:val="00031911"/>
    <w:rsid w:val="00031E43"/>
    <w:rsid w:val="00032777"/>
    <w:rsid w:val="00032A14"/>
    <w:rsid w:val="00032F8A"/>
    <w:rsid w:val="000333C2"/>
    <w:rsid w:val="000338FC"/>
    <w:rsid w:val="00034AA4"/>
    <w:rsid w:val="00035758"/>
    <w:rsid w:val="000357CB"/>
    <w:rsid w:val="00035861"/>
    <w:rsid w:val="000359C9"/>
    <w:rsid w:val="00035B2A"/>
    <w:rsid w:val="00035C3D"/>
    <w:rsid w:val="00036021"/>
    <w:rsid w:val="00036213"/>
    <w:rsid w:val="00036A19"/>
    <w:rsid w:val="00036C06"/>
    <w:rsid w:val="000370B4"/>
    <w:rsid w:val="00037238"/>
    <w:rsid w:val="000372FC"/>
    <w:rsid w:val="000374B6"/>
    <w:rsid w:val="00037512"/>
    <w:rsid w:val="00037D52"/>
    <w:rsid w:val="00037D8A"/>
    <w:rsid w:val="00037FDD"/>
    <w:rsid w:val="00040257"/>
    <w:rsid w:val="00040F73"/>
    <w:rsid w:val="00041B04"/>
    <w:rsid w:val="00041CD5"/>
    <w:rsid w:val="000436A7"/>
    <w:rsid w:val="00044202"/>
    <w:rsid w:val="000442D3"/>
    <w:rsid w:val="00044680"/>
    <w:rsid w:val="000449B5"/>
    <w:rsid w:val="00044E0E"/>
    <w:rsid w:val="00045187"/>
    <w:rsid w:val="000454BC"/>
    <w:rsid w:val="00045BDF"/>
    <w:rsid w:val="00046CAC"/>
    <w:rsid w:val="0004741F"/>
    <w:rsid w:val="00047663"/>
    <w:rsid w:val="0004797E"/>
    <w:rsid w:val="0005060F"/>
    <w:rsid w:val="00050AC2"/>
    <w:rsid w:val="00050E53"/>
    <w:rsid w:val="0005134A"/>
    <w:rsid w:val="0005169B"/>
    <w:rsid w:val="00051727"/>
    <w:rsid w:val="00051805"/>
    <w:rsid w:val="00051DF4"/>
    <w:rsid w:val="0005253C"/>
    <w:rsid w:val="00052ED2"/>
    <w:rsid w:val="00052EE4"/>
    <w:rsid w:val="00052F77"/>
    <w:rsid w:val="0005323B"/>
    <w:rsid w:val="0005336D"/>
    <w:rsid w:val="00053A79"/>
    <w:rsid w:val="00053BCF"/>
    <w:rsid w:val="0005444E"/>
    <w:rsid w:val="0005494F"/>
    <w:rsid w:val="00054C14"/>
    <w:rsid w:val="00055196"/>
    <w:rsid w:val="0005530B"/>
    <w:rsid w:val="0005531F"/>
    <w:rsid w:val="0005563E"/>
    <w:rsid w:val="0005564A"/>
    <w:rsid w:val="000558E9"/>
    <w:rsid w:val="00055D1C"/>
    <w:rsid w:val="00055F70"/>
    <w:rsid w:val="00056269"/>
    <w:rsid w:val="00056E3C"/>
    <w:rsid w:val="00057118"/>
    <w:rsid w:val="00057734"/>
    <w:rsid w:val="000604D0"/>
    <w:rsid w:val="0006059B"/>
    <w:rsid w:val="00060904"/>
    <w:rsid w:val="000611C9"/>
    <w:rsid w:val="000626B0"/>
    <w:rsid w:val="000627F2"/>
    <w:rsid w:val="00062922"/>
    <w:rsid w:val="00062F64"/>
    <w:rsid w:val="00062FE7"/>
    <w:rsid w:val="000630F9"/>
    <w:rsid w:val="00063657"/>
    <w:rsid w:val="000639F2"/>
    <w:rsid w:val="0006408C"/>
    <w:rsid w:val="0006567D"/>
    <w:rsid w:val="00065B12"/>
    <w:rsid w:val="00065EFF"/>
    <w:rsid w:val="00066279"/>
    <w:rsid w:val="00066954"/>
    <w:rsid w:val="00067037"/>
    <w:rsid w:val="0006715B"/>
    <w:rsid w:val="00067A3D"/>
    <w:rsid w:val="00070118"/>
    <w:rsid w:val="00070B80"/>
    <w:rsid w:val="00070CA9"/>
    <w:rsid w:val="00070D1C"/>
    <w:rsid w:val="00071FF8"/>
    <w:rsid w:val="00072082"/>
    <w:rsid w:val="000724C9"/>
    <w:rsid w:val="00072DF5"/>
    <w:rsid w:val="000733B5"/>
    <w:rsid w:val="000734CB"/>
    <w:rsid w:val="00076019"/>
    <w:rsid w:val="0007604F"/>
    <w:rsid w:val="00076680"/>
    <w:rsid w:val="00076D9A"/>
    <w:rsid w:val="00076E15"/>
    <w:rsid w:val="00077386"/>
    <w:rsid w:val="00077806"/>
    <w:rsid w:val="00080078"/>
    <w:rsid w:val="00080580"/>
    <w:rsid w:val="0008073E"/>
    <w:rsid w:val="00080B91"/>
    <w:rsid w:val="00080F03"/>
    <w:rsid w:val="000810BF"/>
    <w:rsid w:val="000813E1"/>
    <w:rsid w:val="00081C4B"/>
    <w:rsid w:val="0008230D"/>
    <w:rsid w:val="000825BC"/>
    <w:rsid w:val="00082D34"/>
    <w:rsid w:val="00083387"/>
    <w:rsid w:val="00083398"/>
    <w:rsid w:val="00084022"/>
    <w:rsid w:val="000842D8"/>
    <w:rsid w:val="00085A19"/>
    <w:rsid w:val="000865A0"/>
    <w:rsid w:val="00086929"/>
    <w:rsid w:val="00086BAE"/>
    <w:rsid w:val="00086DBC"/>
    <w:rsid w:val="00086F79"/>
    <w:rsid w:val="00087E2F"/>
    <w:rsid w:val="00090079"/>
    <w:rsid w:val="00090716"/>
    <w:rsid w:val="00090960"/>
    <w:rsid w:val="00090A34"/>
    <w:rsid w:val="00090E61"/>
    <w:rsid w:val="00091751"/>
    <w:rsid w:val="00091979"/>
    <w:rsid w:val="00091C84"/>
    <w:rsid w:val="00091CC5"/>
    <w:rsid w:val="00091CDB"/>
    <w:rsid w:val="00091E56"/>
    <w:rsid w:val="0009214D"/>
    <w:rsid w:val="00092292"/>
    <w:rsid w:val="00092533"/>
    <w:rsid w:val="0009317E"/>
    <w:rsid w:val="00093273"/>
    <w:rsid w:val="00093C40"/>
    <w:rsid w:val="00093CA8"/>
    <w:rsid w:val="00093CF2"/>
    <w:rsid w:val="00094A7E"/>
    <w:rsid w:val="00094C7E"/>
    <w:rsid w:val="00095020"/>
    <w:rsid w:val="00095543"/>
    <w:rsid w:val="00095772"/>
    <w:rsid w:val="0009633E"/>
    <w:rsid w:val="00096EA2"/>
    <w:rsid w:val="00097059"/>
    <w:rsid w:val="00097C0A"/>
    <w:rsid w:val="000A0633"/>
    <w:rsid w:val="000A0835"/>
    <w:rsid w:val="000A0AC8"/>
    <w:rsid w:val="000A0F2D"/>
    <w:rsid w:val="000A1085"/>
    <w:rsid w:val="000A1996"/>
    <w:rsid w:val="000A199A"/>
    <w:rsid w:val="000A19AC"/>
    <w:rsid w:val="000A1B66"/>
    <w:rsid w:val="000A1C80"/>
    <w:rsid w:val="000A1D67"/>
    <w:rsid w:val="000A24BC"/>
    <w:rsid w:val="000A2990"/>
    <w:rsid w:val="000A2B85"/>
    <w:rsid w:val="000A2C13"/>
    <w:rsid w:val="000A2C45"/>
    <w:rsid w:val="000A3025"/>
    <w:rsid w:val="000A3AE6"/>
    <w:rsid w:val="000A4104"/>
    <w:rsid w:val="000A4400"/>
    <w:rsid w:val="000A532F"/>
    <w:rsid w:val="000A5A25"/>
    <w:rsid w:val="000A6327"/>
    <w:rsid w:val="000A6FB7"/>
    <w:rsid w:val="000A7047"/>
    <w:rsid w:val="000A7055"/>
    <w:rsid w:val="000A74E2"/>
    <w:rsid w:val="000A77E1"/>
    <w:rsid w:val="000B1390"/>
    <w:rsid w:val="000B17D2"/>
    <w:rsid w:val="000B1B94"/>
    <w:rsid w:val="000B1DA6"/>
    <w:rsid w:val="000B1FD3"/>
    <w:rsid w:val="000B23C3"/>
    <w:rsid w:val="000B2BE8"/>
    <w:rsid w:val="000B350C"/>
    <w:rsid w:val="000B35F3"/>
    <w:rsid w:val="000B3C4A"/>
    <w:rsid w:val="000B3CEA"/>
    <w:rsid w:val="000B5174"/>
    <w:rsid w:val="000B5808"/>
    <w:rsid w:val="000B5D53"/>
    <w:rsid w:val="000B5DE1"/>
    <w:rsid w:val="000B66E8"/>
    <w:rsid w:val="000B6CF1"/>
    <w:rsid w:val="000B762B"/>
    <w:rsid w:val="000B7B45"/>
    <w:rsid w:val="000C017D"/>
    <w:rsid w:val="000C0443"/>
    <w:rsid w:val="000C0B5E"/>
    <w:rsid w:val="000C1050"/>
    <w:rsid w:val="000C1291"/>
    <w:rsid w:val="000C145D"/>
    <w:rsid w:val="000C1932"/>
    <w:rsid w:val="000C1A48"/>
    <w:rsid w:val="000C1A4E"/>
    <w:rsid w:val="000C24D1"/>
    <w:rsid w:val="000C268A"/>
    <w:rsid w:val="000C2732"/>
    <w:rsid w:val="000C2BED"/>
    <w:rsid w:val="000C2ED1"/>
    <w:rsid w:val="000C3638"/>
    <w:rsid w:val="000C398E"/>
    <w:rsid w:val="000C3B83"/>
    <w:rsid w:val="000C3C16"/>
    <w:rsid w:val="000C3DFC"/>
    <w:rsid w:val="000C41F2"/>
    <w:rsid w:val="000C4592"/>
    <w:rsid w:val="000C4CAE"/>
    <w:rsid w:val="000C598E"/>
    <w:rsid w:val="000C5F90"/>
    <w:rsid w:val="000C616D"/>
    <w:rsid w:val="000C6421"/>
    <w:rsid w:val="000C667E"/>
    <w:rsid w:val="000C6D3C"/>
    <w:rsid w:val="000C6E6D"/>
    <w:rsid w:val="000C70D2"/>
    <w:rsid w:val="000C7110"/>
    <w:rsid w:val="000C7445"/>
    <w:rsid w:val="000C767C"/>
    <w:rsid w:val="000C7DBF"/>
    <w:rsid w:val="000D08F7"/>
    <w:rsid w:val="000D1705"/>
    <w:rsid w:val="000D1A42"/>
    <w:rsid w:val="000D1BAB"/>
    <w:rsid w:val="000D1ECC"/>
    <w:rsid w:val="000D26F8"/>
    <w:rsid w:val="000D27C3"/>
    <w:rsid w:val="000D2BC2"/>
    <w:rsid w:val="000D2EC1"/>
    <w:rsid w:val="000D3104"/>
    <w:rsid w:val="000D3BCD"/>
    <w:rsid w:val="000D3D1B"/>
    <w:rsid w:val="000D4961"/>
    <w:rsid w:val="000D52E8"/>
    <w:rsid w:val="000D5C59"/>
    <w:rsid w:val="000D6BD7"/>
    <w:rsid w:val="000D6EF6"/>
    <w:rsid w:val="000D7109"/>
    <w:rsid w:val="000D7216"/>
    <w:rsid w:val="000D78B1"/>
    <w:rsid w:val="000D7951"/>
    <w:rsid w:val="000D7BD8"/>
    <w:rsid w:val="000E01BF"/>
    <w:rsid w:val="000E056B"/>
    <w:rsid w:val="000E07D9"/>
    <w:rsid w:val="000E0839"/>
    <w:rsid w:val="000E1681"/>
    <w:rsid w:val="000E1D07"/>
    <w:rsid w:val="000E1E11"/>
    <w:rsid w:val="000E1EA6"/>
    <w:rsid w:val="000E257F"/>
    <w:rsid w:val="000E28C1"/>
    <w:rsid w:val="000E3015"/>
    <w:rsid w:val="000E34A6"/>
    <w:rsid w:val="000E3F1E"/>
    <w:rsid w:val="000E40A4"/>
    <w:rsid w:val="000E5907"/>
    <w:rsid w:val="000E5F7F"/>
    <w:rsid w:val="000E64FB"/>
    <w:rsid w:val="000E65DA"/>
    <w:rsid w:val="000E69EF"/>
    <w:rsid w:val="000E7A18"/>
    <w:rsid w:val="000E7D0C"/>
    <w:rsid w:val="000F0233"/>
    <w:rsid w:val="000F05CD"/>
    <w:rsid w:val="000F06E1"/>
    <w:rsid w:val="000F0917"/>
    <w:rsid w:val="000F0DC8"/>
    <w:rsid w:val="000F15BB"/>
    <w:rsid w:val="000F1879"/>
    <w:rsid w:val="000F1A94"/>
    <w:rsid w:val="000F2C24"/>
    <w:rsid w:val="000F2F6D"/>
    <w:rsid w:val="000F2F7D"/>
    <w:rsid w:val="000F3160"/>
    <w:rsid w:val="000F3218"/>
    <w:rsid w:val="000F3361"/>
    <w:rsid w:val="000F3A75"/>
    <w:rsid w:val="000F3D0C"/>
    <w:rsid w:val="000F4EC9"/>
    <w:rsid w:val="000F5082"/>
    <w:rsid w:val="000F510F"/>
    <w:rsid w:val="000F53CA"/>
    <w:rsid w:val="000F6036"/>
    <w:rsid w:val="000F606F"/>
    <w:rsid w:val="000F6113"/>
    <w:rsid w:val="000F69AB"/>
    <w:rsid w:val="000F6AB6"/>
    <w:rsid w:val="000F73E8"/>
    <w:rsid w:val="000F775A"/>
    <w:rsid w:val="000F7D0D"/>
    <w:rsid w:val="00100074"/>
    <w:rsid w:val="0010059C"/>
    <w:rsid w:val="00100F6D"/>
    <w:rsid w:val="001014F5"/>
    <w:rsid w:val="00101CF8"/>
    <w:rsid w:val="001026D4"/>
    <w:rsid w:val="00103110"/>
    <w:rsid w:val="00103B01"/>
    <w:rsid w:val="00103E6B"/>
    <w:rsid w:val="0010457B"/>
    <w:rsid w:val="00104DFB"/>
    <w:rsid w:val="0010503D"/>
    <w:rsid w:val="001050B5"/>
    <w:rsid w:val="0010579D"/>
    <w:rsid w:val="0010585E"/>
    <w:rsid w:val="00105A8B"/>
    <w:rsid w:val="00105F49"/>
    <w:rsid w:val="0010677A"/>
    <w:rsid w:val="00106FFF"/>
    <w:rsid w:val="001072AB"/>
    <w:rsid w:val="0010766C"/>
    <w:rsid w:val="00107BC1"/>
    <w:rsid w:val="001107AD"/>
    <w:rsid w:val="001108B2"/>
    <w:rsid w:val="00110B0A"/>
    <w:rsid w:val="00110D42"/>
    <w:rsid w:val="0011128A"/>
    <w:rsid w:val="00111C97"/>
    <w:rsid w:val="00111F61"/>
    <w:rsid w:val="00112A8C"/>
    <w:rsid w:val="00113281"/>
    <w:rsid w:val="00113991"/>
    <w:rsid w:val="00114142"/>
    <w:rsid w:val="00114A01"/>
    <w:rsid w:val="00114B2E"/>
    <w:rsid w:val="00115409"/>
    <w:rsid w:val="001154D3"/>
    <w:rsid w:val="00116515"/>
    <w:rsid w:val="00116759"/>
    <w:rsid w:val="00117A40"/>
    <w:rsid w:val="00117C02"/>
    <w:rsid w:val="00120288"/>
    <w:rsid w:val="001207B8"/>
    <w:rsid w:val="00120C62"/>
    <w:rsid w:val="00120D4A"/>
    <w:rsid w:val="00121017"/>
    <w:rsid w:val="001210A7"/>
    <w:rsid w:val="001214EF"/>
    <w:rsid w:val="00121D9D"/>
    <w:rsid w:val="00121EEB"/>
    <w:rsid w:val="00123044"/>
    <w:rsid w:val="001238E6"/>
    <w:rsid w:val="00123A35"/>
    <w:rsid w:val="0012425E"/>
    <w:rsid w:val="00124615"/>
    <w:rsid w:val="001247CF"/>
    <w:rsid w:val="00124D42"/>
    <w:rsid w:val="00124F19"/>
    <w:rsid w:val="00125A1F"/>
    <w:rsid w:val="00125A7E"/>
    <w:rsid w:val="00126129"/>
    <w:rsid w:val="001264F9"/>
    <w:rsid w:val="0012670F"/>
    <w:rsid w:val="00126927"/>
    <w:rsid w:val="0012708E"/>
    <w:rsid w:val="00127377"/>
    <w:rsid w:val="00127FEB"/>
    <w:rsid w:val="00130044"/>
    <w:rsid w:val="00130186"/>
    <w:rsid w:val="0013052F"/>
    <w:rsid w:val="00130851"/>
    <w:rsid w:val="00130CE8"/>
    <w:rsid w:val="00131BCB"/>
    <w:rsid w:val="00132313"/>
    <w:rsid w:val="001333E1"/>
    <w:rsid w:val="001337B3"/>
    <w:rsid w:val="00133A78"/>
    <w:rsid w:val="00134394"/>
    <w:rsid w:val="00134896"/>
    <w:rsid w:val="00135060"/>
    <w:rsid w:val="0013591E"/>
    <w:rsid w:val="00135F57"/>
    <w:rsid w:val="001363B3"/>
    <w:rsid w:val="001364D1"/>
    <w:rsid w:val="001365A4"/>
    <w:rsid w:val="00136E4B"/>
    <w:rsid w:val="00137417"/>
    <w:rsid w:val="00137990"/>
    <w:rsid w:val="001379B8"/>
    <w:rsid w:val="001379DD"/>
    <w:rsid w:val="00137AB0"/>
    <w:rsid w:val="001405C6"/>
    <w:rsid w:val="001408A3"/>
    <w:rsid w:val="001409CF"/>
    <w:rsid w:val="00140A8E"/>
    <w:rsid w:val="00141013"/>
    <w:rsid w:val="001412F7"/>
    <w:rsid w:val="001414BF"/>
    <w:rsid w:val="0014154E"/>
    <w:rsid w:val="00141702"/>
    <w:rsid w:val="00141905"/>
    <w:rsid w:val="00141BAC"/>
    <w:rsid w:val="001421FA"/>
    <w:rsid w:val="001424D6"/>
    <w:rsid w:val="00142F55"/>
    <w:rsid w:val="00142FC0"/>
    <w:rsid w:val="00143299"/>
    <w:rsid w:val="001438C6"/>
    <w:rsid w:val="00143A3E"/>
    <w:rsid w:val="00143B14"/>
    <w:rsid w:val="00143BC7"/>
    <w:rsid w:val="00143F16"/>
    <w:rsid w:val="0014413C"/>
    <w:rsid w:val="00144353"/>
    <w:rsid w:val="00144EAB"/>
    <w:rsid w:val="00144FB7"/>
    <w:rsid w:val="001450FE"/>
    <w:rsid w:val="00145FF9"/>
    <w:rsid w:val="001474C1"/>
    <w:rsid w:val="001474FC"/>
    <w:rsid w:val="00147B39"/>
    <w:rsid w:val="001508FC"/>
    <w:rsid w:val="001509E2"/>
    <w:rsid w:val="001518DD"/>
    <w:rsid w:val="00152381"/>
    <w:rsid w:val="00152539"/>
    <w:rsid w:val="00152785"/>
    <w:rsid w:val="00152C62"/>
    <w:rsid w:val="00153171"/>
    <w:rsid w:val="001534DE"/>
    <w:rsid w:val="00153B7F"/>
    <w:rsid w:val="001540EF"/>
    <w:rsid w:val="0015427A"/>
    <w:rsid w:val="001543AF"/>
    <w:rsid w:val="00155452"/>
    <w:rsid w:val="0015574E"/>
    <w:rsid w:val="00155890"/>
    <w:rsid w:val="001558DF"/>
    <w:rsid w:val="00155A5E"/>
    <w:rsid w:val="00155DAC"/>
    <w:rsid w:val="00155FFD"/>
    <w:rsid w:val="00156030"/>
    <w:rsid w:val="001572E7"/>
    <w:rsid w:val="0015765C"/>
    <w:rsid w:val="00160225"/>
    <w:rsid w:val="001612F7"/>
    <w:rsid w:val="00161392"/>
    <w:rsid w:val="0016187B"/>
    <w:rsid w:val="00161C9D"/>
    <w:rsid w:val="00161F75"/>
    <w:rsid w:val="0016231B"/>
    <w:rsid w:val="0016262B"/>
    <w:rsid w:val="001628B6"/>
    <w:rsid w:val="00162A07"/>
    <w:rsid w:val="00162C97"/>
    <w:rsid w:val="001631C2"/>
    <w:rsid w:val="0016352B"/>
    <w:rsid w:val="001639DE"/>
    <w:rsid w:val="001644AD"/>
    <w:rsid w:val="00164A35"/>
    <w:rsid w:val="00165647"/>
    <w:rsid w:val="001657E3"/>
    <w:rsid w:val="001658AF"/>
    <w:rsid w:val="00166165"/>
    <w:rsid w:val="00167AEB"/>
    <w:rsid w:val="0017019E"/>
    <w:rsid w:val="00170BE4"/>
    <w:rsid w:val="00171068"/>
    <w:rsid w:val="001710EE"/>
    <w:rsid w:val="001717F2"/>
    <w:rsid w:val="001722F6"/>
    <w:rsid w:val="0017251C"/>
    <w:rsid w:val="001726BE"/>
    <w:rsid w:val="00172AAE"/>
    <w:rsid w:val="0017324C"/>
    <w:rsid w:val="0017324D"/>
    <w:rsid w:val="001736F8"/>
    <w:rsid w:val="00173840"/>
    <w:rsid w:val="0017385E"/>
    <w:rsid w:val="00173C14"/>
    <w:rsid w:val="00173D2A"/>
    <w:rsid w:val="0017453D"/>
    <w:rsid w:val="00174A37"/>
    <w:rsid w:val="001754B1"/>
    <w:rsid w:val="0017574C"/>
    <w:rsid w:val="0017629C"/>
    <w:rsid w:val="00176C7B"/>
    <w:rsid w:val="0017729E"/>
    <w:rsid w:val="001777E4"/>
    <w:rsid w:val="00177A08"/>
    <w:rsid w:val="00177C3B"/>
    <w:rsid w:val="00177CAA"/>
    <w:rsid w:val="00177DDD"/>
    <w:rsid w:val="00177F5B"/>
    <w:rsid w:val="0018074A"/>
    <w:rsid w:val="00180811"/>
    <w:rsid w:val="00180BE2"/>
    <w:rsid w:val="001810ED"/>
    <w:rsid w:val="0018126C"/>
    <w:rsid w:val="001814F0"/>
    <w:rsid w:val="00181732"/>
    <w:rsid w:val="00181810"/>
    <w:rsid w:val="00181A33"/>
    <w:rsid w:val="00181EFF"/>
    <w:rsid w:val="00182802"/>
    <w:rsid w:val="00182885"/>
    <w:rsid w:val="00183220"/>
    <w:rsid w:val="001841FB"/>
    <w:rsid w:val="001847E2"/>
    <w:rsid w:val="00184D7A"/>
    <w:rsid w:val="001852DB"/>
    <w:rsid w:val="0018553A"/>
    <w:rsid w:val="00185B53"/>
    <w:rsid w:val="00185C9C"/>
    <w:rsid w:val="00185CF3"/>
    <w:rsid w:val="00186880"/>
    <w:rsid w:val="0018772D"/>
    <w:rsid w:val="0019023B"/>
    <w:rsid w:val="0019040E"/>
    <w:rsid w:val="0019049A"/>
    <w:rsid w:val="001904C6"/>
    <w:rsid w:val="001907F6"/>
    <w:rsid w:val="001911A6"/>
    <w:rsid w:val="00192445"/>
    <w:rsid w:val="0019278B"/>
    <w:rsid w:val="00192BF6"/>
    <w:rsid w:val="00192CBF"/>
    <w:rsid w:val="00192DA0"/>
    <w:rsid w:val="00192F27"/>
    <w:rsid w:val="00192F8A"/>
    <w:rsid w:val="00192FF1"/>
    <w:rsid w:val="0019338B"/>
    <w:rsid w:val="0019382F"/>
    <w:rsid w:val="00194449"/>
    <w:rsid w:val="001945D8"/>
    <w:rsid w:val="00194FA9"/>
    <w:rsid w:val="00195480"/>
    <w:rsid w:val="00195E6C"/>
    <w:rsid w:val="00195F5F"/>
    <w:rsid w:val="001962BB"/>
    <w:rsid w:val="00196493"/>
    <w:rsid w:val="0019686C"/>
    <w:rsid w:val="00196D63"/>
    <w:rsid w:val="00196E1C"/>
    <w:rsid w:val="00197022"/>
    <w:rsid w:val="001972AE"/>
    <w:rsid w:val="00197655"/>
    <w:rsid w:val="001A1009"/>
    <w:rsid w:val="001A1063"/>
    <w:rsid w:val="001A1219"/>
    <w:rsid w:val="001A15A1"/>
    <w:rsid w:val="001A15DA"/>
    <w:rsid w:val="001A1CF0"/>
    <w:rsid w:val="001A21AA"/>
    <w:rsid w:val="001A23BB"/>
    <w:rsid w:val="001A2900"/>
    <w:rsid w:val="001A29A2"/>
    <w:rsid w:val="001A2B0F"/>
    <w:rsid w:val="001A2B19"/>
    <w:rsid w:val="001A2BEA"/>
    <w:rsid w:val="001A2D77"/>
    <w:rsid w:val="001A2E92"/>
    <w:rsid w:val="001A2FCB"/>
    <w:rsid w:val="001A3013"/>
    <w:rsid w:val="001A32E4"/>
    <w:rsid w:val="001A3521"/>
    <w:rsid w:val="001A366C"/>
    <w:rsid w:val="001A3A74"/>
    <w:rsid w:val="001A3E44"/>
    <w:rsid w:val="001A3EBF"/>
    <w:rsid w:val="001A4C77"/>
    <w:rsid w:val="001A53C1"/>
    <w:rsid w:val="001A5A1F"/>
    <w:rsid w:val="001A5F1B"/>
    <w:rsid w:val="001A5F3F"/>
    <w:rsid w:val="001A6051"/>
    <w:rsid w:val="001A60C6"/>
    <w:rsid w:val="001A62C6"/>
    <w:rsid w:val="001A68C7"/>
    <w:rsid w:val="001A6AE9"/>
    <w:rsid w:val="001A6D2A"/>
    <w:rsid w:val="001A6FCC"/>
    <w:rsid w:val="001A7144"/>
    <w:rsid w:val="001A71F0"/>
    <w:rsid w:val="001B0A55"/>
    <w:rsid w:val="001B10E1"/>
    <w:rsid w:val="001B1C22"/>
    <w:rsid w:val="001B2375"/>
    <w:rsid w:val="001B27AF"/>
    <w:rsid w:val="001B2B3D"/>
    <w:rsid w:val="001B2CC0"/>
    <w:rsid w:val="001B34C6"/>
    <w:rsid w:val="001B3E71"/>
    <w:rsid w:val="001B4632"/>
    <w:rsid w:val="001B47D4"/>
    <w:rsid w:val="001B54B1"/>
    <w:rsid w:val="001B60FA"/>
    <w:rsid w:val="001B61F1"/>
    <w:rsid w:val="001B6740"/>
    <w:rsid w:val="001B6ED4"/>
    <w:rsid w:val="001B6F72"/>
    <w:rsid w:val="001B6FA1"/>
    <w:rsid w:val="001B78E7"/>
    <w:rsid w:val="001B7BE7"/>
    <w:rsid w:val="001B7EAB"/>
    <w:rsid w:val="001C01CB"/>
    <w:rsid w:val="001C02AD"/>
    <w:rsid w:val="001C052B"/>
    <w:rsid w:val="001C082B"/>
    <w:rsid w:val="001C095A"/>
    <w:rsid w:val="001C0BD6"/>
    <w:rsid w:val="001C172A"/>
    <w:rsid w:val="001C1DA1"/>
    <w:rsid w:val="001C33FC"/>
    <w:rsid w:val="001C37D6"/>
    <w:rsid w:val="001C3AD0"/>
    <w:rsid w:val="001C3D47"/>
    <w:rsid w:val="001C4D27"/>
    <w:rsid w:val="001C4E49"/>
    <w:rsid w:val="001C5012"/>
    <w:rsid w:val="001C5613"/>
    <w:rsid w:val="001C564E"/>
    <w:rsid w:val="001C616A"/>
    <w:rsid w:val="001C6931"/>
    <w:rsid w:val="001C6F1C"/>
    <w:rsid w:val="001C6F3E"/>
    <w:rsid w:val="001C72BB"/>
    <w:rsid w:val="001C77C6"/>
    <w:rsid w:val="001C79D8"/>
    <w:rsid w:val="001C7B2B"/>
    <w:rsid w:val="001D05CA"/>
    <w:rsid w:val="001D0C50"/>
    <w:rsid w:val="001D0F5E"/>
    <w:rsid w:val="001D12E1"/>
    <w:rsid w:val="001D1343"/>
    <w:rsid w:val="001D16E6"/>
    <w:rsid w:val="001D2BED"/>
    <w:rsid w:val="001D38A4"/>
    <w:rsid w:val="001D40E4"/>
    <w:rsid w:val="001D41FE"/>
    <w:rsid w:val="001D42ED"/>
    <w:rsid w:val="001D45CF"/>
    <w:rsid w:val="001D45F7"/>
    <w:rsid w:val="001D4BBA"/>
    <w:rsid w:val="001D5614"/>
    <w:rsid w:val="001D5817"/>
    <w:rsid w:val="001D658C"/>
    <w:rsid w:val="001D6805"/>
    <w:rsid w:val="001D6FAD"/>
    <w:rsid w:val="001D7073"/>
    <w:rsid w:val="001D74C0"/>
    <w:rsid w:val="001D770E"/>
    <w:rsid w:val="001D77CF"/>
    <w:rsid w:val="001D7832"/>
    <w:rsid w:val="001D7B0E"/>
    <w:rsid w:val="001D7B3E"/>
    <w:rsid w:val="001D7BB5"/>
    <w:rsid w:val="001D7FB5"/>
    <w:rsid w:val="001E0E2F"/>
    <w:rsid w:val="001E1DD0"/>
    <w:rsid w:val="001E1EDD"/>
    <w:rsid w:val="001E276A"/>
    <w:rsid w:val="001E2827"/>
    <w:rsid w:val="001E30A0"/>
    <w:rsid w:val="001E30B5"/>
    <w:rsid w:val="001E3370"/>
    <w:rsid w:val="001E3579"/>
    <w:rsid w:val="001E35BC"/>
    <w:rsid w:val="001E3D16"/>
    <w:rsid w:val="001E3DD6"/>
    <w:rsid w:val="001E5710"/>
    <w:rsid w:val="001E5738"/>
    <w:rsid w:val="001E58BC"/>
    <w:rsid w:val="001E5B9E"/>
    <w:rsid w:val="001E5EC4"/>
    <w:rsid w:val="001E6529"/>
    <w:rsid w:val="001E656A"/>
    <w:rsid w:val="001E6883"/>
    <w:rsid w:val="001E6B03"/>
    <w:rsid w:val="001E6B80"/>
    <w:rsid w:val="001E6D8E"/>
    <w:rsid w:val="001E72DA"/>
    <w:rsid w:val="001E79D8"/>
    <w:rsid w:val="001E7D33"/>
    <w:rsid w:val="001F034B"/>
    <w:rsid w:val="001F1437"/>
    <w:rsid w:val="001F1595"/>
    <w:rsid w:val="001F19DF"/>
    <w:rsid w:val="001F1A98"/>
    <w:rsid w:val="001F1BF7"/>
    <w:rsid w:val="001F1D04"/>
    <w:rsid w:val="001F27DF"/>
    <w:rsid w:val="001F2B70"/>
    <w:rsid w:val="001F3622"/>
    <w:rsid w:val="001F3643"/>
    <w:rsid w:val="001F3BCE"/>
    <w:rsid w:val="001F3D11"/>
    <w:rsid w:val="001F4489"/>
    <w:rsid w:val="001F48E1"/>
    <w:rsid w:val="001F4F41"/>
    <w:rsid w:val="001F53D4"/>
    <w:rsid w:val="001F58BD"/>
    <w:rsid w:val="001F5AFE"/>
    <w:rsid w:val="001F6CB5"/>
    <w:rsid w:val="001F6FD4"/>
    <w:rsid w:val="001F7580"/>
    <w:rsid w:val="001F76B3"/>
    <w:rsid w:val="001F7770"/>
    <w:rsid w:val="001F79D0"/>
    <w:rsid w:val="001F7C10"/>
    <w:rsid w:val="001F7C24"/>
    <w:rsid w:val="002005C3"/>
    <w:rsid w:val="00200827"/>
    <w:rsid w:val="00200E92"/>
    <w:rsid w:val="0020166C"/>
    <w:rsid w:val="00201B6A"/>
    <w:rsid w:val="00201C5F"/>
    <w:rsid w:val="00201D71"/>
    <w:rsid w:val="00202073"/>
    <w:rsid w:val="002020BE"/>
    <w:rsid w:val="00202254"/>
    <w:rsid w:val="0020255B"/>
    <w:rsid w:val="0020278A"/>
    <w:rsid w:val="00202C0F"/>
    <w:rsid w:val="002044CB"/>
    <w:rsid w:val="002048F3"/>
    <w:rsid w:val="00204976"/>
    <w:rsid w:val="00204996"/>
    <w:rsid w:val="0020511E"/>
    <w:rsid w:val="002052CD"/>
    <w:rsid w:val="00205489"/>
    <w:rsid w:val="00205735"/>
    <w:rsid w:val="002058B4"/>
    <w:rsid w:val="00205AFC"/>
    <w:rsid w:val="002060E5"/>
    <w:rsid w:val="00206259"/>
    <w:rsid w:val="0020638D"/>
    <w:rsid w:val="002068B1"/>
    <w:rsid w:val="0020712C"/>
    <w:rsid w:val="002073C3"/>
    <w:rsid w:val="00207B63"/>
    <w:rsid w:val="00210811"/>
    <w:rsid w:val="00210CF4"/>
    <w:rsid w:val="002110E0"/>
    <w:rsid w:val="00211BFA"/>
    <w:rsid w:val="00211D34"/>
    <w:rsid w:val="0021257D"/>
    <w:rsid w:val="00212963"/>
    <w:rsid w:val="002129D5"/>
    <w:rsid w:val="00212C4C"/>
    <w:rsid w:val="00212ED6"/>
    <w:rsid w:val="002131C6"/>
    <w:rsid w:val="002135B5"/>
    <w:rsid w:val="0021377D"/>
    <w:rsid w:val="002142C6"/>
    <w:rsid w:val="0021479F"/>
    <w:rsid w:val="00214F04"/>
    <w:rsid w:val="00215865"/>
    <w:rsid w:val="0021588B"/>
    <w:rsid w:val="0021590E"/>
    <w:rsid w:val="00216321"/>
    <w:rsid w:val="00216669"/>
    <w:rsid w:val="002167B4"/>
    <w:rsid w:val="00216FD8"/>
    <w:rsid w:val="002173C3"/>
    <w:rsid w:val="0021758D"/>
    <w:rsid w:val="00217636"/>
    <w:rsid w:val="0021790D"/>
    <w:rsid w:val="00217E93"/>
    <w:rsid w:val="00220482"/>
    <w:rsid w:val="002205C8"/>
    <w:rsid w:val="002208C4"/>
    <w:rsid w:val="00220947"/>
    <w:rsid w:val="00220C24"/>
    <w:rsid w:val="00220E1C"/>
    <w:rsid w:val="0022165A"/>
    <w:rsid w:val="002218BE"/>
    <w:rsid w:val="00221D16"/>
    <w:rsid w:val="00222B67"/>
    <w:rsid w:val="0022371C"/>
    <w:rsid w:val="00223C6D"/>
    <w:rsid w:val="00223C98"/>
    <w:rsid w:val="00223E74"/>
    <w:rsid w:val="00224063"/>
    <w:rsid w:val="00224C89"/>
    <w:rsid w:val="002253BC"/>
    <w:rsid w:val="00225F56"/>
    <w:rsid w:val="00226382"/>
    <w:rsid w:val="0022646F"/>
    <w:rsid w:val="00226929"/>
    <w:rsid w:val="00227563"/>
    <w:rsid w:val="00227ABA"/>
    <w:rsid w:val="00227D82"/>
    <w:rsid w:val="00231408"/>
    <w:rsid w:val="00231472"/>
    <w:rsid w:val="00231BE4"/>
    <w:rsid w:val="00231ECD"/>
    <w:rsid w:val="002329F0"/>
    <w:rsid w:val="002330DD"/>
    <w:rsid w:val="0023312A"/>
    <w:rsid w:val="0023341C"/>
    <w:rsid w:val="00233926"/>
    <w:rsid w:val="00233AA7"/>
    <w:rsid w:val="0023455A"/>
    <w:rsid w:val="0023481B"/>
    <w:rsid w:val="00234D07"/>
    <w:rsid w:val="002353F6"/>
    <w:rsid w:val="00235510"/>
    <w:rsid w:val="002355D4"/>
    <w:rsid w:val="00235DF8"/>
    <w:rsid w:val="00236069"/>
    <w:rsid w:val="002360DF"/>
    <w:rsid w:val="00236461"/>
    <w:rsid w:val="002367D5"/>
    <w:rsid w:val="00237474"/>
    <w:rsid w:val="00237531"/>
    <w:rsid w:val="00237980"/>
    <w:rsid w:val="00237BCA"/>
    <w:rsid w:val="00237F97"/>
    <w:rsid w:val="00240129"/>
    <w:rsid w:val="0024026A"/>
    <w:rsid w:val="00240532"/>
    <w:rsid w:val="002405BA"/>
    <w:rsid w:val="002406D0"/>
    <w:rsid w:val="0024086A"/>
    <w:rsid w:val="002408C9"/>
    <w:rsid w:val="00240B55"/>
    <w:rsid w:val="00240C5F"/>
    <w:rsid w:val="00240C91"/>
    <w:rsid w:val="00240CE6"/>
    <w:rsid w:val="00240EAE"/>
    <w:rsid w:val="00241011"/>
    <w:rsid w:val="002415CC"/>
    <w:rsid w:val="00241F6A"/>
    <w:rsid w:val="0024210E"/>
    <w:rsid w:val="00242348"/>
    <w:rsid w:val="002425A8"/>
    <w:rsid w:val="00242633"/>
    <w:rsid w:val="0024283B"/>
    <w:rsid w:val="002428AB"/>
    <w:rsid w:val="0024381D"/>
    <w:rsid w:val="00243914"/>
    <w:rsid w:val="00243A3F"/>
    <w:rsid w:val="00243B40"/>
    <w:rsid w:val="00243FAE"/>
    <w:rsid w:val="00244639"/>
    <w:rsid w:val="002447BB"/>
    <w:rsid w:val="00244A9A"/>
    <w:rsid w:val="00245305"/>
    <w:rsid w:val="002456A9"/>
    <w:rsid w:val="0024596E"/>
    <w:rsid w:val="00245A83"/>
    <w:rsid w:val="00245D7C"/>
    <w:rsid w:val="00246790"/>
    <w:rsid w:val="00246832"/>
    <w:rsid w:val="00246C49"/>
    <w:rsid w:val="00247084"/>
    <w:rsid w:val="00247B14"/>
    <w:rsid w:val="00247E5F"/>
    <w:rsid w:val="00247E89"/>
    <w:rsid w:val="002509F0"/>
    <w:rsid w:val="00250BCA"/>
    <w:rsid w:val="00251275"/>
    <w:rsid w:val="002519BF"/>
    <w:rsid w:val="00251F85"/>
    <w:rsid w:val="002522F8"/>
    <w:rsid w:val="0025250B"/>
    <w:rsid w:val="002526F5"/>
    <w:rsid w:val="00252815"/>
    <w:rsid w:val="002528B4"/>
    <w:rsid w:val="002533BE"/>
    <w:rsid w:val="00253EC3"/>
    <w:rsid w:val="00254549"/>
    <w:rsid w:val="002552C0"/>
    <w:rsid w:val="00255723"/>
    <w:rsid w:val="002562B3"/>
    <w:rsid w:val="00256952"/>
    <w:rsid w:val="00256D54"/>
    <w:rsid w:val="00256DCA"/>
    <w:rsid w:val="0025732F"/>
    <w:rsid w:val="002577C5"/>
    <w:rsid w:val="0025785C"/>
    <w:rsid w:val="00257875"/>
    <w:rsid w:val="00257D7A"/>
    <w:rsid w:val="00260039"/>
    <w:rsid w:val="00260422"/>
    <w:rsid w:val="00260B64"/>
    <w:rsid w:val="00260CCF"/>
    <w:rsid w:val="00260E99"/>
    <w:rsid w:val="0026117F"/>
    <w:rsid w:val="002614F3"/>
    <w:rsid w:val="00261D0B"/>
    <w:rsid w:val="002622FA"/>
    <w:rsid w:val="00262C7B"/>
    <w:rsid w:val="00262C9A"/>
    <w:rsid w:val="00262D81"/>
    <w:rsid w:val="002633D5"/>
    <w:rsid w:val="002639C0"/>
    <w:rsid w:val="00263A7D"/>
    <w:rsid w:val="00263ED0"/>
    <w:rsid w:val="00263F32"/>
    <w:rsid w:val="00264734"/>
    <w:rsid w:val="0026505E"/>
    <w:rsid w:val="00265245"/>
    <w:rsid w:val="002661CB"/>
    <w:rsid w:val="00266CD6"/>
    <w:rsid w:val="00267240"/>
    <w:rsid w:val="00270801"/>
    <w:rsid w:val="00270B03"/>
    <w:rsid w:val="00271069"/>
    <w:rsid w:val="0027112D"/>
    <w:rsid w:val="00271203"/>
    <w:rsid w:val="00271332"/>
    <w:rsid w:val="00271604"/>
    <w:rsid w:val="002730E4"/>
    <w:rsid w:val="00273218"/>
    <w:rsid w:val="00273306"/>
    <w:rsid w:val="0027365E"/>
    <w:rsid w:val="002749A5"/>
    <w:rsid w:val="00274DAE"/>
    <w:rsid w:val="00275120"/>
    <w:rsid w:val="00275E5B"/>
    <w:rsid w:val="0027633A"/>
    <w:rsid w:val="0027671D"/>
    <w:rsid w:val="00276816"/>
    <w:rsid w:val="00276915"/>
    <w:rsid w:val="00276CD9"/>
    <w:rsid w:val="00276E2B"/>
    <w:rsid w:val="00277448"/>
    <w:rsid w:val="00277918"/>
    <w:rsid w:val="00277E53"/>
    <w:rsid w:val="00280176"/>
    <w:rsid w:val="00280669"/>
    <w:rsid w:val="00280B0D"/>
    <w:rsid w:val="0028109B"/>
    <w:rsid w:val="00281383"/>
    <w:rsid w:val="002816DF"/>
    <w:rsid w:val="00281879"/>
    <w:rsid w:val="002818AC"/>
    <w:rsid w:val="00281A04"/>
    <w:rsid w:val="00281D5E"/>
    <w:rsid w:val="00281F19"/>
    <w:rsid w:val="002820C5"/>
    <w:rsid w:val="00282193"/>
    <w:rsid w:val="002825DE"/>
    <w:rsid w:val="00282C55"/>
    <w:rsid w:val="0028354E"/>
    <w:rsid w:val="00283582"/>
    <w:rsid w:val="00283788"/>
    <w:rsid w:val="00283AE8"/>
    <w:rsid w:val="00283E70"/>
    <w:rsid w:val="00283EBF"/>
    <w:rsid w:val="00284672"/>
    <w:rsid w:val="002848BC"/>
    <w:rsid w:val="00284A74"/>
    <w:rsid w:val="00284F13"/>
    <w:rsid w:val="002853FD"/>
    <w:rsid w:val="00285F33"/>
    <w:rsid w:val="00286CD5"/>
    <w:rsid w:val="0028716E"/>
    <w:rsid w:val="0028717A"/>
    <w:rsid w:val="0028778C"/>
    <w:rsid w:val="0028791B"/>
    <w:rsid w:val="00287E86"/>
    <w:rsid w:val="00290361"/>
    <w:rsid w:val="00290430"/>
    <w:rsid w:val="0029046D"/>
    <w:rsid w:val="00290936"/>
    <w:rsid w:val="00291C7B"/>
    <w:rsid w:val="00291E08"/>
    <w:rsid w:val="00291F21"/>
    <w:rsid w:val="00292398"/>
    <w:rsid w:val="00292C99"/>
    <w:rsid w:val="002939F4"/>
    <w:rsid w:val="00294352"/>
    <w:rsid w:val="002943A7"/>
    <w:rsid w:val="0029476F"/>
    <w:rsid w:val="002948EE"/>
    <w:rsid w:val="002959B7"/>
    <w:rsid w:val="0029603F"/>
    <w:rsid w:val="00296199"/>
    <w:rsid w:val="0029631E"/>
    <w:rsid w:val="002965E3"/>
    <w:rsid w:val="0029688C"/>
    <w:rsid w:val="00296B37"/>
    <w:rsid w:val="00296CF8"/>
    <w:rsid w:val="00297A4A"/>
    <w:rsid w:val="002A03B7"/>
    <w:rsid w:val="002A0543"/>
    <w:rsid w:val="002A09B6"/>
    <w:rsid w:val="002A0FE8"/>
    <w:rsid w:val="002A151A"/>
    <w:rsid w:val="002A1661"/>
    <w:rsid w:val="002A18EE"/>
    <w:rsid w:val="002A20E3"/>
    <w:rsid w:val="002A2649"/>
    <w:rsid w:val="002A35F5"/>
    <w:rsid w:val="002A380D"/>
    <w:rsid w:val="002A3AE7"/>
    <w:rsid w:val="002A45BC"/>
    <w:rsid w:val="002A4945"/>
    <w:rsid w:val="002A5675"/>
    <w:rsid w:val="002A59CA"/>
    <w:rsid w:val="002A5A04"/>
    <w:rsid w:val="002A5B66"/>
    <w:rsid w:val="002A60CC"/>
    <w:rsid w:val="002A6133"/>
    <w:rsid w:val="002A6315"/>
    <w:rsid w:val="002A7436"/>
    <w:rsid w:val="002A77CA"/>
    <w:rsid w:val="002A77E0"/>
    <w:rsid w:val="002B07E6"/>
    <w:rsid w:val="002B09E2"/>
    <w:rsid w:val="002B0BDA"/>
    <w:rsid w:val="002B0F15"/>
    <w:rsid w:val="002B11E2"/>
    <w:rsid w:val="002B1749"/>
    <w:rsid w:val="002B1E22"/>
    <w:rsid w:val="002B1F54"/>
    <w:rsid w:val="002B22D5"/>
    <w:rsid w:val="002B2389"/>
    <w:rsid w:val="002B24B8"/>
    <w:rsid w:val="002B25FF"/>
    <w:rsid w:val="002B29BD"/>
    <w:rsid w:val="002B2BDB"/>
    <w:rsid w:val="002B3069"/>
    <w:rsid w:val="002B30E4"/>
    <w:rsid w:val="002B3573"/>
    <w:rsid w:val="002B3596"/>
    <w:rsid w:val="002B4820"/>
    <w:rsid w:val="002B4DC6"/>
    <w:rsid w:val="002B4F2D"/>
    <w:rsid w:val="002B4F95"/>
    <w:rsid w:val="002B527F"/>
    <w:rsid w:val="002B544D"/>
    <w:rsid w:val="002B54EB"/>
    <w:rsid w:val="002B5727"/>
    <w:rsid w:val="002B5B77"/>
    <w:rsid w:val="002B60DF"/>
    <w:rsid w:val="002B60E8"/>
    <w:rsid w:val="002B614D"/>
    <w:rsid w:val="002B664E"/>
    <w:rsid w:val="002B6E39"/>
    <w:rsid w:val="002B7142"/>
    <w:rsid w:val="002B724B"/>
    <w:rsid w:val="002B72C5"/>
    <w:rsid w:val="002B7837"/>
    <w:rsid w:val="002B7EEC"/>
    <w:rsid w:val="002C03AC"/>
    <w:rsid w:val="002C04CC"/>
    <w:rsid w:val="002C0542"/>
    <w:rsid w:val="002C05E2"/>
    <w:rsid w:val="002C061C"/>
    <w:rsid w:val="002C073B"/>
    <w:rsid w:val="002C13AA"/>
    <w:rsid w:val="002C18F8"/>
    <w:rsid w:val="002C19C8"/>
    <w:rsid w:val="002C1A27"/>
    <w:rsid w:val="002C1D14"/>
    <w:rsid w:val="002C2156"/>
    <w:rsid w:val="002C2A98"/>
    <w:rsid w:val="002C3097"/>
    <w:rsid w:val="002C312D"/>
    <w:rsid w:val="002C31EC"/>
    <w:rsid w:val="002C3B4C"/>
    <w:rsid w:val="002C40EA"/>
    <w:rsid w:val="002C4DEF"/>
    <w:rsid w:val="002C519D"/>
    <w:rsid w:val="002C5291"/>
    <w:rsid w:val="002C5298"/>
    <w:rsid w:val="002C5E91"/>
    <w:rsid w:val="002C60A3"/>
    <w:rsid w:val="002C70C1"/>
    <w:rsid w:val="002C70DE"/>
    <w:rsid w:val="002C7791"/>
    <w:rsid w:val="002C7921"/>
    <w:rsid w:val="002D008B"/>
    <w:rsid w:val="002D0129"/>
    <w:rsid w:val="002D0207"/>
    <w:rsid w:val="002D05E7"/>
    <w:rsid w:val="002D07E8"/>
    <w:rsid w:val="002D0961"/>
    <w:rsid w:val="002D0C89"/>
    <w:rsid w:val="002D0E74"/>
    <w:rsid w:val="002D1267"/>
    <w:rsid w:val="002D160A"/>
    <w:rsid w:val="002D26B6"/>
    <w:rsid w:val="002D2827"/>
    <w:rsid w:val="002D2FF0"/>
    <w:rsid w:val="002D33AC"/>
    <w:rsid w:val="002D34B7"/>
    <w:rsid w:val="002D3695"/>
    <w:rsid w:val="002D3951"/>
    <w:rsid w:val="002D3AE9"/>
    <w:rsid w:val="002D3CC7"/>
    <w:rsid w:val="002D4220"/>
    <w:rsid w:val="002D473D"/>
    <w:rsid w:val="002D4793"/>
    <w:rsid w:val="002D481C"/>
    <w:rsid w:val="002D5857"/>
    <w:rsid w:val="002D6087"/>
    <w:rsid w:val="002D6CE6"/>
    <w:rsid w:val="002D6E0B"/>
    <w:rsid w:val="002D6E5C"/>
    <w:rsid w:val="002D732C"/>
    <w:rsid w:val="002D75A9"/>
    <w:rsid w:val="002E0120"/>
    <w:rsid w:val="002E0DB6"/>
    <w:rsid w:val="002E16B3"/>
    <w:rsid w:val="002E1A77"/>
    <w:rsid w:val="002E20E1"/>
    <w:rsid w:val="002E27D3"/>
    <w:rsid w:val="002E42A8"/>
    <w:rsid w:val="002E4A0A"/>
    <w:rsid w:val="002E5066"/>
    <w:rsid w:val="002E553E"/>
    <w:rsid w:val="002E5D3F"/>
    <w:rsid w:val="002E622D"/>
    <w:rsid w:val="002E65E7"/>
    <w:rsid w:val="002E6746"/>
    <w:rsid w:val="002E736E"/>
    <w:rsid w:val="002E773B"/>
    <w:rsid w:val="002E7F07"/>
    <w:rsid w:val="002F02D1"/>
    <w:rsid w:val="002F047E"/>
    <w:rsid w:val="002F0675"/>
    <w:rsid w:val="002F0734"/>
    <w:rsid w:val="002F09DA"/>
    <w:rsid w:val="002F0F6C"/>
    <w:rsid w:val="002F146C"/>
    <w:rsid w:val="002F1EFE"/>
    <w:rsid w:val="002F210B"/>
    <w:rsid w:val="002F2270"/>
    <w:rsid w:val="002F2358"/>
    <w:rsid w:val="002F2D57"/>
    <w:rsid w:val="002F2EDE"/>
    <w:rsid w:val="002F338E"/>
    <w:rsid w:val="002F3960"/>
    <w:rsid w:val="002F3BD4"/>
    <w:rsid w:val="002F3C6F"/>
    <w:rsid w:val="002F3CFD"/>
    <w:rsid w:val="002F46E7"/>
    <w:rsid w:val="002F48D2"/>
    <w:rsid w:val="002F4D49"/>
    <w:rsid w:val="002F4FD0"/>
    <w:rsid w:val="002F5FEA"/>
    <w:rsid w:val="002F6809"/>
    <w:rsid w:val="002F7067"/>
    <w:rsid w:val="002F711E"/>
    <w:rsid w:val="00300879"/>
    <w:rsid w:val="0030102A"/>
    <w:rsid w:val="0030102F"/>
    <w:rsid w:val="00301A4B"/>
    <w:rsid w:val="00301A89"/>
    <w:rsid w:val="00301D0C"/>
    <w:rsid w:val="00301FB1"/>
    <w:rsid w:val="0030296E"/>
    <w:rsid w:val="00302A1C"/>
    <w:rsid w:val="00302B3E"/>
    <w:rsid w:val="00302B94"/>
    <w:rsid w:val="00303372"/>
    <w:rsid w:val="00303E8B"/>
    <w:rsid w:val="00303EFB"/>
    <w:rsid w:val="00303F87"/>
    <w:rsid w:val="003040AC"/>
    <w:rsid w:val="00304936"/>
    <w:rsid w:val="003052D8"/>
    <w:rsid w:val="0030595E"/>
    <w:rsid w:val="00305BC7"/>
    <w:rsid w:val="00306594"/>
    <w:rsid w:val="00306719"/>
    <w:rsid w:val="00306C77"/>
    <w:rsid w:val="003070BB"/>
    <w:rsid w:val="003076A7"/>
    <w:rsid w:val="00307B4A"/>
    <w:rsid w:val="00307E78"/>
    <w:rsid w:val="003101DA"/>
    <w:rsid w:val="0031042E"/>
    <w:rsid w:val="00310782"/>
    <w:rsid w:val="00310ACF"/>
    <w:rsid w:val="00310EA7"/>
    <w:rsid w:val="00311158"/>
    <w:rsid w:val="00311739"/>
    <w:rsid w:val="00311803"/>
    <w:rsid w:val="0031189C"/>
    <w:rsid w:val="00311A75"/>
    <w:rsid w:val="00311C46"/>
    <w:rsid w:val="00313540"/>
    <w:rsid w:val="00313D20"/>
    <w:rsid w:val="003146EB"/>
    <w:rsid w:val="00314757"/>
    <w:rsid w:val="00314D2F"/>
    <w:rsid w:val="00315185"/>
    <w:rsid w:val="00315322"/>
    <w:rsid w:val="00315AF5"/>
    <w:rsid w:val="003173C0"/>
    <w:rsid w:val="0031763B"/>
    <w:rsid w:val="003178A9"/>
    <w:rsid w:val="00317CAD"/>
    <w:rsid w:val="00317D98"/>
    <w:rsid w:val="003207DA"/>
    <w:rsid w:val="00320872"/>
    <w:rsid w:val="003211CE"/>
    <w:rsid w:val="00322885"/>
    <w:rsid w:val="00322DB3"/>
    <w:rsid w:val="0032372F"/>
    <w:rsid w:val="00323896"/>
    <w:rsid w:val="00323B10"/>
    <w:rsid w:val="00323F10"/>
    <w:rsid w:val="0032407E"/>
    <w:rsid w:val="00324A20"/>
    <w:rsid w:val="00324DBB"/>
    <w:rsid w:val="00325905"/>
    <w:rsid w:val="00325AB0"/>
    <w:rsid w:val="00325EB3"/>
    <w:rsid w:val="00326049"/>
    <w:rsid w:val="0032634F"/>
    <w:rsid w:val="00326E66"/>
    <w:rsid w:val="0032709C"/>
    <w:rsid w:val="00327303"/>
    <w:rsid w:val="003274C0"/>
    <w:rsid w:val="00327937"/>
    <w:rsid w:val="00327C2D"/>
    <w:rsid w:val="00327C7F"/>
    <w:rsid w:val="003302A0"/>
    <w:rsid w:val="00330625"/>
    <w:rsid w:val="00330806"/>
    <w:rsid w:val="0033113F"/>
    <w:rsid w:val="00331234"/>
    <w:rsid w:val="003316F4"/>
    <w:rsid w:val="00331C31"/>
    <w:rsid w:val="00331ECE"/>
    <w:rsid w:val="00332519"/>
    <w:rsid w:val="00332622"/>
    <w:rsid w:val="00333104"/>
    <w:rsid w:val="0033311C"/>
    <w:rsid w:val="0033343D"/>
    <w:rsid w:val="0033383C"/>
    <w:rsid w:val="00334A48"/>
    <w:rsid w:val="00335089"/>
    <w:rsid w:val="003350E3"/>
    <w:rsid w:val="00335E39"/>
    <w:rsid w:val="00335FC4"/>
    <w:rsid w:val="00336B34"/>
    <w:rsid w:val="003373E9"/>
    <w:rsid w:val="0033770C"/>
    <w:rsid w:val="0034075C"/>
    <w:rsid w:val="00340CBB"/>
    <w:rsid w:val="003411B8"/>
    <w:rsid w:val="0034138C"/>
    <w:rsid w:val="0034146D"/>
    <w:rsid w:val="00341540"/>
    <w:rsid w:val="00341BAA"/>
    <w:rsid w:val="00341C4D"/>
    <w:rsid w:val="00341C5E"/>
    <w:rsid w:val="00342B23"/>
    <w:rsid w:val="00342D57"/>
    <w:rsid w:val="00343A80"/>
    <w:rsid w:val="00344E02"/>
    <w:rsid w:val="0034512A"/>
    <w:rsid w:val="00345945"/>
    <w:rsid w:val="00345F27"/>
    <w:rsid w:val="00345FBA"/>
    <w:rsid w:val="00346227"/>
    <w:rsid w:val="003463A6"/>
    <w:rsid w:val="00346543"/>
    <w:rsid w:val="003466BF"/>
    <w:rsid w:val="003469CF"/>
    <w:rsid w:val="00346E41"/>
    <w:rsid w:val="003474E0"/>
    <w:rsid w:val="00350321"/>
    <w:rsid w:val="00350348"/>
    <w:rsid w:val="00350B51"/>
    <w:rsid w:val="00351ACB"/>
    <w:rsid w:val="00352128"/>
    <w:rsid w:val="003521FB"/>
    <w:rsid w:val="0035282C"/>
    <w:rsid w:val="00352A2C"/>
    <w:rsid w:val="00352ACA"/>
    <w:rsid w:val="00352C6B"/>
    <w:rsid w:val="00353217"/>
    <w:rsid w:val="0035354A"/>
    <w:rsid w:val="00353AD9"/>
    <w:rsid w:val="00353D11"/>
    <w:rsid w:val="00353EDA"/>
    <w:rsid w:val="0035403A"/>
    <w:rsid w:val="003547F8"/>
    <w:rsid w:val="0035502F"/>
    <w:rsid w:val="003553B8"/>
    <w:rsid w:val="00355BF4"/>
    <w:rsid w:val="00355D53"/>
    <w:rsid w:val="003572E4"/>
    <w:rsid w:val="00360550"/>
    <w:rsid w:val="0036055C"/>
    <w:rsid w:val="003607FC"/>
    <w:rsid w:val="00360A11"/>
    <w:rsid w:val="00360AA8"/>
    <w:rsid w:val="00361272"/>
    <w:rsid w:val="003613E9"/>
    <w:rsid w:val="00361676"/>
    <w:rsid w:val="00361BA5"/>
    <w:rsid w:val="00361FFC"/>
    <w:rsid w:val="003634FC"/>
    <w:rsid w:val="00363652"/>
    <w:rsid w:val="0036394B"/>
    <w:rsid w:val="003639D6"/>
    <w:rsid w:val="00363E93"/>
    <w:rsid w:val="003647DA"/>
    <w:rsid w:val="0036489E"/>
    <w:rsid w:val="00364C0C"/>
    <w:rsid w:val="00364CB5"/>
    <w:rsid w:val="003655FC"/>
    <w:rsid w:val="0036566B"/>
    <w:rsid w:val="003657FC"/>
    <w:rsid w:val="00366E96"/>
    <w:rsid w:val="00367196"/>
    <w:rsid w:val="00367ADF"/>
    <w:rsid w:val="0037004B"/>
    <w:rsid w:val="00370236"/>
    <w:rsid w:val="00370379"/>
    <w:rsid w:val="003709B5"/>
    <w:rsid w:val="00370AF4"/>
    <w:rsid w:val="00370D1E"/>
    <w:rsid w:val="0037164C"/>
    <w:rsid w:val="00371673"/>
    <w:rsid w:val="0037198A"/>
    <w:rsid w:val="00371BBC"/>
    <w:rsid w:val="00372A82"/>
    <w:rsid w:val="00372B11"/>
    <w:rsid w:val="00372DB8"/>
    <w:rsid w:val="003730B0"/>
    <w:rsid w:val="0037336B"/>
    <w:rsid w:val="003744F8"/>
    <w:rsid w:val="003747AD"/>
    <w:rsid w:val="003753B8"/>
    <w:rsid w:val="00375635"/>
    <w:rsid w:val="0037574B"/>
    <w:rsid w:val="00375896"/>
    <w:rsid w:val="003759C2"/>
    <w:rsid w:val="00375FC3"/>
    <w:rsid w:val="0037633D"/>
    <w:rsid w:val="00377022"/>
    <w:rsid w:val="00377417"/>
    <w:rsid w:val="0037748B"/>
    <w:rsid w:val="00377736"/>
    <w:rsid w:val="003777FB"/>
    <w:rsid w:val="003778A8"/>
    <w:rsid w:val="00377E7D"/>
    <w:rsid w:val="00380B29"/>
    <w:rsid w:val="00380C55"/>
    <w:rsid w:val="00381187"/>
    <w:rsid w:val="00381C8E"/>
    <w:rsid w:val="003823F9"/>
    <w:rsid w:val="00383532"/>
    <w:rsid w:val="00383D69"/>
    <w:rsid w:val="00384373"/>
    <w:rsid w:val="003843A2"/>
    <w:rsid w:val="00384E87"/>
    <w:rsid w:val="003852A8"/>
    <w:rsid w:val="00385ADD"/>
    <w:rsid w:val="003863AA"/>
    <w:rsid w:val="0038680B"/>
    <w:rsid w:val="0038688E"/>
    <w:rsid w:val="00386A41"/>
    <w:rsid w:val="00386B1B"/>
    <w:rsid w:val="00386C4B"/>
    <w:rsid w:val="0038719F"/>
    <w:rsid w:val="0038734C"/>
    <w:rsid w:val="00387635"/>
    <w:rsid w:val="0038784F"/>
    <w:rsid w:val="003878D8"/>
    <w:rsid w:val="00387CA8"/>
    <w:rsid w:val="00390608"/>
    <w:rsid w:val="00390B92"/>
    <w:rsid w:val="003911FD"/>
    <w:rsid w:val="003912AA"/>
    <w:rsid w:val="00391481"/>
    <w:rsid w:val="00391537"/>
    <w:rsid w:val="003915AF"/>
    <w:rsid w:val="003916D9"/>
    <w:rsid w:val="00391880"/>
    <w:rsid w:val="0039206D"/>
    <w:rsid w:val="00392AB9"/>
    <w:rsid w:val="00392C33"/>
    <w:rsid w:val="00392D62"/>
    <w:rsid w:val="00392FD3"/>
    <w:rsid w:val="003934AA"/>
    <w:rsid w:val="00393B2A"/>
    <w:rsid w:val="00394334"/>
    <w:rsid w:val="003947DB"/>
    <w:rsid w:val="00394993"/>
    <w:rsid w:val="00394A3C"/>
    <w:rsid w:val="00394DF0"/>
    <w:rsid w:val="00394FB9"/>
    <w:rsid w:val="003951D2"/>
    <w:rsid w:val="003959DC"/>
    <w:rsid w:val="00395DE0"/>
    <w:rsid w:val="00396327"/>
    <w:rsid w:val="0039721B"/>
    <w:rsid w:val="00397365"/>
    <w:rsid w:val="00397AAC"/>
    <w:rsid w:val="00397C00"/>
    <w:rsid w:val="00397F9E"/>
    <w:rsid w:val="003A01E1"/>
    <w:rsid w:val="003A0A9C"/>
    <w:rsid w:val="003A1EFB"/>
    <w:rsid w:val="003A25BA"/>
    <w:rsid w:val="003A25EA"/>
    <w:rsid w:val="003A2753"/>
    <w:rsid w:val="003A2916"/>
    <w:rsid w:val="003A29B2"/>
    <w:rsid w:val="003A2A54"/>
    <w:rsid w:val="003A305C"/>
    <w:rsid w:val="003A3106"/>
    <w:rsid w:val="003A31F6"/>
    <w:rsid w:val="003A3513"/>
    <w:rsid w:val="003A3966"/>
    <w:rsid w:val="003A3D4A"/>
    <w:rsid w:val="003A3F6B"/>
    <w:rsid w:val="003A475E"/>
    <w:rsid w:val="003A4B88"/>
    <w:rsid w:val="003A63D1"/>
    <w:rsid w:val="003A661F"/>
    <w:rsid w:val="003A6765"/>
    <w:rsid w:val="003B012A"/>
    <w:rsid w:val="003B0B72"/>
    <w:rsid w:val="003B0C12"/>
    <w:rsid w:val="003B107D"/>
    <w:rsid w:val="003B10E1"/>
    <w:rsid w:val="003B1541"/>
    <w:rsid w:val="003B2774"/>
    <w:rsid w:val="003B27C2"/>
    <w:rsid w:val="003B2AD1"/>
    <w:rsid w:val="003B2DA1"/>
    <w:rsid w:val="003B2EDC"/>
    <w:rsid w:val="003B2EDD"/>
    <w:rsid w:val="003B2F52"/>
    <w:rsid w:val="003B3190"/>
    <w:rsid w:val="003B3201"/>
    <w:rsid w:val="003B3513"/>
    <w:rsid w:val="003B39D4"/>
    <w:rsid w:val="003B3DBF"/>
    <w:rsid w:val="003B4096"/>
    <w:rsid w:val="003B41B2"/>
    <w:rsid w:val="003B4529"/>
    <w:rsid w:val="003B4629"/>
    <w:rsid w:val="003B4C1A"/>
    <w:rsid w:val="003B526C"/>
    <w:rsid w:val="003B53E2"/>
    <w:rsid w:val="003B57CC"/>
    <w:rsid w:val="003B5839"/>
    <w:rsid w:val="003B596C"/>
    <w:rsid w:val="003B5CC4"/>
    <w:rsid w:val="003B5F30"/>
    <w:rsid w:val="003B66CA"/>
    <w:rsid w:val="003B67FF"/>
    <w:rsid w:val="003B68D6"/>
    <w:rsid w:val="003B6D01"/>
    <w:rsid w:val="003B7176"/>
    <w:rsid w:val="003B7999"/>
    <w:rsid w:val="003B7EC0"/>
    <w:rsid w:val="003C014C"/>
    <w:rsid w:val="003C091E"/>
    <w:rsid w:val="003C10AC"/>
    <w:rsid w:val="003C12F6"/>
    <w:rsid w:val="003C15CF"/>
    <w:rsid w:val="003C17C6"/>
    <w:rsid w:val="003C1C65"/>
    <w:rsid w:val="003C2C74"/>
    <w:rsid w:val="003C340B"/>
    <w:rsid w:val="003C3447"/>
    <w:rsid w:val="003C384C"/>
    <w:rsid w:val="003C4759"/>
    <w:rsid w:val="003C4F8C"/>
    <w:rsid w:val="003C532F"/>
    <w:rsid w:val="003C5939"/>
    <w:rsid w:val="003C5A04"/>
    <w:rsid w:val="003C5F33"/>
    <w:rsid w:val="003C65D7"/>
    <w:rsid w:val="003C6D4C"/>
    <w:rsid w:val="003C77D8"/>
    <w:rsid w:val="003C7B30"/>
    <w:rsid w:val="003C7F2D"/>
    <w:rsid w:val="003D076C"/>
    <w:rsid w:val="003D08EA"/>
    <w:rsid w:val="003D0D5F"/>
    <w:rsid w:val="003D1373"/>
    <w:rsid w:val="003D1D28"/>
    <w:rsid w:val="003D2E03"/>
    <w:rsid w:val="003D3321"/>
    <w:rsid w:val="003D3356"/>
    <w:rsid w:val="003D358F"/>
    <w:rsid w:val="003D3B31"/>
    <w:rsid w:val="003D3CE3"/>
    <w:rsid w:val="003D3D51"/>
    <w:rsid w:val="003D405A"/>
    <w:rsid w:val="003D45CA"/>
    <w:rsid w:val="003D510B"/>
    <w:rsid w:val="003D5203"/>
    <w:rsid w:val="003D5275"/>
    <w:rsid w:val="003D5544"/>
    <w:rsid w:val="003D5815"/>
    <w:rsid w:val="003D5D83"/>
    <w:rsid w:val="003D6148"/>
    <w:rsid w:val="003D7208"/>
    <w:rsid w:val="003D73E0"/>
    <w:rsid w:val="003D7837"/>
    <w:rsid w:val="003D7EF8"/>
    <w:rsid w:val="003E062D"/>
    <w:rsid w:val="003E0C6A"/>
    <w:rsid w:val="003E1816"/>
    <w:rsid w:val="003E1C39"/>
    <w:rsid w:val="003E1FC0"/>
    <w:rsid w:val="003E21A4"/>
    <w:rsid w:val="003E23CB"/>
    <w:rsid w:val="003E24EE"/>
    <w:rsid w:val="003E3219"/>
    <w:rsid w:val="003E3E74"/>
    <w:rsid w:val="003E3FC6"/>
    <w:rsid w:val="003E41A7"/>
    <w:rsid w:val="003E47D3"/>
    <w:rsid w:val="003E4BE7"/>
    <w:rsid w:val="003E5659"/>
    <w:rsid w:val="003E5F87"/>
    <w:rsid w:val="003E6092"/>
    <w:rsid w:val="003E652C"/>
    <w:rsid w:val="003E6C0F"/>
    <w:rsid w:val="003E71D6"/>
    <w:rsid w:val="003E775E"/>
    <w:rsid w:val="003F01A1"/>
    <w:rsid w:val="003F108C"/>
    <w:rsid w:val="003F1546"/>
    <w:rsid w:val="003F1772"/>
    <w:rsid w:val="003F1944"/>
    <w:rsid w:val="003F2356"/>
    <w:rsid w:val="003F25A5"/>
    <w:rsid w:val="003F27F0"/>
    <w:rsid w:val="003F2B23"/>
    <w:rsid w:val="003F2D17"/>
    <w:rsid w:val="003F2E01"/>
    <w:rsid w:val="003F3FA3"/>
    <w:rsid w:val="003F4BA1"/>
    <w:rsid w:val="003F4D41"/>
    <w:rsid w:val="003F5990"/>
    <w:rsid w:val="003F5E42"/>
    <w:rsid w:val="003F6250"/>
    <w:rsid w:val="003F6398"/>
    <w:rsid w:val="003F69BF"/>
    <w:rsid w:val="003F6EA9"/>
    <w:rsid w:val="003F79A5"/>
    <w:rsid w:val="00400158"/>
    <w:rsid w:val="0040045B"/>
    <w:rsid w:val="0040051D"/>
    <w:rsid w:val="00400695"/>
    <w:rsid w:val="00400A12"/>
    <w:rsid w:val="00401001"/>
    <w:rsid w:val="00401441"/>
    <w:rsid w:val="004014E0"/>
    <w:rsid w:val="00401587"/>
    <w:rsid w:val="004018D3"/>
    <w:rsid w:val="00403250"/>
    <w:rsid w:val="00403546"/>
    <w:rsid w:val="004037CB"/>
    <w:rsid w:val="00403839"/>
    <w:rsid w:val="00403D2A"/>
    <w:rsid w:val="00404765"/>
    <w:rsid w:val="004050AA"/>
    <w:rsid w:val="004053F4"/>
    <w:rsid w:val="0040543F"/>
    <w:rsid w:val="00405771"/>
    <w:rsid w:val="004061C0"/>
    <w:rsid w:val="00406DF9"/>
    <w:rsid w:val="00406EB4"/>
    <w:rsid w:val="00407031"/>
    <w:rsid w:val="00410A14"/>
    <w:rsid w:val="00411633"/>
    <w:rsid w:val="00411644"/>
    <w:rsid w:val="00411BC6"/>
    <w:rsid w:val="00411C16"/>
    <w:rsid w:val="0041223D"/>
    <w:rsid w:val="00412781"/>
    <w:rsid w:val="00412960"/>
    <w:rsid w:val="00412E54"/>
    <w:rsid w:val="0041381B"/>
    <w:rsid w:val="00413A60"/>
    <w:rsid w:val="004141D3"/>
    <w:rsid w:val="004143AC"/>
    <w:rsid w:val="0041543E"/>
    <w:rsid w:val="00415820"/>
    <w:rsid w:val="00415BAB"/>
    <w:rsid w:val="00415ED2"/>
    <w:rsid w:val="0041607F"/>
    <w:rsid w:val="00416D2B"/>
    <w:rsid w:val="004173D5"/>
    <w:rsid w:val="0041742A"/>
    <w:rsid w:val="00417444"/>
    <w:rsid w:val="004174DD"/>
    <w:rsid w:val="00417CEF"/>
    <w:rsid w:val="00420048"/>
    <w:rsid w:val="004203BF"/>
    <w:rsid w:val="0042042F"/>
    <w:rsid w:val="0042068C"/>
    <w:rsid w:val="00420C0E"/>
    <w:rsid w:val="00420E8F"/>
    <w:rsid w:val="00421311"/>
    <w:rsid w:val="0042139B"/>
    <w:rsid w:val="0042210A"/>
    <w:rsid w:val="00422670"/>
    <w:rsid w:val="004228F7"/>
    <w:rsid w:val="00422FDB"/>
    <w:rsid w:val="00423649"/>
    <w:rsid w:val="004244C0"/>
    <w:rsid w:val="00424637"/>
    <w:rsid w:val="0042488E"/>
    <w:rsid w:val="004249D2"/>
    <w:rsid w:val="00425464"/>
    <w:rsid w:val="00425866"/>
    <w:rsid w:val="00425A16"/>
    <w:rsid w:val="00425A5B"/>
    <w:rsid w:val="00425F94"/>
    <w:rsid w:val="00426569"/>
    <w:rsid w:val="00426657"/>
    <w:rsid w:val="00426E17"/>
    <w:rsid w:val="004272EA"/>
    <w:rsid w:val="0042738F"/>
    <w:rsid w:val="004273BD"/>
    <w:rsid w:val="004274E0"/>
    <w:rsid w:val="00427AB4"/>
    <w:rsid w:val="00427B9D"/>
    <w:rsid w:val="00427D74"/>
    <w:rsid w:val="00427DD6"/>
    <w:rsid w:val="00427FA4"/>
    <w:rsid w:val="0043092A"/>
    <w:rsid w:val="00430CE4"/>
    <w:rsid w:val="00430EB9"/>
    <w:rsid w:val="004316BD"/>
    <w:rsid w:val="00431C37"/>
    <w:rsid w:val="00432091"/>
    <w:rsid w:val="00432157"/>
    <w:rsid w:val="00432422"/>
    <w:rsid w:val="00432EA9"/>
    <w:rsid w:val="00433586"/>
    <w:rsid w:val="004336EF"/>
    <w:rsid w:val="00433B61"/>
    <w:rsid w:val="00433BB0"/>
    <w:rsid w:val="0043421B"/>
    <w:rsid w:val="00434240"/>
    <w:rsid w:val="004347C4"/>
    <w:rsid w:val="00434CEE"/>
    <w:rsid w:val="0043523C"/>
    <w:rsid w:val="00435257"/>
    <w:rsid w:val="004355EE"/>
    <w:rsid w:val="00435D9E"/>
    <w:rsid w:val="00435DFE"/>
    <w:rsid w:val="00436AFF"/>
    <w:rsid w:val="00436D0C"/>
    <w:rsid w:val="00436EB0"/>
    <w:rsid w:val="004370EA"/>
    <w:rsid w:val="00437237"/>
    <w:rsid w:val="004379A7"/>
    <w:rsid w:val="00440C6E"/>
    <w:rsid w:val="00440E27"/>
    <w:rsid w:val="004417B9"/>
    <w:rsid w:val="00441813"/>
    <w:rsid w:val="00441E1D"/>
    <w:rsid w:val="00442261"/>
    <w:rsid w:val="0044257E"/>
    <w:rsid w:val="004429CD"/>
    <w:rsid w:val="0044303F"/>
    <w:rsid w:val="004433EC"/>
    <w:rsid w:val="00443603"/>
    <w:rsid w:val="00443786"/>
    <w:rsid w:val="00443BBF"/>
    <w:rsid w:val="00443D09"/>
    <w:rsid w:val="00443D27"/>
    <w:rsid w:val="004443D5"/>
    <w:rsid w:val="00444559"/>
    <w:rsid w:val="004449AB"/>
    <w:rsid w:val="004465B0"/>
    <w:rsid w:val="00446B9F"/>
    <w:rsid w:val="00447453"/>
    <w:rsid w:val="004479AC"/>
    <w:rsid w:val="00447DD0"/>
    <w:rsid w:val="00447FE0"/>
    <w:rsid w:val="0045070C"/>
    <w:rsid w:val="00450DDE"/>
    <w:rsid w:val="004512CA"/>
    <w:rsid w:val="004513B5"/>
    <w:rsid w:val="00451B4C"/>
    <w:rsid w:val="00451ED9"/>
    <w:rsid w:val="004525CF"/>
    <w:rsid w:val="00452B46"/>
    <w:rsid w:val="00452CAE"/>
    <w:rsid w:val="00452E1C"/>
    <w:rsid w:val="00452F4A"/>
    <w:rsid w:val="004531B3"/>
    <w:rsid w:val="004537D1"/>
    <w:rsid w:val="00453FFA"/>
    <w:rsid w:val="00454695"/>
    <w:rsid w:val="00454DB2"/>
    <w:rsid w:val="00454F1F"/>
    <w:rsid w:val="0045502A"/>
    <w:rsid w:val="0045546F"/>
    <w:rsid w:val="00455868"/>
    <w:rsid w:val="00455909"/>
    <w:rsid w:val="00455C01"/>
    <w:rsid w:val="00455E39"/>
    <w:rsid w:val="004563C8"/>
    <w:rsid w:val="004568CD"/>
    <w:rsid w:val="0045760A"/>
    <w:rsid w:val="00457622"/>
    <w:rsid w:val="00457A02"/>
    <w:rsid w:val="00457AEC"/>
    <w:rsid w:val="00457F2A"/>
    <w:rsid w:val="0046008D"/>
    <w:rsid w:val="00460289"/>
    <w:rsid w:val="0046041E"/>
    <w:rsid w:val="0046041F"/>
    <w:rsid w:val="00460629"/>
    <w:rsid w:val="00461194"/>
    <w:rsid w:val="004613E8"/>
    <w:rsid w:val="004615DD"/>
    <w:rsid w:val="00461AB7"/>
    <w:rsid w:val="0046239C"/>
    <w:rsid w:val="00462DFE"/>
    <w:rsid w:val="00462F51"/>
    <w:rsid w:val="0046370D"/>
    <w:rsid w:val="0046404B"/>
    <w:rsid w:val="004643BC"/>
    <w:rsid w:val="00464B03"/>
    <w:rsid w:val="0046528E"/>
    <w:rsid w:val="004654A0"/>
    <w:rsid w:val="004655DF"/>
    <w:rsid w:val="00465A5A"/>
    <w:rsid w:val="00465BF7"/>
    <w:rsid w:val="00465CFE"/>
    <w:rsid w:val="00465EEC"/>
    <w:rsid w:val="004670A6"/>
    <w:rsid w:val="00467DCA"/>
    <w:rsid w:val="00467F57"/>
    <w:rsid w:val="00470616"/>
    <w:rsid w:val="00470760"/>
    <w:rsid w:val="00470C29"/>
    <w:rsid w:val="0047122B"/>
    <w:rsid w:val="00471AA3"/>
    <w:rsid w:val="00471C2F"/>
    <w:rsid w:val="00471FA6"/>
    <w:rsid w:val="00471FC7"/>
    <w:rsid w:val="0047241E"/>
    <w:rsid w:val="0047269E"/>
    <w:rsid w:val="00472ABE"/>
    <w:rsid w:val="00472D60"/>
    <w:rsid w:val="0047385F"/>
    <w:rsid w:val="00473894"/>
    <w:rsid w:val="00473B7A"/>
    <w:rsid w:val="00473E75"/>
    <w:rsid w:val="00474066"/>
    <w:rsid w:val="0047455F"/>
    <w:rsid w:val="0047471C"/>
    <w:rsid w:val="00475145"/>
    <w:rsid w:val="00475C61"/>
    <w:rsid w:val="0047600A"/>
    <w:rsid w:val="00476CD0"/>
    <w:rsid w:val="00477009"/>
    <w:rsid w:val="0047719A"/>
    <w:rsid w:val="004802F3"/>
    <w:rsid w:val="0048122A"/>
    <w:rsid w:val="00481379"/>
    <w:rsid w:val="004815C5"/>
    <w:rsid w:val="00481AEB"/>
    <w:rsid w:val="00481E09"/>
    <w:rsid w:val="00481F15"/>
    <w:rsid w:val="00481F2F"/>
    <w:rsid w:val="00481FDB"/>
    <w:rsid w:val="0048226B"/>
    <w:rsid w:val="0048254D"/>
    <w:rsid w:val="00482B59"/>
    <w:rsid w:val="00482D6B"/>
    <w:rsid w:val="00482E17"/>
    <w:rsid w:val="00483A70"/>
    <w:rsid w:val="00483C24"/>
    <w:rsid w:val="00483D20"/>
    <w:rsid w:val="004858E5"/>
    <w:rsid w:val="004865D0"/>
    <w:rsid w:val="00486719"/>
    <w:rsid w:val="0048671B"/>
    <w:rsid w:val="00486901"/>
    <w:rsid w:val="004869C2"/>
    <w:rsid w:val="004869D0"/>
    <w:rsid w:val="00486BF0"/>
    <w:rsid w:val="00486E48"/>
    <w:rsid w:val="00486E57"/>
    <w:rsid w:val="00487815"/>
    <w:rsid w:val="00490007"/>
    <w:rsid w:val="00490016"/>
    <w:rsid w:val="004905F0"/>
    <w:rsid w:val="004913ED"/>
    <w:rsid w:val="0049169E"/>
    <w:rsid w:val="00491894"/>
    <w:rsid w:val="00491B5D"/>
    <w:rsid w:val="00491D7D"/>
    <w:rsid w:val="00491EC9"/>
    <w:rsid w:val="00492305"/>
    <w:rsid w:val="004927FF"/>
    <w:rsid w:val="00493333"/>
    <w:rsid w:val="0049342C"/>
    <w:rsid w:val="0049349A"/>
    <w:rsid w:val="00493AAA"/>
    <w:rsid w:val="00494441"/>
    <w:rsid w:val="00494D36"/>
    <w:rsid w:val="00494E01"/>
    <w:rsid w:val="004954F1"/>
    <w:rsid w:val="0049559E"/>
    <w:rsid w:val="00495798"/>
    <w:rsid w:val="00495854"/>
    <w:rsid w:val="00495F7D"/>
    <w:rsid w:val="004960E9"/>
    <w:rsid w:val="00496605"/>
    <w:rsid w:val="00496BC5"/>
    <w:rsid w:val="00497131"/>
    <w:rsid w:val="004971C9"/>
    <w:rsid w:val="0049775B"/>
    <w:rsid w:val="00497FD2"/>
    <w:rsid w:val="004A0082"/>
    <w:rsid w:val="004A107E"/>
    <w:rsid w:val="004A1CD3"/>
    <w:rsid w:val="004A1D8B"/>
    <w:rsid w:val="004A1F56"/>
    <w:rsid w:val="004A23BE"/>
    <w:rsid w:val="004A2E88"/>
    <w:rsid w:val="004A2F71"/>
    <w:rsid w:val="004A308A"/>
    <w:rsid w:val="004A363A"/>
    <w:rsid w:val="004A3AFA"/>
    <w:rsid w:val="004A3C67"/>
    <w:rsid w:val="004A486F"/>
    <w:rsid w:val="004A5216"/>
    <w:rsid w:val="004A5305"/>
    <w:rsid w:val="004A54DD"/>
    <w:rsid w:val="004A5FED"/>
    <w:rsid w:val="004A60EB"/>
    <w:rsid w:val="004A6229"/>
    <w:rsid w:val="004A6455"/>
    <w:rsid w:val="004A6B5F"/>
    <w:rsid w:val="004A6CAD"/>
    <w:rsid w:val="004A713B"/>
    <w:rsid w:val="004A743A"/>
    <w:rsid w:val="004A7C22"/>
    <w:rsid w:val="004B0817"/>
    <w:rsid w:val="004B0AF1"/>
    <w:rsid w:val="004B0E82"/>
    <w:rsid w:val="004B14D2"/>
    <w:rsid w:val="004B1F2B"/>
    <w:rsid w:val="004B23BD"/>
    <w:rsid w:val="004B3269"/>
    <w:rsid w:val="004B3351"/>
    <w:rsid w:val="004B4573"/>
    <w:rsid w:val="004B57A9"/>
    <w:rsid w:val="004B5B3C"/>
    <w:rsid w:val="004B623E"/>
    <w:rsid w:val="004B63A7"/>
    <w:rsid w:val="004B6DBA"/>
    <w:rsid w:val="004B76A7"/>
    <w:rsid w:val="004B7C71"/>
    <w:rsid w:val="004B7E20"/>
    <w:rsid w:val="004C000D"/>
    <w:rsid w:val="004C001A"/>
    <w:rsid w:val="004C00D2"/>
    <w:rsid w:val="004C0445"/>
    <w:rsid w:val="004C0635"/>
    <w:rsid w:val="004C1185"/>
    <w:rsid w:val="004C19A5"/>
    <w:rsid w:val="004C1E17"/>
    <w:rsid w:val="004C1E41"/>
    <w:rsid w:val="004C22D6"/>
    <w:rsid w:val="004C29CE"/>
    <w:rsid w:val="004C2D92"/>
    <w:rsid w:val="004C2F97"/>
    <w:rsid w:val="004C2FF1"/>
    <w:rsid w:val="004C3016"/>
    <w:rsid w:val="004C30FB"/>
    <w:rsid w:val="004C32C0"/>
    <w:rsid w:val="004C357A"/>
    <w:rsid w:val="004C3691"/>
    <w:rsid w:val="004C3ABC"/>
    <w:rsid w:val="004C41B0"/>
    <w:rsid w:val="004C4346"/>
    <w:rsid w:val="004C4AB8"/>
    <w:rsid w:val="004C4D98"/>
    <w:rsid w:val="004C5C00"/>
    <w:rsid w:val="004C5F7A"/>
    <w:rsid w:val="004C68AC"/>
    <w:rsid w:val="004C7B77"/>
    <w:rsid w:val="004C7D1B"/>
    <w:rsid w:val="004C7E59"/>
    <w:rsid w:val="004D0203"/>
    <w:rsid w:val="004D08F4"/>
    <w:rsid w:val="004D1021"/>
    <w:rsid w:val="004D1188"/>
    <w:rsid w:val="004D1A5A"/>
    <w:rsid w:val="004D1D4F"/>
    <w:rsid w:val="004D2FCC"/>
    <w:rsid w:val="004D307B"/>
    <w:rsid w:val="004D374D"/>
    <w:rsid w:val="004D3CFA"/>
    <w:rsid w:val="004D4248"/>
    <w:rsid w:val="004D4315"/>
    <w:rsid w:val="004D43C3"/>
    <w:rsid w:val="004D4F27"/>
    <w:rsid w:val="004D53AB"/>
    <w:rsid w:val="004D5817"/>
    <w:rsid w:val="004D5883"/>
    <w:rsid w:val="004D6062"/>
    <w:rsid w:val="004D6256"/>
    <w:rsid w:val="004D62F6"/>
    <w:rsid w:val="004D64CD"/>
    <w:rsid w:val="004D668A"/>
    <w:rsid w:val="004D6A05"/>
    <w:rsid w:val="004D6E8B"/>
    <w:rsid w:val="004D739F"/>
    <w:rsid w:val="004D7634"/>
    <w:rsid w:val="004D7F4F"/>
    <w:rsid w:val="004E056D"/>
    <w:rsid w:val="004E0697"/>
    <w:rsid w:val="004E0773"/>
    <w:rsid w:val="004E09FA"/>
    <w:rsid w:val="004E0D55"/>
    <w:rsid w:val="004E2387"/>
    <w:rsid w:val="004E2C48"/>
    <w:rsid w:val="004E2E2A"/>
    <w:rsid w:val="004E327D"/>
    <w:rsid w:val="004E362C"/>
    <w:rsid w:val="004E39AB"/>
    <w:rsid w:val="004E3C96"/>
    <w:rsid w:val="004E4151"/>
    <w:rsid w:val="004E4951"/>
    <w:rsid w:val="004E49B5"/>
    <w:rsid w:val="004E53C4"/>
    <w:rsid w:val="004E570E"/>
    <w:rsid w:val="004E6B72"/>
    <w:rsid w:val="004E6C60"/>
    <w:rsid w:val="004E6DAD"/>
    <w:rsid w:val="004E6F10"/>
    <w:rsid w:val="004E737C"/>
    <w:rsid w:val="004E7C2C"/>
    <w:rsid w:val="004F0693"/>
    <w:rsid w:val="004F0A9D"/>
    <w:rsid w:val="004F0ABE"/>
    <w:rsid w:val="004F1078"/>
    <w:rsid w:val="004F10B4"/>
    <w:rsid w:val="004F1179"/>
    <w:rsid w:val="004F131E"/>
    <w:rsid w:val="004F19AC"/>
    <w:rsid w:val="004F1A7C"/>
    <w:rsid w:val="004F1CA9"/>
    <w:rsid w:val="004F1D84"/>
    <w:rsid w:val="004F2050"/>
    <w:rsid w:val="004F2540"/>
    <w:rsid w:val="004F2596"/>
    <w:rsid w:val="004F2BD2"/>
    <w:rsid w:val="004F2D46"/>
    <w:rsid w:val="004F35E6"/>
    <w:rsid w:val="004F493A"/>
    <w:rsid w:val="004F4A71"/>
    <w:rsid w:val="004F4D7A"/>
    <w:rsid w:val="004F5048"/>
    <w:rsid w:val="004F5062"/>
    <w:rsid w:val="004F5540"/>
    <w:rsid w:val="004F5848"/>
    <w:rsid w:val="004F589B"/>
    <w:rsid w:val="004F5C7E"/>
    <w:rsid w:val="004F65B5"/>
    <w:rsid w:val="004F6941"/>
    <w:rsid w:val="004F6F0E"/>
    <w:rsid w:val="004F7213"/>
    <w:rsid w:val="004F7CB9"/>
    <w:rsid w:val="00500326"/>
    <w:rsid w:val="00500449"/>
    <w:rsid w:val="00500722"/>
    <w:rsid w:val="00500E96"/>
    <w:rsid w:val="00500EEA"/>
    <w:rsid w:val="00501937"/>
    <w:rsid w:val="005021BE"/>
    <w:rsid w:val="0050269D"/>
    <w:rsid w:val="00502BA8"/>
    <w:rsid w:val="00502D86"/>
    <w:rsid w:val="005031D2"/>
    <w:rsid w:val="00503218"/>
    <w:rsid w:val="005038F0"/>
    <w:rsid w:val="0050390E"/>
    <w:rsid w:val="00503A88"/>
    <w:rsid w:val="00503C54"/>
    <w:rsid w:val="0050448B"/>
    <w:rsid w:val="0050465C"/>
    <w:rsid w:val="00504C09"/>
    <w:rsid w:val="00504CE5"/>
    <w:rsid w:val="005050A7"/>
    <w:rsid w:val="00505798"/>
    <w:rsid w:val="005060C2"/>
    <w:rsid w:val="0050618F"/>
    <w:rsid w:val="005064A8"/>
    <w:rsid w:val="005064AD"/>
    <w:rsid w:val="0050664A"/>
    <w:rsid w:val="00506B27"/>
    <w:rsid w:val="0051032C"/>
    <w:rsid w:val="00510506"/>
    <w:rsid w:val="005106BE"/>
    <w:rsid w:val="005109EB"/>
    <w:rsid w:val="005114E4"/>
    <w:rsid w:val="00511C79"/>
    <w:rsid w:val="005124BF"/>
    <w:rsid w:val="00512703"/>
    <w:rsid w:val="0051298F"/>
    <w:rsid w:val="005130E7"/>
    <w:rsid w:val="00513971"/>
    <w:rsid w:val="0051437F"/>
    <w:rsid w:val="00514B51"/>
    <w:rsid w:val="00514F32"/>
    <w:rsid w:val="005155A8"/>
    <w:rsid w:val="00515620"/>
    <w:rsid w:val="00515FC5"/>
    <w:rsid w:val="00516164"/>
    <w:rsid w:val="005161CC"/>
    <w:rsid w:val="0051758A"/>
    <w:rsid w:val="005177F1"/>
    <w:rsid w:val="00517F72"/>
    <w:rsid w:val="005212E0"/>
    <w:rsid w:val="00521627"/>
    <w:rsid w:val="00521BBE"/>
    <w:rsid w:val="005221B9"/>
    <w:rsid w:val="0052247D"/>
    <w:rsid w:val="00522ED6"/>
    <w:rsid w:val="0052349A"/>
    <w:rsid w:val="00524333"/>
    <w:rsid w:val="0052440F"/>
    <w:rsid w:val="00524674"/>
    <w:rsid w:val="005250AB"/>
    <w:rsid w:val="00525287"/>
    <w:rsid w:val="005256F4"/>
    <w:rsid w:val="00525B8B"/>
    <w:rsid w:val="00525FB1"/>
    <w:rsid w:val="00526111"/>
    <w:rsid w:val="005261E2"/>
    <w:rsid w:val="00526393"/>
    <w:rsid w:val="00526788"/>
    <w:rsid w:val="005269F8"/>
    <w:rsid w:val="00526B3F"/>
    <w:rsid w:val="0052701E"/>
    <w:rsid w:val="00527290"/>
    <w:rsid w:val="0052729B"/>
    <w:rsid w:val="005275E5"/>
    <w:rsid w:val="00527728"/>
    <w:rsid w:val="00527806"/>
    <w:rsid w:val="00527889"/>
    <w:rsid w:val="00527A70"/>
    <w:rsid w:val="005300C3"/>
    <w:rsid w:val="005300D3"/>
    <w:rsid w:val="00530843"/>
    <w:rsid w:val="00530ACD"/>
    <w:rsid w:val="0053100A"/>
    <w:rsid w:val="005312CE"/>
    <w:rsid w:val="00531601"/>
    <w:rsid w:val="00531933"/>
    <w:rsid w:val="00531AAB"/>
    <w:rsid w:val="00531FE2"/>
    <w:rsid w:val="005320A8"/>
    <w:rsid w:val="005323CE"/>
    <w:rsid w:val="00532794"/>
    <w:rsid w:val="00532C42"/>
    <w:rsid w:val="0053339C"/>
    <w:rsid w:val="00533521"/>
    <w:rsid w:val="00533E07"/>
    <w:rsid w:val="005342AA"/>
    <w:rsid w:val="005345B6"/>
    <w:rsid w:val="00534793"/>
    <w:rsid w:val="00534EFC"/>
    <w:rsid w:val="00535172"/>
    <w:rsid w:val="00535796"/>
    <w:rsid w:val="00535A58"/>
    <w:rsid w:val="00536EC4"/>
    <w:rsid w:val="005376AC"/>
    <w:rsid w:val="005378F0"/>
    <w:rsid w:val="00537B71"/>
    <w:rsid w:val="00537F4B"/>
    <w:rsid w:val="00540042"/>
    <w:rsid w:val="005405C4"/>
    <w:rsid w:val="00540CCA"/>
    <w:rsid w:val="0054130E"/>
    <w:rsid w:val="00541377"/>
    <w:rsid w:val="00541BF7"/>
    <w:rsid w:val="0054235A"/>
    <w:rsid w:val="0054298D"/>
    <w:rsid w:val="0054346F"/>
    <w:rsid w:val="00543741"/>
    <w:rsid w:val="00543CBC"/>
    <w:rsid w:val="00544217"/>
    <w:rsid w:val="00544DF8"/>
    <w:rsid w:val="00544F7E"/>
    <w:rsid w:val="00544F82"/>
    <w:rsid w:val="0054538B"/>
    <w:rsid w:val="005455C8"/>
    <w:rsid w:val="0054575C"/>
    <w:rsid w:val="00545CF0"/>
    <w:rsid w:val="00545F78"/>
    <w:rsid w:val="00546491"/>
    <w:rsid w:val="0054658E"/>
    <w:rsid w:val="0054663E"/>
    <w:rsid w:val="005469FF"/>
    <w:rsid w:val="005470DE"/>
    <w:rsid w:val="005502D9"/>
    <w:rsid w:val="0055038B"/>
    <w:rsid w:val="0055043E"/>
    <w:rsid w:val="00550551"/>
    <w:rsid w:val="00550AC5"/>
    <w:rsid w:val="00550CE8"/>
    <w:rsid w:val="00551084"/>
    <w:rsid w:val="00551098"/>
    <w:rsid w:val="005519D8"/>
    <w:rsid w:val="00551A92"/>
    <w:rsid w:val="00551EEB"/>
    <w:rsid w:val="005520B7"/>
    <w:rsid w:val="005520C5"/>
    <w:rsid w:val="005520F8"/>
    <w:rsid w:val="00552595"/>
    <w:rsid w:val="00552C89"/>
    <w:rsid w:val="00553079"/>
    <w:rsid w:val="00553302"/>
    <w:rsid w:val="00553474"/>
    <w:rsid w:val="00553852"/>
    <w:rsid w:val="005543E5"/>
    <w:rsid w:val="005545C0"/>
    <w:rsid w:val="005547C6"/>
    <w:rsid w:val="00554870"/>
    <w:rsid w:val="005549DD"/>
    <w:rsid w:val="00554EE8"/>
    <w:rsid w:val="005551FB"/>
    <w:rsid w:val="005556F6"/>
    <w:rsid w:val="0055598B"/>
    <w:rsid w:val="00555D01"/>
    <w:rsid w:val="00555E6A"/>
    <w:rsid w:val="00556262"/>
    <w:rsid w:val="00556530"/>
    <w:rsid w:val="0055655E"/>
    <w:rsid w:val="00556D12"/>
    <w:rsid w:val="00557E49"/>
    <w:rsid w:val="00560785"/>
    <w:rsid w:val="005614BA"/>
    <w:rsid w:val="00561CF7"/>
    <w:rsid w:val="00561DDB"/>
    <w:rsid w:val="005620BE"/>
    <w:rsid w:val="005622A1"/>
    <w:rsid w:val="005622B8"/>
    <w:rsid w:val="00562A13"/>
    <w:rsid w:val="00563302"/>
    <w:rsid w:val="0056341E"/>
    <w:rsid w:val="0056358E"/>
    <w:rsid w:val="00563E73"/>
    <w:rsid w:val="00564AD5"/>
    <w:rsid w:val="00565403"/>
    <w:rsid w:val="00565F34"/>
    <w:rsid w:val="00565FCB"/>
    <w:rsid w:val="0056646C"/>
    <w:rsid w:val="00567681"/>
    <w:rsid w:val="00567C5D"/>
    <w:rsid w:val="00567F63"/>
    <w:rsid w:val="005705B2"/>
    <w:rsid w:val="005709A4"/>
    <w:rsid w:val="00571035"/>
    <w:rsid w:val="005711E2"/>
    <w:rsid w:val="005718CC"/>
    <w:rsid w:val="00571E48"/>
    <w:rsid w:val="00572505"/>
    <w:rsid w:val="00572742"/>
    <w:rsid w:val="00572BA8"/>
    <w:rsid w:val="00573629"/>
    <w:rsid w:val="00573B8A"/>
    <w:rsid w:val="00573D16"/>
    <w:rsid w:val="00573E11"/>
    <w:rsid w:val="005740DF"/>
    <w:rsid w:val="00574189"/>
    <w:rsid w:val="00574351"/>
    <w:rsid w:val="00574721"/>
    <w:rsid w:val="00574919"/>
    <w:rsid w:val="005749A2"/>
    <w:rsid w:val="005750FC"/>
    <w:rsid w:val="0057557B"/>
    <w:rsid w:val="00576737"/>
    <w:rsid w:val="00576D86"/>
    <w:rsid w:val="00577060"/>
    <w:rsid w:val="005771B4"/>
    <w:rsid w:val="00577A0D"/>
    <w:rsid w:val="00577A1B"/>
    <w:rsid w:val="00577D0A"/>
    <w:rsid w:val="005807A8"/>
    <w:rsid w:val="005808D6"/>
    <w:rsid w:val="00580CA9"/>
    <w:rsid w:val="005812CD"/>
    <w:rsid w:val="005820B6"/>
    <w:rsid w:val="00582383"/>
    <w:rsid w:val="00582674"/>
    <w:rsid w:val="00582C7B"/>
    <w:rsid w:val="00582FCD"/>
    <w:rsid w:val="0058349E"/>
    <w:rsid w:val="00583550"/>
    <w:rsid w:val="005835A8"/>
    <w:rsid w:val="0058390A"/>
    <w:rsid w:val="00583E95"/>
    <w:rsid w:val="005840D6"/>
    <w:rsid w:val="005846DB"/>
    <w:rsid w:val="00584C23"/>
    <w:rsid w:val="00585028"/>
    <w:rsid w:val="00585748"/>
    <w:rsid w:val="0058589B"/>
    <w:rsid w:val="00585D33"/>
    <w:rsid w:val="00585D8C"/>
    <w:rsid w:val="00585F5B"/>
    <w:rsid w:val="00586A13"/>
    <w:rsid w:val="00586EA6"/>
    <w:rsid w:val="005872A4"/>
    <w:rsid w:val="0058761C"/>
    <w:rsid w:val="005879D5"/>
    <w:rsid w:val="00587DDA"/>
    <w:rsid w:val="005908EE"/>
    <w:rsid w:val="005915C5"/>
    <w:rsid w:val="00591F2E"/>
    <w:rsid w:val="005923AB"/>
    <w:rsid w:val="005923BE"/>
    <w:rsid w:val="005925C0"/>
    <w:rsid w:val="00592E87"/>
    <w:rsid w:val="00593491"/>
    <w:rsid w:val="00593C4F"/>
    <w:rsid w:val="005946A8"/>
    <w:rsid w:val="00595A34"/>
    <w:rsid w:val="00595C2C"/>
    <w:rsid w:val="00596962"/>
    <w:rsid w:val="00596C5D"/>
    <w:rsid w:val="00597496"/>
    <w:rsid w:val="005A0082"/>
    <w:rsid w:val="005A00F9"/>
    <w:rsid w:val="005A0732"/>
    <w:rsid w:val="005A0C10"/>
    <w:rsid w:val="005A0DC3"/>
    <w:rsid w:val="005A0F86"/>
    <w:rsid w:val="005A0FAE"/>
    <w:rsid w:val="005A1733"/>
    <w:rsid w:val="005A210E"/>
    <w:rsid w:val="005A28E2"/>
    <w:rsid w:val="005A31A7"/>
    <w:rsid w:val="005A32B5"/>
    <w:rsid w:val="005A3FC7"/>
    <w:rsid w:val="005A4156"/>
    <w:rsid w:val="005A42F3"/>
    <w:rsid w:val="005A4407"/>
    <w:rsid w:val="005A48DD"/>
    <w:rsid w:val="005A4F8C"/>
    <w:rsid w:val="005A530C"/>
    <w:rsid w:val="005A59EF"/>
    <w:rsid w:val="005A5A59"/>
    <w:rsid w:val="005A5C2A"/>
    <w:rsid w:val="005A5CBF"/>
    <w:rsid w:val="005A613F"/>
    <w:rsid w:val="005A64C5"/>
    <w:rsid w:val="005A6CB9"/>
    <w:rsid w:val="005A6DF7"/>
    <w:rsid w:val="005A6EE1"/>
    <w:rsid w:val="005A7315"/>
    <w:rsid w:val="005A7512"/>
    <w:rsid w:val="005A75FB"/>
    <w:rsid w:val="005B0014"/>
    <w:rsid w:val="005B064E"/>
    <w:rsid w:val="005B11E5"/>
    <w:rsid w:val="005B133C"/>
    <w:rsid w:val="005B15FF"/>
    <w:rsid w:val="005B23C7"/>
    <w:rsid w:val="005B25A4"/>
    <w:rsid w:val="005B2CB7"/>
    <w:rsid w:val="005B2D54"/>
    <w:rsid w:val="005B2D9F"/>
    <w:rsid w:val="005B2EAA"/>
    <w:rsid w:val="005B3200"/>
    <w:rsid w:val="005B3512"/>
    <w:rsid w:val="005B46A5"/>
    <w:rsid w:val="005B4F9F"/>
    <w:rsid w:val="005B5625"/>
    <w:rsid w:val="005B7000"/>
    <w:rsid w:val="005B7027"/>
    <w:rsid w:val="005B7366"/>
    <w:rsid w:val="005B7D7A"/>
    <w:rsid w:val="005B7F11"/>
    <w:rsid w:val="005B7FFA"/>
    <w:rsid w:val="005C0031"/>
    <w:rsid w:val="005C0A36"/>
    <w:rsid w:val="005C0CFB"/>
    <w:rsid w:val="005C0D43"/>
    <w:rsid w:val="005C107B"/>
    <w:rsid w:val="005C1A7E"/>
    <w:rsid w:val="005C1E1A"/>
    <w:rsid w:val="005C1F94"/>
    <w:rsid w:val="005C2064"/>
    <w:rsid w:val="005C2376"/>
    <w:rsid w:val="005C246F"/>
    <w:rsid w:val="005C2623"/>
    <w:rsid w:val="005C2736"/>
    <w:rsid w:val="005C2A84"/>
    <w:rsid w:val="005C3042"/>
    <w:rsid w:val="005C3234"/>
    <w:rsid w:val="005C3767"/>
    <w:rsid w:val="005C3B1F"/>
    <w:rsid w:val="005C3C9C"/>
    <w:rsid w:val="005C3D5F"/>
    <w:rsid w:val="005C4408"/>
    <w:rsid w:val="005C4423"/>
    <w:rsid w:val="005C4CC1"/>
    <w:rsid w:val="005C58EB"/>
    <w:rsid w:val="005C5C65"/>
    <w:rsid w:val="005C6F81"/>
    <w:rsid w:val="005C7FF9"/>
    <w:rsid w:val="005D0061"/>
    <w:rsid w:val="005D160A"/>
    <w:rsid w:val="005D1969"/>
    <w:rsid w:val="005D1C87"/>
    <w:rsid w:val="005D1ED6"/>
    <w:rsid w:val="005D206D"/>
    <w:rsid w:val="005D20C8"/>
    <w:rsid w:val="005D22E5"/>
    <w:rsid w:val="005D23DB"/>
    <w:rsid w:val="005D25B3"/>
    <w:rsid w:val="005D2F50"/>
    <w:rsid w:val="005D3024"/>
    <w:rsid w:val="005D3317"/>
    <w:rsid w:val="005D396D"/>
    <w:rsid w:val="005D3A2D"/>
    <w:rsid w:val="005D3CFE"/>
    <w:rsid w:val="005D3F66"/>
    <w:rsid w:val="005D3F89"/>
    <w:rsid w:val="005D4CAC"/>
    <w:rsid w:val="005D4CAF"/>
    <w:rsid w:val="005D4D4C"/>
    <w:rsid w:val="005D513C"/>
    <w:rsid w:val="005D5B8D"/>
    <w:rsid w:val="005D5F43"/>
    <w:rsid w:val="005D5F7F"/>
    <w:rsid w:val="005D5FA8"/>
    <w:rsid w:val="005D62C9"/>
    <w:rsid w:val="005D63F9"/>
    <w:rsid w:val="005D6547"/>
    <w:rsid w:val="005D6CE3"/>
    <w:rsid w:val="005D7408"/>
    <w:rsid w:val="005D7AC5"/>
    <w:rsid w:val="005D7F7D"/>
    <w:rsid w:val="005E005F"/>
    <w:rsid w:val="005E083F"/>
    <w:rsid w:val="005E0B8A"/>
    <w:rsid w:val="005E0FAB"/>
    <w:rsid w:val="005E1526"/>
    <w:rsid w:val="005E2439"/>
    <w:rsid w:val="005E2A1C"/>
    <w:rsid w:val="005E3B8F"/>
    <w:rsid w:val="005E4C39"/>
    <w:rsid w:val="005E4E79"/>
    <w:rsid w:val="005E5177"/>
    <w:rsid w:val="005E51A2"/>
    <w:rsid w:val="005E5222"/>
    <w:rsid w:val="005E5635"/>
    <w:rsid w:val="005E5B89"/>
    <w:rsid w:val="005E608E"/>
    <w:rsid w:val="005E697C"/>
    <w:rsid w:val="005E6C77"/>
    <w:rsid w:val="005E706A"/>
    <w:rsid w:val="005E7151"/>
    <w:rsid w:val="005E7647"/>
    <w:rsid w:val="005E7C72"/>
    <w:rsid w:val="005E7E28"/>
    <w:rsid w:val="005F052C"/>
    <w:rsid w:val="005F0C67"/>
    <w:rsid w:val="005F161A"/>
    <w:rsid w:val="005F19D7"/>
    <w:rsid w:val="005F1B71"/>
    <w:rsid w:val="005F1C63"/>
    <w:rsid w:val="005F1D4A"/>
    <w:rsid w:val="005F200D"/>
    <w:rsid w:val="005F2051"/>
    <w:rsid w:val="005F20E6"/>
    <w:rsid w:val="005F2303"/>
    <w:rsid w:val="005F275D"/>
    <w:rsid w:val="005F2C56"/>
    <w:rsid w:val="005F2FAF"/>
    <w:rsid w:val="005F320A"/>
    <w:rsid w:val="005F4465"/>
    <w:rsid w:val="005F461D"/>
    <w:rsid w:val="005F4631"/>
    <w:rsid w:val="005F5036"/>
    <w:rsid w:val="005F52C8"/>
    <w:rsid w:val="005F53D7"/>
    <w:rsid w:val="005F540B"/>
    <w:rsid w:val="005F5846"/>
    <w:rsid w:val="005F5B4E"/>
    <w:rsid w:val="005F630D"/>
    <w:rsid w:val="005F6661"/>
    <w:rsid w:val="005F681B"/>
    <w:rsid w:val="005F6B9B"/>
    <w:rsid w:val="005F71A2"/>
    <w:rsid w:val="005F76D3"/>
    <w:rsid w:val="005F7BEE"/>
    <w:rsid w:val="006000D4"/>
    <w:rsid w:val="006003F6"/>
    <w:rsid w:val="00600A5F"/>
    <w:rsid w:val="00601066"/>
    <w:rsid w:val="006013C1"/>
    <w:rsid w:val="00601CBA"/>
    <w:rsid w:val="006020C5"/>
    <w:rsid w:val="006022DB"/>
    <w:rsid w:val="0060256E"/>
    <w:rsid w:val="006025E7"/>
    <w:rsid w:val="0060309E"/>
    <w:rsid w:val="00603522"/>
    <w:rsid w:val="006038C8"/>
    <w:rsid w:val="00603A4A"/>
    <w:rsid w:val="00603F89"/>
    <w:rsid w:val="006041B9"/>
    <w:rsid w:val="00604349"/>
    <w:rsid w:val="006043CB"/>
    <w:rsid w:val="0060441F"/>
    <w:rsid w:val="00604750"/>
    <w:rsid w:val="00605465"/>
    <w:rsid w:val="00605D03"/>
    <w:rsid w:val="00606044"/>
    <w:rsid w:val="006066DF"/>
    <w:rsid w:val="0060675B"/>
    <w:rsid w:val="00606907"/>
    <w:rsid w:val="00606F9A"/>
    <w:rsid w:val="00610905"/>
    <w:rsid w:val="0061129B"/>
    <w:rsid w:val="0061213A"/>
    <w:rsid w:val="006121AE"/>
    <w:rsid w:val="00612757"/>
    <w:rsid w:val="006130D7"/>
    <w:rsid w:val="006131D1"/>
    <w:rsid w:val="00613464"/>
    <w:rsid w:val="00613DF8"/>
    <w:rsid w:val="00614083"/>
    <w:rsid w:val="00614784"/>
    <w:rsid w:val="00615265"/>
    <w:rsid w:val="006154F6"/>
    <w:rsid w:val="0061567E"/>
    <w:rsid w:val="00615B48"/>
    <w:rsid w:val="00615BA9"/>
    <w:rsid w:val="00615CEC"/>
    <w:rsid w:val="00615D72"/>
    <w:rsid w:val="00616182"/>
    <w:rsid w:val="0061670A"/>
    <w:rsid w:val="00617366"/>
    <w:rsid w:val="00617AC8"/>
    <w:rsid w:val="00617B3C"/>
    <w:rsid w:val="00617C62"/>
    <w:rsid w:val="00617F92"/>
    <w:rsid w:val="00620DEC"/>
    <w:rsid w:val="00621B30"/>
    <w:rsid w:val="00621B51"/>
    <w:rsid w:val="00622471"/>
    <w:rsid w:val="00622769"/>
    <w:rsid w:val="00622C55"/>
    <w:rsid w:val="00622D91"/>
    <w:rsid w:val="00623005"/>
    <w:rsid w:val="00623695"/>
    <w:rsid w:val="00623730"/>
    <w:rsid w:val="00623B03"/>
    <w:rsid w:val="00623CF2"/>
    <w:rsid w:val="00623D44"/>
    <w:rsid w:val="00624F14"/>
    <w:rsid w:val="006251D2"/>
    <w:rsid w:val="00625BA6"/>
    <w:rsid w:val="00625DC6"/>
    <w:rsid w:val="00626074"/>
    <w:rsid w:val="006264CA"/>
    <w:rsid w:val="006264D1"/>
    <w:rsid w:val="00626C8F"/>
    <w:rsid w:val="0062704E"/>
    <w:rsid w:val="006277CD"/>
    <w:rsid w:val="00627C81"/>
    <w:rsid w:val="00627F8D"/>
    <w:rsid w:val="00630D48"/>
    <w:rsid w:val="00630DD0"/>
    <w:rsid w:val="0063137A"/>
    <w:rsid w:val="006314F0"/>
    <w:rsid w:val="0063167F"/>
    <w:rsid w:val="00631785"/>
    <w:rsid w:val="00631A19"/>
    <w:rsid w:val="00631F6A"/>
    <w:rsid w:val="006320D8"/>
    <w:rsid w:val="0063242E"/>
    <w:rsid w:val="00632790"/>
    <w:rsid w:val="00632AB4"/>
    <w:rsid w:val="00632E63"/>
    <w:rsid w:val="006335E1"/>
    <w:rsid w:val="00633654"/>
    <w:rsid w:val="00633AB3"/>
    <w:rsid w:val="00633C9D"/>
    <w:rsid w:val="00634307"/>
    <w:rsid w:val="00634384"/>
    <w:rsid w:val="0063457E"/>
    <w:rsid w:val="0063493F"/>
    <w:rsid w:val="00634B6D"/>
    <w:rsid w:val="00634CDE"/>
    <w:rsid w:val="00634D2D"/>
    <w:rsid w:val="006355C9"/>
    <w:rsid w:val="00635BBB"/>
    <w:rsid w:val="00635C7E"/>
    <w:rsid w:val="00635FA7"/>
    <w:rsid w:val="00636511"/>
    <w:rsid w:val="00636561"/>
    <w:rsid w:val="006365A4"/>
    <w:rsid w:val="0063675D"/>
    <w:rsid w:val="00636AD3"/>
    <w:rsid w:val="006372E0"/>
    <w:rsid w:val="006377AC"/>
    <w:rsid w:val="0064010D"/>
    <w:rsid w:val="006402A2"/>
    <w:rsid w:val="0064063A"/>
    <w:rsid w:val="00640DD0"/>
    <w:rsid w:val="00640FAB"/>
    <w:rsid w:val="00641389"/>
    <w:rsid w:val="00641791"/>
    <w:rsid w:val="00641B3B"/>
    <w:rsid w:val="00642969"/>
    <w:rsid w:val="00642C63"/>
    <w:rsid w:val="006433ED"/>
    <w:rsid w:val="00643688"/>
    <w:rsid w:val="00643A8D"/>
    <w:rsid w:val="00643C18"/>
    <w:rsid w:val="00643CED"/>
    <w:rsid w:val="00645821"/>
    <w:rsid w:val="006460C5"/>
    <w:rsid w:val="006462C7"/>
    <w:rsid w:val="006466E5"/>
    <w:rsid w:val="00647253"/>
    <w:rsid w:val="0064767E"/>
    <w:rsid w:val="00647701"/>
    <w:rsid w:val="006477C2"/>
    <w:rsid w:val="006478B0"/>
    <w:rsid w:val="00647B24"/>
    <w:rsid w:val="00650733"/>
    <w:rsid w:val="00650BF9"/>
    <w:rsid w:val="00650C16"/>
    <w:rsid w:val="006510B5"/>
    <w:rsid w:val="00651660"/>
    <w:rsid w:val="00651821"/>
    <w:rsid w:val="00651D35"/>
    <w:rsid w:val="0065215F"/>
    <w:rsid w:val="006522CC"/>
    <w:rsid w:val="006526D5"/>
    <w:rsid w:val="00652A6E"/>
    <w:rsid w:val="00652C46"/>
    <w:rsid w:val="00652C66"/>
    <w:rsid w:val="00652EC9"/>
    <w:rsid w:val="00652F5A"/>
    <w:rsid w:val="006534A4"/>
    <w:rsid w:val="00654267"/>
    <w:rsid w:val="00654384"/>
    <w:rsid w:val="0065443A"/>
    <w:rsid w:val="006544E3"/>
    <w:rsid w:val="00654782"/>
    <w:rsid w:val="00654A53"/>
    <w:rsid w:val="00654E68"/>
    <w:rsid w:val="006552D2"/>
    <w:rsid w:val="00655357"/>
    <w:rsid w:val="00655423"/>
    <w:rsid w:val="0065596C"/>
    <w:rsid w:val="006564F4"/>
    <w:rsid w:val="00656577"/>
    <w:rsid w:val="0065723A"/>
    <w:rsid w:val="006575FA"/>
    <w:rsid w:val="00657F1D"/>
    <w:rsid w:val="00660890"/>
    <w:rsid w:val="00660978"/>
    <w:rsid w:val="00660BB4"/>
    <w:rsid w:val="00660D5B"/>
    <w:rsid w:val="00661473"/>
    <w:rsid w:val="00661DB3"/>
    <w:rsid w:val="0066220A"/>
    <w:rsid w:val="006622C5"/>
    <w:rsid w:val="0066291B"/>
    <w:rsid w:val="00662CAA"/>
    <w:rsid w:val="00662E38"/>
    <w:rsid w:val="00663945"/>
    <w:rsid w:val="0066468D"/>
    <w:rsid w:val="0066660C"/>
    <w:rsid w:val="00666A5D"/>
    <w:rsid w:val="006675CD"/>
    <w:rsid w:val="00667644"/>
    <w:rsid w:val="00670296"/>
    <w:rsid w:val="0067118C"/>
    <w:rsid w:val="0067150A"/>
    <w:rsid w:val="00671DB1"/>
    <w:rsid w:val="006721C6"/>
    <w:rsid w:val="00672B5B"/>
    <w:rsid w:val="00672BAD"/>
    <w:rsid w:val="00672CF3"/>
    <w:rsid w:val="00673DEF"/>
    <w:rsid w:val="006745BF"/>
    <w:rsid w:val="00674AAD"/>
    <w:rsid w:val="00674E87"/>
    <w:rsid w:val="00674EA3"/>
    <w:rsid w:val="006762F4"/>
    <w:rsid w:val="006763F2"/>
    <w:rsid w:val="006767B9"/>
    <w:rsid w:val="00676BE1"/>
    <w:rsid w:val="00676C61"/>
    <w:rsid w:val="00676E45"/>
    <w:rsid w:val="0067700A"/>
    <w:rsid w:val="00677615"/>
    <w:rsid w:val="00677858"/>
    <w:rsid w:val="0068026D"/>
    <w:rsid w:val="006804BB"/>
    <w:rsid w:val="00680914"/>
    <w:rsid w:val="0068120C"/>
    <w:rsid w:val="006824DF"/>
    <w:rsid w:val="00682549"/>
    <w:rsid w:val="006826EA"/>
    <w:rsid w:val="00683748"/>
    <w:rsid w:val="00683806"/>
    <w:rsid w:val="0068442C"/>
    <w:rsid w:val="006846D6"/>
    <w:rsid w:val="00684D9B"/>
    <w:rsid w:val="0068506A"/>
    <w:rsid w:val="00685577"/>
    <w:rsid w:val="006855A2"/>
    <w:rsid w:val="006856DE"/>
    <w:rsid w:val="006857D5"/>
    <w:rsid w:val="00685997"/>
    <w:rsid w:val="00685C42"/>
    <w:rsid w:val="00686775"/>
    <w:rsid w:val="00686921"/>
    <w:rsid w:val="00686968"/>
    <w:rsid w:val="00686E25"/>
    <w:rsid w:val="00690159"/>
    <w:rsid w:val="006902C3"/>
    <w:rsid w:val="006904C4"/>
    <w:rsid w:val="006904F3"/>
    <w:rsid w:val="00690BF0"/>
    <w:rsid w:val="00691393"/>
    <w:rsid w:val="006914D9"/>
    <w:rsid w:val="006916F0"/>
    <w:rsid w:val="00691760"/>
    <w:rsid w:val="00691BFA"/>
    <w:rsid w:val="00691C02"/>
    <w:rsid w:val="00691C57"/>
    <w:rsid w:val="006920DA"/>
    <w:rsid w:val="00692199"/>
    <w:rsid w:val="00692D2B"/>
    <w:rsid w:val="00692D60"/>
    <w:rsid w:val="00693652"/>
    <w:rsid w:val="006938CD"/>
    <w:rsid w:val="006939BB"/>
    <w:rsid w:val="00693A45"/>
    <w:rsid w:val="00693DCA"/>
    <w:rsid w:val="00694151"/>
    <w:rsid w:val="006942D8"/>
    <w:rsid w:val="006945BC"/>
    <w:rsid w:val="00694E86"/>
    <w:rsid w:val="00694EBF"/>
    <w:rsid w:val="0069588B"/>
    <w:rsid w:val="00695962"/>
    <w:rsid w:val="00695A22"/>
    <w:rsid w:val="0069609B"/>
    <w:rsid w:val="00696237"/>
    <w:rsid w:val="0069671C"/>
    <w:rsid w:val="00697556"/>
    <w:rsid w:val="006978C0"/>
    <w:rsid w:val="00697B34"/>
    <w:rsid w:val="00697E1B"/>
    <w:rsid w:val="006A000B"/>
    <w:rsid w:val="006A11C7"/>
    <w:rsid w:val="006A1557"/>
    <w:rsid w:val="006A19DA"/>
    <w:rsid w:val="006A1BAA"/>
    <w:rsid w:val="006A1E8A"/>
    <w:rsid w:val="006A225B"/>
    <w:rsid w:val="006A241D"/>
    <w:rsid w:val="006A288F"/>
    <w:rsid w:val="006A2FFF"/>
    <w:rsid w:val="006A316E"/>
    <w:rsid w:val="006A3198"/>
    <w:rsid w:val="006A3285"/>
    <w:rsid w:val="006A3931"/>
    <w:rsid w:val="006A3E4C"/>
    <w:rsid w:val="006A4223"/>
    <w:rsid w:val="006A4977"/>
    <w:rsid w:val="006A4A72"/>
    <w:rsid w:val="006A4DA6"/>
    <w:rsid w:val="006A4F5E"/>
    <w:rsid w:val="006A58D0"/>
    <w:rsid w:val="006A5929"/>
    <w:rsid w:val="006A5949"/>
    <w:rsid w:val="006A611D"/>
    <w:rsid w:val="006A6209"/>
    <w:rsid w:val="006A6848"/>
    <w:rsid w:val="006A6D70"/>
    <w:rsid w:val="006A77F4"/>
    <w:rsid w:val="006A79B1"/>
    <w:rsid w:val="006B0612"/>
    <w:rsid w:val="006B0AFC"/>
    <w:rsid w:val="006B0F42"/>
    <w:rsid w:val="006B0FE2"/>
    <w:rsid w:val="006B1488"/>
    <w:rsid w:val="006B1501"/>
    <w:rsid w:val="006B1BF9"/>
    <w:rsid w:val="006B3801"/>
    <w:rsid w:val="006B3919"/>
    <w:rsid w:val="006B3A92"/>
    <w:rsid w:val="006B3C8C"/>
    <w:rsid w:val="006B4051"/>
    <w:rsid w:val="006B4538"/>
    <w:rsid w:val="006B4589"/>
    <w:rsid w:val="006B4638"/>
    <w:rsid w:val="006B4C2B"/>
    <w:rsid w:val="006B5192"/>
    <w:rsid w:val="006B55C4"/>
    <w:rsid w:val="006B65C7"/>
    <w:rsid w:val="006B684A"/>
    <w:rsid w:val="006B6D47"/>
    <w:rsid w:val="006B6FA1"/>
    <w:rsid w:val="006B74C3"/>
    <w:rsid w:val="006B7555"/>
    <w:rsid w:val="006B7577"/>
    <w:rsid w:val="006B7728"/>
    <w:rsid w:val="006B7746"/>
    <w:rsid w:val="006B7F8B"/>
    <w:rsid w:val="006C0488"/>
    <w:rsid w:val="006C142A"/>
    <w:rsid w:val="006C170E"/>
    <w:rsid w:val="006C1DAC"/>
    <w:rsid w:val="006C1EE5"/>
    <w:rsid w:val="006C2EC7"/>
    <w:rsid w:val="006C359F"/>
    <w:rsid w:val="006C3638"/>
    <w:rsid w:val="006C3BFF"/>
    <w:rsid w:val="006C3E5E"/>
    <w:rsid w:val="006C4560"/>
    <w:rsid w:val="006C46F3"/>
    <w:rsid w:val="006C4FEB"/>
    <w:rsid w:val="006C50E4"/>
    <w:rsid w:val="006C574C"/>
    <w:rsid w:val="006C5D0B"/>
    <w:rsid w:val="006C5F03"/>
    <w:rsid w:val="006C67D6"/>
    <w:rsid w:val="006C6A6C"/>
    <w:rsid w:val="006C7F3E"/>
    <w:rsid w:val="006D0066"/>
    <w:rsid w:val="006D0BF6"/>
    <w:rsid w:val="006D1099"/>
    <w:rsid w:val="006D1ED3"/>
    <w:rsid w:val="006D228E"/>
    <w:rsid w:val="006D31F8"/>
    <w:rsid w:val="006D3AD2"/>
    <w:rsid w:val="006D3CAF"/>
    <w:rsid w:val="006D3F50"/>
    <w:rsid w:val="006D498E"/>
    <w:rsid w:val="006D4F30"/>
    <w:rsid w:val="006D5231"/>
    <w:rsid w:val="006D5791"/>
    <w:rsid w:val="006D5B7C"/>
    <w:rsid w:val="006D5BD4"/>
    <w:rsid w:val="006D62F0"/>
    <w:rsid w:val="006D6605"/>
    <w:rsid w:val="006D6EB3"/>
    <w:rsid w:val="006D7067"/>
    <w:rsid w:val="006D7162"/>
    <w:rsid w:val="006D7302"/>
    <w:rsid w:val="006D77A8"/>
    <w:rsid w:val="006D79A6"/>
    <w:rsid w:val="006E0162"/>
    <w:rsid w:val="006E0170"/>
    <w:rsid w:val="006E0454"/>
    <w:rsid w:val="006E04EE"/>
    <w:rsid w:val="006E088D"/>
    <w:rsid w:val="006E0C55"/>
    <w:rsid w:val="006E12C2"/>
    <w:rsid w:val="006E1613"/>
    <w:rsid w:val="006E1A41"/>
    <w:rsid w:val="006E1C52"/>
    <w:rsid w:val="006E234C"/>
    <w:rsid w:val="006E2519"/>
    <w:rsid w:val="006E2889"/>
    <w:rsid w:val="006E2C9C"/>
    <w:rsid w:val="006E38E8"/>
    <w:rsid w:val="006E412E"/>
    <w:rsid w:val="006E414F"/>
    <w:rsid w:val="006E445E"/>
    <w:rsid w:val="006E44A8"/>
    <w:rsid w:val="006E468A"/>
    <w:rsid w:val="006E4CE0"/>
    <w:rsid w:val="006E4D35"/>
    <w:rsid w:val="006E4F0B"/>
    <w:rsid w:val="006E5074"/>
    <w:rsid w:val="006E50C9"/>
    <w:rsid w:val="006E525C"/>
    <w:rsid w:val="006E534F"/>
    <w:rsid w:val="006E5385"/>
    <w:rsid w:val="006E53C3"/>
    <w:rsid w:val="006E56AD"/>
    <w:rsid w:val="006E56B7"/>
    <w:rsid w:val="006E58BD"/>
    <w:rsid w:val="006E6159"/>
    <w:rsid w:val="006E6394"/>
    <w:rsid w:val="006E6840"/>
    <w:rsid w:val="006E6977"/>
    <w:rsid w:val="006E69E7"/>
    <w:rsid w:val="006E783B"/>
    <w:rsid w:val="006E7B4E"/>
    <w:rsid w:val="006E7CA8"/>
    <w:rsid w:val="006E7E2E"/>
    <w:rsid w:val="006F0A10"/>
    <w:rsid w:val="006F0A26"/>
    <w:rsid w:val="006F0CAA"/>
    <w:rsid w:val="006F1271"/>
    <w:rsid w:val="006F13E7"/>
    <w:rsid w:val="006F160B"/>
    <w:rsid w:val="006F250A"/>
    <w:rsid w:val="006F2801"/>
    <w:rsid w:val="006F2B8D"/>
    <w:rsid w:val="006F2CFE"/>
    <w:rsid w:val="006F2D7A"/>
    <w:rsid w:val="006F3208"/>
    <w:rsid w:val="006F3563"/>
    <w:rsid w:val="006F3A26"/>
    <w:rsid w:val="006F3AC4"/>
    <w:rsid w:val="006F46B4"/>
    <w:rsid w:val="006F490B"/>
    <w:rsid w:val="006F498D"/>
    <w:rsid w:val="006F57DA"/>
    <w:rsid w:val="006F58D9"/>
    <w:rsid w:val="006F5F07"/>
    <w:rsid w:val="006F64CB"/>
    <w:rsid w:val="006F6871"/>
    <w:rsid w:val="006F6BD5"/>
    <w:rsid w:val="006F6C20"/>
    <w:rsid w:val="006F6D95"/>
    <w:rsid w:val="006F6DDA"/>
    <w:rsid w:val="006F6E88"/>
    <w:rsid w:val="006F780C"/>
    <w:rsid w:val="006F7B07"/>
    <w:rsid w:val="006F7B0F"/>
    <w:rsid w:val="006F7BB7"/>
    <w:rsid w:val="006F7E15"/>
    <w:rsid w:val="006F7F7A"/>
    <w:rsid w:val="00700065"/>
    <w:rsid w:val="00700AC4"/>
    <w:rsid w:val="00701BE7"/>
    <w:rsid w:val="00701C5F"/>
    <w:rsid w:val="00701D3E"/>
    <w:rsid w:val="00701EC6"/>
    <w:rsid w:val="00701F00"/>
    <w:rsid w:val="0070282E"/>
    <w:rsid w:val="00702BC1"/>
    <w:rsid w:val="00702CCF"/>
    <w:rsid w:val="00702DCB"/>
    <w:rsid w:val="00702E73"/>
    <w:rsid w:val="00703484"/>
    <w:rsid w:val="00703BCA"/>
    <w:rsid w:val="00703E01"/>
    <w:rsid w:val="00703E67"/>
    <w:rsid w:val="00703F7A"/>
    <w:rsid w:val="0070461F"/>
    <w:rsid w:val="00704AAF"/>
    <w:rsid w:val="00704F2D"/>
    <w:rsid w:val="0070581E"/>
    <w:rsid w:val="00705E19"/>
    <w:rsid w:val="00706047"/>
    <w:rsid w:val="00706525"/>
    <w:rsid w:val="0070665B"/>
    <w:rsid w:val="00706A76"/>
    <w:rsid w:val="00706D7E"/>
    <w:rsid w:val="00706F13"/>
    <w:rsid w:val="007072E8"/>
    <w:rsid w:val="00707493"/>
    <w:rsid w:val="007076DC"/>
    <w:rsid w:val="00707799"/>
    <w:rsid w:val="0071056A"/>
    <w:rsid w:val="00710E45"/>
    <w:rsid w:val="0071106D"/>
    <w:rsid w:val="007110BD"/>
    <w:rsid w:val="0071167F"/>
    <w:rsid w:val="007125DF"/>
    <w:rsid w:val="00712CE2"/>
    <w:rsid w:val="00713159"/>
    <w:rsid w:val="00713307"/>
    <w:rsid w:val="007143D1"/>
    <w:rsid w:val="0071475A"/>
    <w:rsid w:val="00714B74"/>
    <w:rsid w:val="00715281"/>
    <w:rsid w:val="00715330"/>
    <w:rsid w:val="0071592A"/>
    <w:rsid w:val="00715FF7"/>
    <w:rsid w:val="0071618D"/>
    <w:rsid w:val="00716318"/>
    <w:rsid w:val="00716636"/>
    <w:rsid w:val="00716C00"/>
    <w:rsid w:val="00716CB6"/>
    <w:rsid w:val="007171DC"/>
    <w:rsid w:val="00717422"/>
    <w:rsid w:val="00717765"/>
    <w:rsid w:val="00717D60"/>
    <w:rsid w:val="00717F28"/>
    <w:rsid w:val="007201E4"/>
    <w:rsid w:val="0072020D"/>
    <w:rsid w:val="007202D8"/>
    <w:rsid w:val="00720526"/>
    <w:rsid w:val="007205A7"/>
    <w:rsid w:val="007206A1"/>
    <w:rsid w:val="00720A28"/>
    <w:rsid w:val="00720FDB"/>
    <w:rsid w:val="00720FF3"/>
    <w:rsid w:val="0072161E"/>
    <w:rsid w:val="007224F3"/>
    <w:rsid w:val="00722953"/>
    <w:rsid w:val="00722C73"/>
    <w:rsid w:val="007232E4"/>
    <w:rsid w:val="00723B5E"/>
    <w:rsid w:val="00723BAA"/>
    <w:rsid w:val="0072473F"/>
    <w:rsid w:val="00724EB4"/>
    <w:rsid w:val="007255CA"/>
    <w:rsid w:val="0072594C"/>
    <w:rsid w:val="00725CD8"/>
    <w:rsid w:val="00725EAD"/>
    <w:rsid w:val="00725F69"/>
    <w:rsid w:val="00725FA4"/>
    <w:rsid w:val="007261F0"/>
    <w:rsid w:val="00726EE6"/>
    <w:rsid w:val="007275CD"/>
    <w:rsid w:val="0073186F"/>
    <w:rsid w:val="00731C3B"/>
    <w:rsid w:val="00731E4E"/>
    <w:rsid w:val="00731F4C"/>
    <w:rsid w:val="00732B7F"/>
    <w:rsid w:val="00733123"/>
    <w:rsid w:val="00733227"/>
    <w:rsid w:val="00733B75"/>
    <w:rsid w:val="00733E41"/>
    <w:rsid w:val="007340B2"/>
    <w:rsid w:val="00734226"/>
    <w:rsid w:val="00734384"/>
    <w:rsid w:val="00734934"/>
    <w:rsid w:val="00734B30"/>
    <w:rsid w:val="00734FFD"/>
    <w:rsid w:val="00735026"/>
    <w:rsid w:val="00735FE1"/>
    <w:rsid w:val="00736485"/>
    <w:rsid w:val="00736FE4"/>
    <w:rsid w:val="007370C5"/>
    <w:rsid w:val="00737165"/>
    <w:rsid w:val="0073769D"/>
    <w:rsid w:val="00737BCD"/>
    <w:rsid w:val="00737F9F"/>
    <w:rsid w:val="007402AB"/>
    <w:rsid w:val="00740446"/>
    <w:rsid w:val="007409E7"/>
    <w:rsid w:val="00740BD4"/>
    <w:rsid w:val="00740D6E"/>
    <w:rsid w:val="00741110"/>
    <w:rsid w:val="0074136D"/>
    <w:rsid w:val="0074179C"/>
    <w:rsid w:val="00741C11"/>
    <w:rsid w:val="00742191"/>
    <w:rsid w:val="00742582"/>
    <w:rsid w:val="00743101"/>
    <w:rsid w:val="00743118"/>
    <w:rsid w:val="007431E9"/>
    <w:rsid w:val="007432E3"/>
    <w:rsid w:val="007438A9"/>
    <w:rsid w:val="00743BBE"/>
    <w:rsid w:val="00743FCA"/>
    <w:rsid w:val="007440E4"/>
    <w:rsid w:val="0074491E"/>
    <w:rsid w:val="00744D23"/>
    <w:rsid w:val="00744F42"/>
    <w:rsid w:val="0074564A"/>
    <w:rsid w:val="0074577A"/>
    <w:rsid w:val="00745958"/>
    <w:rsid w:val="00745C9D"/>
    <w:rsid w:val="00745F94"/>
    <w:rsid w:val="00746150"/>
    <w:rsid w:val="007475D8"/>
    <w:rsid w:val="00747DE6"/>
    <w:rsid w:val="007501AF"/>
    <w:rsid w:val="00750A10"/>
    <w:rsid w:val="00750B51"/>
    <w:rsid w:val="0075144D"/>
    <w:rsid w:val="0075144F"/>
    <w:rsid w:val="00751ED8"/>
    <w:rsid w:val="00752151"/>
    <w:rsid w:val="00752238"/>
    <w:rsid w:val="00752AD8"/>
    <w:rsid w:val="00752CF6"/>
    <w:rsid w:val="00752F0F"/>
    <w:rsid w:val="007535A1"/>
    <w:rsid w:val="00753BD4"/>
    <w:rsid w:val="00753E09"/>
    <w:rsid w:val="00753F33"/>
    <w:rsid w:val="00754633"/>
    <w:rsid w:val="00754D18"/>
    <w:rsid w:val="00754EA0"/>
    <w:rsid w:val="0075505F"/>
    <w:rsid w:val="00755331"/>
    <w:rsid w:val="0075557E"/>
    <w:rsid w:val="007555D3"/>
    <w:rsid w:val="00755951"/>
    <w:rsid w:val="007571D6"/>
    <w:rsid w:val="00757A57"/>
    <w:rsid w:val="007600B0"/>
    <w:rsid w:val="007605D8"/>
    <w:rsid w:val="00760827"/>
    <w:rsid w:val="00760DF7"/>
    <w:rsid w:val="00761917"/>
    <w:rsid w:val="007623BA"/>
    <w:rsid w:val="00762782"/>
    <w:rsid w:val="00762A1D"/>
    <w:rsid w:val="00762AE6"/>
    <w:rsid w:val="00762CB7"/>
    <w:rsid w:val="00763037"/>
    <w:rsid w:val="00763951"/>
    <w:rsid w:val="00763B22"/>
    <w:rsid w:val="00763F22"/>
    <w:rsid w:val="00764381"/>
    <w:rsid w:val="0076449F"/>
    <w:rsid w:val="007655C2"/>
    <w:rsid w:val="0076580C"/>
    <w:rsid w:val="00765A3E"/>
    <w:rsid w:val="00765D93"/>
    <w:rsid w:val="00765E16"/>
    <w:rsid w:val="00765F3F"/>
    <w:rsid w:val="0076657D"/>
    <w:rsid w:val="00766899"/>
    <w:rsid w:val="00766CF7"/>
    <w:rsid w:val="00767646"/>
    <w:rsid w:val="007677D3"/>
    <w:rsid w:val="00767823"/>
    <w:rsid w:val="007679F2"/>
    <w:rsid w:val="00767DF0"/>
    <w:rsid w:val="00767EE9"/>
    <w:rsid w:val="00770993"/>
    <w:rsid w:val="00770B2B"/>
    <w:rsid w:val="00771224"/>
    <w:rsid w:val="00771E3A"/>
    <w:rsid w:val="0077239A"/>
    <w:rsid w:val="00772420"/>
    <w:rsid w:val="007725C4"/>
    <w:rsid w:val="007727DF"/>
    <w:rsid w:val="00772EFF"/>
    <w:rsid w:val="00773166"/>
    <w:rsid w:val="00773236"/>
    <w:rsid w:val="00773376"/>
    <w:rsid w:val="0077378D"/>
    <w:rsid w:val="0077408A"/>
    <w:rsid w:val="00774337"/>
    <w:rsid w:val="00774702"/>
    <w:rsid w:val="00774A40"/>
    <w:rsid w:val="00774B7D"/>
    <w:rsid w:val="00774CDF"/>
    <w:rsid w:val="00775322"/>
    <w:rsid w:val="00775854"/>
    <w:rsid w:val="00775964"/>
    <w:rsid w:val="00775B4F"/>
    <w:rsid w:val="00776174"/>
    <w:rsid w:val="0077694C"/>
    <w:rsid w:val="00776F3C"/>
    <w:rsid w:val="00776FC2"/>
    <w:rsid w:val="00777C2C"/>
    <w:rsid w:val="007802F9"/>
    <w:rsid w:val="007804A9"/>
    <w:rsid w:val="00780714"/>
    <w:rsid w:val="00780D47"/>
    <w:rsid w:val="00781018"/>
    <w:rsid w:val="00781519"/>
    <w:rsid w:val="007815A7"/>
    <w:rsid w:val="0078208F"/>
    <w:rsid w:val="007822A8"/>
    <w:rsid w:val="007825D5"/>
    <w:rsid w:val="0078275A"/>
    <w:rsid w:val="007829DC"/>
    <w:rsid w:val="0078305D"/>
    <w:rsid w:val="007836C7"/>
    <w:rsid w:val="00783CD2"/>
    <w:rsid w:val="0078439D"/>
    <w:rsid w:val="00784422"/>
    <w:rsid w:val="007850D6"/>
    <w:rsid w:val="007852F8"/>
    <w:rsid w:val="007856F8"/>
    <w:rsid w:val="0078613E"/>
    <w:rsid w:val="00786A98"/>
    <w:rsid w:val="007876C4"/>
    <w:rsid w:val="0079069C"/>
    <w:rsid w:val="007907F1"/>
    <w:rsid w:val="00790834"/>
    <w:rsid w:val="007908DC"/>
    <w:rsid w:val="00790BCC"/>
    <w:rsid w:val="00790BFE"/>
    <w:rsid w:val="00790E38"/>
    <w:rsid w:val="00790F8F"/>
    <w:rsid w:val="00790FB5"/>
    <w:rsid w:val="00791F93"/>
    <w:rsid w:val="00792088"/>
    <w:rsid w:val="00792101"/>
    <w:rsid w:val="00792567"/>
    <w:rsid w:val="00792DA8"/>
    <w:rsid w:val="007933B4"/>
    <w:rsid w:val="0079392B"/>
    <w:rsid w:val="007939C5"/>
    <w:rsid w:val="007942BA"/>
    <w:rsid w:val="007946D6"/>
    <w:rsid w:val="00794EBB"/>
    <w:rsid w:val="00795092"/>
    <w:rsid w:val="00795573"/>
    <w:rsid w:val="0079580D"/>
    <w:rsid w:val="00795BFB"/>
    <w:rsid w:val="007966AE"/>
    <w:rsid w:val="00796840"/>
    <w:rsid w:val="00796ADB"/>
    <w:rsid w:val="00796CDD"/>
    <w:rsid w:val="007971E8"/>
    <w:rsid w:val="007973BF"/>
    <w:rsid w:val="00797495"/>
    <w:rsid w:val="00797B66"/>
    <w:rsid w:val="00797D9E"/>
    <w:rsid w:val="007A0C2B"/>
    <w:rsid w:val="007A102A"/>
    <w:rsid w:val="007A15B9"/>
    <w:rsid w:val="007A1C8A"/>
    <w:rsid w:val="007A2ADF"/>
    <w:rsid w:val="007A30BD"/>
    <w:rsid w:val="007A341A"/>
    <w:rsid w:val="007A3D2B"/>
    <w:rsid w:val="007A3DD6"/>
    <w:rsid w:val="007A3E5B"/>
    <w:rsid w:val="007A3F87"/>
    <w:rsid w:val="007A4C77"/>
    <w:rsid w:val="007A5187"/>
    <w:rsid w:val="007A552F"/>
    <w:rsid w:val="007A55CC"/>
    <w:rsid w:val="007A5820"/>
    <w:rsid w:val="007A5841"/>
    <w:rsid w:val="007A5B17"/>
    <w:rsid w:val="007A5FF5"/>
    <w:rsid w:val="007A6166"/>
    <w:rsid w:val="007A61E4"/>
    <w:rsid w:val="007A65D0"/>
    <w:rsid w:val="007A6798"/>
    <w:rsid w:val="007A6A13"/>
    <w:rsid w:val="007A73B2"/>
    <w:rsid w:val="007A7972"/>
    <w:rsid w:val="007A7AB0"/>
    <w:rsid w:val="007B0AC3"/>
    <w:rsid w:val="007B0C6C"/>
    <w:rsid w:val="007B0CAB"/>
    <w:rsid w:val="007B18D2"/>
    <w:rsid w:val="007B190D"/>
    <w:rsid w:val="007B1C6D"/>
    <w:rsid w:val="007B1E4E"/>
    <w:rsid w:val="007B207F"/>
    <w:rsid w:val="007B2442"/>
    <w:rsid w:val="007B2760"/>
    <w:rsid w:val="007B2A3F"/>
    <w:rsid w:val="007B3453"/>
    <w:rsid w:val="007B389F"/>
    <w:rsid w:val="007B39CC"/>
    <w:rsid w:val="007B3B03"/>
    <w:rsid w:val="007B3B18"/>
    <w:rsid w:val="007B49F9"/>
    <w:rsid w:val="007B4BAB"/>
    <w:rsid w:val="007B4CA9"/>
    <w:rsid w:val="007B5190"/>
    <w:rsid w:val="007B52E5"/>
    <w:rsid w:val="007B5429"/>
    <w:rsid w:val="007B54D1"/>
    <w:rsid w:val="007B5726"/>
    <w:rsid w:val="007B5B7C"/>
    <w:rsid w:val="007B5F30"/>
    <w:rsid w:val="007B68AA"/>
    <w:rsid w:val="007B6AB1"/>
    <w:rsid w:val="007B6CD5"/>
    <w:rsid w:val="007B6CF8"/>
    <w:rsid w:val="007B76AC"/>
    <w:rsid w:val="007B79C9"/>
    <w:rsid w:val="007B7E02"/>
    <w:rsid w:val="007C0224"/>
    <w:rsid w:val="007C0D54"/>
    <w:rsid w:val="007C0DC1"/>
    <w:rsid w:val="007C137C"/>
    <w:rsid w:val="007C2631"/>
    <w:rsid w:val="007C27EB"/>
    <w:rsid w:val="007C2CEA"/>
    <w:rsid w:val="007C2E13"/>
    <w:rsid w:val="007C3106"/>
    <w:rsid w:val="007C3464"/>
    <w:rsid w:val="007C38DD"/>
    <w:rsid w:val="007C3D6F"/>
    <w:rsid w:val="007C3E48"/>
    <w:rsid w:val="007C3EF4"/>
    <w:rsid w:val="007C4AFB"/>
    <w:rsid w:val="007C5687"/>
    <w:rsid w:val="007C5ABE"/>
    <w:rsid w:val="007C681C"/>
    <w:rsid w:val="007C6AD7"/>
    <w:rsid w:val="007C6AF3"/>
    <w:rsid w:val="007C6B25"/>
    <w:rsid w:val="007C6E1E"/>
    <w:rsid w:val="007C72A9"/>
    <w:rsid w:val="007C7379"/>
    <w:rsid w:val="007C7492"/>
    <w:rsid w:val="007C7785"/>
    <w:rsid w:val="007D04D1"/>
    <w:rsid w:val="007D082E"/>
    <w:rsid w:val="007D11DF"/>
    <w:rsid w:val="007D16E6"/>
    <w:rsid w:val="007D21EB"/>
    <w:rsid w:val="007D2487"/>
    <w:rsid w:val="007D251F"/>
    <w:rsid w:val="007D25B9"/>
    <w:rsid w:val="007D275E"/>
    <w:rsid w:val="007D292A"/>
    <w:rsid w:val="007D347E"/>
    <w:rsid w:val="007D41AA"/>
    <w:rsid w:val="007D4674"/>
    <w:rsid w:val="007D4A72"/>
    <w:rsid w:val="007D4FEA"/>
    <w:rsid w:val="007D524D"/>
    <w:rsid w:val="007D5408"/>
    <w:rsid w:val="007D54DE"/>
    <w:rsid w:val="007D5A2C"/>
    <w:rsid w:val="007D5BF7"/>
    <w:rsid w:val="007D5DD4"/>
    <w:rsid w:val="007D638A"/>
    <w:rsid w:val="007D6781"/>
    <w:rsid w:val="007D7202"/>
    <w:rsid w:val="007D7D4B"/>
    <w:rsid w:val="007D7D99"/>
    <w:rsid w:val="007E0630"/>
    <w:rsid w:val="007E09BE"/>
    <w:rsid w:val="007E0AD7"/>
    <w:rsid w:val="007E0D7E"/>
    <w:rsid w:val="007E0FA3"/>
    <w:rsid w:val="007E141F"/>
    <w:rsid w:val="007E20EE"/>
    <w:rsid w:val="007E264D"/>
    <w:rsid w:val="007E296E"/>
    <w:rsid w:val="007E2DA2"/>
    <w:rsid w:val="007E34E7"/>
    <w:rsid w:val="007E379C"/>
    <w:rsid w:val="007E3BBE"/>
    <w:rsid w:val="007E4254"/>
    <w:rsid w:val="007E4682"/>
    <w:rsid w:val="007E4BE1"/>
    <w:rsid w:val="007E5808"/>
    <w:rsid w:val="007E5BD3"/>
    <w:rsid w:val="007E5E9B"/>
    <w:rsid w:val="007E618E"/>
    <w:rsid w:val="007E69D1"/>
    <w:rsid w:val="007E6B58"/>
    <w:rsid w:val="007E6DA4"/>
    <w:rsid w:val="007E6E52"/>
    <w:rsid w:val="007E71DE"/>
    <w:rsid w:val="007E7299"/>
    <w:rsid w:val="007E7568"/>
    <w:rsid w:val="007E7BC1"/>
    <w:rsid w:val="007E7C5D"/>
    <w:rsid w:val="007E7D52"/>
    <w:rsid w:val="007E7E5A"/>
    <w:rsid w:val="007F03FC"/>
    <w:rsid w:val="007F0681"/>
    <w:rsid w:val="007F07EE"/>
    <w:rsid w:val="007F0837"/>
    <w:rsid w:val="007F1AFE"/>
    <w:rsid w:val="007F1F3F"/>
    <w:rsid w:val="007F23D6"/>
    <w:rsid w:val="007F3082"/>
    <w:rsid w:val="007F3126"/>
    <w:rsid w:val="007F317B"/>
    <w:rsid w:val="007F3E04"/>
    <w:rsid w:val="007F3FF9"/>
    <w:rsid w:val="007F41C5"/>
    <w:rsid w:val="007F4339"/>
    <w:rsid w:val="007F469A"/>
    <w:rsid w:val="007F548A"/>
    <w:rsid w:val="007F5CC6"/>
    <w:rsid w:val="007F710B"/>
    <w:rsid w:val="007F7467"/>
    <w:rsid w:val="00800521"/>
    <w:rsid w:val="008005C9"/>
    <w:rsid w:val="0080096D"/>
    <w:rsid w:val="00800CE4"/>
    <w:rsid w:val="00800D33"/>
    <w:rsid w:val="00801164"/>
    <w:rsid w:val="00801783"/>
    <w:rsid w:val="00801B1F"/>
    <w:rsid w:val="00801C4A"/>
    <w:rsid w:val="00801C5C"/>
    <w:rsid w:val="008023DE"/>
    <w:rsid w:val="008025DA"/>
    <w:rsid w:val="008028CC"/>
    <w:rsid w:val="00802D5F"/>
    <w:rsid w:val="00802F2D"/>
    <w:rsid w:val="008036C4"/>
    <w:rsid w:val="008039E6"/>
    <w:rsid w:val="00804239"/>
    <w:rsid w:val="0080457E"/>
    <w:rsid w:val="008049CB"/>
    <w:rsid w:val="00805DBA"/>
    <w:rsid w:val="00805E03"/>
    <w:rsid w:val="00806405"/>
    <w:rsid w:val="008065E9"/>
    <w:rsid w:val="00806818"/>
    <w:rsid w:val="00806961"/>
    <w:rsid w:val="00806970"/>
    <w:rsid w:val="00806B70"/>
    <w:rsid w:val="00806C01"/>
    <w:rsid w:val="00806FEA"/>
    <w:rsid w:val="008077DA"/>
    <w:rsid w:val="00807D8E"/>
    <w:rsid w:val="008100EF"/>
    <w:rsid w:val="0081080A"/>
    <w:rsid w:val="00810FE5"/>
    <w:rsid w:val="0081182A"/>
    <w:rsid w:val="00811B52"/>
    <w:rsid w:val="008121D0"/>
    <w:rsid w:val="00812A82"/>
    <w:rsid w:val="00813301"/>
    <w:rsid w:val="008134ED"/>
    <w:rsid w:val="00813833"/>
    <w:rsid w:val="00813870"/>
    <w:rsid w:val="00813FB8"/>
    <w:rsid w:val="0081413C"/>
    <w:rsid w:val="008145CE"/>
    <w:rsid w:val="008148BB"/>
    <w:rsid w:val="008148CC"/>
    <w:rsid w:val="0081569D"/>
    <w:rsid w:val="008160A6"/>
    <w:rsid w:val="008161DA"/>
    <w:rsid w:val="0081633F"/>
    <w:rsid w:val="00817264"/>
    <w:rsid w:val="00817AD6"/>
    <w:rsid w:val="00820274"/>
    <w:rsid w:val="008207F3"/>
    <w:rsid w:val="00820E84"/>
    <w:rsid w:val="0082109B"/>
    <w:rsid w:val="008211A4"/>
    <w:rsid w:val="00821678"/>
    <w:rsid w:val="0082195B"/>
    <w:rsid w:val="00821AF2"/>
    <w:rsid w:val="00821C1B"/>
    <w:rsid w:val="00821E79"/>
    <w:rsid w:val="00821FF4"/>
    <w:rsid w:val="00822579"/>
    <w:rsid w:val="00823577"/>
    <w:rsid w:val="008237A7"/>
    <w:rsid w:val="00823CDA"/>
    <w:rsid w:val="00823FEE"/>
    <w:rsid w:val="0082412C"/>
    <w:rsid w:val="00824695"/>
    <w:rsid w:val="008246FA"/>
    <w:rsid w:val="008255F2"/>
    <w:rsid w:val="008263D3"/>
    <w:rsid w:val="00826696"/>
    <w:rsid w:val="008268F2"/>
    <w:rsid w:val="0082693F"/>
    <w:rsid w:val="00826C31"/>
    <w:rsid w:val="00827B55"/>
    <w:rsid w:val="00827E90"/>
    <w:rsid w:val="00830944"/>
    <w:rsid w:val="00830B0B"/>
    <w:rsid w:val="00830F23"/>
    <w:rsid w:val="00831049"/>
    <w:rsid w:val="00831102"/>
    <w:rsid w:val="0083122E"/>
    <w:rsid w:val="00831265"/>
    <w:rsid w:val="00831C51"/>
    <w:rsid w:val="008329A8"/>
    <w:rsid w:val="00832C1F"/>
    <w:rsid w:val="00832E8C"/>
    <w:rsid w:val="00832F0E"/>
    <w:rsid w:val="008332B5"/>
    <w:rsid w:val="00833C15"/>
    <w:rsid w:val="00834227"/>
    <w:rsid w:val="00834348"/>
    <w:rsid w:val="008347FC"/>
    <w:rsid w:val="008348A3"/>
    <w:rsid w:val="008357B7"/>
    <w:rsid w:val="008357FA"/>
    <w:rsid w:val="00835D31"/>
    <w:rsid w:val="00836355"/>
    <w:rsid w:val="0083678E"/>
    <w:rsid w:val="00836FEF"/>
    <w:rsid w:val="0083771D"/>
    <w:rsid w:val="008377D6"/>
    <w:rsid w:val="00837F5E"/>
    <w:rsid w:val="0084028C"/>
    <w:rsid w:val="00840A99"/>
    <w:rsid w:val="00840DD9"/>
    <w:rsid w:val="00840E47"/>
    <w:rsid w:val="00840F88"/>
    <w:rsid w:val="008413B6"/>
    <w:rsid w:val="0084169B"/>
    <w:rsid w:val="0084175A"/>
    <w:rsid w:val="00841BA8"/>
    <w:rsid w:val="00842116"/>
    <w:rsid w:val="0084221D"/>
    <w:rsid w:val="008424FC"/>
    <w:rsid w:val="00842ED7"/>
    <w:rsid w:val="00843888"/>
    <w:rsid w:val="00843BB9"/>
    <w:rsid w:val="008442A4"/>
    <w:rsid w:val="00844351"/>
    <w:rsid w:val="00844456"/>
    <w:rsid w:val="00844F66"/>
    <w:rsid w:val="00845152"/>
    <w:rsid w:val="0084655F"/>
    <w:rsid w:val="008466CC"/>
    <w:rsid w:val="00847237"/>
    <w:rsid w:val="00847CF8"/>
    <w:rsid w:val="00850308"/>
    <w:rsid w:val="00850742"/>
    <w:rsid w:val="00850F11"/>
    <w:rsid w:val="008518D7"/>
    <w:rsid w:val="00851ACC"/>
    <w:rsid w:val="00851C9C"/>
    <w:rsid w:val="008523B5"/>
    <w:rsid w:val="00852A87"/>
    <w:rsid w:val="00853054"/>
    <w:rsid w:val="00853AAA"/>
    <w:rsid w:val="0085488D"/>
    <w:rsid w:val="008558D1"/>
    <w:rsid w:val="00855F5D"/>
    <w:rsid w:val="00857488"/>
    <w:rsid w:val="008600AF"/>
    <w:rsid w:val="00860350"/>
    <w:rsid w:val="00860395"/>
    <w:rsid w:val="008608C6"/>
    <w:rsid w:val="008609A9"/>
    <w:rsid w:val="00860A9D"/>
    <w:rsid w:val="00860C4E"/>
    <w:rsid w:val="00861184"/>
    <w:rsid w:val="0086193B"/>
    <w:rsid w:val="0086196E"/>
    <w:rsid w:val="00861CCE"/>
    <w:rsid w:val="00862285"/>
    <w:rsid w:val="008631C1"/>
    <w:rsid w:val="00863487"/>
    <w:rsid w:val="00864288"/>
    <w:rsid w:val="008645E2"/>
    <w:rsid w:val="00865010"/>
    <w:rsid w:val="00865222"/>
    <w:rsid w:val="008654F8"/>
    <w:rsid w:val="00865609"/>
    <w:rsid w:val="008658C7"/>
    <w:rsid w:val="00865F6E"/>
    <w:rsid w:val="008662A8"/>
    <w:rsid w:val="00866DE8"/>
    <w:rsid w:val="00867174"/>
    <w:rsid w:val="008705CB"/>
    <w:rsid w:val="00870767"/>
    <w:rsid w:val="00870DEC"/>
    <w:rsid w:val="00871237"/>
    <w:rsid w:val="008712A2"/>
    <w:rsid w:val="008714DA"/>
    <w:rsid w:val="00871CC0"/>
    <w:rsid w:val="00871E04"/>
    <w:rsid w:val="008722E8"/>
    <w:rsid w:val="0087271E"/>
    <w:rsid w:val="00872AFD"/>
    <w:rsid w:val="00872B6E"/>
    <w:rsid w:val="00872FAF"/>
    <w:rsid w:val="00873150"/>
    <w:rsid w:val="008738BD"/>
    <w:rsid w:val="0087401E"/>
    <w:rsid w:val="0087469D"/>
    <w:rsid w:val="00874A2E"/>
    <w:rsid w:val="00874CCF"/>
    <w:rsid w:val="008750E3"/>
    <w:rsid w:val="0087615D"/>
    <w:rsid w:val="0087657D"/>
    <w:rsid w:val="008771B0"/>
    <w:rsid w:val="0087724B"/>
    <w:rsid w:val="008779CC"/>
    <w:rsid w:val="00877AFE"/>
    <w:rsid w:val="00877DA9"/>
    <w:rsid w:val="00877E34"/>
    <w:rsid w:val="00877F36"/>
    <w:rsid w:val="008807D5"/>
    <w:rsid w:val="00880832"/>
    <w:rsid w:val="00880928"/>
    <w:rsid w:val="00881232"/>
    <w:rsid w:val="008812B6"/>
    <w:rsid w:val="00881378"/>
    <w:rsid w:val="00881478"/>
    <w:rsid w:val="008819BC"/>
    <w:rsid w:val="00882193"/>
    <w:rsid w:val="0088225A"/>
    <w:rsid w:val="0088283B"/>
    <w:rsid w:val="008837D1"/>
    <w:rsid w:val="00883B3E"/>
    <w:rsid w:val="00883B68"/>
    <w:rsid w:val="008846D6"/>
    <w:rsid w:val="008847BF"/>
    <w:rsid w:val="0088484B"/>
    <w:rsid w:val="00884D51"/>
    <w:rsid w:val="008852D1"/>
    <w:rsid w:val="008852D7"/>
    <w:rsid w:val="00885972"/>
    <w:rsid w:val="00886331"/>
    <w:rsid w:val="008864AC"/>
    <w:rsid w:val="00886A7C"/>
    <w:rsid w:val="00886EE1"/>
    <w:rsid w:val="0088727D"/>
    <w:rsid w:val="00887519"/>
    <w:rsid w:val="00887597"/>
    <w:rsid w:val="008875BF"/>
    <w:rsid w:val="008875C7"/>
    <w:rsid w:val="008877A3"/>
    <w:rsid w:val="00887F87"/>
    <w:rsid w:val="0089003C"/>
    <w:rsid w:val="00890484"/>
    <w:rsid w:val="00890C61"/>
    <w:rsid w:val="00891482"/>
    <w:rsid w:val="00891651"/>
    <w:rsid w:val="008916A4"/>
    <w:rsid w:val="00891877"/>
    <w:rsid w:val="00891B1F"/>
    <w:rsid w:val="00891B45"/>
    <w:rsid w:val="00891C40"/>
    <w:rsid w:val="00891D13"/>
    <w:rsid w:val="008927B7"/>
    <w:rsid w:val="00892AD0"/>
    <w:rsid w:val="00893A8A"/>
    <w:rsid w:val="00893C8A"/>
    <w:rsid w:val="00893CE5"/>
    <w:rsid w:val="00894725"/>
    <w:rsid w:val="00894779"/>
    <w:rsid w:val="00894A57"/>
    <w:rsid w:val="00894B60"/>
    <w:rsid w:val="00894D2D"/>
    <w:rsid w:val="0089563E"/>
    <w:rsid w:val="008956FC"/>
    <w:rsid w:val="0089574F"/>
    <w:rsid w:val="0089577F"/>
    <w:rsid w:val="008958E7"/>
    <w:rsid w:val="00895DEC"/>
    <w:rsid w:val="008969C3"/>
    <w:rsid w:val="00896DC4"/>
    <w:rsid w:val="008971FF"/>
    <w:rsid w:val="008972F4"/>
    <w:rsid w:val="008976DB"/>
    <w:rsid w:val="008977B3"/>
    <w:rsid w:val="00897B45"/>
    <w:rsid w:val="00897C75"/>
    <w:rsid w:val="00897F67"/>
    <w:rsid w:val="008A07F9"/>
    <w:rsid w:val="008A121C"/>
    <w:rsid w:val="008A17B3"/>
    <w:rsid w:val="008A2A10"/>
    <w:rsid w:val="008A2E1B"/>
    <w:rsid w:val="008A2EE1"/>
    <w:rsid w:val="008A30F9"/>
    <w:rsid w:val="008A3708"/>
    <w:rsid w:val="008A3B60"/>
    <w:rsid w:val="008A3DC1"/>
    <w:rsid w:val="008A4424"/>
    <w:rsid w:val="008A4DBA"/>
    <w:rsid w:val="008A5363"/>
    <w:rsid w:val="008A5756"/>
    <w:rsid w:val="008A59D1"/>
    <w:rsid w:val="008A5F2D"/>
    <w:rsid w:val="008A5F56"/>
    <w:rsid w:val="008A61F5"/>
    <w:rsid w:val="008A6AEA"/>
    <w:rsid w:val="008A76C4"/>
    <w:rsid w:val="008A79A6"/>
    <w:rsid w:val="008B07BF"/>
    <w:rsid w:val="008B0E54"/>
    <w:rsid w:val="008B0F64"/>
    <w:rsid w:val="008B0F81"/>
    <w:rsid w:val="008B108A"/>
    <w:rsid w:val="008B169D"/>
    <w:rsid w:val="008B271B"/>
    <w:rsid w:val="008B2B71"/>
    <w:rsid w:val="008B2E23"/>
    <w:rsid w:val="008B2E90"/>
    <w:rsid w:val="008B2F9B"/>
    <w:rsid w:val="008B39BA"/>
    <w:rsid w:val="008B3C22"/>
    <w:rsid w:val="008B405B"/>
    <w:rsid w:val="008B405C"/>
    <w:rsid w:val="008B41DD"/>
    <w:rsid w:val="008B4217"/>
    <w:rsid w:val="008B4486"/>
    <w:rsid w:val="008B45E8"/>
    <w:rsid w:val="008B4637"/>
    <w:rsid w:val="008B46B6"/>
    <w:rsid w:val="008B4F46"/>
    <w:rsid w:val="008B5AA5"/>
    <w:rsid w:val="008B5B68"/>
    <w:rsid w:val="008B6617"/>
    <w:rsid w:val="008B6BD9"/>
    <w:rsid w:val="008B6F74"/>
    <w:rsid w:val="008B75CC"/>
    <w:rsid w:val="008B765C"/>
    <w:rsid w:val="008B7B41"/>
    <w:rsid w:val="008C0562"/>
    <w:rsid w:val="008C0E8B"/>
    <w:rsid w:val="008C0EC8"/>
    <w:rsid w:val="008C1130"/>
    <w:rsid w:val="008C175E"/>
    <w:rsid w:val="008C1A88"/>
    <w:rsid w:val="008C2359"/>
    <w:rsid w:val="008C235C"/>
    <w:rsid w:val="008C2424"/>
    <w:rsid w:val="008C2480"/>
    <w:rsid w:val="008C24C3"/>
    <w:rsid w:val="008C27F9"/>
    <w:rsid w:val="008C2ED5"/>
    <w:rsid w:val="008C2FC2"/>
    <w:rsid w:val="008C308F"/>
    <w:rsid w:val="008C3939"/>
    <w:rsid w:val="008C3B67"/>
    <w:rsid w:val="008C41C1"/>
    <w:rsid w:val="008C463D"/>
    <w:rsid w:val="008C5192"/>
    <w:rsid w:val="008C53B8"/>
    <w:rsid w:val="008C53ED"/>
    <w:rsid w:val="008C5585"/>
    <w:rsid w:val="008C561A"/>
    <w:rsid w:val="008C573B"/>
    <w:rsid w:val="008C573C"/>
    <w:rsid w:val="008C5870"/>
    <w:rsid w:val="008C5BBB"/>
    <w:rsid w:val="008C5F1A"/>
    <w:rsid w:val="008C61B5"/>
    <w:rsid w:val="008C6ED5"/>
    <w:rsid w:val="008C6FE9"/>
    <w:rsid w:val="008C75BD"/>
    <w:rsid w:val="008C7E39"/>
    <w:rsid w:val="008D0024"/>
    <w:rsid w:val="008D02AE"/>
    <w:rsid w:val="008D0383"/>
    <w:rsid w:val="008D05D5"/>
    <w:rsid w:val="008D166B"/>
    <w:rsid w:val="008D1723"/>
    <w:rsid w:val="008D18E6"/>
    <w:rsid w:val="008D256E"/>
    <w:rsid w:val="008D266A"/>
    <w:rsid w:val="008D2B16"/>
    <w:rsid w:val="008D2C8B"/>
    <w:rsid w:val="008D2D76"/>
    <w:rsid w:val="008D3421"/>
    <w:rsid w:val="008D35EC"/>
    <w:rsid w:val="008D3705"/>
    <w:rsid w:val="008D3809"/>
    <w:rsid w:val="008D4306"/>
    <w:rsid w:val="008D4499"/>
    <w:rsid w:val="008D490B"/>
    <w:rsid w:val="008D4940"/>
    <w:rsid w:val="008D4DF8"/>
    <w:rsid w:val="008D5340"/>
    <w:rsid w:val="008D566C"/>
    <w:rsid w:val="008D5720"/>
    <w:rsid w:val="008D5E91"/>
    <w:rsid w:val="008D625E"/>
    <w:rsid w:val="008D6432"/>
    <w:rsid w:val="008D70B2"/>
    <w:rsid w:val="008D7117"/>
    <w:rsid w:val="008D79A3"/>
    <w:rsid w:val="008D7A9B"/>
    <w:rsid w:val="008D7ED3"/>
    <w:rsid w:val="008E0150"/>
    <w:rsid w:val="008E0349"/>
    <w:rsid w:val="008E06BD"/>
    <w:rsid w:val="008E0E06"/>
    <w:rsid w:val="008E167F"/>
    <w:rsid w:val="008E16F0"/>
    <w:rsid w:val="008E1DBA"/>
    <w:rsid w:val="008E23E2"/>
    <w:rsid w:val="008E25C5"/>
    <w:rsid w:val="008E2801"/>
    <w:rsid w:val="008E295D"/>
    <w:rsid w:val="008E2DA2"/>
    <w:rsid w:val="008E36D8"/>
    <w:rsid w:val="008E372B"/>
    <w:rsid w:val="008E376B"/>
    <w:rsid w:val="008E3824"/>
    <w:rsid w:val="008E384E"/>
    <w:rsid w:val="008E38BE"/>
    <w:rsid w:val="008E3D16"/>
    <w:rsid w:val="008E422B"/>
    <w:rsid w:val="008E4668"/>
    <w:rsid w:val="008E4A79"/>
    <w:rsid w:val="008E4E9B"/>
    <w:rsid w:val="008E52A3"/>
    <w:rsid w:val="008E55FE"/>
    <w:rsid w:val="008E5D2B"/>
    <w:rsid w:val="008E62C8"/>
    <w:rsid w:val="008E6654"/>
    <w:rsid w:val="008E6693"/>
    <w:rsid w:val="008E6752"/>
    <w:rsid w:val="008E7051"/>
    <w:rsid w:val="008E7397"/>
    <w:rsid w:val="008E73DF"/>
    <w:rsid w:val="008E76AC"/>
    <w:rsid w:val="008E7B86"/>
    <w:rsid w:val="008F00A3"/>
    <w:rsid w:val="008F04A0"/>
    <w:rsid w:val="008F051B"/>
    <w:rsid w:val="008F06E5"/>
    <w:rsid w:val="008F0A60"/>
    <w:rsid w:val="008F143B"/>
    <w:rsid w:val="008F1FA3"/>
    <w:rsid w:val="008F21D7"/>
    <w:rsid w:val="008F21F6"/>
    <w:rsid w:val="008F221F"/>
    <w:rsid w:val="008F2775"/>
    <w:rsid w:val="008F35B4"/>
    <w:rsid w:val="008F35D6"/>
    <w:rsid w:val="008F4007"/>
    <w:rsid w:val="008F44E7"/>
    <w:rsid w:val="008F4C4A"/>
    <w:rsid w:val="008F548B"/>
    <w:rsid w:val="008F5577"/>
    <w:rsid w:val="008F5890"/>
    <w:rsid w:val="008F5D04"/>
    <w:rsid w:val="008F5DAC"/>
    <w:rsid w:val="008F64DD"/>
    <w:rsid w:val="008F6E7D"/>
    <w:rsid w:val="008F722F"/>
    <w:rsid w:val="008F7A27"/>
    <w:rsid w:val="00900424"/>
    <w:rsid w:val="00900465"/>
    <w:rsid w:val="009005E2"/>
    <w:rsid w:val="00900DC7"/>
    <w:rsid w:val="00900FF5"/>
    <w:rsid w:val="00901329"/>
    <w:rsid w:val="00901600"/>
    <w:rsid w:val="00901F33"/>
    <w:rsid w:val="00902011"/>
    <w:rsid w:val="009020A4"/>
    <w:rsid w:val="009023AB"/>
    <w:rsid w:val="009024DA"/>
    <w:rsid w:val="009027D4"/>
    <w:rsid w:val="009028E6"/>
    <w:rsid w:val="00902B82"/>
    <w:rsid w:val="00903CD9"/>
    <w:rsid w:val="0090406B"/>
    <w:rsid w:val="00904500"/>
    <w:rsid w:val="00904525"/>
    <w:rsid w:val="00904C64"/>
    <w:rsid w:val="009055C8"/>
    <w:rsid w:val="009059BE"/>
    <w:rsid w:val="00905F96"/>
    <w:rsid w:val="0090642E"/>
    <w:rsid w:val="00906557"/>
    <w:rsid w:val="009068BA"/>
    <w:rsid w:val="00906B46"/>
    <w:rsid w:val="00907D54"/>
    <w:rsid w:val="009104B9"/>
    <w:rsid w:val="009112C5"/>
    <w:rsid w:val="00911964"/>
    <w:rsid w:val="00911B2F"/>
    <w:rsid w:val="00911FBC"/>
    <w:rsid w:val="009120B7"/>
    <w:rsid w:val="00912127"/>
    <w:rsid w:val="00912C12"/>
    <w:rsid w:val="00912DAB"/>
    <w:rsid w:val="00913921"/>
    <w:rsid w:val="00913DCA"/>
    <w:rsid w:val="00914430"/>
    <w:rsid w:val="00914D32"/>
    <w:rsid w:val="00915269"/>
    <w:rsid w:val="009154CA"/>
    <w:rsid w:val="0091586C"/>
    <w:rsid w:val="0091591D"/>
    <w:rsid w:val="00915A01"/>
    <w:rsid w:val="00915B3A"/>
    <w:rsid w:val="00915DF2"/>
    <w:rsid w:val="00915E26"/>
    <w:rsid w:val="00915E73"/>
    <w:rsid w:val="00916AE5"/>
    <w:rsid w:val="00916CC7"/>
    <w:rsid w:val="00916EB6"/>
    <w:rsid w:val="009173E4"/>
    <w:rsid w:val="00917A6E"/>
    <w:rsid w:val="00917DA9"/>
    <w:rsid w:val="0092054E"/>
    <w:rsid w:val="00920A9C"/>
    <w:rsid w:val="00920B85"/>
    <w:rsid w:val="00920E03"/>
    <w:rsid w:val="009211AB"/>
    <w:rsid w:val="0092166B"/>
    <w:rsid w:val="00922302"/>
    <w:rsid w:val="009225C8"/>
    <w:rsid w:val="00922806"/>
    <w:rsid w:val="009228AF"/>
    <w:rsid w:val="00922D49"/>
    <w:rsid w:val="00923447"/>
    <w:rsid w:val="00923512"/>
    <w:rsid w:val="009238D5"/>
    <w:rsid w:val="00923DCB"/>
    <w:rsid w:val="00924339"/>
    <w:rsid w:val="009254F0"/>
    <w:rsid w:val="009259A4"/>
    <w:rsid w:val="00925A15"/>
    <w:rsid w:val="00925E12"/>
    <w:rsid w:val="00925E3E"/>
    <w:rsid w:val="00926CEF"/>
    <w:rsid w:val="009277D6"/>
    <w:rsid w:val="00927C96"/>
    <w:rsid w:val="00927D21"/>
    <w:rsid w:val="00927F59"/>
    <w:rsid w:val="009314B5"/>
    <w:rsid w:val="009317A8"/>
    <w:rsid w:val="00931AFF"/>
    <w:rsid w:val="00932DFF"/>
    <w:rsid w:val="00932F97"/>
    <w:rsid w:val="00932FE0"/>
    <w:rsid w:val="0093353E"/>
    <w:rsid w:val="00933556"/>
    <w:rsid w:val="0093377B"/>
    <w:rsid w:val="00933A47"/>
    <w:rsid w:val="00933AA9"/>
    <w:rsid w:val="00934309"/>
    <w:rsid w:val="00934DE6"/>
    <w:rsid w:val="00934E08"/>
    <w:rsid w:val="009354DF"/>
    <w:rsid w:val="00935E1E"/>
    <w:rsid w:val="00935F3F"/>
    <w:rsid w:val="00936D1F"/>
    <w:rsid w:val="00936D22"/>
    <w:rsid w:val="00937125"/>
    <w:rsid w:val="009373CB"/>
    <w:rsid w:val="0094057A"/>
    <w:rsid w:val="0094086A"/>
    <w:rsid w:val="00941DBD"/>
    <w:rsid w:val="00941F3B"/>
    <w:rsid w:val="00942167"/>
    <w:rsid w:val="009426EC"/>
    <w:rsid w:val="009431C8"/>
    <w:rsid w:val="00943C86"/>
    <w:rsid w:val="00943CD3"/>
    <w:rsid w:val="0094400A"/>
    <w:rsid w:val="0094451A"/>
    <w:rsid w:val="009446B1"/>
    <w:rsid w:val="009448A9"/>
    <w:rsid w:val="00944D97"/>
    <w:rsid w:val="009452DD"/>
    <w:rsid w:val="009454D1"/>
    <w:rsid w:val="0094578D"/>
    <w:rsid w:val="0094656A"/>
    <w:rsid w:val="00946E6A"/>
    <w:rsid w:val="009472E0"/>
    <w:rsid w:val="009473B9"/>
    <w:rsid w:val="00947FB5"/>
    <w:rsid w:val="009501EA"/>
    <w:rsid w:val="009504B6"/>
    <w:rsid w:val="00950510"/>
    <w:rsid w:val="009505AB"/>
    <w:rsid w:val="00951119"/>
    <w:rsid w:val="0095174B"/>
    <w:rsid w:val="009517B2"/>
    <w:rsid w:val="00951D46"/>
    <w:rsid w:val="00951F79"/>
    <w:rsid w:val="00951FFB"/>
    <w:rsid w:val="0095205F"/>
    <w:rsid w:val="00952809"/>
    <w:rsid w:val="00952E46"/>
    <w:rsid w:val="00952F56"/>
    <w:rsid w:val="00953039"/>
    <w:rsid w:val="0095321E"/>
    <w:rsid w:val="00953886"/>
    <w:rsid w:val="00953B40"/>
    <w:rsid w:val="00953B7B"/>
    <w:rsid w:val="00954E08"/>
    <w:rsid w:val="0095558B"/>
    <w:rsid w:val="009558F5"/>
    <w:rsid w:val="00955CE2"/>
    <w:rsid w:val="009565D6"/>
    <w:rsid w:val="00956636"/>
    <w:rsid w:val="009567CB"/>
    <w:rsid w:val="00956D34"/>
    <w:rsid w:val="00957821"/>
    <w:rsid w:val="00960A88"/>
    <w:rsid w:val="00960BA9"/>
    <w:rsid w:val="00960BAC"/>
    <w:rsid w:val="00961343"/>
    <w:rsid w:val="00961AE8"/>
    <w:rsid w:val="0096320F"/>
    <w:rsid w:val="00963500"/>
    <w:rsid w:val="0096378D"/>
    <w:rsid w:val="009646B7"/>
    <w:rsid w:val="0096484E"/>
    <w:rsid w:val="00964A05"/>
    <w:rsid w:val="00964AD8"/>
    <w:rsid w:val="00965B38"/>
    <w:rsid w:val="00965CDC"/>
    <w:rsid w:val="00966EB6"/>
    <w:rsid w:val="00966FDC"/>
    <w:rsid w:val="009672EA"/>
    <w:rsid w:val="00967A12"/>
    <w:rsid w:val="00967F2C"/>
    <w:rsid w:val="00970365"/>
    <w:rsid w:val="0097087A"/>
    <w:rsid w:val="00970A3D"/>
    <w:rsid w:val="00971731"/>
    <w:rsid w:val="0097175E"/>
    <w:rsid w:val="0097195C"/>
    <w:rsid w:val="00971C21"/>
    <w:rsid w:val="00972082"/>
    <w:rsid w:val="00972189"/>
    <w:rsid w:val="009724A9"/>
    <w:rsid w:val="00972666"/>
    <w:rsid w:val="00972760"/>
    <w:rsid w:val="00973085"/>
    <w:rsid w:val="009736BA"/>
    <w:rsid w:val="00973986"/>
    <w:rsid w:val="00973A14"/>
    <w:rsid w:val="00973FF8"/>
    <w:rsid w:val="009741BF"/>
    <w:rsid w:val="009743F7"/>
    <w:rsid w:val="00974673"/>
    <w:rsid w:val="00974949"/>
    <w:rsid w:val="00974AB5"/>
    <w:rsid w:val="00974D52"/>
    <w:rsid w:val="00975062"/>
    <w:rsid w:val="009762E1"/>
    <w:rsid w:val="009768CD"/>
    <w:rsid w:val="00976C4F"/>
    <w:rsid w:val="009773CC"/>
    <w:rsid w:val="00977477"/>
    <w:rsid w:val="0097770D"/>
    <w:rsid w:val="0097792A"/>
    <w:rsid w:val="009779E9"/>
    <w:rsid w:val="00977A89"/>
    <w:rsid w:val="00977D32"/>
    <w:rsid w:val="00977FF7"/>
    <w:rsid w:val="0098044F"/>
    <w:rsid w:val="009805DE"/>
    <w:rsid w:val="00980A16"/>
    <w:rsid w:val="00981767"/>
    <w:rsid w:val="00981996"/>
    <w:rsid w:val="00981AED"/>
    <w:rsid w:val="009824AB"/>
    <w:rsid w:val="0098280B"/>
    <w:rsid w:val="00982CAB"/>
    <w:rsid w:val="0098309F"/>
    <w:rsid w:val="00983E26"/>
    <w:rsid w:val="00983E53"/>
    <w:rsid w:val="00984CE3"/>
    <w:rsid w:val="0098587B"/>
    <w:rsid w:val="00985A06"/>
    <w:rsid w:val="009861B6"/>
    <w:rsid w:val="0098621F"/>
    <w:rsid w:val="00986665"/>
    <w:rsid w:val="00986A82"/>
    <w:rsid w:val="00986D1F"/>
    <w:rsid w:val="00986D56"/>
    <w:rsid w:val="0098706D"/>
    <w:rsid w:val="00987161"/>
    <w:rsid w:val="009876D3"/>
    <w:rsid w:val="00987796"/>
    <w:rsid w:val="009904D8"/>
    <w:rsid w:val="00990F76"/>
    <w:rsid w:val="00991178"/>
    <w:rsid w:val="00991924"/>
    <w:rsid w:val="00991AA1"/>
    <w:rsid w:val="00991C12"/>
    <w:rsid w:val="009923C6"/>
    <w:rsid w:val="00992877"/>
    <w:rsid w:val="00992A5B"/>
    <w:rsid w:val="00992CC2"/>
    <w:rsid w:val="00992F1F"/>
    <w:rsid w:val="009935FB"/>
    <w:rsid w:val="00993A74"/>
    <w:rsid w:val="009946C3"/>
    <w:rsid w:val="009946EE"/>
    <w:rsid w:val="00994C1B"/>
    <w:rsid w:val="00994E40"/>
    <w:rsid w:val="00995141"/>
    <w:rsid w:val="00995188"/>
    <w:rsid w:val="0099537E"/>
    <w:rsid w:val="0099550B"/>
    <w:rsid w:val="009956EE"/>
    <w:rsid w:val="00995E07"/>
    <w:rsid w:val="00995FAF"/>
    <w:rsid w:val="00996A30"/>
    <w:rsid w:val="00996B80"/>
    <w:rsid w:val="00996C1D"/>
    <w:rsid w:val="00996EDC"/>
    <w:rsid w:val="00996F56"/>
    <w:rsid w:val="00996FB9"/>
    <w:rsid w:val="009976A0"/>
    <w:rsid w:val="009976EF"/>
    <w:rsid w:val="00997753"/>
    <w:rsid w:val="00997A59"/>
    <w:rsid w:val="009A02EC"/>
    <w:rsid w:val="009A1078"/>
    <w:rsid w:val="009A12D7"/>
    <w:rsid w:val="009A1770"/>
    <w:rsid w:val="009A1A06"/>
    <w:rsid w:val="009A22B5"/>
    <w:rsid w:val="009A279D"/>
    <w:rsid w:val="009A27F8"/>
    <w:rsid w:val="009A2BDE"/>
    <w:rsid w:val="009A30D7"/>
    <w:rsid w:val="009A3BE6"/>
    <w:rsid w:val="009A3E4C"/>
    <w:rsid w:val="009A4145"/>
    <w:rsid w:val="009A41DF"/>
    <w:rsid w:val="009A4283"/>
    <w:rsid w:val="009A495B"/>
    <w:rsid w:val="009A4F1C"/>
    <w:rsid w:val="009A5289"/>
    <w:rsid w:val="009A52FC"/>
    <w:rsid w:val="009A5368"/>
    <w:rsid w:val="009A553C"/>
    <w:rsid w:val="009A5B15"/>
    <w:rsid w:val="009A60E2"/>
    <w:rsid w:val="009A61F2"/>
    <w:rsid w:val="009A6B51"/>
    <w:rsid w:val="009A6EF7"/>
    <w:rsid w:val="009A761F"/>
    <w:rsid w:val="009A787C"/>
    <w:rsid w:val="009A79A9"/>
    <w:rsid w:val="009B00FF"/>
    <w:rsid w:val="009B05B9"/>
    <w:rsid w:val="009B1456"/>
    <w:rsid w:val="009B15C6"/>
    <w:rsid w:val="009B1934"/>
    <w:rsid w:val="009B1D7D"/>
    <w:rsid w:val="009B1EB8"/>
    <w:rsid w:val="009B2A0B"/>
    <w:rsid w:val="009B3E63"/>
    <w:rsid w:val="009B3F2E"/>
    <w:rsid w:val="009B4313"/>
    <w:rsid w:val="009B499B"/>
    <w:rsid w:val="009B4ADF"/>
    <w:rsid w:val="009B518E"/>
    <w:rsid w:val="009B51F2"/>
    <w:rsid w:val="009B5574"/>
    <w:rsid w:val="009B56D5"/>
    <w:rsid w:val="009B58D1"/>
    <w:rsid w:val="009B5D4B"/>
    <w:rsid w:val="009B5FDD"/>
    <w:rsid w:val="009B70CA"/>
    <w:rsid w:val="009B75E0"/>
    <w:rsid w:val="009C021B"/>
    <w:rsid w:val="009C0342"/>
    <w:rsid w:val="009C0476"/>
    <w:rsid w:val="009C0B48"/>
    <w:rsid w:val="009C0C64"/>
    <w:rsid w:val="009C0F1C"/>
    <w:rsid w:val="009C1389"/>
    <w:rsid w:val="009C14EA"/>
    <w:rsid w:val="009C1754"/>
    <w:rsid w:val="009C1818"/>
    <w:rsid w:val="009C1D93"/>
    <w:rsid w:val="009C1DA6"/>
    <w:rsid w:val="009C21D3"/>
    <w:rsid w:val="009C2276"/>
    <w:rsid w:val="009C23E3"/>
    <w:rsid w:val="009C2ABA"/>
    <w:rsid w:val="009C2E09"/>
    <w:rsid w:val="009C3192"/>
    <w:rsid w:val="009C32FB"/>
    <w:rsid w:val="009C33F6"/>
    <w:rsid w:val="009C343E"/>
    <w:rsid w:val="009C360F"/>
    <w:rsid w:val="009C3B10"/>
    <w:rsid w:val="009C3CE7"/>
    <w:rsid w:val="009C4542"/>
    <w:rsid w:val="009C5CF3"/>
    <w:rsid w:val="009C6206"/>
    <w:rsid w:val="009C6993"/>
    <w:rsid w:val="009C70A8"/>
    <w:rsid w:val="009C74B2"/>
    <w:rsid w:val="009C774E"/>
    <w:rsid w:val="009C7A37"/>
    <w:rsid w:val="009C7DC7"/>
    <w:rsid w:val="009C7EEF"/>
    <w:rsid w:val="009D0067"/>
    <w:rsid w:val="009D00B6"/>
    <w:rsid w:val="009D06F1"/>
    <w:rsid w:val="009D094C"/>
    <w:rsid w:val="009D10E4"/>
    <w:rsid w:val="009D1855"/>
    <w:rsid w:val="009D1DA5"/>
    <w:rsid w:val="009D22B1"/>
    <w:rsid w:val="009D22EF"/>
    <w:rsid w:val="009D263F"/>
    <w:rsid w:val="009D2670"/>
    <w:rsid w:val="009D293A"/>
    <w:rsid w:val="009D2940"/>
    <w:rsid w:val="009D315F"/>
    <w:rsid w:val="009D3172"/>
    <w:rsid w:val="009D347C"/>
    <w:rsid w:val="009D34BB"/>
    <w:rsid w:val="009D3895"/>
    <w:rsid w:val="009D398F"/>
    <w:rsid w:val="009D3ADB"/>
    <w:rsid w:val="009D3F32"/>
    <w:rsid w:val="009D4259"/>
    <w:rsid w:val="009D4959"/>
    <w:rsid w:val="009D5178"/>
    <w:rsid w:val="009D63BD"/>
    <w:rsid w:val="009D756D"/>
    <w:rsid w:val="009D7FAF"/>
    <w:rsid w:val="009E000A"/>
    <w:rsid w:val="009E0708"/>
    <w:rsid w:val="009E0882"/>
    <w:rsid w:val="009E0A52"/>
    <w:rsid w:val="009E0AEA"/>
    <w:rsid w:val="009E0C95"/>
    <w:rsid w:val="009E0CE7"/>
    <w:rsid w:val="009E16D4"/>
    <w:rsid w:val="009E1A04"/>
    <w:rsid w:val="009E1B18"/>
    <w:rsid w:val="009E1B1D"/>
    <w:rsid w:val="009E1F7A"/>
    <w:rsid w:val="009E2682"/>
    <w:rsid w:val="009E2C1F"/>
    <w:rsid w:val="009E2C88"/>
    <w:rsid w:val="009E2F1E"/>
    <w:rsid w:val="009E318B"/>
    <w:rsid w:val="009E35FF"/>
    <w:rsid w:val="009E3625"/>
    <w:rsid w:val="009E3DE0"/>
    <w:rsid w:val="009E4225"/>
    <w:rsid w:val="009E50EF"/>
    <w:rsid w:val="009E56E8"/>
    <w:rsid w:val="009E602C"/>
    <w:rsid w:val="009E60FB"/>
    <w:rsid w:val="009E65E5"/>
    <w:rsid w:val="009E66E2"/>
    <w:rsid w:val="009E6F6F"/>
    <w:rsid w:val="009E73D5"/>
    <w:rsid w:val="009E7A45"/>
    <w:rsid w:val="009E7AF6"/>
    <w:rsid w:val="009E7F14"/>
    <w:rsid w:val="009E7F9D"/>
    <w:rsid w:val="009F0152"/>
    <w:rsid w:val="009F03B7"/>
    <w:rsid w:val="009F0A5B"/>
    <w:rsid w:val="009F0E2A"/>
    <w:rsid w:val="009F129A"/>
    <w:rsid w:val="009F1CE4"/>
    <w:rsid w:val="009F1E67"/>
    <w:rsid w:val="009F2207"/>
    <w:rsid w:val="009F2E0E"/>
    <w:rsid w:val="009F3B82"/>
    <w:rsid w:val="009F3C76"/>
    <w:rsid w:val="009F40E1"/>
    <w:rsid w:val="009F4366"/>
    <w:rsid w:val="009F4883"/>
    <w:rsid w:val="009F4A54"/>
    <w:rsid w:val="009F4BEC"/>
    <w:rsid w:val="009F5CBE"/>
    <w:rsid w:val="009F6DF2"/>
    <w:rsid w:val="009F75E6"/>
    <w:rsid w:val="009F7EB3"/>
    <w:rsid w:val="00A01178"/>
    <w:rsid w:val="00A01287"/>
    <w:rsid w:val="00A01A0C"/>
    <w:rsid w:val="00A0249A"/>
    <w:rsid w:val="00A0254C"/>
    <w:rsid w:val="00A02CB6"/>
    <w:rsid w:val="00A0319B"/>
    <w:rsid w:val="00A03538"/>
    <w:rsid w:val="00A0360D"/>
    <w:rsid w:val="00A048FD"/>
    <w:rsid w:val="00A04CA8"/>
    <w:rsid w:val="00A0514B"/>
    <w:rsid w:val="00A05FA6"/>
    <w:rsid w:val="00A068F7"/>
    <w:rsid w:val="00A106E9"/>
    <w:rsid w:val="00A10B69"/>
    <w:rsid w:val="00A10C89"/>
    <w:rsid w:val="00A11074"/>
    <w:rsid w:val="00A1126A"/>
    <w:rsid w:val="00A11489"/>
    <w:rsid w:val="00A11727"/>
    <w:rsid w:val="00A11EDF"/>
    <w:rsid w:val="00A12BAF"/>
    <w:rsid w:val="00A135C0"/>
    <w:rsid w:val="00A13839"/>
    <w:rsid w:val="00A13AE3"/>
    <w:rsid w:val="00A13EF7"/>
    <w:rsid w:val="00A13F3D"/>
    <w:rsid w:val="00A14847"/>
    <w:rsid w:val="00A148FE"/>
    <w:rsid w:val="00A14E9E"/>
    <w:rsid w:val="00A14F65"/>
    <w:rsid w:val="00A14FE1"/>
    <w:rsid w:val="00A15554"/>
    <w:rsid w:val="00A160CE"/>
    <w:rsid w:val="00A16311"/>
    <w:rsid w:val="00A16881"/>
    <w:rsid w:val="00A16EAF"/>
    <w:rsid w:val="00A17521"/>
    <w:rsid w:val="00A17E03"/>
    <w:rsid w:val="00A2004B"/>
    <w:rsid w:val="00A2011A"/>
    <w:rsid w:val="00A20EC8"/>
    <w:rsid w:val="00A2105A"/>
    <w:rsid w:val="00A21391"/>
    <w:rsid w:val="00A2148C"/>
    <w:rsid w:val="00A21591"/>
    <w:rsid w:val="00A22521"/>
    <w:rsid w:val="00A22C07"/>
    <w:rsid w:val="00A23299"/>
    <w:rsid w:val="00A238D1"/>
    <w:rsid w:val="00A239FC"/>
    <w:rsid w:val="00A23AA0"/>
    <w:rsid w:val="00A23EC1"/>
    <w:rsid w:val="00A23F2A"/>
    <w:rsid w:val="00A24413"/>
    <w:rsid w:val="00A246D1"/>
    <w:rsid w:val="00A24B84"/>
    <w:rsid w:val="00A24F3B"/>
    <w:rsid w:val="00A2522F"/>
    <w:rsid w:val="00A2541F"/>
    <w:rsid w:val="00A254A9"/>
    <w:rsid w:val="00A25B4A"/>
    <w:rsid w:val="00A25FD7"/>
    <w:rsid w:val="00A260E0"/>
    <w:rsid w:val="00A2633C"/>
    <w:rsid w:val="00A26915"/>
    <w:rsid w:val="00A26B9D"/>
    <w:rsid w:val="00A27009"/>
    <w:rsid w:val="00A27A2F"/>
    <w:rsid w:val="00A27CEF"/>
    <w:rsid w:val="00A30688"/>
    <w:rsid w:val="00A30FE3"/>
    <w:rsid w:val="00A3126D"/>
    <w:rsid w:val="00A31723"/>
    <w:rsid w:val="00A3185F"/>
    <w:rsid w:val="00A3284B"/>
    <w:rsid w:val="00A32D33"/>
    <w:rsid w:val="00A32DE5"/>
    <w:rsid w:val="00A33003"/>
    <w:rsid w:val="00A33518"/>
    <w:rsid w:val="00A335C1"/>
    <w:rsid w:val="00A33CF0"/>
    <w:rsid w:val="00A33D31"/>
    <w:rsid w:val="00A341A6"/>
    <w:rsid w:val="00A34228"/>
    <w:rsid w:val="00A34347"/>
    <w:rsid w:val="00A359B8"/>
    <w:rsid w:val="00A361E7"/>
    <w:rsid w:val="00A3665A"/>
    <w:rsid w:val="00A36672"/>
    <w:rsid w:val="00A36D6B"/>
    <w:rsid w:val="00A374F7"/>
    <w:rsid w:val="00A3754F"/>
    <w:rsid w:val="00A40602"/>
    <w:rsid w:val="00A40973"/>
    <w:rsid w:val="00A41308"/>
    <w:rsid w:val="00A416BF"/>
    <w:rsid w:val="00A41F97"/>
    <w:rsid w:val="00A42468"/>
    <w:rsid w:val="00A43967"/>
    <w:rsid w:val="00A43AFF"/>
    <w:rsid w:val="00A43CF9"/>
    <w:rsid w:val="00A43D1D"/>
    <w:rsid w:val="00A44025"/>
    <w:rsid w:val="00A448DD"/>
    <w:rsid w:val="00A44D4D"/>
    <w:rsid w:val="00A44FC8"/>
    <w:rsid w:val="00A45381"/>
    <w:rsid w:val="00A45605"/>
    <w:rsid w:val="00A45743"/>
    <w:rsid w:val="00A45C45"/>
    <w:rsid w:val="00A46778"/>
    <w:rsid w:val="00A4687D"/>
    <w:rsid w:val="00A468B7"/>
    <w:rsid w:val="00A46B17"/>
    <w:rsid w:val="00A46BE9"/>
    <w:rsid w:val="00A47D61"/>
    <w:rsid w:val="00A47D9D"/>
    <w:rsid w:val="00A5083F"/>
    <w:rsid w:val="00A51630"/>
    <w:rsid w:val="00A51E8A"/>
    <w:rsid w:val="00A51F1A"/>
    <w:rsid w:val="00A51FFD"/>
    <w:rsid w:val="00A5231A"/>
    <w:rsid w:val="00A52E54"/>
    <w:rsid w:val="00A532CB"/>
    <w:rsid w:val="00A53C2C"/>
    <w:rsid w:val="00A53F5E"/>
    <w:rsid w:val="00A543E2"/>
    <w:rsid w:val="00A5461E"/>
    <w:rsid w:val="00A54721"/>
    <w:rsid w:val="00A5496D"/>
    <w:rsid w:val="00A55028"/>
    <w:rsid w:val="00A550AD"/>
    <w:rsid w:val="00A550F2"/>
    <w:rsid w:val="00A55A2F"/>
    <w:rsid w:val="00A55B34"/>
    <w:rsid w:val="00A55C11"/>
    <w:rsid w:val="00A562C6"/>
    <w:rsid w:val="00A56F90"/>
    <w:rsid w:val="00A60302"/>
    <w:rsid w:val="00A61D7E"/>
    <w:rsid w:val="00A620F6"/>
    <w:rsid w:val="00A628FD"/>
    <w:rsid w:val="00A63504"/>
    <w:rsid w:val="00A63A15"/>
    <w:rsid w:val="00A63E22"/>
    <w:rsid w:val="00A64931"/>
    <w:rsid w:val="00A64965"/>
    <w:rsid w:val="00A64B16"/>
    <w:rsid w:val="00A65031"/>
    <w:rsid w:val="00A6560C"/>
    <w:rsid w:val="00A65A27"/>
    <w:rsid w:val="00A6675C"/>
    <w:rsid w:val="00A66F16"/>
    <w:rsid w:val="00A67156"/>
    <w:rsid w:val="00A67890"/>
    <w:rsid w:val="00A678F6"/>
    <w:rsid w:val="00A67959"/>
    <w:rsid w:val="00A67A56"/>
    <w:rsid w:val="00A67A60"/>
    <w:rsid w:val="00A67AD6"/>
    <w:rsid w:val="00A67F33"/>
    <w:rsid w:val="00A67F68"/>
    <w:rsid w:val="00A7009B"/>
    <w:rsid w:val="00A714CE"/>
    <w:rsid w:val="00A71AE4"/>
    <w:rsid w:val="00A71AFD"/>
    <w:rsid w:val="00A71B19"/>
    <w:rsid w:val="00A71E10"/>
    <w:rsid w:val="00A71E33"/>
    <w:rsid w:val="00A7212F"/>
    <w:rsid w:val="00A73252"/>
    <w:rsid w:val="00A73509"/>
    <w:rsid w:val="00A73544"/>
    <w:rsid w:val="00A73BB5"/>
    <w:rsid w:val="00A73C07"/>
    <w:rsid w:val="00A741B4"/>
    <w:rsid w:val="00A745F0"/>
    <w:rsid w:val="00A747F7"/>
    <w:rsid w:val="00A758F7"/>
    <w:rsid w:val="00A75AE4"/>
    <w:rsid w:val="00A75CF9"/>
    <w:rsid w:val="00A75ED2"/>
    <w:rsid w:val="00A76C1E"/>
    <w:rsid w:val="00A7746B"/>
    <w:rsid w:val="00A7793A"/>
    <w:rsid w:val="00A77EFE"/>
    <w:rsid w:val="00A80015"/>
    <w:rsid w:val="00A80EB8"/>
    <w:rsid w:val="00A811B9"/>
    <w:rsid w:val="00A811EE"/>
    <w:rsid w:val="00A8151B"/>
    <w:rsid w:val="00A8223F"/>
    <w:rsid w:val="00A823AF"/>
    <w:rsid w:val="00A825DB"/>
    <w:rsid w:val="00A82BF5"/>
    <w:rsid w:val="00A83155"/>
    <w:rsid w:val="00A8341D"/>
    <w:rsid w:val="00A83709"/>
    <w:rsid w:val="00A848C6"/>
    <w:rsid w:val="00A84CEF"/>
    <w:rsid w:val="00A864A6"/>
    <w:rsid w:val="00A8678B"/>
    <w:rsid w:val="00A867AA"/>
    <w:rsid w:val="00A86C75"/>
    <w:rsid w:val="00A86D0F"/>
    <w:rsid w:val="00A872C3"/>
    <w:rsid w:val="00A87E08"/>
    <w:rsid w:val="00A90AB9"/>
    <w:rsid w:val="00A90F3F"/>
    <w:rsid w:val="00A91179"/>
    <w:rsid w:val="00A91331"/>
    <w:rsid w:val="00A91655"/>
    <w:rsid w:val="00A91CB0"/>
    <w:rsid w:val="00A91DEA"/>
    <w:rsid w:val="00A91FAD"/>
    <w:rsid w:val="00A92565"/>
    <w:rsid w:val="00A925C8"/>
    <w:rsid w:val="00A925DD"/>
    <w:rsid w:val="00A92809"/>
    <w:rsid w:val="00A92ED3"/>
    <w:rsid w:val="00A9339B"/>
    <w:rsid w:val="00A93893"/>
    <w:rsid w:val="00A93D50"/>
    <w:rsid w:val="00A941FA"/>
    <w:rsid w:val="00A94687"/>
    <w:rsid w:val="00A94AEA"/>
    <w:rsid w:val="00A950C1"/>
    <w:rsid w:val="00A9517C"/>
    <w:rsid w:val="00A9588A"/>
    <w:rsid w:val="00A96063"/>
    <w:rsid w:val="00A964C8"/>
    <w:rsid w:val="00A969EF"/>
    <w:rsid w:val="00A96AF7"/>
    <w:rsid w:val="00A96F18"/>
    <w:rsid w:val="00A97DC2"/>
    <w:rsid w:val="00AA01D6"/>
    <w:rsid w:val="00AA032E"/>
    <w:rsid w:val="00AA0520"/>
    <w:rsid w:val="00AA05BE"/>
    <w:rsid w:val="00AA100F"/>
    <w:rsid w:val="00AA1011"/>
    <w:rsid w:val="00AA109F"/>
    <w:rsid w:val="00AA112F"/>
    <w:rsid w:val="00AA1283"/>
    <w:rsid w:val="00AA1C46"/>
    <w:rsid w:val="00AA23AA"/>
    <w:rsid w:val="00AA2539"/>
    <w:rsid w:val="00AA253B"/>
    <w:rsid w:val="00AA28D1"/>
    <w:rsid w:val="00AA2A11"/>
    <w:rsid w:val="00AA2A31"/>
    <w:rsid w:val="00AA2DE9"/>
    <w:rsid w:val="00AA35C6"/>
    <w:rsid w:val="00AA380E"/>
    <w:rsid w:val="00AA3CF1"/>
    <w:rsid w:val="00AA3DC8"/>
    <w:rsid w:val="00AA4B28"/>
    <w:rsid w:val="00AA4C02"/>
    <w:rsid w:val="00AA4DC6"/>
    <w:rsid w:val="00AA5521"/>
    <w:rsid w:val="00AA5A31"/>
    <w:rsid w:val="00AA62DB"/>
    <w:rsid w:val="00AA635D"/>
    <w:rsid w:val="00AA664C"/>
    <w:rsid w:val="00AA67D8"/>
    <w:rsid w:val="00AA6820"/>
    <w:rsid w:val="00AA6E86"/>
    <w:rsid w:val="00AA7609"/>
    <w:rsid w:val="00AA769F"/>
    <w:rsid w:val="00AA781E"/>
    <w:rsid w:val="00AB01FE"/>
    <w:rsid w:val="00AB0AC2"/>
    <w:rsid w:val="00AB0AD4"/>
    <w:rsid w:val="00AB1142"/>
    <w:rsid w:val="00AB142D"/>
    <w:rsid w:val="00AB17C8"/>
    <w:rsid w:val="00AB186A"/>
    <w:rsid w:val="00AB1F5E"/>
    <w:rsid w:val="00AB24EA"/>
    <w:rsid w:val="00AB29FD"/>
    <w:rsid w:val="00AB2B27"/>
    <w:rsid w:val="00AB392A"/>
    <w:rsid w:val="00AB3D3E"/>
    <w:rsid w:val="00AB3F7F"/>
    <w:rsid w:val="00AB42F4"/>
    <w:rsid w:val="00AB4327"/>
    <w:rsid w:val="00AB47AE"/>
    <w:rsid w:val="00AB53CE"/>
    <w:rsid w:val="00AB5673"/>
    <w:rsid w:val="00AB5B67"/>
    <w:rsid w:val="00AB5D9A"/>
    <w:rsid w:val="00AB66D1"/>
    <w:rsid w:val="00AB6CA7"/>
    <w:rsid w:val="00AB7A3D"/>
    <w:rsid w:val="00AC02A4"/>
    <w:rsid w:val="00AC055A"/>
    <w:rsid w:val="00AC05AF"/>
    <w:rsid w:val="00AC08A9"/>
    <w:rsid w:val="00AC09F9"/>
    <w:rsid w:val="00AC0F76"/>
    <w:rsid w:val="00AC136A"/>
    <w:rsid w:val="00AC13FF"/>
    <w:rsid w:val="00AC1C13"/>
    <w:rsid w:val="00AC2B76"/>
    <w:rsid w:val="00AC3480"/>
    <w:rsid w:val="00AC34D0"/>
    <w:rsid w:val="00AC3BC4"/>
    <w:rsid w:val="00AC3CA1"/>
    <w:rsid w:val="00AC3E83"/>
    <w:rsid w:val="00AC3FE9"/>
    <w:rsid w:val="00AC4359"/>
    <w:rsid w:val="00AC5028"/>
    <w:rsid w:val="00AC51C0"/>
    <w:rsid w:val="00AC5363"/>
    <w:rsid w:val="00AC5941"/>
    <w:rsid w:val="00AC5EA3"/>
    <w:rsid w:val="00AC62D7"/>
    <w:rsid w:val="00AC642C"/>
    <w:rsid w:val="00AC6788"/>
    <w:rsid w:val="00AC69BE"/>
    <w:rsid w:val="00AC6DD8"/>
    <w:rsid w:val="00AC71FB"/>
    <w:rsid w:val="00AC72DC"/>
    <w:rsid w:val="00AC7941"/>
    <w:rsid w:val="00AD01E4"/>
    <w:rsid w:val="00AD055F"/>
    <w:rsid w:val="00AD0858"/>
    <w:rsid w:val="00AD11E8"/>
    <w:rsid w:val="00AD186C"/>
    <w:rsid w:val="00AD1F18"/>
    <w:rsid w:val="00AD2AF1"/>
    <w:rsid w:val="00AD3581"/>
    <w:rsid w:val="00AD3689"/>
    <w:rsid w:val="00AD3EEF"/>
    <w:rsid w:val="00AD41A3"/>
    <w:rsid w:val="00AD4268"/>
    <w:rsid w:val="00AD4FF5"/>
    <w:rsid w:val="00AD54F6"/>
    <w:rsid w:val="00AD5B14"/>
    <w:rsid w:val="00AD665F"/>
    <w:rsid w:val="00AD6D4E"/>
    <w:rsid w:val="00AD70F3"/>
    <w:rsid w:val="00AD788C"/>
    <w:rsid w:val="00AD79C2"/>
    <w:rsid w:val="00AE086F"/>
    <w:rsid w:val="00AE1432"/>
    <w:rsid w:val="00AE1654"/>
    <w:rsid w:val="00AE1725"/>
    <w:rsid w:val="00AE187F"/>
    <w:rsid w:val="00AE1885"/>
    <w:rsid w:val="00AE1962"/>
    <w:rsid w:val="00AE1C2F"/>
    <w:rsid w:val="00AE1CDA"/>
    <w:rsid w:val="00AE245E"/>
    <w:rsid w:val="00AE24B1"/>
    <w:rsid w:val="00AE2692"/>
    <w:rsid w:val="00AE2C4C"/>
    <w:rsid w:val="00AE329A"/>
    <w:rsid w:val="00AE3404"/>
    <w:rsid w:val="00AE3812"/>
    <w:rsid w:val="00AE3FA9"/>
    <w:rsid w:val="00AE401E"/>
    <w:rsid w:val="00AE413E"/>
    <w:rsid w:val="00AE4923"/>
    <w:rsid w:val="00AE4A89"/>
    <w:rsid w:val="00AE4F75"/>
    <w:rsid w:val="00AE5C8E"/>
    <w:rsid w:val="00AE6C6E"/>
    <w:rsid w:val="00AE6D9E"/>
    <w:rsid w:val="00AE6DD5"/>
    <w:rsid w:val="00AE6EA7"/>
    <w:rsid w:val="00AE7340"/>
    <w:rsid w:val="00AE73CD"/>
    <w:rsid w:val="00AE780E"/>
    <w:rsid w:val="00AE794B"/>
    <w:rsid w:val="00AE7963"/>
    <w:rsid w:val="00AF10FE"/>
    <w:rsid w:val="00AF11A8"/>
    <w:rsid w:val="00AF154D"/>
    <w:rsid w:val="00AF1741"/>
    <w:rsid w:val="00AF1B3B"/>
    <w:rsid w:val="00AF1BBD"/>
    <w:rsid w:val="00AF20BD"/>
    <w:rsid w:val="00AF21AC"/>
    <w:rsid w:val="00AF2BD6"/>
    <w:rsid w:val="00AF2EDA"/>
    <w:rsid w:val="00AF335C"/>
    <w:rsid w:val="00AF3FA1"/>
    <w:rsid w:val="00AF44B4"/>
    <w:rsid w:val="00AF463C"/>
    <w:rsid w:val="00AF5A2C"/>
    <w:rsid w:val="00AF5A57"/>
    <w:rsid w:val="00AF601C"/>
    <w:rsid w:val="00AF602E"/>
    <w:rsid w:val="00AF66ED"/>
    <w:rsid w:val="00AF6C1F"/>
    <w:rsid w:val="00AF6D8D"/>
    <w:rsid w:val="00AF7B05"/>
    <w:rsid w:val="00B0001C"/>
    <w:rsid w:val="00B00135"/>
    <w:rsid w:val="00B0015D"/>
    <w:rsid w:val="00B002B5"/>
    <w:rsid w:val="00B002DD"/>
    <w:rsid w:val="00B01000"/>
    <w:rsid w:val="00B02015"/>
    <w:rsid w:val="00B024E9"/>
    <w:rsid w:val="00B03460"/>
    <w:rsid w:val="00B0392C"/>
    <w:rsid w:val="00B03A22"/>
    <w:rsid w:val="00B03C69"/>
    <w:rsid w:val="00B03E26"/>
    <w:rsid w:val="00B04378"/>
    <w:rsid w:val="00B0480A"/>
    <w:rsid w:val="00B0528E"/>
    <w:rsid w:val="00B06175"/>
    <w:rsid w:val="00B06B34"/>
    <w:rsid w:val="00B06F3C"/>
    <w:rsid w:val="00B071A1"/>
    <w:rsid w:val="00B07387"/>
    <w:rsid w:val="00B07F84"/>
    <w:rsid w:val="00B10207"/>
    <w:rsid w:val="00B10341"/>
    <w:rsid w:val="00B1071D"/>
    <w:rsid w:val="00B10788"/>
    <w:rsid w:val="00B1089E"/>
    <w:rsid w:val="00B10E89"/>
    <w:rsid w:val="00B1148C"/>
    <w:rsid w:val="00B1168F"/>
    <w:rsid w:val="00B11B3B"/>
    <w:rsid w:val="00B11CE7"/>
    <w:rsid w:val="00B11E18"/>
    <w:rsid w:val="00B12845"/>
    <w:rsid w:val="00B12A73"/>
    <w:rsid w:val="00B12DB2"/>
    <w:rsid w:val="00B131D9"/>
    <w:rsid w:val="00B141E7"/>
    <w:rsid w:val="00B14289"/>
    <w:rsid w:val="00B143B2"/>
    <w:rsid w:val="00B145D4"/>
    <w:rsid w:val="00B14C24"/>
    <w:rsid w:val="00B15CC7"/>
    <w:rsid w:val="00B15E89"/>
    <w:rsid w:val="00B15F9D"/>
    <w:rsid w:val="00B16534"/>
    <w:rsid w:val="00B16AD9"/>
    <w:rsid w:val="00B173D4"/>
    <w:rsid w:val="00B177AA"/>
    <w:rsid w:val="00B17CD1"/>
    <w:rsid w:val="00B17DC1"/>
    <w:rsid w:val="00B17F45"/>
    <w:rsid w:val="00B200FF"/>
    <w:rsid w:val="00B20ADB"/>
    <w:rsid w:val="00B20D33"/>
    <w:rsid w:val="00B2147C"/>
    <w:rsid w:val="00B21C4C"/>
    <w:rsid w:val="00B21F3D"/>
    <w:rsid w:val="00B22160"/>
    <w:rsid w:val="00B22B19"/>
    <w:rsid w:val="00B22B4D"/>
    <w:rsid w:val="00B22DEF"/>
    <w:rsid w:val="00B22E27"/>
    <w:rsid w:val="00B2328C"/>
    <w:rsid w:val="00B23749"/>
    <w:rsid w:val="00B23925"/>
    <w:rsid w:val="00B2393B"/>
    <w:rsid w:val="00B240EF"/>
    <w:rsid w:val="00B2479E"/>
    <w:rsid w:val="00B24B7C"/>
    <w:rsid w:val="00B255BF"/>
    <w:rsid w:val="00B25F41"/>
    <w:rsid w:val="00B2661E"/>
    <w:rsid w:val="00B266F7"/>
    <w:rsid w:val="00B26958"/>
    <w:rsid w:val="00B269B6"/>
    <w:rsid w:val="00B275B7"/>
    <w:rsid w:val="00B27B7F"/>
    <w:rsid w:val="00B27CD9"/>
    <w:rsid w:val="00B27D29"/>
    <w:rsid w:val="00B27FDE"/>
    <w:rsid w:val="00B304FB"/>
    <w:rsid w:val="00B30792"/>
    <w:rsid w:val="00B31111"/>
    <w:rsid w:val="00B31121"/>
    <w:rsid w:val="00B31653"/>
    <w:rsid w:val="00B31A02"/>
    <w:rsid w:val="00B31B24"/>
    <w:rsid w:val="00B31DC2"/>
    <w:rsid w:val="00B31E17"/>
    <w:rsid w:val="00B32727"/>
    <w:rsid w:val="00B3281E"/>
    <w:rsid w:val="00B328A8"/>
    <w:rsid w:val="00B3329A"/>
    <w:rsid w:val="00B33738"/>
    <w:rsid w:val="00B33D8C"/>
    <w:rsid w:val="00B33FCC"/>
    <w:rsid w:val="00B346A1"/>
    <w:rsid w:val="00B34D42"/>
    <w:rsid w:val="00B34E84"/>
    <w:rsid w:val="00B34F66"/>
    <w:rsid w:val="00B351B4"/>
    <w:rsid w:val="00B35332"/>
    <w:rsid w:val="00B35C64"/>
    <w:rsid w:val="00B35E3C"/>
    <w:rsid w:val="00B36663"/>
    <w:rsid w:val="00B3689E"/>
    <w:rsid w:val="00B36A72"/>
    <w:rsid w:val="00B36F18"/>
    <w:rsid w:val="00B37B6F"/>
    <w:rsid w:val="00B37D2F"/>
    <w:rsid w:val="00B37F60"/>
    <w:rsid w:val="00B407FD"/>
    <w:rsid w:val="00B40CD4"/>
    <w:rsid w:val="00B40E0B"/>
    <w:rsid w:val="00B4102F"/>
    <w:rsid w:val="00B41653"/>
    <w:rsid w:val="00B4168D"/>
    <w:rsid w:val="00B419A7"/>
    <w:rsid w:val="00B4246F"/>
    <w:rsid w:val="00B42477"/>
    <w:rsid w:val="00B4560A"/>
    <w:rsid w:val="00B45767"/>
    <w:rsid w:val="00B458E5"/>
    <w:rsid w:val="00B45C35"/>
    <w:rsid w:val="00B45DFE"/>
    <w:rsid w:val="00B45F15"/>
    <w:rsid w:val="00B45F40"/>
    <w:rsid w:val="00B45FBB"/>
    <w:rsid w:val="00B46370"/>
    <w:rsid w:val="00B4641B"/>
    <w:rsid w:val="00B46BCA"/>
    <w:rsid w:val="00B46C3D"/>
    <w:rsid w:val="00B46FE8"/>
    <w:rsid w:val="00B4718D"/>
    <w:rsid w:val="00B472A9"/>
    <w:rsid w:val="00B47784"/>
    <w:rsid w:val="00B47DE8"/>
    <w:rsid w:val="00B47EF1"/>
    <w:rsid w:val="00B47F74"/>
    <w:rsid w:val="00B502D0"/>
    <w:rsid w:val="00B5165B"/>
    <w:rsid w:val="00B51926"/>
    <w:rsid w:val="00B51AD0"/>
    <w:rsid w:val="00B51AD9"/>
    <w:rsid w:val="00B51DB4"/>
    <w:rsid w:val="00B51EB2"/>
    <w:rsid w:val="00B51F4C"/>
    <w:rsid w:val="00B52F18"/>
    <w:rsid w:val="00B52F86"/>
    <w:rsid w:val="00B53010"/>
    <w:rsid w:val="00B535E1"/>
    <w:rsid w:val="00B537BC"/>
    <w:rsid w:val="00B53B84"/>
    <w:rsid w:val="00B53E44"/>
    <w:rsid w:val="00B54102"/>
    <w:rsid w:val="00B54278"/>
    <w:rsid w:val="00B542BD"/>
    <w:rsid w:val="00B54323"/>
    <w:rsid w:val="00B54C3D"/>
    <w:rsid w:val="00B54CDC"/>
    <w:rsid w:val="00B55365"/>
    <w:rsid w:val="00B560A2"/>
    <w:rsid w:val="00B560BF"/>
    <w:rsid w:val="00B561A2"/>
    <w:rsid w:val="00B563B9"/>
    <w:rsid w:val="00B57B34"/>
    <w:rsid w:val="00B60212"/>
    <w:rsid w:val="00B603F3"/>
    <w:rsid w:val="00B605F2"/>
    <w:rsid w:val="00B60698"/>
    <w:rsid w:val="00B61127"/>
    <w:rsid w:val="00B61508"/>
    <w:rsid w:val="00B61621"/>
    <w:rsid w:val="00B61AA0"/>
    <w:rsid w:val="00B61E36"/>
    <w:rsid w:val="00B61EA2"/>
    <w:rsid w:val="00B623CD"/>
    <w:rsid w:val="00B627D6"/>
    <w:rsid w:val="00B63162"/>
    <w:rsid w:val="00B641B8"/>
    <w:rsid w:val="00B64827"/>
    <w:rsid w:val="00B658D7"/>
    <w:rsid w:val="00B65F51"/>
    <w:rsid w:val="00B66231"/>
    <w:rsid w:val="00B6648D"/>
    <w:rsid w:val="00B6653B"/>
    <w:rsid w:val="00B66E81"/>
    <w:rsid w:val="00B66F7B"/>
    <w:rsid w:val="00B67F0E"/>
    <w:rsid w:val="00B70038"/>
    <w:rsid w:val="00B70BF8"/>
    <w:rsid w:val="00B70C71"/>
    <w:rsid w:val="00B72002"/>
    <w:rsid w:val="00B731EA"/>
    <w:rsid w:val="00B732CF"/>
    <w:rsid w:val="00B73339"/>
    <w:rsid w:val="00B7390D"/>
    <w:rsid w:val="00B73F0B"/>
    <w:rsid w:val="00B74132"/>
    <w:rsid w:val="00B748B6"/>
    <w:rsid w:val="00B74A65"/>
    <w:rsid w:val="00B750E4"/>
    <w:rsid w:val="00B755D6"/>
    <w:rsid w:val="00B75ADE"/>
    <w:rsid w:val="00B75BA0"/>
    <w:rsid w:val="00B76140"/>
    <w:rsid w:val="00B7691E"/>
    <w:rsid w:val="00B76A0D"/>
    <w:rsid w:val="00B76ECC"/>
    <w:rsid w:val="00B7726F"/>
    <w:rsid w:val="00B77462"/>
    <w:rsid w:val="00B77490"/>
    <w:rsid w:val="00B774E4"/>
    <w:rsid w:val="00B776BC"/>
    <w:rsid w:val="00B779E1"/>
    <w:rsid w:val="00B801DA"/>
    <w:rsid w:val="00B80A6E"/>
    <w:rsid w:val="00B813AF"/>
    <w:rsid w:val="00B81806"/>
    <w:rsid w:val="00B81DF6"/>
    <w:rsid w:val="00B82027"/>
    <w:rsid w:val="00B82150"/>
    <w:rsid w:val="00B822B5"/>
    <w:rsid w:val="00B82751"/>
    <w:rsid w:val="00B83163"/>
    <w:rsid w:val="00B83534"/>
    <w:rsid w:val="00B83EC2"/>
    <w:rsid w:val="00B840B7"/>
    <w:rsid w:val="00B84375"/>
    <w:rsid w:val="00B84B59"/>
    <w:rsid w:val="00B84F95"/>
    <w:rsid w:val="00B8513D"/>
    <w:rsid w:val="00B8580A"/>
    <w:rsid w:val="00B86304"/>
    <w:rsid w:val="00B869AB"/>
    <w:rsid w:val="00B869CA"/>
    <w:rsid w:val="00B869EF"/>
    <w:rsid w:val="00B86DC2"/>
    <w:rsid w:val="00B87806"/>
    <w:rsid w:val="00B87AAC"/>
    <w:rsid w:val="00B87BEC"/>
    <w:rsid w:val="00B87D57"/>
    <w:rsid w:val="00B87DD6"/>
    <w:rsid w:val="00B87EC9"/>
    <w:rsid w:val="00B904F9"/>
    <w:rsid w:val="00B90603"/>
    <w:rsid w:val="00B9077D"/>
    <w:rsid w:val="00B9093D"/>
    <w:rsid w:val="00B90D6B"/>
    <w:rsid w:val="00B91049"/>
    <w:rsid w:val="00B91AE5"/>
    <w:rsid w:val="00B92204"/>
    <w:rsid w:val="00B92A9C"/>
    <w:rsid w:val="00B92B05"/>
    <w:rsid w:val="00B92E84"/>
    <w:rsid w:val="00B930D6"/>
    <w:rsid w:val="00B93109"/>
    <w:rsid w:val="00B9310A"/>
    <w:rsid w:val="00B931C6"/>
    <w:rsid w:val="00B93B92"/>
    <w:rsid w:val="00B93C4C"/>
    <w:rsid w:val="00B94084"/>
    <w:rsid w:val="00B94D5D"/>
    <w:rsid w:val="00B94F76"/>
    <w:rsid w:val="00B94FE8"/>
    <w:rsid w:val="00B951C0"/>
    <w:rsid w:val="00B95681"/>
    <w:rsid w:val="00B9584D"/>
    <w:rsid w:val="00B95916"/>
    <w:rsid w:val="00B959DF"/>
    <w:rsid w:val="00B9603B"/>
    <w:rsid w:val="00B96447"/>
    <w:rsid w:val="00B969F1"/>
    <w:rsid w:val="00B970BA"/>
    <w:rsid w:val="00B9763A"/>
    <w:rsid w:val="00BA000D"/>
    <w:rsid w:val="00BA052F"/>
    <w:rsid w:val="00BA0B67"/>
    <w:rsid w:val="00BA1013"/>
    <w:rsid w:val="00BA16FD"/>
    <w:rsid w:val="00BA1910"/>
    <w:rsid w:val="00BA19E3"/>
    <w:rsid w:val="00BA1B26"/>
    <w:rsid w:val="00BA1C6E"/>
    <w:rsid w:val="00BA22A0"/>
    <w:rsid w:val="00BA2407"/>
    <w:rsid w:val="00BA2AB4"/>
    <w:rsid w:val="00BA3095"/>
    <w:rsid w:val="00BA3384"/>
    <w:rsid w:val="00BA3471"/>
    <w:rsid w:val="00BA37EF"/>
    <w:rsid w:val="00BA43A8"/>
    <w:rsid w:val="00BA4751"/>
    <w:rsid w:val="00BA4BFD"/>
    <w:rsid w:val="00BA5208"/>
    <w:rsid w:val="00BA5D68"/>
    <w:rsid w:val="00BA5FEA"/>
    <w:rsid w:val="00BA6A5B"/>
    <w:rsid w:val="00BA6BF4"/>
    <w:rsid w:val="00BA6D9F"/>
    <w:rsid w:val="00BA6F10"/>
    <w:rsid w:val="00BA6F17"/>
    <w:rsid w:val="00BA7463"/>
    <w:rsid w:val="00BA7591"/>
    <w:rsid w:val="00BA777B"/>
    <w:rsid w:val="00BA7813"/>
    <w:rsid w:val="00BB0468"/>
    <w:rsid w:val="00BB075E"/>
    <w:rsid w:val="00BB090E"/>
    <w:rsid w:val="00BB0C63"/>
    <w:rsid w:val="00BB0FBF"/>
    <w:rsid w:val="00BB1426"/>
    <w:rsid w:val="00BB1612"/>
    <w:rsid w:val="00BB1765"/>
    <w:rsid w:val="00BB1BFD"/>
    <w:rsid w:val="00BB1E4C"/>
    <w:rsid w:val="00BB23C6"/>
    <w:rsid w:val="00BB24FB"/>
    <w:rsid w:val="00BB27B3"/>
    <w:rsid w:val="00BB2BA2"/>
    <w:rsid w:val="00BB2BF5"/>
    <w:rsid w:val="00BB2CE1"/>
    <w:rsid w:val="00BB3363"/>
    <w:rsid w:val="00BB361B"/>
    <w:rsid w:val="00BB473D"/>
    <w:rsid w:val="00BB4D31"/>
    <w:rsid w:val="00BB53DC"/>
    <w:rsid w:val="00BB6037"/>
    <w:rsid w:val="00BB6198"/>
    <w:rsid w:val="00BB6D74"/>
    <w:rsid w:val="00BB7038"/>
    <w:rsid w:val="00BB7131"/>
    <w:rsid w:val="00BB74A4"/>
    <w:rsid w:val="00BB790C"/>
    <w:rsid w:val="00BB7FF7"/>
    <w:rsid w:val="00BC0025"/>
    <w:rsid w:val="00BC05B1"/>
    <w:rsid w:val="00BC0A02"/>
    <w:rsid w:val="00BC0D1B"/>
    <w:rsid w:val="00BC12ED"/>
    <w:rsid w:val="00BC17C2"/>
    <w:rsid w:val="00BC19A7"/>
    <w:rsid w:val="00BC20EA"/>
    <w:rsid w:val="00BC2928"/>
    <w:rsid w:val="00BC2A2C"/>
    <w:rsid w:val="00BC2B05"/>
    <w:rsid w:val="00BC2D1B"/>
    <w:rsid w:val="00BC2F80"/>
    <w:rsid w:val="00BC38FD"/>
    <w:rsid w:val="00BC3FA3"/>
    <w:rsid w:val="00BC42AB"/>
    <w:rsid w:val="00BC430E"/>
    <w:rsid w:val="00BC4673"/>
    <w:rsid w:val="00BC4C62"/>
    <w:rsid w:val="00BC4F2A"/>
    <w:rsid w:val="00BC5AC4"/>
    <w:rsid w:val="00BC61F2"/>
    <w:rsid w:val="00BC7030"/>
    <w:rsid w:val="00BC7A86"/>
    <w:rsid w:val="00BD001A"/>
    <w:rsid w:val="00BD0125"/>
    <w:rsid w:val="00BD016B"/>
    <w:rsid w:val="00BD0695"/>
    <w:rsid w:val="00BD10C9"/>
    <w:rsid w:val="00BD148B"/>
    <w:rsid w:val="00BD1CF6"/>
    <w:rsid w:val="00BD1D08"/>
    <w:rsid w:val="00BD1D17"/>
    <w:rsid w:val="00BD29A4"/>
    <w:rsid w:val="00BD2C4A"/>
    <w:rsid w:val="00BD32B2"/>
    <w:rsid w:val="00BD3678"/>
    <w:rsid w:val="00BD3840"/>
    <w:rsid w:val="00BD453E"/>
    <w:rsid w:val="00BD5369"/>
    <w:rsid w:val="00BD5A16"/>
    <w:rsid w:val="00BD6B65"/>
    <w:rsid w:val="00BD7166"/>
    <w:rsid w:val="00BD72CC"/>
    <w:rsid w:val="00BD74A7"/>
    <w:rsid w:val="00BD771F"/>
    <w:rsid w:val="00BD7B50"/>
    <w:rsid w:val="00BE0B95"/>
    <w:rsid w:val="00BE0C54"/>
    <w:rsid w:val="00BE208F"/>
    <w:rsid w:val="00BE232F"/>
    <w:rsid w:val="00BE30F4"/>
    <w:rsid w:val="00BE390F"/>
    <w:rsid w:val="00BE3C68"/>
    <w:rsid w:val="00BE404F"/>
    <w:rsid w:val="00BE4FF8"/>
    <w:rsid w:val="00BE54D6"/>
    <w:rsid w:val="00BE5B5B"/>
    <w:rsid w:val="00BE690B"/>
    <w:rsid w:val="00BE6F8E"/>
    <w:rsid w:val="00BE7160"/>
    <w:rsid w:val="00BE7545"/>
    <w:rsid w:val="00BE7722"/>
    <w:rsid w:val="00BE7A93"/>
    <w:rsid w:val="00BE7EFF"/>
    <w:rsid w:val="00BF0041"/>
    <w:rsid w:val="00BF02C7"/>
    <w:rsid w:val="00BF066F"/>
    <w:rsid w:val="00BF071E"/>
    <w:rsid w:val="00BF07ED"/>
    <w:rsid w:val="00BF0811"/>
    <w:rsid w:val="00BF0950"/>
    <w:rsid w:val="00BF1277"/>
    <w:rsid w:val="00BF1355"/>
    <w:rsid w:val="00BF14C7"/>
    <w:rsid w:val="00BF1658"/>
    <w:rsid w:val="00BF1674"/>
    <w:rsid w:val="00BF1ED5"/>
    <w:rsid w:val="00BF211B"/>
    <w:rsid w:val="00BF269E"/>
    <w:rsid w:val="00BF29B7"/>
    <w:rsid w:val="00BF2BB4"/>
    <w:rsid w:val="00BF2F37"/>
    <w:rsid w:val="00BF3E0F"/>
    <w:rsid w:val="00BF40BF"/>
    <w:rsid w:val="00BF5123"/>
    <w:rsid w:val="00BF51B6"/>
    <w:rsid w:val="00BF52D2"/>
    <w:rsid w:val="00BF5368"/>
    <w:rsid w:val="00BF579E"/>
    <w:rsid w:val="00BF5900"/>
    <w:rsid w:val="00BF5963"/>
    <w:rsid w:val="00BF5991"/>
    <w:rsid w:val="00BF5C63"/>
    <w:rsid w:val="00BF6173"/>
    <w:rsid w:val="00BF6431"/>
    <w:rsid w:val="00BF6D56"/>
    <w:rsid w:val="00BF7187"/>
    <w:rsid w:val="00BF7365"/>
    <w:rsid w:val="00C00A99"/>
    <w:rsid w:val="00C00FB2"/>
    <w:rsid w:val="00C0100B"/>
    <w:rsid w:val="00C02024"/>
    <w:rsid w:val="00C020F9"/>
    <w:rsid w:val="00C02363"/>
    <w:rsid w:val="00C02AE8"/>
    <w:rsid w:val="00C02C53"/>
    <w:rsid w:val="00C02ED4"/>
    <w:rsid w:val="00C0333F"/>
    <w:rsid w:val="00C034CB"/>
    <w:rsid w:val="00C03570"/>
    <w:rsid w:val="00C03C47"/>
    <w:rsid w:val="00C03FF2"/>
    <w:rsid w:val="00C046A2"/>
    <w:rsid w:val="00C04898"/>
    <w:rsid w:val="00C05191"/>
    <w:rsid w:val="00C051A8"/>
    <w:rsid w:val="00C054BC"/>
    <w:rsid w:val="00C0556A"/>
    <w:rsid w:val="00C055A3"/>
    <w:rsid w:val="00C055B9"/>
    <w:rsid w:val="00C05680"/>
    <w:rsid w:val="00C05B49"/>
    <w:rsid w:val="00C05DF1"/>
    <w:rsid w:val="00C060FB"/>
    <w:rsid w:val="00C06453"/>
    <w:rsid w:val="00C065EF"/>
    <w:rsid w:val="00C066FB"/>
    <w:rsid w:val="00C06958"/>
    <w:rsid w:val="00C06BB3"/>
    <w:rsid w:val="00C06D9F"/>
    <w:rsid w:val="00C06EB7"/>
    <w:rsid w:val="00C0747F"/>
    <w:rsid w:val="00C07667"/>
    <w:rsid w:val="00C100B7"/>
    <w:rsid w:val="00C107F8"/>
    <w:rsid w:val="00C10E4C"/>
    <w:rsid w:val="00C1104D"/>
    <w:rsid w:val="00C114ED"/>
    <w:rsid w:val="00C118CC"/>
    <w:rsid w:val="00C11FFF"/>
    <w:rsid w:val="00C121BE"/>
    <w:rsid w:val="00C12D8A"/>
    <w:rsid w:val="00C12E99"/>
    <w:rsid w:val="00C12FCB"/>
    <w:rsid w:val="00C138C7"/>
    <w:rsid w:val="00C139B5"/>
    <w:rsid w:val="00C13B7C"/>
    <w:rsid w:val="00C13E1D"/>
    <w:rsid w:val="00C1452F"/>
    <w:rsid w:val="00C14A14"/>
    <w:rsid w:val="00C14B1F"/>
    <w:rsid w:val="00C159E3"/>
    <w:rsid w:val="00C15CA9"/>
    <w:rsid w:val="00C16084"/>
    <w:rsid w:val="00C16135"/>
    <w:rsid w:val="00C16197"/>
    <w:rsid w:val="00C163C0"/>
    <w:rsid w:val="00C167A6"/>
    <w:rsid w:val="00C16D2A"/>
    <w:rsid w:val="00C16EA0"/>
    <w:rsid w:val="00C1710B"/>
    <w:rsid w:val="00C17163"/>
    <w:rsid w:val="00C1721C"/>
    <w:rsid w:val="00C176D6"/>
    <w:rsid w:val="00C1771A"/>
    <w:rsid w:val="00C17897"/>
    <w:rsid w:val="00C178B4"/>
    <w:rsid w:val="00C17C2F"/>
    <w:rsid w:val="00C205F9"/>
    <w:rsid w:val="00C211CF"/>
    <w:rsid w:val="00C212B7"/>
    <w:rsid w:val="00C216DD"/>
    <w:rsid w:val="00C21762"/>
    <w:rsid w:val="00C2220B"/>
    <w:rsid w:val="00C2224F"/>
    <w:rsid w:val="00C22406"/>
    <w:rsid w:val="00C229D3"/>
    <w:rsid w:val="00C22AC4"/>
    <w:rsid w:val="00C22EAB"/>
    <w:rsid w:val="00C230EF"/>
    <w:rsid w:val="00C232D3"/>
    <w:rsid w:val="00C23485"/>
    <w:rsid w:val="00C235F8"/>
    <w:rsid w:val="00C23A2F"/>
    <w:rsid w:val="00C23CBC"/>
    <w:rsid w:val="00C242CB"/>
    <w:rsid w:val="00C24E6D"/>
    <w:rsid w:val="00C24F3F"/>
    <w:rsid w:val="00C253C2"/>
    <w:rsid w:val="00C255C5"/>
    <w:rsid w:val="00C25730"/>
    <w:rsid w:val="00C262F9"/>
    <w:rsid w:val="00C263A2"/>
    <w:rsid w:val="00C26518"/>
    <w:rsid w:val="00C26B14"/>
    <w:rsid w:val="00C26C6F"/>
    <w:rsid w:val="00C27278"/>
    <w:rsid w:val="00C27356"/>
    <w:rsid w:val="00C27936"/>
    <w:rsid w:val="00C30B78"/>
    <w:rsid w:val="00C30D13"/>
    <w:rsid w:val="00C31726"/>
    <w:rsid w:val="00C319EA"/>
    <w:rsid w:val="00C31B70"/>
    <w:rsid w:val="00C31F2B"/>
    <w:rsid w:val="00C3297E"/>
    <w:rsid w:val="00C32EB8"/>
    <w:rsid w:val="00C33043"/>
    <w:rsid w:val="00C33B4E"/>
    <w:rsid w:val="00C33EF2"/>
    <w:rsid w:val="00C34348"/>
    <w:rsid w:val="00C35349"/>
    <w:rsid w:val="00C357D6"/>
    <w:rsid w:val="00C35E1A"/>
    <w:rsid w:val="00C36905"/>
    <w:rsid w:val="00C36AB8"/>
    <w:rsid w:val="00C36F26"/>
    <w:rsid w:val="00C37254"/>
    <w:rsid w:val="00C37546"/>
    <w:rsid w:val="00C375A0"/>
    <w:rsid w:val="00C3777D"/>
    <w:rsid w:val="00C378A9"/>
    <w:rsid w:val="00C37992"/>
    <w:rsid w:val="00C37995"/>
    <w:rsid w:val="00C402CD"/>
    <w:rsid w:val="00C405C4"/>
    <w:rsid w:val="00C409D5"/>
    <w:rsid w:val="00C40C58"/>
    <w:rsid w:val="00C414D3"/>
    <w:rsid w:val="00C41934"/>
    <w:rsid w:val="00C41E65"/>
    <w:rsid w:val="00C4219D"/>
    <w:rsid w:val="00C421F4"/>
    <w:rsid w:val="00C42275"/>
    <w:rsid w:val="00C427D3"/>
    <w:rsid w:val="00C42EEE"/>
    <w:rsid w:val="00C4379E"/>
    <w:rsid w:val="00C438B4"/>
    <w:rsid w:val="00C43C68"/>
    <w:rsid w:val="00C443E5"/>
    <w:rsid w:val="00C44683"/>
    <w:rsid w:val="00C44EB3"/>
    <w:rsid w:val="00C4521F"/>
    <w:rsid w:val="00C4560A"/>
    <w:rsid w:val="00C45835"/>
    <w:rsid w:val="00C463FC"/>
    <w:rsid w:val="00C46798"/>
    <w:rsid w:val="00C46940"/>
    <w:rsid w:val="00C46DB4"/>
    <w:rsid w:val="00C4745B"/>
    <w:rsid w:val="00C47EC6"/>
    <w:rsid w:val="00C47FB8"/>
    <w:rsid w:val="00C502F3"/>
    <w:rsid w:val="00C50CF9"/>
    <w:rsid w:val="00C51524"/>
    <w:rsid w:val="00C5174B"/>
    <w:rsid w:val="00C52165"/>
    <w:rsid w:val="00C52D4B"/>
    <w:rsid w:val="00C530B8"/>
    <w:rsid w:val="00C540B7"/>
    <w:rsid w:val="00C540DE"/>
    <w:rsid w:val="00C5415C"/>
    <w:rsid w:val="00C54269"/>
    <w:rsid w:val="00C546AF"/>
    <w:rsid w:val="00C557EA"/>
    <w:rsid w:val="00C5621E"/>
    <w:rsid w:val="00C56323"/>
    <w:rsid w:val="00C568D3"/>
    <w:rsid w:val="00C57296"/>
    <w:rsid w:val="00C572AC"/>
    <w:rsid w:val="00C572AD"/>
    <w:rsid w:val="00C577F6"/>
    <w:rsid w:val="00C5788D"/>
    <w:rsid w:val="00C5788F"/>
    <w:rsid w:val="00C5792B"/>
    <w:rsid w:val="00C57B78"/>
    <w:rsid w:val="00C57BA2"/>
    <w:rsid w:val="00C600F0"/>
    <w:rsid w:val="00C601C4"/>
    <w:rsid w:val="00C60403"/>
    <w:rsid w:val="00C60B6B"/>
    <w:rsid w:val="00C60F01"/>
    <w:rsid w:val="00C61709"/>
    <w:rsid w:val="00C61CFF"/>
    <w:rsid w:val="00C61DA1"/>
    <w:rsid w:val="00C622D8"/>
    <w:rsid w:val="00C6234B"/>
    <w:rsid w:val="00C62360"/>
    <w:rsid w:val="00C6281F"/>
    <w:rsid w:val="00C63B39"/>
    <w:rsid w:val="00C63E3F"/>
    <w:rsid w:val="00C63EAE"/>
    <w:rsid w:val="00C63F96"/>
    <w:rsid w:val="00C648E9"/>
    <w:rsid w:val="00C64F4B"/>
    <w:rsid w:val="00C65731"/>
    <w:rsid w:val="00C657BF"/>
    <w:rsid w:val="00C65D08"/>
    <w:rsid w:val="00C6618B"/>
    <w:rsid w:val="00C6669C"/>
    <w:rsid w:val="00C66A84"/>
    <w:rsid w:val="00C66CBC"/>
    <w:rsid w:val="00C670A9"/>
    <w:rsid w:val="00C673FC"/>
    <w:rsid w:val="00C704A3"/>
    <w:rsid w:val="00C70A13"/>
    <w:rsid w:val="00C70E4F"/>
    <w:rsid w:val="00C71B62"/>
    <w:rsid w:val="00C71FE4"/>
    <w:rsid w:val="00C723C1"/>
    <w:rsid w:val="00C7256B"/>
    <w:rsid w:val="00C72925"/>
    <w:rsid w:val="00C72A30"/>
    <w:rsid w:val="00C72F94"/>
    <w:rsid w:val="00C7309F"/>
    <w:rsid w:val="00C73975"/>
    <w:rsid w:val="00C73AAE"/>
    <w:rsid w:val="00C73BB0"/>
    <w:rsid w:val="00C73E61"/>
    <w:rsid w:val="00C74363"/>
    <w:rsid w:val="00C74FA7"/>
    <w:rsid w:val="00C752AE"/>
    <w:rsid w:val="00C75358"/>
    <w:rsid w:val="00C754A0"/>
    <w:rsid w:val="00C7629F"/>
    <w:rsid w:val="00C7658E"/>
    <w:rsid w:val="00C766B9"/>
    <w:rsid w:val="00C7706B"/>
    <w:rsid w:val="00C77A7E"/>
    <w:rsid w:val="00C77ECC"/>
    <w:rsid w:val="00C77F95"/>
    <w:rsid w:val="00C80025"/>
    <w:rsid w:val="00C8037C"/>
    <w:rsid w:val="00C80491"/>
    <w:rsid w:val="00C80C95"/>
    <w:rsid w:val="00C80EA6"/>
    <w:rsid w:val="00C810C5"/>
    <w:rsid w:val="00C814AA"/>
    <w:rsid w:val="00C816FC"/>
    <w:rsid w:val="00C8190B"/>
    <w:rsid w:val="00C81F6F"/>
    <w:rsid w:val="00C829D6"/>
    <w:rsid w:val="00C8346E"/>
    <w:rsid w:val="00C83952"/>
    <w:rsid w:val="00C84789"/>
    <w:rsid w:val="00C84D3D"/>
    <w:rsid w:val="00C84DCE"/>
    <w:rsid w:val="00C8555F"/>
    <w:rsid w:val="00C85657"/>
    <w:rsid w:val="00C8565A"/>
    <w:rsid w:val="00C85686"/>
    <w:rsid w:val="00C85F0F"/>
    <w:rsid w:val="00C86115"/>
    <w:rsid w:val="00C86586"/>
    <w:rsid w:val="00C8661B"/>
    <w:rsid w:val="00C8678C"/>
    <w:rsid w:val="00C870B9"/>
    <w:rsid w:val="00C871B6"/>
    <w:rsid w:val="00C87733"/>
    <w:rsid w:val="00C8793F"/>
    <w:rsid w:val="00C87A23"/>
    <w:rsid w:val="00C87CF0"/>
    <w:rsid w:val="00C90171"/>
    <w:rsid w:val="00C9058F"/>
    <w:rsid w:val="00C90B53"/>
    <w:rsid w:val="00C910BB"/>
    <w:rsid w:val="00C9184D"/>
    <w:rsid w:val="00C91A81"/>
    <w:rsid w:val="00C92269"/>
    <w:rsid w:val="00C9228F"/>
    <w:rsid w:val="00C93379"/>
    <w:rsid w:val="00C940B1"/>
    <w:rsid w:val="00C9467A"/>
    <w:rsid w:val="00C955CE"/>
    <w:rsid w:val="00C9596B"/>
    <w:rsid w:val="00C95AFC"/>
    <w:rsid w:val="00C96451"/>
    <w:rsid w:val="00C96588"/>
    <w:rsid w:val="00C9663B"/>
    <w:rsid w:val="00C96C24"/>
    <w:rsid w:val="00C9708B"/>
    <w:rsid w:val="00C97362"/>
    <w:rsid w:val="00C97B48"/>
    <w:rsid w:val="00CA0385"/>
    <w:rsid w:val="00CA0DF3"/>
    <w:rsid w:val="00CA139A"/>
    <w:rsid w:val="00CA142B"/>
    <w:rsid w:val="00CA1992"/>
    <w:rsid w:val="00CA1ADB"/>
    <w:rsid w:val="00CA1BE6"/>
    <w:rsid w:val="00CA1CD8"/>
    <w:rsid w:val="00CA2899"/>
    <w:rsid w:val="00CA2F68"/>
    <w:rsid w:val="00CA2FB0"/>
    <w:rsid w:val="00CA33FC"/>
    <w:rsid w:val="00CA34B4"/>
    <w:rsid w:val="00CA3960"/>
    <w:rsid w:val="00CA41E3"/>
    <w:rsid w:val="00CA43D9"/>
    <w:rsid w:val="00CA5090"/>
    <w:rsid w:val="00CA5519"/>
    <w:rsid w:val="00CA5BA5"/>
    <w:rsid w:val="00CA5FB3"/>
    <w:rsid w:val="00CA61FC"/>
    <w:rsid w:val="00CA67A2"/>
    <w:rsid w:val="00CA7419"/>
    <w:rsid w:val="00CA7575"/>
    <w:rsid w:val="00CA75B9"/>
    <w:rsid w:val="00CA77FB"/>
    <w:rsid w:val="00CA7BF3"/>
    <w:rsid w:val="00CB05A0"/>
    <w:rsid w:val="00CB0EB0"/>
    <w:rsid w:val="00CB1E74"/>
    <w:rsid w:val="00CB1E93"/>
    <w:rsid w:val="00CB2011"/>
    <w:rsid w:val="00CB22B9"/>
    <w:rsid w:val="00CB2720"/>
    <w:rsid w:val="00CB2A18"/>
    <w:rsid w:val="00CB2FD6"/>
    <w:rsid w:val="00CB30B1"/>
    <w:rsid w:val="00CB3721"/>
    <w:rsid w:val="00CB379B"/>
    <w:rsid w:val="00CB3863"/>
    <w:rsid w:val="00CB4151"/>
    <w:rsid w:val="00CB4649"/>
    <w:rsid w:val="00CB4816"/>
    <w:rsid w:val="00CB498F"/>
    <w:rsid w:val="00CB4A4F"/>
    <w:rsid w:val="00CB4D61"/>
    <w:rsid w:val="00CB50AD"/>
    <w:rsid w:val="00CB5977"/>
    <w:rsid w:val="00CB5DD0"/>
    <w:rsid w:val="00CB5FC6"/>
    <w:rsid w:val="00CB608E"/>
    <w:rsid w:val="00CB628B"/>
    <w:rsid w:val="00CB6512"/>
    <w:rsid w:val="00CB6BB3"/>
    <w:rsid w:val="00CB6BEB"/>
    <w:rsid w:val="00CB6DFD"/>
    <w:rsid w:val="00CB7055"/>
    <w:rsid w:val="00CB7101"/>
    <w:rsid w:val="00CB77F0"/>
    <w:rsid w:val="00CB7C92"/>
    <w:rsid w:val="00CC0313"/>
    <w:rsid w:val="00CC04F8"/>
    <w:rsid w:val="00CC0732"/>
    <w:rsid w:val="00CC08E5"/>
    <w:rsid w:val="00CC0BAD"/>
    <w:rsid w:val="00CC1684"/>
    <w:rsid w:val="00CC1714"/>
    <w:rsid w:val="00CC1D43"/>
    <w:rsid w:val="00CC1E82"/>
    <w:rsid w:val="00CC24DC"/>
    <w:rsid w:val="00CC2A22"/>
    <w:rsid w:val="00CC2AA7"/>
    <w:rsid w:val="00CC2B5F"/>
    <w:rsid w:val="00CC2DD8"/>
    <w:rsid w:val="00CC2EF9"/>
    <w:rsid w:val="00CC2F4E"/>
    <w:rsid w:val="00CC3957"/>
    <w:rsid w:val="00CC51D4"/>
    <w:rsid w:val="00CC5540"/>
    <w:rsid w:val="00CC58A9"/>
    <w:rsid w:val="00CC65DA"/>
    <w:rsid w:val="00CC6D48"/>
    <w:rsid w:val="00CC6DC6"/>
    <w:rsid w:val="00CC7146"/>
    <w:rsid w:val="00CC73DE"/>
    <w:rsid w:val="00CC76B9"/>
    <w:rsid w:val="00CC7940"/>
    <w:rsid w:val="00CC79BE"/>
    <w:rsid w:val="00CD0190"/>
    <w:rsid w:val="00CD06DE"/>
    <w:rsid w:val="00CD0C7B"/>
    <w:rsid w:val="00CD124A"/>
    <w:rsid w:val="00CD16D4"/>
    <w:rsid w:val="00CD1A8F"/>
    <w:rsid w:val="00CD29C8"/>
    <w:rsid w:val="00CD34A8"/>
    <w:rsid w:val="00CD3E17"/>
    <w:rsid w:val="00CD3EA4"/>
    <w:rsid w:val="00CD400A"/>
    <w:rsid w:val="00CD41A2"/>
    <w:rsid w:val="00CD45D6"/>
    <w:rsid w:val="00CD48A5"/>
    <w:rsid w:val="00CD635B"/>
    <w:rsid w:val="00CD68C9"/>
    <w:rsid w:val="00CD6AE0"/>
    <w:rsid w:val="00CD6B36"/>
    <w:rsid w:val="00CD743F"/>
    <w:rsid w:val="00CD7F64"/>
    <w:rsid w:val="00CD7FF5"/>
    <w:rsid w:val="00CE06E3"/>
    <w:rsid w:val="00CE0D79"/>
    <w:rsid w:val="00CE1358"/>
    <w:rsid w:val="00CE153C"/>
    <w:rsid w:val="00CE1BC5"/>
    <w:rsid w:val="00CE21AB"/>
    <w:rsid w:val="00CE274C"/>
    <w:rsid w:val="00CE29C6"/>
    <w:rsid w:val="00CE33C6"/>
    <w:rsid w:val="00CE45E6"/>
    <w:rsid w:val="00CE47D6"/>
    <w:rsid w:val="00CE47F5"/>
    <w:rsid w:val="00CE4D25"/>
    <w:rsid w:val="00CE4EE4"/>
    <w:rsid w:val="00CE5084"/>
    <w:rsid w:val="00CE517E"/>
    <w:rsid w:val="00CE5AE6"/>
    <w:rsid w:val="00CE5D32"/>
    <w:rsid w:val="00CE716C"/>
    <w:rsid w:val="00CE73F1"/>
    <w:rsid w:val="00CE742A"/>
    <w:rsid w:val="00CE78C6"/>
    <w:rsid w:val="00CE7BE3"/>
    <w:rsid w:val="00CE7DB9"/>
    <w:rsid w:val="00CF0424"/>
    <w:rsid w:val="00CF0FC7"/>
    <w:rsid w:val="00CF1389"/>
    <w:rsid w:val="00CF13FC"/>
    <w:rsid w:val="00CF1933"/>
    <w:rsid w:val="00CF1A43"/>
    <w:rsid w:val="00CF1D9A"/>
    <w:rsid w:val="00CF21B9"/>
    <w:rsid w:val="00CF244A"/>
    <w:rsid w:val="00CF29D5"/>
    <w:rsid w:val="00CF3677"/>
    <w:rsid w:val="00CF398B"/>
    <w:rsid w:val="00CF40A2"/>
    <w:rsid w:val="00CF4544"/>
    <w:rsid w:val="00CF46AF"/>
    <w:rsid w:val="00CF554D"/>
    <w:rsid w:val="00CF582B"/>
    <w:rsid w:val="00CF5946"/>
    <w:rsid w:val="00CF6BF9"/>
    <w:rsid w:val="00CF6E48"/>
    <w:rsid w:val="00CF7698"/>
    <w:rsid w:val="00CF77E3"/>
    <w:rsid w:val="00CF785A"/>
    <w:rsid w:val="00CF7D06"/>
    <w:rsid w:val="00D00004"/>
    <w:rsid w:val="00D00F4F"/>
    <w:rsid w:val="00D01388"/>
    <w:rsid w:val="00D017D0"/>
    <w:rsid w:val="00D01DCB"/>
    <w:rsid w:val="00D021FB"/>
    <w:rsid w:val="00D02496"/>
    <w:rsid w:val="00D025E2"/>
    <w:rsid w:val="00D029EB"/>
    <w:rsid w:val="00D02C77"/>
    <w:rsid w:val="00D02DEC"/>
    <w:rsid w:val="00D02F3D"/>
    <w:rsid w:val="00D033C9"/>
    <w:rsid w:val="00D03800"/>
    <w:rsid w:val="00D03974"/>
    <w:rsid w:val="00D039E1"/>
    <w:rsid w:val="00D04044"/>
    <w:rsid w:val="00D0423A"/>
    <w:rsid w:val="00D0423B"/>
    <w:rsid w:val="00D04E0A"/>
    <w:rsid w:val="00D050A7"/>
    <w:rsid w:val="00D052EE"/>
    <w:rsid w:val="00D05BEF"/>
    <w:rsid w:val="00D063EF"/>
    <w:rsid w:val="00D063FC"/>
    <w:rsid w:val="00D064A6"/>
    <w:rsid w:val="00D065D3"/>
    <w:rsid w:val="00D06A33"/>
    <w:rsid w:val="00D06D89"/>
    <w:rsid w:val="00D07559"/>
    <w:rsid w:val="00D07B6F"/>
    <w:rsid w:val="00D1075C"/>
    <w:rsid w:val="00D10B97"/>
    <w:rsid w:val="00D10EE9"/>
    <w:rsid w:val="00D112FA"/>
    <w:rsid w:val="00D11524"/>
    <w:rsid w:val="00D116D5"/>
    <w:rsid w:val="00D12318"/>
    <w:rsid w:val="00D123E7"/>
    <w:rsid w:val="00D1244A"/>
    <w:rsid w:val="00D12754"/>
    <w:rsid w:val="00D131F2"/>
    <w:rsid w:val="00D13783"/>
    <w:rsid w:val="00D13AA7"/>
    <w:rsid w:val="00D141D9"/>
    <w:rsid w:val="00D14480"/>
    <w:rsid w:val="00D14B54"/>
    <w:rsid w:val="00D14C94"/>
    <w:rsid w:val="00D14D63"/>
    <w:rsid w:val="00D15240"/>
    <w:rsid w:val="00D15893"/>
    <w:rsid w:val="00D15D42"/>
    <w:rsid w:val="00D15D5B"/>
    <w:rsid w:val="00D1618B"/>
    <w:rsid w:val="00D166A4"/>
    <w:rsid w:val="00D17491"/>
    <w:rsid w:val="00D17691"/>
    <w:rsid w:val="00D17964"/>
    <w:rsid w:val="00D17A5B"/>
    <w:rsid w:val="00D2009A"/>
    <w:rsid w:val="00D20714"/>
    <w:rsid w:val="00D2105E"/>
    <w:rsid w:val="00D21329"/>
    <w:rsid w:val="00D21531"/>
    <w:rsid w:val="00D21BAA"/>
    <w:rsid w:val="00D22BAC"/>
    <w:rsid w:val="00D22DBA"/>
    <w:rsid w:val="00D2342A"/>
    <w:rsid w:val="00D23A0C"/>
    <w:rsid w:val="00D23C1D"/>
    <w:rsid w:val="00D24174"/>
    <w:rsid w:val="00D2429E"/>
    <w:rsid w:val="00D24744"/>
    <w:rsid w:val="00D2481D"/>
    <w:rsid w:val="00D24C6A"/>
    <w:rsid w:val="00D25121"/>
    <w:rsid w:val="00D25EA5"/>
    <w:rsid w:val="00D2601A"/>
    <w:rsid w:val="00D262E6"/>
    <w:rsid w:val="00D26699"/>
    <w:rsid w:val="00D26E1A"/>
    <w:rsid w:val="00D27949"/>
    <w:rsid w:val="00D27E31"/>
    <w:rsid w:val="00D27E84"/>
    <w:rsid w:val="00D30C95"/>
    <w:rsid w:val="00D30F42"/>
    <w:rsid w:val="00D3101F"/>
    <w:rsid w:val="00D31607"/>
    <w:rsid w:val="00D31A15"/>
    <w:rsid w:val="00D31FB9"/>
    <w:rsid w:val="00D32306"/>
    <w:rsid w:val="00D325D7"/>
    <w:rsid w:val="00D33BD5"/>
    <w:rsid w:val="00D33D50"/>
    <w:rsid w:val="00D33DF8"/>
    <w:rsid w:val="00D3425E"/>
    <w:rsid w:val="00D342A6"/>
    <w:rsid w:val="00D3435A"/>
    <w:rsid w:val="00D34522"/>
    <w:rsid w:val="00D34D70"/>
    <w:rsid w:val="00D34F87"/>
    <w:rsid w:val="00D3510D"/>
    <w:rsid w:val="00D3548A"/>
    <w:rsid w:val="00D358A0"/>
    <w:rsid w:val="00D35B1A"/>
    <w:rsid w:val="00D35B27"/>
    <w:rsid w:val="00D35C60"/>
    <w:rsid w:val="00D3611A"/>
    <w:rsid w:val="00D36245"/>
    <w:rsid w:val="00D36633"/>
    <w:rsid w:val="00D37445"/>
    <w:rsid w:val="00D40B6F"/>
    <w:rsid w:val="00D41056"/>
    <w:rsid w:val="00D41119"/>
    <w:rsid w:val="00D41402"/>
    <w:rsid w:val="00D41CBA"/>
    <w:rsid w:val="00D41CF8"/>
    <w:rsid w:val="00D42154"/>
    <w:rsid w:val="00D4226F"/>
    <w:rsid w:val="00D425FD"/>
    <w:rsid w:val="00D42ABF"/>
    <w:rsid w:val="00D43F9B"/>
    <w:rsid w:val="00D44141"/>
    <w:rsid w:val="00D448B7"/>
    <w:rsid w:val="00D44D74"/>
    <w:rsid w:val="00D44D78"/>
    <w:rsid w:val="00D456A0"/>
    <w:rsid w:val="00D45C72"/>
    <w:rsid w:val="00D464BF"/>
    <w:rsid w:val="00D47018"/>
    <w:rsid w:val="00D47164"/>
    <w:rsid w:val="00D475AC"/>
    <w:rsid w:val="00D47A40"/>
    <w:rsid w:val="00D47A8B"/>
    <w:rsid w:val="00D47AB5"/>
    <w:rsid w:val="00D47EDB"/>
    <w:rsid w:val="00D500D4"/>
    <w:rsid w:val="00D504B9"/>
    <w:rsid w:val="00D50AC3"/>
    <w:rsid w:val="00D514AE"/>
    <w:rsid w:val="00D51A22"/>
    <w:rsid w:val="00D539F3"/>
    <w:rsid w:val="00D53E26"/>
    <w:rsid w:val="00D54CBD"/>
    <w:rsid w:val="00D54F2C"/>
    <w:rsid w:val="00D55BF1"/>
    <w:rsid w:val="00D55FA9"/>
    <w:rsid w:val="00D56027"/>
    <w:rsid w:val="00D565C1"/>
    <w:rsid w:val="00D5682F"/>
    <w:rsid w:val="00D56DB2"/>
    <w:rsid w:val="00D5792F"/>
    <w:rsid w:val="00D57D93"/>
    <w:rsid w:val="00D60484"/>
    <w:rsid w:val="00D605AD"/>
    <w:rsid w:val="00D60848"/>
    <w:rsid w:val="00D61DB5"/>
    <w:rsid w:val="00D625DA"/>
    <w:rsid w:val="00D625E1"/>
    <w:rsid w:val="00D62AD6"/>
    <w:rsid w:val="00D6307F"/>
    <w:rsid w:val="00D6312F"/>
    <w:rsid w:val="00D63D78"/>
    <w:rsid w:val="00D63D91"/>
    <w:rsid w:val="00D64A66"/>
    <w:rsid w:val="00D64FDC"/>
    <w:rsid w:val="00D652FB"/>
    <w:rsid w:val="00D65776"/>
    <w:rsid w:val="00D66867"/>
    <w:rsid w:val="00D66D91"/>
    <w:rsid w:val="00D678DB"/>
    <w:rsid w:val="00D704FA"/>
    <w:rsid w:val="00D7117A"/>
    <w:rsid w:val="00D712C0"/>
    <w:rsid w:val="00D72410"/>
    <w:rsid w:val="00D72BC6"/>
    <w:rsid w:val="00D731C2"/>
    <w:rsid w:val="00D73531"/>
    <w:rsid w:val="00D73672"/>
    <w:rsid w:val="00D73A03"/>
    <w:rsid w:val="00D74616"/>
    <w:rsid w:val="00D749E1"/>
    <w:rsid w:val="00D749F9"/>
    <w:rsid w:val="00D74AAF"/>
    <w:rsid w:val="00D75252"/>
    <w:rsid w:val="00D7529D"/>
    <w:rsid w:val="00D75C9C"/>
    <w:rsid w:val="00D76A02"/>
    <w:rsid w:val="00D7732F"/>
    <w:rsid w:val="00D7746C"/>
    <w:rsid w:val="00D77501"/>
    <w:rsid w:val="00D778D5"/>
    <w:rsid w:val="00D779ED"/>
    <w:rsid w:val="00D801AF"/>
    <w:rsid w:val="00D802D0"/>
    <w:rsid w:val="00D803E7"/>
    <w:rsid w:val="00D808B4"/>
    <w:rsid w:val="00D80990"/>
    <w:rsid w:val="00D80B61"/>
    <w:rsid w:val="00D8130F"/>
    <w:rsid w:val="00D817A2"/>
    <w:rsid w:val="00D81A41"/>
    <w:rsid w:val="00D8299A"/>
    <w:rsid w:val="00D83C1E"/>
    <w:rsid w:val="00D83C3D"/>
    <w:rsid w:val="00D84713"/>
    <w:rsid w:val="00D84FDE"/>
    <w:rsid w:val="00D85820"/>
    <w:rsid w:val="00D86226"/>
    <w:rsid w:val="00D86713"/>
    <w:rsid w:val="00D8689E"/>
    <w:rsid w:val="00D87763"/>
    <w:rsid w:val="00D87952"/>
    <w:rsid w:val="00D87B24"/>
    <w:rsid w:val="00D9017A"/>
    <w:rsid w:val="00D902C0"/>
    <w:rsid w:val="00D903F9"/>
    <w:rsid w:val="00D90517"/>
    <w:rsid w:val="00D90D46"/>
    <w:rsid w:val="00D9101E"/>
    <w:rsid w:val="00D91823"/>
    <w:rsid w:val="00D9199B"/>
    <w:rsid w:val="00D9203F"/>
    <w:rsid w:val="00D9242C"/>
    <w:rsid w:val="00D92505"/>
    <w:rsid w:val="00D92581"/>
    <w:rsid w:val="00D92A35"/>
    <w:rsid w:val="00D92EEF"/>
    <w:rsid w:val="00D93109"/>
    <w:rsid w:val="00D93AF2"/>
    <w:rsid w:val="00D93EBF"/>
    <w:rsid w:val="00D949E7"/>
    <w:rsid w:val="00D94B0F"/>
    <w:rsid w:val="00D94E61"/>
    <w:rsid w:val="00D94F76"/>
    <w:rsid w:val="00D95661"/>
    <w:rsid w:val="00D95ABF"/>
    <w:rsid w:val="00D95DCA"/>
    <w:rsid w:val="00D95E9F"/>
    <w:rsid w:val="00D95EF1"/>
    <w:rsid w:val="00D96290"/>
    <w:rsid w:val="00D962C6"/>
    <w:rsid w:val="00D96572"/>
    <w:rsid w:val="00D96BF1"/>
    <w:rsid w:val="00D97272"/>
    <w:rsid w:val="00D973E5"/>
    <w:rsid w:val="00D97BF9"/>
    <w:rsid w:val="00D97FDB"/>
    <w:rsid w:val="00DA0833"/>
    <w:rsid w:val="00DA0EC7"/>
    <w:rsid w:val="00DA175B"/>
    <w:rsid w:val="00DA1BEF"/>
    <w:rsid w:val="00DA25D7"/>
    <w:rsid w:val="00DA2648"/>
    <w:rsid w:val="00DA26D1"/>
    <w:rsid w:val="00DA3081"/>
    <w:rsid w:val="00DA3530"/>
    <w:rsid w:val="00DA366C"/>
    <w:rsid w:val="00DA375A"/>
    <w:rsid w:val="00DA4291"/>
    <w:rsid w:val="00DA4A4C"/>
    <w:rsid w:val="00DA4AE8"/>
    <w:rsid w:val="00DA4CBB"/>
    <w:rsid w:val="00DA58BF"/>
    <w:rsid w:val="00DA5ECB"/>
    <w:rsid w:val="00DA6C49"/>
    <w:rsid w:val="00DA70DB"/>
    <w:rsid w:val="00DA7D72"/>
    <w:rsid w:val="00DB0561"/>
    <w:rsid w:val="00DB073D"/>
    <w:rsid w:val="00DB0A05"/>
    <w:rsid w:val="00DB13C9"/>
    <w:rsid w:val="00DB151D"/>
    <w:rsid w:val="00DB19A6"/>
    <w:rsid w:val="00DB1AD1"/>
    <w:rsid w:val="00DB1E68"/>
    <w:rsid w:val="00DB2000"/>
    <w:rsid w:val="00DB20E0"/>
    <w:rsid w:val="00DB28F1"/>
    <w:rsid w:val="00DB2B1C"/>
    <w:rsid w:val="00DB3241"/>
    <w:rsid w:val="00DB327F"/>
    <w:rsid w:val="00DB38AC"/>
    <w:rsid w:val="00DB451C"/>
    <w:rsid w:val="00DB46F5"/>
    <w:rsid w:val="00DB4B85"/>
    <w:rsid w:val="00DB4FC1"/>
    <w:rsid w:val="00DB533D"/>
    <w:rsid w:val="00DB5434"/>
    <w:rsid w:val="00DB5E93"/>
    <w:rsid w:val="00DB6A7F"/>
    <w:rsid w:val="00DB6F6E"/>
    <w:rsid w:val="00DB706C"/>
    <w:rsid w:val="00DB75E2"/>
    <w:rsid w:val="00DB774F"/>
    <w:rsid w:val="00DB7D35"/>
    <w:rsid w:val="00DC0131"/>
    <w:rsid w:val="00DC0436"/>
    <w:rsid w:val="00DC0438"/>
    <w:rsid w:val="00DC0459"/>
    <w:rsid w:val="00DC0B73"/>
    <w:rsid w:val="00DC0BC4"/>
    <w:rsid w:val="00DC108D"/>
    <w:rsid w:val="00DC1624"/>
    <w:rsid w:val="00DC1E36"/>
    <w:rsid w:val="00DC21E5"/>
    <w:rsid w:val="00DC235C"/>
    <w:rsid w:val="00DC2B9E"/>
    <w:rsid w:val="00DC34BF"/>
    <w:rsid w:val="00DC3BEF"/>
    <w:rsid w:val="00DC3EFC"/>
    <w:rsid w:val="00DC4161"/>
    <w:rsid w:val="00DC4D38"/>
    <w:rsid w:val="00DC5994"/>
    <w:rsid w:val="00DC59C6"/>
    <w:rsid w:val="00DC5E57"/>
    <w:rsid w:val="00DC5F7E"/>
    <w:rsid w:val="00DC6380"/>
    <w:rsid w:val="00DC6498"/>
    <w:rsid w:val="00DC6CF6"/>
    <w:rsid w:val="00DC7138"/>
    <w:rsid w:val="00DC75E1"/>
    <w:rsid w:val="00DC7B96"/>
    <w:rsid w:val="00DD0153"/>
    <w:rsid w:val="00DD044E"/>
    <w:rsid w:val="00DD0BE5"/>
    <w:rsid w:val="00DD1808"/>
    <w:rsid w:val="00DD1EB6"/>
    <w:rsid w:val="00DD223C"/>
    <w:rsid w:val="00DD29BB"/>
    <w:rsid w:val="00DD2AAB"/>
    <w:rsid w:val="00DD2E40"/>
    <w:rsid w:val="00DD2F6A"/>
    <w:rsid w:val="00DD4D7D"/>
    <w:rsid w:val="00DD4F0E"/>
    <w:rsid w:val="00DD55C3"/>
    <w:rsid w:val="00DD6233"/>
    <w:rsid w:val="00DD6409"/>
    <w:rsid w:val="00DD647B"/>
    <w:rsid w:val="00DD665C"/>
    <w:rsid w:val="00DD68EB"/>
    <w:rsid w:val="00DD6F0A"/>
    <w:rsid w:val="00DD72E4"/>
    <w:rsid w:val="00DD7616"/>
    <w:rsid w:val="00DD7E17"/>
    <w:rsid w:val="00DD7F5D"/>
    <w:rsid w:val="00DE01CA"/>
    <w:rsid w:val="00DE01E2"/>
    <w:rsid w:val="00DE0814"/>
    <w:rsid w:val="00DE08D8"/>
    <w:rsid w:val="00DE135A"/>
    <w:rsid w:val="00DE1560"/>
    <w:rsid w:val="00DE1864"/>
    <w:rsid w:val="00DE1869"/>
    <w:rsid w:val="00DE1A16"/>
    <w:rsid w:val="00DE1D9D"/>
    <w:rsid w:val="00DE227F"/>
    <w:rsid w:val="00DE2DBF"/>
    <w:rsid w:val="00DE3568"/>
    <w:rsid w:val="00DE3762"/>
    <w:rsid w:val="00DE39E8"/>
    <w:rsid w:val="00DE3F7C"/>
    <w:rsid w:val="00DE412E"/>
    <w:rsid w:val="00DE4AD3"/>
    <w:rsid w:val="00DE50CB"/>
    <w:rsid w:val="00DE541E"/>
    <w:rsid w:val="00DE5813"/>
    <w:rsid w:val="00DE60E3"/>
    <w:rsid w:val="00DE62E3"/>
    <w:rsid w:val="00DE631A"/>
    <w:rsid w:val="00DE6695"/>
    <w:rsid w:val="00DE67A0"/>
    <w:rsid w:val="00DE6963"/>
    <w:rsid w:val="00DE6C3F"/>
    <w:rsid w:val="00DE713C"/>
    <w:rsid w:val="00DE7817"/>
    <w:rsid w:val="00DE7E2E"/>
    <w:rsid w:val="00DE7F02"/>
    <w:rsid w:val="00DF129D"/>
    <w:rsid w:val="00DF1857"/>
    <w:rsid w:val="00DF199B"/>
    <w:rsid w:val="00DF1B92"/>
    <w:rsid w:val="00DF1D36"/>
    <w:rsid w:val="00DF1F42"/>
    <w:rsid w:val="00DF20DB"/>
    <w:rsid w:val="00DF23B0"/>
    <w:rsid w:val="00DF248C"/>
    <w:rsid w:val="00DF2490"/>
    <w:rsid w:val="00DF259D"/>
    <w:rsid w:val="00DF28BB"/>
    <w:rsid w:val="00DF2A96"/>
    <w:rsid w:val="00DF2B9E"/>
    <w:rsid w:val="00DF2D76"/>
    <w:rsid w:val="00DF2DFA"/>
    <w:rsid w:val="00DF3085"/>
    <w:rsid w:val="00DF3517"/>
    <w:rsid w:val="00DF3A3E"/>
    <w:rsid w:val="00DF3A92"/>
    <w:rsid w:val="00DF40E1"/>
    <w:rsid w:val="00DF40E2"/>
    <w:rsid w:val="00DF49A6"/>
    <w:rsid w:val="00DF4E80"/>
    <w:rsid w:val="00DF500C"/>
    <w:rsid w:val="00DF52D7"/>
    <w:rsid w:val="00DF5BE5"/>
    <w:rsid w:val="00DF5CD7"/>
    <w:rsid w:val="00DF6774"/>
    <w:rsid w:val="00DF6D75"/>
    <w:rsid w:val="00DF7A88"/>
    <w:rsid w:val="00DF7E8D"/>
    <w:rsid w:val="00DF7FD1"/>
    <w:rsid w:val="00E00499"/>
    <w:rsid w:val="00E01582"/>
    <w:rsid w:val="00E0172E"/>
    <w:rsid w:val="00E01EE5"/>
    <w:rsid w:val="00E0231C"/>
    <w:rsid w:val="00E023F0"/>
    <w:rsid w:val="00E02E37"/>
    <w:rsid w:val="00E03224"/>
    <w:rsid w:val="00E034F6"/>
    <w:rsid w:val="00E03850"/>
    <w:rsid w:val="00E0433D"/>
    <w:rsid w:val="00E0480F"/>
    <w:rsid w:val="00E04BA5"/>
    <w:rsid w:val="00E05162"/>
    <w:rsid w:val="00E05344"/>
    <w:rsid w:val="00E05BFA"/>
    <w:rsid w:val="00E05CB8"/>
    <w:rsid w:val="00E05D90"/>
    <w:rsid w:val="00E05E0A"/>
    <w:rsid w:val="00E05EC9"/>
    <w:rsid w:val="00E06B75"/>
    <w:rsid w:val="00E074C8"/>
    <w:rsid w:val="00E075DD"/>
    <w:rsid w:val="00E1006A"/>
    <w:rsid w:val="00E103F8"/>
    <w:rsid w:val="00E10CEF"/>
    <w:rsid w:val="00E11186"/>
    <w:rsid w:val="00E1158C"/>
    <w:rsid w:val="00E11A38"/>
    <w:rsid w:val="00E11B3D"/>
    <w:rsid w:val="00E11DC3"/>
    <w:rsid w:val="00E11E59"/>
    <w:rsid w:val="00E12322"/>
    <w:rsid w:val="00E13E6E"/>
    <w:rsid w:val="00E14043"/>
    <w:rsid w:val="00E14439"/>
    <w:rsid w:val="00E14B3B"/>
    <w:rsid w:val="00E14CBC"/>
    <w:rsid w:val="00E14EB6"/>
    <w:rsid w:val="00E150B6"/>
    <w:rsid w:val="00E1515A"/>
    <w:rsid w:val="00E15461"/>
    <w:rsid w:val="00E15584"/>
    <w:rsid w:val="00E1579E"/>
    <w:rsid w:val="00E15C31"/>
    <w:rsid w:val="00E16266"/>
    <w:rsid w:val="00E168F7"/>
    <w:rsid w:val="00E16FA0"/>
    <w:rsid w:val="00E17458"/>
    <w:rsid w:val="00E17C0D"/>
    <w:rsid w:val="00E17FCF"/>
    <w:rsid w:val="00E20A10"/>
    <w:rsid w:val="00E213CE"/>
    <w:rsid w:val="00E21A10"/>
    <w:rsid w:val="00E21D10"/>
    <w:rsid w:val="00E238A8"/>
    <w:rsid w:val="00E23B40"/>
    <w:rsid w:val="00E23EB1"/>
    <w:rsid w:val="00E241EA"/>
    <w:rsid w:val="00E24404"/>
    <w:rsid w:val="00E24BD7"/>
    <w:rsid w:val="00E24E38"/>
    <w:rsid w:val="00E2557D"/>
    <w:rsid w:val="00E25A05"/>
    <w:rsid w:val="00E25DDF"/>
    <w:rsid w:val="00E26294"/>
    <w:rsid w:val="00E2631C"/>
    <w:rsid w:val="00E26A11"/>
    <w:rsid w:val="00E26B14"/>
    <w:rsid w:val="00E26E8E"/>
    <w:rsid w:val="00E2762D"/>
    <w:rsid w:val="00E27DF8"/>
    <w:rsid w:val="00E27EA9"/>
    <w:rsid w:val="00E30497"/>
    <w:rsid w:val="00E304EC"/>
    <w:rsid w:val="00E30B7B"/>
    <w:rsid w:val="00E30CF1"/>
    <w:rsid w:val="00E31E13"/>
    <w:rsid w:val="00E31FA9"/>
    <w:rsid w:val="00E31FB1"/>
    <w:rsid w:val="00E32151"/>
    <w:rsid w:val="00E3244E"/>
    <w:rsid w:val="00E324CB"/>
    <w:rsid w:val="00E32726"/>
    <w:rsid w:val="00E32789"/>
    <w:rsid w:val="00E334F8"/>
    <w:rsid w:val="00E33FE7"/>
    <w:rsid w:val="00E3437A"/>
    <w:rsid w:val="00E345E7"/>
    <w:rsid w:val="00E34723"/>
    <w:rsid w:val="00E34D00"/>
    <w:rsid w:val="00E353AD"/>
    <w:rsid w:val="00E35AF3"/>
    <w:rsid w:val="00E35E1C"/>
    <w:rsid w:val="00E3606F"/>
    <w:rsid w:val="00E36540"/>
    <w:rsid w:val="00E36B1D"/>
    <w:rsid w:val="00E36BEF"/>
    <w:rsid w:val="00E40233"/>
    <w:rsid w:val="00E41127"/>
    <w:rsid w:val="00E411F9"/>
    <w:rsid w:val="00E4133D"/>
    <w:rsid w:val="00E41773"/>
    <w:rsid w:val="00E41912"/>
    <w:rsid w:val="00E41A63"/>
    <w:rsid w:val="00E42045"/>
    <w:rsid w:val="00E420CC"/>
    <w:rsid w:val="00E42F24"/>
    <w:rsid w:val="00E43C15"/>
    <w:rsid w:val="00E43CD9"/>
    <w:rsid w:val="00E43F27"/>
    <w:rsid w:val="00E44188"/>
    <w:rsid w:val="00E44A0C"/>
    <w:rsid w:val="00E44C3A"/>
    <w:rsid w:val="00E44C63"/>
    <w:rsid w:val="00E44C7B"/>
    <w:rsid w:val="00E44FD4"/>
    <w:rsid w:val="00E45030"/>
    <w:rsid w:val="00E45360"/>
    <w:rsid w:val="00E45514"/>
    <w:rsid w:val="00E45551"/>
    <w:rsid w:val="00E4585F"/>
    <w:rsid w:val="00E4614B"/>
    <w:rsid w:val="00E46A64"/>
    <w:rsid w:val="00E46B87"/>
    <w:rsid w:val="00E46E02"/>
    <w:rsid w:val="00E47856"/>
    <w:rsid w:val="00E5030B"/>
    <w:rsid w:val="00E50B8F"/>
    <w:rsid w:val="00E50E26"/>
    <w:rsid w:val="00E51F11"/>
    <w:rsid w:val="00E52407"/>
    <w:rsid w:val="00E529E2"/>
    <w:rsid w:val="00E52E33"/>
    <w:rsid w:val="00E534CF"/>
    <w:rsid w:val="00E53D07"/>
    <w:rsid w:val="00E53EA0"/>
    <w:rsid w:val="00E54099"/>
    <w:rsid w:val="00E540B8"/>
    <w:rsid w:val="00E544B1"/>
    <w:rsid w:val="00E54C43"/>
    <w:rsid w:val="00E559CD"/>
    <w:rsid w:val="00E56109"/>
    <w:rsid w:val="00E5689C"/>
    <w:rsid w:val="00E569F0"/>
    <w:rsid w:val="00E56C98"/>
    <w:rsid w:val="00E57502"/>
    <w:rsid w:val="00E57619"/>
    <w:rsid w:val="00E57B83"/>
    <w:rsid w:val="00E57FB1"/>
    <w:rsid w:val="00E60004"/>
    <w:rsid w:val="00E600BA"/>
    <w:rsid w:val="00E60490"/>
    <w:rsid w:val="00E60894"/>
    <w:rsid w:val="00E60EB2"/>
    <w:rsid w:val="00E60F38"/>
    <w:rsid w:val="00E60FC6"/>
    <w:rsid w:val="00E6146C"/>
    <w:rsid w:val="00E61587"/>
    <w:rsid w:val="00E620E0"/>
    <w:rsid w:val="00E6239A"/>
    <w:rsid w:val="00E62404"/>
    <w:rsid w:val="00E62C50"/>
    <w:rsid w:val="00E6389E"/>
    <w:rsid w:val="00E638DD"/>
    <w:rsid w:val="00E63C9B"/>
    <w:rsid w:val="00E64798"/>
    <w:rsid w:val="00E64EC7"/>
    <w:rsid w:val="00E65277"/>
    <w:rsid w:val="00E65295"/>
    <w:rsid w:val="00E6548D"/>
    <w:rsid w:val="00E6565B"/>
    <w:rsid w:val="00E65737"/>
    <w:rsid w:val="00E65858"/>
    <w:rsid w:val="00E661D3"/>
    <w:rsid w:val="00E666CE"/>
    <w:rsid w:val="00E66F1E"/>
    <w:rsid w:val="00E700BE"/>
    <w:rsid w:val="00E70130"/>
    <w:rsid w:val="00E7047B"/>
    <w:rsid w:val="00E709CB"/>
    <w:rsid w:val="00E71B9F"/>
    <w:rsid w:val="00E71D00"/>
    <w:rsid w:val="00E71FCC"/>
    <w:rsid w:val="00E72178"/>
    <w:rsid w:val="00E721DA"/>
    <w:rsid w:val="00E72211"/>
    <w:rsid w:val="00E72522"/>
    <w:rsid w:val="00E72EC2"/>
    <w:rsid w:val="00E731A4"/>
    <w:rsid w:val="00E73E80"/>
    <w:rsid w:val="00E74956"/>
    <w:rsid w:val="00E75486"/>
    <w:rsid w:val="00E758BA"/>
    <w:rsid w:val="00E7594A"/>
    <w:rsid w:val="00E7661B"/>
    <w:rsid w:val="00E76C35"/>
    <w:rsid w:val="00E76CD8"/>
    <w:rsid w:val="00E76E27"/>
    <w:rsid w:val="00E76ED3"/>
    <w:rsid w:val="00E801EE"/>
    <w:rsid w:val="00E8058C"/>
    <w:rsid w:val="00E80B85"/>
    <w:rsid w:val="00E80DF8"/>
    <w:rsid w:val="00E81CB4"/>
    <w:rsid w:val="00E81D5E"/>
    <w:rsid w:val="00E821BA"/>
    <w:rsid w:val="00E8309B"/>
    <w:rsid w:val="00E83551"/>
    <w:rsid w:val="00E83F51"/>
    <w:rsid w:val="00E84921"/>
    <w:rsid w:val="00E8500E"/>
    <w:rsid w:val="00E85337"/>
    <w:rsid w:val="00E85752"/>
    <w:rsid w:val="00E85786"/>
    <w:rsid w:val="00E8585B"/>
    <w:rsid w:val="00E85956"/>
    <w:rsid w:val="00E85979"/>
    <w:rsid w:val="00E8683E"/>
    <w:rsid w:val="00E87B01"/>
    <w:rsid w:val="00E902AC"/>
    <w:rsid w:val="00E9039A"/>
    <w:rsid w:val="00E9082D"/>
    <w:rsid w:val="00E908C3"/>
    <w:rsid w:val="00E90C16"/>
    <w:rsid w:val="00E90C58"/>
    <w:rsid w:val="00E91391"/>
    <w:rsid w:val="00E913D8"/>
    <w:rsid w:val="00E915D5"/>
    <w:rsid w:val="00E91832"/>
    <w:rsid w:val="00E92B5C"/>
    <w:rsid w:val="00E92C2C"/>
    <w:rsid w:val="00E92E92"/>
    <w:rsid w:val="00E9300A"/>
    <w:rsid w:val="00E93515"/>
    <w:rsid w:val="00E93EBD"/>
    <w:rsid w:val="00E93EE7"/>
    <w:rsid w:val="00E945BC"/>
    <w:rsid w:val="00E95545"/>
    <w:rsid w:val="00E9589F"/>
    <w:rsid w:val="00E958C1"/>
    <w:rsid w:val="00E95CC2"/>
    <w:rsid w:val="00E96616"/>
    <w:rsid w:val="00E96FFD"/>
    <w:rsid w:val="00E97021"/>
    <w:rsid w:val="00E97377"/>
    <w:rsid w:val="00E97562"/>
    <w:rsid w:val="00E9783E"/>
    <w:rsid w:val="00E97963"/>
    <w:rsid w:val="00E97CD7"/>
    <w:rsid w:val="00EA0069"/>
    <w:rsid w:val="00EA09EF"/>
    <w:rsid w:val="00EA0E07"/>
    <w:rsid w:val="00EA0E70"/>
    <w:rsid w:val="00EA11A7"/>
    <w:rsid w:val="00EA24DB"/>
    <w:rsid w:val="00EA2B78"/>
    <w:rsid w:val="00EA2ECF"/>
    <w:rsid w:val="00EA3ABB"/>
    <w:rsid w:val="00EA3F15"/>
    <w:rsid w:val="00EA45B4"/>
    <w:rsid w:val="00EA4741"/>
    <w:rsid w:val="00EA4984"/>
    <w:rsid w:val="00EA4DAC"/>
    <w:rsid w:val="00EA5019"/>
    <w:rsid w:val="00EA6077"/>
    <w:rsid w:val="00EA6245"/>
    <w:rsid w:val="00EA639F"/>
    <w:rsid w:val="00EA68F2"/>
    <w:rsid w:val="00EA6A57"/>
    <w:rsid w:val="00EA7023"/>
    <w:rsid w:val="00EA7847"/>
    <w:rsid w:val="00EA7A05"/>
    <w:rsid w:val="00EA7BCB"/>
    <w:rsid w:val="00EA7C05"/>
    <w:rsid w:val="00EB0095"/>
    <w:rsid w:val="00EB073D"/>
    <w:rsid w:val="00EB0B87"/>
    <w:rsid w:val="00EB0E8B"/>
    <w:rsid w:val="00EB1546"/>
    <w:rsid w:val="00EB1767"/>
    <w:rsid w:val="00EB1C34"/>
    <w:rsid w:val="00EB20F0"/>
    <w:rsid w:val="00EB274D"/>
    <w:rsid w:val="00EB27BD"/>
    <w:rsid w:val="00EB2A27"/>
    <w:rsid w:val="00EB2B6D"/>
    <w:rsid w:val="00EB3350"/>
    <w:rsid w:val="00EB3426"/>
    <w:rsid w:val="00EB3878"/>
    <w:rsid w:val="00EB38FC"/>
    <w:rsid w:val="00EB3F20"/>
    <w:rsid w:val="00EB40C2"/>
    <w:rsid w:val="00EB4EB1"/>
    <w:rsid w:val="00EB5729"/>
    <w:rsid w:val="00EB5900"/>
    <w:rsid w:val="00EB5C52"/>
    <w:rsid w:val="00EB69A1"/>
    <w:rsid w:val="00EB6A34"/>
    <w:rsid w:val="00EB6C2E"/>
    <w:rsid w:val="00EB77F2"/>
    <w:rsid w:val="00EB7A35"/>
    <w:rsid w:val="00EC016A"/>
    <w:rsid w:val="00EC0683"/>
    <w:rsid w:val="00EC0709"/>
    <w:rsid w:val="00EC0BBD"/>
    <w:rsid w:val="00EC0BFF"/>
    <w:rsid w:val="00EC0E83"/>
    <w:rsid w:val="00EC1474"/>
    <w:rsid w:val="00EC23E5"/>
    <w:rsid w:val="00EC2815"/>
    <w:rsid w:val="00EC2B89"/>
    <w:rsid w:val="00EC32F3"/>
    <w:rsid w:val="00EC4386"/>
    <w:rsid w:val="00EC4BCD"/>
    <w:rsid w:val="00EC4C74"/>
    <w:rsid w:val="00EC51A3"/>
    <w:rsid w:val="00EC5B2F"/>
    <w:rsid w:val="00EC5C97"/>
    <w:rsid w:val="00EC5E2A"/>
    <w:rsid w:val="00EC6641"/>
    <w:rsid w:val="00EC6B3B"/>
    <w:rsid w:val="00EC6F19"/>
    <w:rsid w:val="00EC6F35"/>
    <w:rsid w:val="00EC7190"/>
    <w:rsid w:val="00EC7CE7"/>
    <w:rsid w:val="00ED029B"/>
    <w:rsid w:val="00ED06D1"/>
    <w:rsid w:val="00ED0BFC"/>
    <w:rsid w:val="00ED103B"/>
    <w:rsid w:val="00ED112E"/>
    <w:rsid w:val="00ED131B"/>
    <w:rsid w:val="00ED1406"/>
    <w:rsid w:val="00ED14C5"/>
    <w:rsid w:val="00ED19AE"/>
    <w:rsid w:val="00ED1A24"/>
    <w:rsid w:val="00ED2131"/>
    <w:rsid w:val="00ED22DD"/>
    <w:rsid w:val="00ED2593"/>
    <w:rsid w:val="00ED2784"/>
    <w:rsid w:val="00ED2969"/>
    <w:rsid w:val="00ED29DF"/>
    <w:rsid w:val="00ED2BD7"/>
    <w:rsid w:val="00ED2D01"/>
    <w:rsid w:val="00ED2ED4"/>
    <w:rsid w:val="00ED31F4"/>
    <w:rsid w:val="00ED3582"/>
    <w:rsid w:val="00ED3DF0"/>
    <w:rsid w:val="00ED403D"/>
    <w:rsid w:val="00ED4C30"/>
    <w:rsid w:val="00ED4F25"/>
    <w:rsid w:val="00ED5443"/>
    <w:rsid w:val="00ED578E"/>
    <w:rsid w:val="00ED6234"/>
    <w:rsid w:val="00ED6569"/>
    <w:rsid w:val="00ED7549"/>
    <w:rsid w:val="00ED784E"/>
    <w:rsid w:val="00ED7A1B"/>
    <w:rsid w:val="00EE0167"/>
    <w:rsid w:val="00EE0AEF"/>
    <w:rsid w:val="00EE0CE8"/>
    <w:rsid w:val="00EE0F69"/>
    <w:rsid w:val="00EE105A"/>
    <w:rsid w:val="00EE191D"/>
    <w:rsid w:val="00EE1E89"/>
    <w:rsid w:val="00EE229E"/>
    <w:rsid w:val="00EE2434"/>
    <w:rsid w:val="00EE2B07"/>
    <w:rsid w:val="00EE2E6E"/>
    <w:rsid w:val="00EE34F5"/>
    <w:rsid w:val="00EE39CC"/>
    <w:rsid w:val="00EE3C22"/>
    <w:rsid w:val="00EE4186"/>
    <w:rsid w:val="00EE47FE"/>
    <w:rsid w:val="00EE4E8C"/>
    <w:rsid w:val="00EE5006"/>
    <w:rsid w:val="00EE5342"/>
    <w:rsid w:val="00EE566C"/>
    <w:rsid w:val="00EE5A1B"/>
    <w:rsid w:val="00EE5C1C"/>
    <w:rsid w:val="00EE5DAF"/>
    <w:rsid w:val="00EE6C22"/>
    <w:rsid w:val="00EE7717"/>
    <w:rsid w:val="00EE7850"/>
    <w:rsid w:val="00EE7A5D"/>
    <w:rsid w:val="00EF0392"/>
    <w:rsid w:val="00EF068B"/>
    <w:rsid w:val="00EF081B"/>
    <w:rsid w:val="00EF0978"/>
    <w:rsid w:val="00EF14E5"/>
    <w:rsid w:val="00EF1B21"/>
    <w:rsid w:val="00EF1D98"/>
    <w:rsid w:val="00EF240F"/>
    <w:rsid w:val="00EF28B9"/>
    <w:rsid w:val="00EF2B0E"/>
    <w:rsid w:val="00EF2C69"/>
    <w:rsid w:val="00EF36E8"/>
    <w:rsid w:val="00EF36F7"/>
    <w:rsid w:val="00EF40C6"/>
    <w:rsid w:val="00EF4F06"/>
    <w:rsid w:val="00EF5453"/>
    <w:rsid w:val="00EF5456"/>
    <w:rsid w:val="00EF5513"/>
    <w:rsid w:val="00EF59A5"/>
    <w:rsid w:val="00EF5D55"/>
    <w:rsid w:val="00EF6607"/>
    <w:rsid w:val="00EF6992"/>
    <w:rsid w:val="00EF70E4"/>
    <w:rsid w:val="00EF73BA"/>
    <w:rsid w:val="00EF7D55"/>
    <w:rsid w:val="00F0008B"/>
    <w:rsid w:val="00F004FD"/>
    <w:rsid w:val="00F008BF"/>
    <w:rsid w:val="00F009C9"/>
    <w:rsid w:val="00F00ADB"/>
    <w:rsid w:val="00F01D43"/>
    <w:rsid w:val="00F0254D"/>
    <w:rsid w:val="00F02B96"/>
    <w:rsid w:val="00F02EC6"/>
    <w:rsid w:val="00F035BE"/>
    <w:rsid w:val="00F03868"/>
    <w:rsid w:val="00F03968"/>
    <w:rsid w:val="00F03E9A"/>
    <w:rsid w:val="00F04304"/>
    <w:rsid w:val="00F0458B"/>
    <w:rsid w:val="00F04766"/>
    <w:rsid w:val="00F048C1"/>
    <w:rsid w:val="00F04969"/>
    <w:rsid w:val="00F05124"/>
    <w:rsid w:val="00F052D7"/>
    <w:rsid w:val="00F0647B"/>
    <w:rsid w:val="00F06901"/>
    <w:rsid w:val="00F0695D"/>
    <w:rsid w:val="00F06DFF"/>
    <w:rsid w:val="00F070EF"/>
    <w:rsid w:val="00F07483"/>
    <w:rsid w:val="00F0759E"/>
    <w:rsid w:val="00F07A78"/>
    <w:rsid w:val="00F07EFD"/>
    <w:rsid w:val="00F1011E"/>
    <w:rsid w:val="00F1071A"/>
    <w:rsid w:val="00F118A3"/>
    <w:rsid w:val="00F11B0D"/>
    <w:rsid w:val="00F11B14"/>
    <w:rsid w:val="00F11C03"/>
    <w:rsid w:val="00F125BC"/>
    <w:rsid w:val="00F1300A"/>
    <w:rsid w:val="00F130A7"/>
    <w:rsid w:val="00F1315E"/>
    <w:rsid w:val="00F133AA"/>
    <w:rsid w:val="00F1340C"/>
    <w:rsid w:val="00F1341B"/>
    <w:rsid w:val="00F13A7D"/>
    <w:rsid w:val="00F13D25"/>
    <w:rsid w:val="00F13D51"/>
    <w:rsid w:val="00F14133"/>
    <w:rsid w:val="00F14E13"/>
    <w:rsid w:val="00F151E2"/>
    <w:rsid w:val="00F152B5"/>
    <w:rsid w:val="00F153F5"/>
    <w:rsid w:val="00F15BF4"/>
    <w:rsid w:val="00F160D9"/>
    <w:rsid w:val="00F16206"/>
    <w:rsid w:val="00F1667C"/>
    <w:rsid w:val="00F166FD"/>
    <w:rsid w:val="00F16D68"/>
    <w:rsid w:val="00F170DF"/>
    <w:rsid w:val="00F17A8B"/>
    <w:rsid w:val="00F17E8D"/>
    <w:rsid w:val="00F202E1"/>
    <w:rsid w:val="00F2119E"/>
    <w:rsid w:val="00F213E2"/>
    <w:rsid w:val="00F214F6"/>
    <w:rsid w:val="00F21676"/>
    <w:rsid w:val="00F2196B"/>
    <w:rsid w:val="00F219AE"/>
    <w:rsid w:val="00F21B9B"/>
    <w:rsid w:val="00F21E1A"/>
    <w:rsid w:val="00F22A59"/>
    <w:rsid w:val="00F23313"/>
    <w:rsid w:val="00F23498"/>
    <w:rsid w:val="00F23C1C"/>
    <w:rsid w:val="00F24138"/>
    <w:rsid w:val="00F24BB5"/>
    <w:rsid w:val="00F24EF8"/>
    <w:rsid w:val="00F25BFD"/>
    <w:rsid w:val="00F2610F"/>
    <w:rsid w:val="00F271A6"/>
    <w:rsid w:val="00F27275"/>
    <w:rsid w:val="00F2744B"/>
    <w:rsid w:val="00F275D8"/>
    <w:rsid w:val="00F27942"/>
    <w:rsid w:val="00F30313"/>
    <w:rsid w:val="00F30951"/>
    <w:rsid w:val="00F30B47"/>
    <w:rsid w:val="00F30E45"/>
    <w:rsid w:val="00F3138A"/>
    <w:rsid w:val="00F3229A"/>
    <w:rsid w:val="00F3246A"/>
    <w:rsid w:val="00F32A87"/>
    <w:rsid w:val="00F333B2"/>
    <w:rsid w:val="00F33A63"/>
    <w:rsid w:val="00F33DDF"/>
    <w:rsid w:val="00F3410A"/>
    <w:rsid w:val="00F341C6"/>
    <w:rsid w:val="00F344FC"/>
    <w:rsid w:val="00F35655"/>
    <w:rsid w:val="00F356E5"/>
    <w:rsid w:val="00F3582D"/>
    <w:rsid w:val="00F36746"/>
    <w:rsid w:val="00F36C76"/>
    <w:rsid w:val="00F36E44"/>
    <w:rsid w:val="00F370B1"/>
    <w:rsid w:val="00F37B65"/>
    <w:rsid w:val="00F37EE9"/>
    <w:rsid w:val="00F40A12"/>
    <w:rsid w:val="00F40B51"/>
    <w:rsid w:val="00F40E60"/>
    <w:rsid w:val="00F412DC"/>
    <w:rsid w:val="00F41501"/>
    <w:rsid w:val="00F4179F"/>
    <w:rsid w:val="00F421F1"/>
    <w:rsid w:val="00F42648"/>
    <w:rsid w:val="00F428A4"/>
    <w:rsid w:val="00F4386D"/>
    <w:rsid w:val="00F43D26"/>
    <w:rsid w:val="00F44DD3"/>
    <w:rsid w:val="00F45BF6"/>
    <w:rsid w:val="00F45C4E"/>
    <w:rsid w:val="00F462CE"/>
    <w:rsid w:val="00F4644D"/>
    <w:rsid w:val="00F46BC3"/>
    <w:rsid w:val="00F47ADF"/>
    <w:rsid w:val="00F5045D"/>
    <w:rsid w:val="00F508B5"/>
    <w:rsid w:val="00F516CB"/>
    <w:rsid w:val="00F51AA4"/>
    <w:rsid w:val="00F51D0A"/>
    <w:rsid w:val="00F523F9"/>
    <w:rsid w:val="00F5250D"/>
    <w:rsid w:val="00F5264D"/>
    <w:rsid w:val="00F535D4"/>
    <w:rsid w:val="00F53B48"/>
    <w:rsid w:val="00F53F29"/>
    <w:rsid w:val="00F53FFD"/>
    <w:rsid w:val="00F544A3"/>
    <w:rsid w:val="00F54726"/>
    <w:rsid w:val="00F54AAF"/>
    <w:rsid w:val="00F555C7"/>
    <w:rsid w:val="00F55DC3"/>
    <w:rsid w:val="00F55DCF"/>
    <w:rsid w:val="00F56FE5"/>
    <w:rsid w:val="00F5726B"/>
    <w:rsid w:val="00F578BF"/>
    <w:rsid w:val="00F57971"/>
    <w:rsid w:val="00F57A9D"/>
    <w:rsid w:val="00F57B73"/>
    <w:rsid w:val="00F60EA8"/>
    <w:rsid w:val="00F60EC6"/>
    <w:rsid w:val="00F613A3"/>
    <w:rsid w:val="00F61422"/>
    <w:rsid w:val="00F62770"/>
    <w:rsid w:val="00F627A0"/>
    <w:rsid w:val="00F62A6F"/>
    <w:rsid w:val="00F62A77"/>
    <w:rsid w:val="00F62ACF"/>
    <w:rsid w:val="00F62E5B"/>
    <w:rsid w:val="00F6387E"/>
    <w:rsid w:val="00F63FE4"/>
    <w:rsid w:val="00F6443E"/>
    <w:rsid w:val="00F6486A"/>
    <w:rsid w:val="00F64A04"/>
    <w:rsid w:val="00F64A88"/>
    <w:rsid w:val="00F64C3E"/>
    <w:rsid w:val="00F65938"/>
    <w:rsid w:val="00F65BBE"/>
    <w:rsid w:val="00F65D81"/>
    <w:rsid w:val="00F6671A"/>
    <w:rsid w:val="00F66A0D"/>
    <w:rsid w:val="00F66BB8"/>
    <w:rsid w:val="00F66E18"/>
    <w:rsid w:val="00F66FCD"/>
    <w:rsid w:val="00F674B4"/>
    <w:rsid w:val="00F67891"/>
    <w:rsid w:val="00F67BD7"/>
    <w:rsid w:val="00F67D8C"/>
    <w:rsid w:val="00F67FBD"/>
    <w:rsid w:val="00F704A1"/>
    <w:rsid w:val="00F704D8"/>
    <w:rsid w:val="00F70835"/>
    <w:rsid w:val="00F70839"/>
    <w:rsid w:val="00F709DF"/>
    <w:rsid w:val="00F70A48"/>
    <w:rsid w:val="00F70B3E"/>
    <w:rsid w:val="00F719CD"/>
    <w:rsid w:val="00F71E25"/>
    <w:rsid w:val="00F7237E"/>
    <w:rsid w:val="00F72FB3"/>
    <w:rsid w:val="00F73033"/>
    <w:rsid w:val="00F735F8"/>
    <w:rsid w:val="00F73C49"/>
    <w:rsid w:val="00F73C6D"/>
    <w:rsid w:val="00F73F14"/>
    <w:rsid w:val="00F74257"/>
    <w:rsid w:val="00F74D5B"/>
    <w:rsid w:val="00F754A9"/>
    <w:rsid w:val="00F75670"/>
    <w:rsid w:val="00F75A1C"/>
    <w:rsid w:val="00F75BA5"/>
    <w:rsid w:val="00F7776D"/>
    <w:rsid w:val="00F77A2C"/>
    <w:rsid w:val="00F77AF3"/>
    <w:rsid w:val="00F77B1E"/>
    <w:rsid w:val="00F77B61"/>
    <w:rsid w:val="00F801AE"/>
    <w:rsid w:val="00F80604"/>
    <w:rsid w:val="00F807FA"/>
    <w:rsid w:val="00F80A34"/>
    <w:rsid w:val="00F80EB7"/>
    <w:rsid w:val="00F80F9B"/>
    <w:rsid w:val="00F81460"/>
    <w:rsid w:val="00F8153D"/>
    <w:rsid w:val="00F81E8E"/>
    <w:rsid w:val="00F81FB4"/>
    <w:rsid w:val="00F821A3"/>
    <w:rsid w:val="00F82302"/>
    <w:rsid w:val="00F82AD7"/>
    <w:rsid w:val="00F82FB5"/>
    <w:rsid w:val="00F836A3"/>
    <w:rsid w:val="00F83A0D"/>
    <w:rsid w:val="00F83EA5"/>
    <w:rsid w:val="00F83EC4"/>
    <w:rsid w:val="00F84878"/>
    <w:rsid w:val="00F8499F"/>
    <w:rsid w:val="00F84E70"/>
    <w:rsid w:val="00F850C5"/>
    <w:rsid w:val="00F851B0"/>
    <w:rsid w:val="00F853C7"/>
    <w:rsid w:val="00F86852"/>
    <w:rsid w:val="00F86B44"/>
    <w:rsid w:val="00F87339"/>
    <w:rsid w:val="00F90050"/>
    <w:rsid w:val="00F90336"/>
    <w:rsid w:val="00F9036D"/>
    <w:rsid w:val="00F90815"/>
    <w:rsid w:val="00F909E4"/>
    <w:rsid w:val="00F90D14"/>
    <w:rsid w:val="00F91533"/>
    <w:rsid w:val="00F9165C"/>
    <w:rsid w:val="00F91E34"/>
    <w:rsid w:val="00F922B5"/>
    <w:rsid w:val="00F9244C"/>
    <w:rsid w:val="00F927E6"/>
    <w:rsid w:val="00F92D3A"/>
    <w:rsid w:val="00F9314A"/>
    <w:rsid w:val="00F9338F"/>
    <w:rsid w:val="00F93432"/>
    <w:rsid w:val="00F938BF"/>
    <w:rsid w:val="00F938E5"/>
    <w:rsid w:val="00F9425B"/>
    <w:rsid w:val="00F9429B"/>
    <w:rsid w:val="00F94454"/>
    <w:rsid w:val="00F947AC"/>
    <w:rsid w:val="00F94C8A"/>
    <w:rsid w:val="00F956BC"/>
    <w:rsid w:val="00F95EBA"/>
    <w:rsid w:val="00F96271"/>
    <w:rsid w:val="00F96364"/>
    <w:rsid w:val="00F965BB"/>
    <w:rsid w:val="00F9688C"/>
    <w:rsid w:val="00F96A6E"/>
    <w:rsid w:val="00F96A7E"/>
    <w:rsid w:val="00F9714C"/>
    <w:rsid w:val="00F97183"/>
    <w:rsid w:val="00F971D9"/>
    <w:rsid w:val="00F97276"/>
    <w:rsid w:val="00F97287"/>
    <w:rsid w:val="00F976B6"/>
    <w:rsid w:val="00F977C4"/>
    <w:rsid w:val="00F97EFC"/>
    <w:rsid w:val="00FA003A"/>
    <w:rsid w:val="00FA0B5D"/>
    <w:rsid w:val="00FA120D"/>
    <w:rsid w:val="00FA124F"/>
    <w:rsid w:val="00FA1739"/>
    <w:rsid w:val="00FA1C52"/>
    <w:rsid w:val="00FA1DBF"/>
    <w:rsid w:val="00FA2AF9"/>
    <w:rsid w:val="00FA2B73"/>
    <w:rsid w:val="00FA3860"/>
    <w:rsid w:val="00FA3E54"/>
    <w:rsid w:val="00FA4201"/>
    <w:rsid w:val="00FA43CA"/>
    <w:rsid w:val="00FA46AB"/>
    <w:rsid w:val="00FA480E"/>
    <w:rsid w:val="00FA55C9"/>
    <w:rsid w:val="00FA57E1"/>
    <w:rsid w:val="00FA62A8"/>
    <w:rsid w:val="00FA6336"/>
    <w:rsid w:val="00FA67C1"/>
    <w:rsid w:val="00FA6BD4"/>
    <w:rsid w:val="00FA72D8"/>
    <w:rsid w:val="00FB0881"/>
    <w:rsid w:val="00FB1440"/>
    <w:rsid w:val="00FB20F3"/>
    <w:rsid w:val="00FB2371"/>
    <w:rsid w:val="00FB2555"/>
    <w:rsid w:val="00FB2BC2"/>
    <w:rsid w:val="00FB3069"/>
    <w:rsid w:val="00FB3169"/>
    <w:rsid w:val="00FB3A5C"/>
    <w:rsid w:val="00FB4050"/>
    <w:rsid w:val="00FB460E"/>
    <w:rsid w:val="00FB4C58"/>
    <w:rsid w:val="00FB4C84"/>
    <w:rsid w:val="00FB4CFE"/>
    <w:rsid w:val="00FB51DC"/>
    <w:rsid w:val="00FB6528"/>
    <w:rsid w:val="00FB6AD2"/>
    <w:rsid w:val="00FB6B29"/>
    <w:rsid w:val="00FB6B6A"/>
    <w:rsid w:val="00FB70E7"/>
    <w:rsid w:val="00FB74BB"/>
    <w:rsid w:val="00FB7670"/>
    <w:rsid w:val="00FB7991"/>
    <w:rsid w:val="00FC0982"/>
    <w:rsid w:val="00FC0C9A"/>
    <w:rsid w:val="00FC16A6"/>
    <w:rsid w:val="00FC2033"/>
    <w:rsid w:val="00FC2367"/>
    <w:rsid w:val="00FC2D35"/>
    <w:rsid w:val="00FC3E9E"/>
    <w:rsid w:val="00FC4018"/>
    <w:rsid w:val="00FC419B"/>
    <w:rsid w:val="00FC58EF"/>
    <w:rsid w:val="00FC5DF9"/>
    <w:rsid w:val="00FC6128"/>
    <w:rsid w:val="00FC62AF"/>
    <w:rsid w:val="00FC65F3"/>
    <w:rsid w:val="00FC6E96"/>
    <w:rsid w:val="00FC7C86"/>
    <w:rsid w:val="00FD0010"/>
    <w:rsid w:val="00FD0900"/>
    <w:rsid w:val="00FD0ADF"/>
    <w:rsid w:val="00FD0E7D"/>
    <w:rsid w:val="00FD1205"/>
    <w:rsid w:val="00FD1A72"/>
    <w:rsid w:val="00FD20F1"/>
    <w:rsid w:val="00FD2307"/>
    <w:rsid w:val="00FD2664"/>
    <w:rsid w:val="00FD33DF"/>
    <w:rsid w:val="00FD3406"/>
    <w:rsid w:val="00FD3676"/>
    <w:rsid w:val="00FD3992"/>
    <w:rsid w:val="00FD3C3D"/>
    <w:rsid w:val="00FD3D22"/>
    <w:rsid w:val="00FD42AF"/>
    <w:rsid w:val="00FD52E0"/>
    <w:rsid w:val="00FD56BE"/>
    <w:rsid w:val="00FD5815"/>
    <w:rsid w:val="00FD58CA"/>
    <w:rsid w:val="00FD58D1"/>
    <w:rsid w:val="00FD62E1"/>
    <w:rsid w:val="00FD669C"/>
    <w:rsid w:val="00FD688A"/>
    <w:rsid w:val="00FD6E66"/>
    <w:rsid w:val="00FD711F"/>
    <w:rsid w:val="00FD7BAB"/>
    <w:rsid w:val="00FE072C"/>
    <w:rsid w:val="00FE0ED1"/>
    <w:rsid w:val="00FE0FC3"/>
    <w:rsid w:val="00FE1112"/>
    <w:rsid w:val="00FE1877"/>
    <w:rsid w:val="00FE23D6"/>
    <w:rsid w:val="00FE2680"/>
    <w:rsid w:val="00FE2849"/>
    <w:rsid w:val="00FE2B18"/>
    <w:rsid w:val="00FE2E03"/>
    <w:rsid w:val="00FE3210"/>
    <w:rsid w:val="00FE39D7"/>
    <w:rsid w:val="00FE3BF8"/>
    <w:rsid w:val="00FE416B"/>
    <w:rsid w:val="00FE4667"/>
    <w:rsid w:val="00FE489F"/>
    <w:rsid w:val="00FE4C89"/>
    <w:rsid w:val="00FE5334"/>
    <w:rsid w:val="00FE59C5"/>
    <w:rsid w:val="00FE5A24"/>
    <w:rsid w:val="00FE5BA7"/>
    <w:rsid w:val="00FE658A"/>
    <w:rsid w:val="00FE6809"/>
    <w:rsid w:val="00FE6E64"/>
    <w:rsid w:val="00FE73E9"/>
    <w:rsid w:val="00FF02A2"/>
    <w:rsid w:val="00FF02E9"/>
    <w:rsid w:val="00FF03ED"/>
    <w:rsid w:val="00FF06F0"/>
    <w:rsid w:val="00FF0BD8"/>
    <w:rsid w:val="00FF0D88"/>
    <w:rsid w:val="00FF1316"/>
    <w:rsid w:val="00FF140D"/>
    <w:rsid w:val="00FF1549"/>
    <w:rsid w:val="00FF274E"/>
    <w:rsid w:val="00FF2FE3"/>
    <w:rsid w:val="00FF3C76"/>
    <w:rsid w:val="00FF3D3A"/>
    <w:rsid w:val="00FF4102"/>
    <w:rsid w:val="00FF46DE"/>
    <w:rsid w:val="00FF4A1E"/>
    <w:rsid w:val="00FF57ED"/>
    <w:rsid w:val="00FF690A"/>
    <w:rsid w:val="00FF6929"/>
    <w:rsid w:val="00FF74F4"/>
    <w:rsid w:val="00FF7BAE"/>
    <w:rsid w:val="00FF7CEF"/>
    <w:rsid w:val="00FF7EE6"/>
    <w:rsid w:val="0CB3D6F9"/>
    <w:rsid w:val="15EFD64B"/>
    <w:rsid w:val="2C2E51F8"/>
    <w:rsid w:val="346977BE"/>
    <w:rsid w:val="402A19F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B88E182"/>
  <w15:docId w15:val="{70A59570-3102-4DB3-9415-9C836B85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uiPriority="9"/>
    <w:lsdException w:name="heading 4" w:uiPriority="0"/>
    <w:lsdException w:name="heading 5" w:uiPriority="0"/>
    <w:lsdException w:name="heading 6" w:semiHidden="1" w:uiPriority="9" w:unhideWhenUsed="1"/>
    <w:lsdException w:name="heading 7" w:semiHidden="1" w:uiPriority="9" w:unhideWhenUsed="1"/>
    <w:lsdException w:name="heading 8" w:semiHidden="1" w:uiPriority="9"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705"/>
    <w:pPr>
      <w:jc w:val="both"/>
    </w:pPr>
    <w:rPr>
      <w:rFonts w:ascii="Bookman Old Style" w:hAnsi="Bookman Old Style" w:cs="Arial"/>
      <w:lang w:val="es-CO"/>
    </w:rPr>
  </w:style>
  <w:style w:type="paragraph" w:styleId="Ttulo1">
    <w:name w:val="heading 1"/>
    <w:aliases w:val="ANEXO"/>
    <w:basedOn w:val="Prrafodelista"/>
    <w:next w:val="Normal"/>
    <w:link w:val="Ttulo1Car"/>
    <w:qFormat/>
    <w:rsid w:val="00221D16"/>
    <w:pPr>
      <w:keepNext/>
      <w:numPr>
        <w:numId w:val="2"/>
      </w:numPr>
      <w:spacing w:before="240" w:after="360"/>
      <w:jc w:val="center"/>
      <w:outlineLvl w:val="0"/>
    </w:pPr>
    <w:rPr>
      <w:b/>
      <w:caps/>
      <w:spacing w:val="4"/>
      <w:szCs w:val="24"/>
      <w:lang w:val="es-ES"/>
    </w:rPr>
  </w:style>
  <w:style w:type="paragraph" w:styleId="Ttulo2">
    <w:name w:val="heading 2"/>
    <w:basedOn w:val="Ttulo1"/>
    <w:next w:val="Normal"/>
    <w:link w:val="Ttulo2Car"/>
    <w:autoRedefine/>
    <w:rsid w:val="00221D16"/>
    <w:pPr>
      <w:numPr>
        <w:ilvl w:val="1"/>
      </w:numPr>
      <w:ind w:left="578" w:hanging="578"/>
      <w:jc w:val="left"/>
      <w:outlineLvl w:val="1"/>
    </w:pPr>
    <w:rPr>
      <w:caps w:val="0"/>
    </w:rPr>
  </w:style>
  <w:style w:type="paragraph" w:styleId="Ttulo3">
    <w:name w:val="heading 3"/>
    <w:basedOn w:val="Ttulo2"/>
    <w:next w:val="Normal"/>
    <w:link w:val="Ttulo3Car"/>
    <w:uiPriority w:val="9"/>
    <w:rsid w:val="00E213CE"/>
    <w:pPr>
      <w:numPr>
        <w:ilvl w:val="2"/>
      </w:numPr>
      <w:ind w:left="993" w:hanging="993"/>
      <w:outlineLvl w:val="2"/>
    </w:pPr>
  </w:style>
  <w:style w:type="paragraph" w:styleId="Ttulo4">
    <w:name w:val="heading 4"/>
    <w:basedOn w:val="Normal"/>
    <w:next w:val="Normal"/>
    <w:link w:val="Ttulo4Car"/>
    <w:rsid w:val="003101DA"/>
    <w:pPr>
      <w:keepNext/>
      <w:numPr>
        <w:ilvl w:val="3"/>
        <w:numId w:val="2"/>
      </w:numPr>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rsid w:val="003101DA"/>
    <w:pPr>
      <w:keepNext/>
      <w:numPr>
        <w:ilvl w:val="4"/>
        <w:numId w:val="2"/>
      </w:numPr>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iPriority w:val="9"/>
    <w:unhideWhenUsed/>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rsid w:val="006E56AD"/>
    <w:pPr>
      <w:keepNext/>
      <w:numPr>
        <w:ilvl w:val="6"/>
        <w:numId w:val="2"/>
      </w:numPr>
      <w:spacing w:before="160" w:after="160"/>
      <w:jc w:val="center"/>
      <w:outlineLvl w:val="6"/>
    </w:pPr>
    <w:rPr>
      <w:rFonts w:ascii="Arial" w:hAnsi="Arial"/>
      <w:b/>
      <w:sz w:val="22"/>
      <w:szCs w:val="20"/>
    </w:rPr>
  </w:style>
  <w:style w:type="paragraph" w:styleId="Ttulo8">
    <w:name w:val="heading 8"/>
    <w:basedOn w:val="Normal"/>
    <w:next w:val="Normal"/>
    <w:link w:val="Ttulo8Car"/>
    <w:uiPriority w:val="9"/>
    <w:rsid w:val="006E56AD"/>
    <w:pPr>
      <w:keepNext/>
      <w:numPr>
        <w:ilvl w:val="7"/>
        <w:numId w:val="2"/>
      </w:numPr>
      <w:spacing w:before="160" w:after="160"/>
      <w:jc w:val="center"/>
      <w:outlineLvl w:val="7"/>
    </w:pPr>
    <w:rPr>
      <w:rFonts w:ascii="Arial" w:hAnsi="Arial"/>
      <w:b/>
      <w:sz w:val="22"/>
      <w:szCs w:val="20"/>
    </w:rPr>
  </w:style>
  <w:style w:type="paragraph" w:styleId="Ttulo9">
    <w:name w:val="heading 9"/>
    <w:basedOn w:val="Normal"/>
    <w:next w:val="Normal"/>
    <w:link w:val="Ttulo9Car"/>
    <w:rsid w:val="006E56AD"/>
    <w:pPr>
      <w:keepNext/>
      <w:numPr>
        <w:ilvl w:val="8"/>
        <w:numId w:val="2"/>
      </w:numPr>
      <w:spacing w:before="160" w:after="160"/>
      <w:outlineLvl w:val="8"/>
    </w:pPr>
    <w:rPr>
      <w:rFonts w:ascii="Arial" w:hAnsi="Arial"/>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NEXO Car"/>
    <w:basedOn w:val="Fuentedeprrafopredeter"/>
    <w:link w:val="Ttulo1"/>
    <w:rsid w:val="00221D16"/>
    <w:rPr>
      <w:rFonts w:ascii="Bookman Old Style" w:hAnsi="Bookman Old Style" w:cs="Arial"/>
      <w:b/>
      <w:caps/>
      <w:spacing w:val="4"/>
    </w:rPr>
  </w:style>
  <w:style w:type="character" w:customStyle="1" w:styleId="Ttulo2Car">
    <w:name w:val="Título 2 Car"/>
    <w:basedOn w:val="Fuentedeprrafopredeter"/>
    <w:link w:val="Ttulo2"/>
    <w:rsid w:val="00221D16"/>
    <w:rPr>
      <w:rFonts w:ascii="Bookman Old Style" w:hAnsi="Bookman Old Style" w:cs="Arial"/>
      <w:b/>
      <w:spacing w:val="4"/>
    </w:rPr>
  </w:style>
  <w:style w:type="character" w:customStyle="1" w:styleId="Ttulo3Car">
    <w:name w:val="Título 3 Car"/>
    <w:basedOn w:val="Fuentedeprrafopredeter"/>
    <w:link w:val="Ttulo3"/>
    <w:uiPriority w:val="9"/>
    <w:rsid w:val="00E213CE"/>
    <w:rPr>
      <w:rFonts w:ascii="Bookman Old Style" w:hAnsi="Bookman Old Style" w:cs="Arial"/>
      <w:b/>
      <w:spacing w:val="4"/>
    </w:rPr>
  </w:style>
  <w:style w:type="character" w:customStyle="1" w:styleId="Ttulo4Car">
    <w:name w:val="Título 4 Car"/>
    <w:basedOn w:val="Fuentedeprrafopredeter"/>
    <w:link w:val="Ttulo4"/>
    <w:rsid w:val="00141013"/>
    <w:rPr>
      <w:rFonts w:ascii="Arial" w:hAnsi="Arial" w:cs="Arial"/>
      <w:b/>
      <w:snapToGrid w:val="0"/>
      <w:color w:val="000000"/>
      <w:spacing w:val="20"/>
      <w:sz w:val="20"/>
      <w:szCs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szCs w:val="20"/>
      <w:lang w:val="es-ES_tradnl"/>
    </w:rPr>
  </w:style>
  <w:style w:type="character" w:customStyle="1" w:styleId="Ttulo6Car">
    <w:name w:val="Título 6 Car"/>
    <w:basedOn w:val="Fuentedeprrafopredeter"/>
    <w:link w:val="Ttulo6"/>
    <w:uiPriority w:val="9"/>
    <w:rsid w:val="00795BFB"/>
    <w:rPr>
      <w:rFonts w:ascii="Calibri" w:hAnsi="Calibri" w:cs="Arial"/>
      <w:b/>
      <w:bCs/>
      <w:sz w:val="22"/>
      <w:szCs w:val="22"/>
      <w:lang w:val="es-CO"/>
    </w:rPr>
  </w:style>
  <w:style w:type="character" w:customStyle="1" w:styleId="Ttulo7Car">
    <w:name w:val="Título 7 Car"/>
    <w:basedOn w:val="Fuentedeprrafopredeter"/>
    <w:link w:val="Ttulo7"/>
    <w:uiPriority w:val="9"/>
    <w:rsid w:val="006E56AD"/>
    <w:rPr>
      <w:rFonts w:ascii="Arial" w:hAnsi="Arial" w:cs="Arial"/>
      <w:b/>
      <w:sz w:val="22"/>
      <w:szCs w:val="20"/>
      <w:lang w:val="es-CO"/>
    </w:rPr>
  </w:style>
  <w:style w:type="character" w:customStyle="1" w:styleId="Ttulo8Car">
    <w:name w:val="Título 8 Car"/>
    <w:basedOn w:val="Fuentedeprrafopredeter"/>
    <w:link w:val="Ttulo8"/>
    <w:uiPriority w:val="9"/>
    <w:rsid w:val="006E56AD"/>
    <w:rPr>
      <w:rFonts w:ascii="Arial" w:hAnsi="Arial" w:cs="Arial"/>
      <w:b/>
      <w:sz w:val="22"/>
      <w:szCs w:val="20"/>
      <w:lang w:val="es-CO"/>
    </w:rPr>
  </w:style>
  <w:style w:type="character" w:customStyle="1" w:styleId="Ttulo9Car">
    <w:name w:val="Título 9 Car"/>
    <w:basedOn w:val="Fuentedeprrafopredeter"/>
    <w:link w:val="Ttulo9"/>
    <w:rsid w:val="006E56AD"/>
    <w:rPr>
      <w:rFonts w:ascii="Arial" w:hAnsi="Arial" w:cs="Arial"/>
      <w:sz w:val="22"/>
      <w:szCs w:val="20"/>
      <w:lang w:val="es-CO"/>
    </w:rPr>
  </w:style>
  <w:style w:type="paragraph" w:styleId="Encabezado">
    <w:name w:val="header"/>
    <w:basedOn w:val="Normal"/>
    <w:link w:val="EncabezadoCar"/>
    <w:rsid w:val="003101DA"/>
    <w:pPr>
      <w:tabs>
        <w:tab w:val="center" w:pos="4252"/>
        <w:tab w:val="right" w:pos="8504"/>
      </w:tabs>
    </w:pPr>
    <w:rPr>
      <w:rFonts w:ascii="CG Times" w:hAnsi="CG Times"/>
      <w:szCs w:val="20"/>
    </w:rPr>
  </w:style>
  <w:style w:type="character" w:customStyle="1" w:styleId="EncabezadoCar">
    <w:name w:val="Encabezado Car"/>
    <w:basedOn w:val="Fuentedeprrafopredeter"/>
    <w:link w:val="Encabezado"/>
    <w:rsid w:val="00593C4F"/>
    <w:rPr>
      <w:rFonts w:ascii="CG Times" w:hAnsi="CG Times"/>
      <w:sz w:val="24"/>
      <w:lang w:val="es-CO"/>
    </w:rPr>
  </w:style>
  <w:style w:type="paragraph" w:styleId="Piedepgina">
    <w:name w:val="footer"/>
    <w:basedOn w:val="Normal"/>
    <w:link w:val="PiedepginaCar"/>
    <w:rsid w:val="003101DA"/>
    <w:pPr>
      <w:tabs>
        <w:tab w:val="center" w:pos="4252"/>
        <w:tab w:val="right" w:pos="8504"/>
      </w:tabs>
    </w:pPr>
  </w:style>
  <w:style w:type="character" w:customStyle="1" w:styleId="PiedepginaCar">
    <w:name w:val="Pie de página Car"/>
    <w:basedOn w:val="Fuentedeprrafopredeter"/>
    <w:link w:val="Piedepgina"/>
    <w:rsid w:val="006E56AD"/>
    <w:rPr>
      <w:sz w:val="24"/>
      <w:szCs w:val="24"/>
    </w:rPr>
  </w:style>
  <w:style w:type="paragraph" w:customStyle="1" w:styleId="Estilo1">
    <w:name w:val="Estilo1"/>
    <w:basedOn w:val="Normal"/>
    <w:rsid w:val="003101DA"/>
    <w:pPr>
      <w:shd w:val="clear" w:color="auto" w:fill="C0C0C0"/>
      <w:jc w:val="center"/>
    </w:pPr>
    <w:rPr>
      <w:rFonts w:ascii="Comic Sans MS" w:hAnsi="Comic Sans MS"/>
      <w:color w:val="0000FF"/>
      <w:sz w:val="36"/>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b/>
      <w:bCs/>
    </w:rPr>
  </w:style>
  <w:style w:type="character" w:customStyle="1" w:styleId="TextoindependienteCar">
    <w:name w:val="Texto independiente Car"/>
    <w:basedOn w:val="Fuentedeprrafopredeter"/>
    <w:link w:val="Textoindependiente"/>
    <w:rsid w:val="00141013"/>
    <w:rPr>
      <w:rFonts w:ascii="Arial" w:hAnsi="Arial" w:cs="Arial"/>
      <w:b/>
      <w:bCs/>
      <w:sz w:val="24"/>
      <w:szCs w:val="24"/>
    </w:rPr>
  </w:style>
  <w:style w:type="paragraph" w:styleId="Textoindependiente3">
    <w:name w:val="Body Text 3"/>
    <w:basedOn w:val="Normal"/>
    <w:link w:val="Textoindependiente3Car"/>
    <w:uiPriority w:val="99"/>
    <w:rsid w:val="003101DA"/>
    <w:pPr>
      <w:jc w:val="center"/>
      <w:outlineLvl w:val="0"/>
    </w:pPr>
    <w:rPr>
      <w:rFonts w:ascii="Arial" w:hAnsi="Arial"/>
      <w:b/>
      <w:bCs/>
      <w:spacing w:val="-3"/>
    </w:rPr>
  </w:style>
  <w:style w:type="character" w:customStyle="1" w:styleId="Textoindependiente3Car">
    <w:name w:val="Texto independiente 3 Car"/>
    <w:basedOn w:val="Fuentedeprrafopredeter"/>
    <w:link w:val="Textoindependiente3"/>
    <w:uiPriority w:val="99"/>
    <w:rsid w:val="00141013"/>
    <w:rPr>
      <w:rFonts w:ascii="Arial" w:hAnsi="Arial" w:cs="Arial"/>
      <w:b/>
      <w:bCs/>
      <w:spacing w:val="-3"/>
      <w:sz w:val="24"/>
      <w:szCs w:val="24"/>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rsid w:val="00725FA4"/>
    <w:rPr>
      <w:rFonts w:ascii="Tahoma" w:hAnsi="Tahoma" w:cs="Tahoma"/>
      <w:sz w:val="16"/>
      <w:szCs w:val="16"/>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BF2BB4"/>
    <w:pPr>
      <w:numPr>
        <w:numId w:val="1"/>
      </w:numPr>
    </w:pPr>
    <w:rPr>
      <w:szCs w:val="20"/>
    </w:rPr>
  </w:style>
  <w:style w:type="character" w:customStyle="1" w:styleId="PrrafodelistaCar">
    <w:name w:val="Párrafo de lista Car"/>
    <w:aliases w:val="Párrafo de lista1 Car"/>
    <w:basedOn w:val="Fuentedeprrafopredeter"/>
    <w:link w:val="Prrafodelista"/>
    <w:uiPriority w:val="34"/>
    <w:rsid w:val="00BF2BB4"/>
    <w:rPr>
      <w:rFonts w:ascii="Bookman Old Style" w:hAnsi="Bookman Old Style" w:cs="Arial"/>
      <w:szCs w:val="20"/>
      <w:lang w:val="es-CO"/>
    </w:rPr>
  </w:style>
  <w:style w:type="paragraph" w:styleId="TDC1">
    <w:name w:val="toc 1"/>
    <w:basedOn w:val="Normal"/>
    <w:next w:val="Normal"/>
    <w:autoRedefine/>
    <w:uiPriority w:val="39"/>
    <w:rsid w:val="00CC6DC6"/>
    <w:pPr>
      <w:tabs>
        <w:tab w:val="left" w:pos="480"/>
        <w:tab w:val="right" w:leader="dot" w:pos="9214"/>
      </w:tabs>
      <w:spacing w:before="120"/>
      <w:ind w:left="1418" w:right="142" w:hanging="1418"/>
    </w:pPr>
    <w:rPr>
      <w:b/>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basedOn w:val="Fuentedeprrafopredeter"/>
    <w:link w:val="Textoindependiente2"/>
    <w:semiHidden/>
    <w:rsid w:val="00006AE2"/>
    <w:rPr>
      <w:sz w:val="24"/>
      <w:szCs w:val="24"/>
    </w:rPr>
  </w:style>
  <w:style w:type="paragraph" w:styleId="Descripcin">
    <w:name w:val="caption"/>
    <w:basedOn w:val="Normal"/>
    <w:next w:val="Normal"/>
    <w:link w:val="DescripcinCar"/>
    <w:qFormat/>
    <w:rsid w:val="001214EF"/>
    <w:pPr>
      <w:widowControl w:val="0"/>
      <w:adjustRightInd w:val="0"/>
      <w:spacing w:before="120" w:after="120" w:line="360" w:lineRule="atLeast"/>
      <w:jc w:val="center"/>
      <w:textAlignment w:val="baseline"/>
    </w:pPr>
  </w:style>
  <w:style w:type="character" w:customStyle="1" w:styleId="DescripcinCar">
    <w:name w:val="Descripción Car"/>
    <w:basedOn w:val="Fuentedeprrafopredeter"/>
    <w:link w:val="Descripcin"/>
    <w:rsid w:val="001214EF"/>
    <w:rPr>
      <w:rFonts w:ascii="Bookman Old Style" w:hAnsi="Bookman Old Style" w:cs="Arial"/>
      <w:sz w:val="24"/>
      <w:szCs w:val="24"/>
    </w:rPr>
  </w:style>
  <w:style w:type="paragraph" w:styleId="Sinespaciado">
    <w:name w:val="No Spacing"/>
    <w:uiPriority w:val="1"/>
    <w:rsid w:val="003A31F6"/>
    <w:rPr>
      <w:rFonts w:ascii="Calibri" w:hAnsi="Calibri" w:cs="Calibri"/>
      <w:sz w:val="22"/>
      <w:szCs w:val="22"/>
      <w:lang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rFonts w:ascii="Arial" w:hAnsi="Arial"/>
      <w:sz w:val="22"/>
      <w:szCs w:val="20"/>
    </w:rPr>
  </w:style>
  <w:style w:type="paragraph" w:customStyle="1" w:styleId="Artculo">
    <w:name w:val="Artículo"/>
    <w:basedOn w:val="Normal"/>
    <w:link w:val="ArtculoCar"/>
    <w:qFormat/>
    <w:rsid w:val="00AA380E"/>
    <w:pPr>
      <w:numPr>
        <w:numId w:val="4"/>
      </w:numPr>
      <w:spacing w:before="240" w:after="240"/>
      <w:ind w:left="360"/>
    </w:pPr>
    <w:rPr>
      <w:b/>
      <w:bCs/>
    </w:rPr>
  </w:style>
  <w:style w:type="character" w:customStyle="1" w:styleId="ArtculoCar">
    <w:name w:val="Artículo Car"/>
    <w:basedOn w:val="Fuentedeprrafopredeter"/>
    <w:link w:val="Artculo"/>
    <w:rsid w:val="00AA380E"/>
    <w:rPr>
      <w:rFonts w:ascii="Bookman Old Style" w:hAnsi="Bookman Old Style" w:cs="Arial"/>
      <w:b/>
      <w:bCs/>
      <w:lang w:val="es-CO"/>
    </w:rPr>
  </w:style>
  <w:style w:type="character" w:styleId="Hipervnculo">
    <w:name w:val="Hyperlink"/>
    <w:basedOn w:val="Fuentedeprrafopredeter"/>
    <w:uiPriority w:val="99"/>
    <w:rsid w:val="006E56AD"/>
    <w:rPr>
      <w:color w:val="0000FF"/>
      <w:u w:val="single"/>
    </w:rPr>
  </w:style>
  <w:style w:type="character" w:styleId="Hipervnculovisitado">
    <w:name w:val="FollowedHyperlink"/>
    <w:basedOn w:val="Fuentedeprrafopredeter"/>
    <w:rsid w:val="006E56AD"/>
    <w:rPr>
      <w:color w:val="800080"/>
      <w:u w:val="single"/>
    </w:rPr>
  </w:style>
  <w:style w:type="paragraph" w:styleId="Textonotapie">
    <w:name w:val="footnote text"/>
    <w:basedOn w:val="Normal"/>
    <w:link w:val="TextonotapieCar"/>
    <w:semiHidden/>
    <w:rsid w:val="006E56AD"/>
    <w:pPr>
      <w:spacing w:before="160" w:after="160"/>
    </w:pPr>
    <w:rPr>
      <w:rFonts w:ascii="Arial" w:hAnsi="Arial"/>
      <w:sz w:val="22"/>
      <w:szCs w:val="20"/>
    </w:rPr>
  </w:style>
  <w:style w:type="character" w:customStyle="1" w:styleId="TextonotapieCar">
    <w:name w:val="Texto nota pie Car"/>
    <w:basedOn w:val="Fuentedeprrafopredeter"/>
    <w:link w:val="Textonotapie"/>
    <w:semiHidden/>
    <w:rsid w:val="006E56AD"/>
    <w:rPr>
      <w:rFonts w:ascii="Arial" w:hAnsi="Arial"/>
      <w:sz w:val="22"/>
      <w:lang w:val="es-CO"/>
    </w:rPr>
  </w:style>
  <w:style w:type="character" w:styleId="Refdenotaalpie">
    <w:name w:val="footnote reference"/>
    <w:basedOn w:val="Fuentedeprrafopredeter"/>
    <w:uiPriority w:val="99"/>
    <w:semiHidden/>
    <w:rsid w:val="006E56AD"/>
    <w:rPr>
      <w:vertAlign w:val="superscript"/>
    </w:rPr>
  </w:style>
  <w:style w:type="paragraph" w:styleId="Listaconvietas">
    <w:name w:val="List Bullet"/>
    <w:basedOn w:val="Normal"/>
    <w:autoRedefine/>
    <w:rsid w:val="006E56AD"/>
    <w:pPr>
      <w:tabs>
        <w:tab w:val="num" w:pos="360"/>
      </w:tabs>
      <w:spacing w:before="160" w:after="160"/>
      <w:ind w:left="360" w:hanging="360"/>
    </w:pPr>
    <w:rPr>
      <w:rFonts w:ascii="CG Times" w:hAnsi="CG Times"/>
      <w:sz w:val="22"/>
      <w:szCs w:val="20"/>
    </w:rPr>
  </w:style>
  <w:style w:type="paragraph" w:styleId="Listaconvietas2">
    <w:name w:val="List Bullet 2"/>
    <w:basedOn w:val="Normal"/>
    <w:autoRedefine/>
    <w:semiHidden/>
    <w:rsid w:val="006E56AD"/>
    <w:pPr>
      <w:tabs>
        <w:tab w:val="num" w:pos="643"/>
      </w:tabs>
      <w:spacing w:before="160" w:after="160"/>
      <w:ind w:left="643" w:hanging="360"/>
    </w:pPr>
    <w:rPr>
      <w:rFonts w:ascii="CG Times" w:hAnsi="CG Times"/>
      <w:sz w:val="22"/>
      <w:szCs w:val="20"/>
    </w:rPr>
  </w:style>
  <w:style w:type="paragraph" w:styleId="Listaconvietas4">
    <w:name w:val="List Bullet 4"/>
    <w:basedOn w:val="Normal"/>
    <w:autoRedefine/>
    <w:semiHidden/>
    <w:rsid w:val="006E56AD"/>
    <w:pPr>
      <w:tabs>
        <w:tab w:val="num" w:pos="1209"/>
      </w:tabs>
      <w:spacing w:before="160" w:after="160"/>
      <w:ind w:left="1209" w:hanging="360"/>
    </w:pPr>
    <w:rPr>
      <w:rFonts w:ascii="CG Times" w:hAnsi="CG Times"/>
      <w:sz w:val="22"/>
      <w:szCs w:val="20"/>
    </w:rPr>
  </w:style>
  <w:style w:type="paragraph" w:styleId="Sangra2detindependiente">
    <w:name w:val="Body Text Indent 2"/>
    <w:basedOn w:val="Normal"/>
    <w:link w:val="Sangra2detindependienteCar"/>
    <w:rsid w:val="006E56AD"/>
    <w:pPr>
      <w:spacing w:before="160" w:after="160"/>
      <w:ind w:hanging="567"/>
      <w:outlineLvl w:val="0"/>
    </w:pPr>
    <w:rPr>
      <w:b/>
      <w:sz w:val="22"/>
      <w:szCs w:val="20"/>
    </w:rPr>
  </w:style>
  <w:style w:type="character" w:customStyle="1" w:styleId="Sangra2detindependienteCar">
    <w:name w:val="Sangría 2 de t. independiente Car"/>
    <w:basedOn w:val="Fuentedeprrafopredeter"/>
    <w:link w:val="Sangra2detindependiente"/>
    <w:rsid w:val="006E56AD"/>
    <w:rPr>
      <w:rFonts w:ascii="Bookman Old Style" w:hAnsi="Bookman Old Style"/>
      <w:b/>
      <w:sz w:val="22"/>
      <w:lang w:val="es-CO"/>
    </w:rPr>
  </w:style>
  <w:style w:type="paragraph" w:styleId="Sangradetextonormal">
    <w:name w:val="Body Text Indent"/>
    <w:basedOn w:val="Normal"/>
    <w:link w:val="SangradetextonormalCar"/>
    <w:rsid w:val="006E56AD"/>
    <w:pPr>
      <w:numPr>
        <w:ilvl w:val="12"/>
      </w:numPr>
      <w:tabs>
        <w:tab w:val="left" w:pos="0"/>
      </w:tabs>
      <w:spacing w:before="160" w:after="160"/>
    </w:pPr>
    <w:rPr>
      <w:rFonts w:ascii="Arial" w:hAnsi="Arial"/>
      <w:b/>
      <w:sz w:val="22"/>
      <w:szCs w:val="20"/>
    </w:rPr>
  </w:style>
  <w:style w:type="character" w:customStyle="1" w:styleId="SangradetextonormalCar">
    <w:name w:val="Sangría de texto normal Car"/>
    <w:basedOn w:val="Fuentedeprrafopredeter"/>
    <w:link w:val="Sangradetextonormal"/>
    <w:rsid w:val="006E56AD"/>
    <w:rPr>
      <w:rFonts w:ascii="Arial" w:hAnsi="Arial"/>
      <w:b/>
      <w:sz w:val="22"/>
      <w:lang w:val="es-CO"/>
    </w:rPr>
  </w:style>
  <w:style w:type="paragraph" w:styleId="TDC2">
    <w:name w:val="toc 2"/>
    <w:basedOn w:val="Normal"/>
    <w:next w:val="Normal"/>
    <w:autoRedefine/>
    <w:uiPriority w:val="39"/>
    <w:rsid w:val="00B0528E"/>
    <w:pPr>
      <w:tabs>
        <w:tab w:val="left" w:pos="1418"/>
        <w:tab w:val="right" w:leader="dot" w:pos="9214"/>
      </w:tabs>
      <w:spacing w:before="160"/>
      <w:ind w:left="1418" w:hanging="709"/>
      <w:jc w:val="left"/>
    </w:pPr>
    <w:rPr>
      <w:bCs/>
      <w:noProof/>
      <w:szCs w:val="20"/>
    </w:rPr>
  </w:style>
  <w:style w:type="paragraph" w:styleId="TDC3">
    <w:name w:val="toc 3"/>
    <w:basedOn w:val="Normal"/>
    <w:next w:val="Normal"/>
    <w:autoRedefine/>
    <w:uiPriority w:val="39"/>
    <w:rsid w:val="00CC6DC6"/>
    <w:pPr>
      <w:tabs>
        <w:tab w:val="left" w:pos="2126"/>
        <w:tab w:val="right" w:leader="dot" w:pos="9214"/>
      </w:tabs>
      <w:spacing w:before="100"/>
      <w:ind w:left="1418"/>
    </w:pPr>
    <w:rPr>
      <w:szCs w:val="20"/>
    </w:rPr>
  </w:style>
  <w:style w:type="paragraph" w:styleId="TDC4">
    <w:name w:val="toc 4"/>
    <w:basedOn w:val="Normal"/>
    <w:next w:val="Normal"/>
    <w:autoRedefine/>
    <w:uiPriority w:val="39"/>
    <w:rsid w:val="006E56AD"/>
    <w:pPr>
      <w:ind w:left="480"/>
    </w:pPr>
    <w:rPr>
      <w:rFonts w:ascii="Calibri" w:hAnsi="Calibri"/>
      <w:sz w:val="20"/>
      <w:szCs w:val="20"/>
    </w:rPr>
  </w:style>
  <w:style w:type="paragraph" w:styleId="TDC5">
    <w:name w:val="toc 5"/>
    <w:basedOn w:val="Normal"/>
    <w:next w:val="Normal"/>
    <w:autoRedefine/>
    <w:uiPriority w:val="39"/>
    <w:rsid w:val="006E56AD"/>
    <w:pPr>
      <w:ind w:left="720"/>
    </w:pPr>
    <w:rPr>
      <w:rFonts w:ascii="Calibri" w:hAnsi="Calibri"/>
      <w:sz w:val="20"/>
      <w:szCs w:val="20"/>
    </w:rPr>
  </w:style>
  <w:style w:type="paragraph" w:styleId="TDC6">
    <w:name w:val="toc 6"/>
    <w:basedOn w:val="Normal"/>
    <w:next w:val="Normal"/>
    <w:autoRedefine/>
    <w:uiPriority w:val="39"/>
    <w:rsid w:val="006E56AD"/>
    <w:pPr>
      <w:ind w:left="960"/>
    </w:pPr>
    <w:rPr>
      <w:rFonts w:ascii="Calibri" w:hAnsi="Calibri"/>
      <w:sz w:val="20"/>
      <w:szCs w:val="20"/>
    </w:rPr>
  </w:style>
  <w:style w:type="paragraph" w:styleId="TDC7">
    <w:name w:val="toc 7"/>
    <w:basedOn w:val="Normal"/>
    <w:next w:val="Normal"/>
    <w:autoRedefine/>
    <w:uiPriority w:val="39"/>
    <w:rsid w:val="006E56AD"/>
    <w:pPr>
      <w:tabs>
        <w:tab w:val="right" w:pos="9111"/>
      </w:tabs>
      <w:spacing w:before="240"/>
    </w:pPr>
    <w:rPr>
      <w:rFonts w:ascii="Arial" w:hAnsi="Arial"/>
      <w:b/>
      <w:sz w:val="22"/>
      <w:szCs w:val="20"/>
    </w:rPr>
  </w:style>
  <w:style w:type="paragraph" w:styleId="TDC8">
    <w:name w:val="toc 8"/>
    <w:basedOn w:val="Normal"/>
    <w:next w:val="Normal"/>
    <w:autoRedefine/>
    <w:uiPriority w:val="39"/>
    <w:rsid w:val="00502BA8"/>
    <w:pPr>
      <w:tabs>
        <w:tab w:val="left" w:pos="1701"/>
      </w:tabs>
    </w:pPr>
    <w:rPr>
      <w:rFonts w:ascii="Arial" w:hAnsi="Arial"/>
      <w:b/>
      <w:sz w:val="22"/>
      <w:szCs w:val="20"/>
    </w:rPr>
  </w:style>
  <w:style w:type="paragraph" w:styleId="TDC9">
    <w:name w:val="toc 9"/>
    <w:basedOn w:val="Normal"/>
    <w:next w:val="Normal"/>
    <w:autoRedefine/>
    <w:uiPriority w:val="39"/>
    <w:rsid w:val="006E56AD"/>
    <w:pPr>
      <w:ind w:left="1680"/>
    </w:pPr>
    <w:rPr>
      <w:rFonts w:ascii="Calibri" w:hAnsi="Calibri"/>
      <w:sz w:val="20"/>
      <w:szCs w:val="20"/>
    </w:rPr>
  </w:style>
  <w:style w:type="paragraph" w:customStyle="1" w:styleId="Textodenotaalfinal">
    <w:name w:val="Texto de nota al final"/>
    <w:basedOn w:val="Normal"/>
    <w:rsid w:val="006E56A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6E56AD"/>
    <w:pPr>
      <w:spacing w:before="160" w:after="160"/>
      <w:ind w:left="2880" w:hanging="2880"/>
    </w:pPr>
    <w:rPr>
      <w:spacing w:val="-4"/>
      <w:sz w:val="22"/>
      <w:szCs w:val="20"/>
    </w:rPr>
  </w:style>
  <w:style w:type="character" w:customStyle="1" w:styleId="Sangra3detindependienteCar">
    <w:name w:val="Sangría 3 de t. independiente Car"/>
    <w:basedOn w:val="Fuentedeprrafopredeter"/>
    <w:link w:val="Sangra3detindependiente"/>
    <w:rsid w:val="006E56AD"/>
    <w:rPr>
      <w:rFonts w:ascii="Bookman Old Style" w:hAnsi="Bookman Old Style"/>
      <w:spacing w:val="-4"/>
      <w:sz w:val="22"/>
      <w:lang w:val="es-CO"/>
    </w:rPr>
  </w:style>
  <w:style w:type="paragraph" w:styleId="Cita">
    <w:name w:val="Quote"/>
    <w:basedOn w:val="Normal"/>
    <w:next w:val="Normal"/>
    <w:link w:val="CitaCar"/>
    <w:uiPriority w:val="29"/>
    <w:rsid w:val="006E56AD"/>
    <w:pPr>
      <w:spacing w:after="120"/>
      <w:ind w:right="616"/>
    </w:pPr>
    <w:rPr>
      <w:rFonts w:ascii="Arial" w:eastAsia="Calibri" w:hAnsi="Arial"/>
      <w:i/>
      <w:iCs/>
      <w:color w:val="000000"/>
      <w:sz w:val="20"/>
      <w:szCs w:val="22"/>
      <w:lang w:eastAsia="en-US"/>
    </w:rPr>
  </w:style>
  <w:style w:type="character" w:customStyle="1" w:styleId="CitaCar">
    <w:name w:val="Cita Car"/>
    <w:basedOn w:val="Fuentedeprrafopredeter"/>
    <w:link w:val="Cita"/>
    <w:uiPriority w:val="29"/>
    <w:rsid w:val="006E56AD"/>
    <w:rPr>
      <w:rFonts w:ascii="Arial" w:eastAsia="Calibri" w:hAnsi="Arial" w:cs="Arial"/>
      <w:i/>
      <w:iCs/>
      <w:color w:val="000000"/>
      <w:szCs w:val="22"/>
      <w:lang w:val="es-CO" w:eastAsia="en-US"/>
    </w:rPr>
  </w:style>
  <w:style w:type="character" w:styleId="Refdecomentario">
    <w:name w:val="annotation reference"/>
    <w:basedOn w:val="Fuentedeprrafopredeter"/>
    <w:uiPriority w:val="99"/>
    <w:semiHidden/>
    <w:unhideWhenUsed/>
    <w:rsid w:val="006E56AD"/>
    <w:rPr>
      <w:sz w:val="16"/>
      <w:szCs w:val="16"/>
    </w:rPr>
  </w:style>
  <w:style w:type="paragraph" w:styleId="Textocomentario">
    <w:name w:val="annotation text"/>
    <w:basedOn w:val="Normal"/>
    <w:link w:val="TextocomentarioCar"/>
    <w:uiPriority w:val="99"/>
    <w:unhideWhenUsed/>
    <w:rsid w:val="006E56AD"/>
    <w:pPr>
      <w:spacing w:before="160" w:after="160"/>
    </w:pPr>
    <w:rPr>
      <w:rFonts w:ascii="Arial" w:hAnsi="Arial"/>
      <w:sz w:val="20"/>
      <w:szCs w:val="20"/>
    </w:rPr>
  </w:style>
  <w:style w:type="character" w:customStyle="1" w:styleId="TextocomentarioCar">
    <w:name w:val="Texto comentario Car"/>
    <w:basedOn w:val="Fuentedeprrafopredeter"/>
    <w:link w:val="Textocomentario"/>
    <w:uiPriority w:val="99"/>
    <w:rsid w:val="006E56AD"/>
    <w:rPr>
      <w:rFonts w:ascii="Arial" w:hAnsi="Arial"/>
      <w:lang w:val="es-CO"/>
    </w:rPr>
  </w:style>
  <w:style w:type="paragraph" w:styleId="Asuntodelcomentario">
    <w:name w:val="annotation subject"/>
    <w:basedOn w:val="Textocomentario"/>
    <w:next w:val="Textocomentario"/>
    <w:link w:val="AsuntodelcomentarioCar"/>
    <w:semiHidden/>
    <w:unhideWhenUsed/>
    <w:rsid w:val="006E56AD"/>
    <w:rPr>
      <w:b/>
      <w:bCs/>
    </w:rPr>
  </w:style>
  <w:style w:type="character" w:customStyle="1" w:styleId="AsuntodelcomentarioCar">
    <w:name w:val="Asunto del comentario Car"/>
    <w:basedOn w:val="TextocomentarioCar"/>
    <w:link w:val="Asuntodelcomentario"/>
    <w:semiHidden/>
    <w:rsid w:val="006E56AD"/>
    <w:rPr>
      <w:rFonts w:ascii="Arial" w:hAnsi="Arial"/>
      <w:b/>
      <w:bCs/>
      <w:lang w:val="es-CO"/>
    </w:rPr>
  </w:style>
  <w:style w:type="character" w:styleId="Textoennegrita">
    <w:name w:val="Strong"/>
    <w:basedOn w:val="Fuentedeprrafopredeter"/>
    <w:uiPriority w:val="22"/>
    <w:rsid w:val="006E56AD"/>
    <w:rPr>
      <w:b/>
      <w:bCs/>
    </w:rPr>
  </w:style>
  <w:style w:type="paragraph" w:styleId="TtuloTDC">
    <w:name w:val="TOC Heading"/>
    <w:basedOn w:val="Ttulo1"/>
    <w:next w:val="Normal"/>
    <w:uiPriority w:val="39"/>
    <w:unhideWhenUsed/>
    <w:qFormat/>
    <w:rsid w:val="006E56AD"/>
    <w:pPr>
      <w:keepLines/>
      <w:spacing w:before="480" w:line="276" w:lineRule="auto"/>
      <w:ind w:left="0"/>
      <w:jc w:val="left"/>
      <w:outlineLvl w:val="9"/>
    </w:pPr>
    <w:rPr>
      <w:rFonts w:ascii="Cambria" w:hAnsi="Cambria"/>
      <w:bCs/>
      <w:color w:val="365F91"/>
      <w:sz w:val="28"/>
      <w:szCs w:val="28"/>
      <w:lang w:eastAsia="en-US"/>
    </w:rPr>
  </w:style>
  <w:style w:type="paragraph" w:styleId="Mapadeldocumento">
    <w:name w:val="Document Map"/>
    <w:basedOn w:val="Normal"/>
    <w:link w:val="MapadeldocumentoCar"/>
    <w:uiPriority w:val="99"/>
    <w:unhideWhenUsed/>
    <w:rsid w:val="006E56AD"/>
    <w:pPr>
      <w:spacing w:before="160" w:after="160"/>
    </w:pPr>
    <w:rPr>
      <w:rFonts w:ascii="Tahoma" w:hAnsi="Tahoma" w:cs="Tahoma"/>
      <w:sz w:val="16"/>
      <w:szCs w:val="16"/>
    </w:rPr>
  </w:style>
  <w:style w:type="character" w:customStyle="1" w:styleId="MapadeldocumentoCar">
    <w:name w:val="Mapa del documento Car"/>
    <w:basedOn w:val="Fuentedeprrafopredeter"/>
    <w:link w:val="Mapadeldocumento"/>
    <w:uiPriority w:val="99"/>
    <w:rsid w:val="006E56AD"/>
    <w:rPr>
      <w:rFonts w:ascii="Tahoma" w:hAnsi="Tahoma" w:cs="Tahoma"/>
      <w:sz w:val="16"/>
      <w:szCs w:val="16"/>
      <w:lang w:val="es-CO"/>
    </w:rPr>
  </w:style>
  <w:style w:type="paragraph" w:customStyle="1" w:styleId="Anexo">
    <w:name w:val="Anexo"/>
    <w:basedOn w:val="Normal"/>
    <w:link w:val="AnexoCar"/>
    <w:qFormat/>
    <w:rsid w:val="008207F3"/>
    <w:pPr>
      <w:suppressAutoHyphens/>
      <w:ind w:left="1429" w:hanging="360"/>
    </w:pPr>
    <w:rPr>
      <w:b/>
      <w:bCs/>
      <w:spacing w:val="-4"/>
    </w:rPr>
  </w:style>
  <w:style w:type="character" w:customStyle="1" w:styleId="AnexoCar">
    <w:name w:val="Anexo Car"/>
    <w:basedOn w:val="Fuentedeprrafopredeter"/>
    <w:link w:val="Anexo"/>
    <w:rsid w:val="008207F3"/>
    <w:rPr>
      <w:rFonts w:ascii="Bookman Old Style" w:hAnsi="Bookman Old Style" w:cs="Arial"/>
      <w:b/>
      <w:bCs/>
      <w:spacing w:val="-4"/>
      <w:sz w:val="24"/>
      <w:szCs w:val="24"/>
    </w:rPr>
  </w:style>
  <w:style w:type="paragraph" w:customStyle="1" w:styleId="PliegoTitulo1">
    <w:name w:val="Pliego_Titulo1"/>
    <w:basedOn w:val="Pliego-Normal"/>
    <w:next w:val="Pliego-Normal"/>
    <w:rsid w:val="008207F3"/>
    <w:pPr>
      <w:tabs>
        <w:tab w:val="num" w:pos="432"/>
      </w:tabs>
      <w:ind w:left="432" w:hanging="432"/>
      <w:jc w:val="center"/>
    </w:pPr>
    <w:rPr>
      <w:b/>
    </w:rPr>
  </w:style>
  <w:style w:type="paragraph" w:customStyle="1" w:styleId="Pliego-Normal">
    <w:name w:val="Pliego-Normal"/>
    <w:basedOn w:val="Normal"/>
    <w:rsid w:val="008207F3"/>
    <w:pPr>
      <w:widowControl w:val="0"/>
      <w:adjustRightInd w:val="0"/>
      <w:textAlignment w:val="baseline"/>
    </w:pPr>
    <w:rPr>
      <w:rFonts w:ascii="Garamond" w:hAnsi="Garamond"/>
      <w:bCs/>
      <w:sz w:val="22"/>
      <w:szCs w:val="20"/>
      <w:lang w:val="es-ES_tradnl"/>
    </w:rPr>
  </w:style>
  <w:style w:type="paragraph" w:styleId="NormalWeb">
    <w:name w:val="Normal (Web)"/>
    <w:basedOn w:val="Normal"/>
    <w:uiPriority w:val="99"/>
    <w:rsid w:val="008207F3"/>
    <w:pPr>
      <w:widowControl w:val="0"/>
      <w:adjustRightInd w:val="0"/>
      <w:spacing w:before="100" w:beforeAutospacing="1" w:after="100" w:afterAutospacing="1"/>
      <w:textAlignment w:val="baseline"/>
    </w:pPr>
  </w:style>
  <w:style w:type="paragraph" w:styleId="ndice1">
    <w:name w:val="index 1"/>
    <w:basedOn w:val="Normal"/>
    <w:next w:val="Normal"/>
    <w:autoRedefine/>
    <w:semiHidden/>
    <w:rsid w:val="008207F3"/>
    <w:pPr>
      <w:widowControl w:val="0"/>
      <w:adjustRightInd w:val="0"/>
      <w:textAlignment w:val="baseline"/>
    </w:pPr>
    <w:rPr>
      <w:rFonts w:ascii="Arial" w:hAnsi="Arial"/>
      <w:szCs w:val="20"/>
    </w:rPr>
  </w:style>
  <w:style w:type="paragraph" w:styleId="z-Finaldelformulario">
    <w:name w:val="HTML Bottom of Form"/>
    <w:basedOn w:val="Normal"/>
    <w:next w:val="Normal"/>
    <w:link w:val="z-FinaldelformularioCar"/>
    <w:hidden/>
    <w:rsid w:val="008207F3"/>
    <w:pPr>
      <w:widowControl w:val="0"/>
      <w:pBdr>
        <w:top w:val="single" w:sz="6" w:space="1" w:color="auto"/>
      </w:pBdr>
      <w:adjustRightInd w:val="0"/>
      <w:jc w:val="center"/>
      <w:textAlignment w:val="baseline"/>
    </w:pPr>
    <w:rPr>
      <w:rFonts w:ascii="Arial" w:hAnsi="Arial"/>
      <w:vanish/>
      <w:color w:val="000000"/>
      <w:sz w:val="16"/>
      <w:szCs w:val="16"/>
    </w:rPr>
  </w:style>
  <w:style w:type="character" w:customStyle="1" w:styleId="z-FinaldelformularioCar">
    <w:name w:val="z-Final del formulario Car"/>
    <w:basedOn w:val="Fuentedeprrafopredeter"/>
    <w:link w:val="z-Finaldelformulario"/>
    <w:rsid w:val="008207F3"/>
    <w:rPr>
      <w:rFonts w:ascii="Arial" w:hAnsi="Arial" w:cs="Arial"/>
      <w:vanish/>
      <w:color w:val="000000"/>
      <w:sz w:val="16"/>
      <w:szCs w:val="16"/>
    </w:rPr>
  </w:style>
  <w:style w:type="paragraph" w:customStyle="1" w:styleId="NormalTesis">
    <w:name w:val="Normal Tesis"/>
    <w:basedOn w:val="Textoindependiente"/>
    <w:rsid w:val="008207F3"/>
    <w:pPr>
      <w:widowControl w:val="0"/>
      <w:adjustRightInd w:val="0"/>
      <w:spacing w:line="360" w:lineRule="auto"/>
      <w:jc w:val="both"/>
      <w:textAlignment w:val="baseline"/>
    </w:pPr>
    <w:rPr>
      <w:b w:val="0"/>
      <w:bCs w:val="0"/>
      <w:sz w:val="22"/>
    </w:rPr>
  </w:style>
  <w:style w:type="paragraph" w:customStyle="1" w:styleId="Citas">
    <w:name w:val="Citas"/>
    <w:basedOn w:val="Normal"/>
    <w:rsid w:val="008207F3"/>
    <w:pPr>
      <w:ind w:left="708" w:right="618"/>
    </w:pPr>
    <w:rPr>
      <w:i/>
      <w:iCs/>
      <w:szCs w:val="20"/>
    </w:rPr>
  </w:style>
  <w:style w:type="paragraph" w:customStyle="1" w:styleId="articulo">
    <w:name w:val="articulo"/>
    <w:basedOn w:val="Normal"/>
    <w:next w:val="Normal"/>
    <w:autoRedefine/>
    <w:rsid w:val="008207F3"/>
    <w:pPr>
      <w:tabs>
        <w:tab w:val="left" w:pos="-720"/>
        <w:tab w:val="num" w:pos="1440"/>
        <w:tab w:val="left" w:pos="1620"/>
      </w:tabs>
      <w:suppressAutoHyphens/>
      <w:spacing w:before="240"/>
    </w:pPr>
    <w:rPr>
      <w:bCs/>
      <w:spacing w:val="-4"/>
    </w:rPr>
  </w:style>
  <w:style w:type="character" w:styleId="Textodelmarcadordeposicin">
    <w:name w:val="Placeholder Text"/>
    <w:basedOn w:val="Fuentedeprrafopredeter"/>
    <w:uiPriority w:val="99"/>
    <w:semiHidden/>
    <w:rsid w:val="008207F3"/>
    <w:rPr>
      <w:color w:val="808080"/>
    </w:rPr>
  </w:style>
  <w:style w:type="paragraph" w:customStyle="1" w:styleId="EstiloPrrafodelistaJustificado">
    <w:name w:val="Estilo Párrafo de lista + Justificado"/>
    <w:basedOn w:val="Prrafodelista"/>
    <w:rsid w:val="008207F3"/>
    <w:pPr>
      <w:spacing w:before="120"/>
    </w:pPr>
    <w:rPr>
      <w:spacing w:val="4"/>
      <w:lang w:val="es-ES"/>
    </w:rPr>
  </w:style>
  <w:style w:type="paragraph" w:customStyle="1" w:styleId="Vietas">
    <w:name w:val="Viñetas"/>
    <w:basedOn w:val="Prrafodelista"/>
    <w:rsid w:val="008207F3"/>
    <w:pPr>
      <w:spacing w:before="120"/>
    </w:pPr>
    <w:rPr>
      <w:spacing w:val="4"/>
      <w:lang w:val="es-ES"/>
    </w:rPr>
  </w:style>
  <w:style w:type="paragraph" w:customStyle="1" w:styleId="Listaletras">
    <w:name w:val="Lista letras"/>
    <w:basedOn w:val="Sangra2detindependiente"/>
    <w:link w:val="ListaletrasCar"/>
    <w:rsid w:val="008207F3"/>
  </w:style>
  <w:style w:type="character" w:customStyle="1" w:styleId="ListaletrasCar">
    <w:name w:val="Lista letras Car"/>
    <w:basedOn w:val="Sangra2detindependienteCar"/>
    <w:link w:val="Listaletras"/>
    <w:rsid w:val="008207F3"/>
    <w:rPr>
      <w:rFonts w:ascii="Bookman Old Style" w:hAnsi="Bookman Old Style"/>
      <w:b/>
      <w:sz w:val="22"/>
      <w:lang w:val="es-CO"/>
    </w:rPr>
  </w:style>
  <w:style w:type="paragraph" w:customStyle="1" w:styleId="Textoindependiente31">
    <w:name w:val="Texto independiente 31"/>
    <w:basedOn w:val="Normal"/>
    <w:rsid w:val="008207F3"/>
    <w:pPr>
      <w:tabs>
        <w:tab w:val="left" w:pos="-720"/>
      </w:tabs>
      <w:suppressAutoHyphens/>
      <w:overflowPunct w:val="0"/>
      <w:autoSpaceDE w:val="0"/>
      <w:autoSpaceDN w:val="0"/>
      <w:adjustRightInd w:val="0"/>
      <w:spacing w:after="240"/>
      <w:ind w:right="45"/>
      <w:textAlignment w:val="baseline"/>
    </w:pPr>
    <w:rPr>
      <w:sz w:val="22"/>
      <w:szCs w:val="20"/>
    </w:rPr>
  </w:style>
  <w:style w:type="paragraph" w:customStyle="1" w:styleId="Estilo2">
    <w:name w:val="Estilo2"/>
    <w:basedOn w:val="Ttulo1"/>
    <w:link w:val="Estilo2Car"/>
    <w:rsid w:val="008207F3"/>
    <w:pPr>
      <w:numPr>
        <w:numId w:val="0"/>
      </w:numPr>
      <w:adjustRightInd w:val="0"/>
      <w:textAlignment w:val="baseline"/>
    </w:pPr>
    <w:rPr>
      <w:bCs/>
    </w:rPr>
  </w:style>
  <w:style w:type="paragraph" w:styleId="Continuarlista">
    <w:name w:val="List Continue"/>
    <w:basedOn w:val="Normal"/>
    <w:rsid w:val="008207F3"/>
    <w:pPr>
      <w:widowControl w:val="0"/>
      <w:adjustRightInd w:val="0"/>
      <w:spacing w:after="120"/>
      <w:ind w:left="283"/>
      <w:contextualSpacing/>
      <w:textAlignment w:val="baseline"/>
    </w:pPr>
  </w:style>
  <w:style w:type="character" w:customStyle="1" w:styleId="Fuentedeprrafopredeter1">
    <w:name w:val="Fuente de párrafo predeter.1"/>
    <w:rsid w:val="008207F3"/>
  </w:style>
  <w:style w:type="character" w:customStyle="1" w:styleId="FootnoteCharacters">
    <w:name w:val="Footnote Characters"/>
    <w:basedOn w:val="Fuentedeprrafopredeter"/>
    <w:rsid w:val="008207F3"/>
    <w:rPr>
      <w:vertAlign w:val="superscript"/>
    </w:rPr>
  </w:style>
  <w:style w:type="character" w:customStyle="1" w:styleId="Refdenotaalpie1">
    <w:name w:val="Ref. de nota al pie1"/>
    <w:rsid w:val="008207F3"/>
    <w:rPr>
      <w:vertAlign w:val="superscript"/>
    </w:rPr>
  </w:style>
  <w:style w:type="character" w:customStyle="1" w:styleId="Refdecomentario1">
    <w:name w:val="Ref. de comentario1"/>
    <w:basedOn w:val="Fuentedeprrafopredeter"/>
    <w:rsid w:val="008207F3"/>
    <w:rPr>
      <w:sz w:val="16"/>
    </w:rPr>
  </w:style>
  <w:style w:type="paragraph" w:customStyle="1" w:styleId="Heading">
    <w:name w:val="Heading"/>
    <w:basedOn w:val="Normal"/>
    <w:next w:val="Textoindependiente"/>
    <w:rsid w:val="008207F3"/>
    <w:pPr>
      <w:keepNext/>
      <w:suppressAutoHyphens/>
      <w:spacing w:before="240" w:after="120"/>
    </w:pPr>
    <w:rPr>
      <w:rFonts w:ascii="Arial" w:eastAsia="DejaVu Sans" w:hAnsi="Arial" w:cs="DejaVu Sans"/>
      <w:sz w:val="28"/>
      <w:szCs w:val="28"/>
      <w:lang w:eastAsia="ar-SA"/>
    </w:rPr>
  </w:style>
  <w:style w:type="paragraph" w:styleId="Lista">
    <w:name w:val="List"/>
    <w:basedOn w:val="Normal"/>
    <w:rsid w:val="008207F3"/>
    <w:pPr>
      <w:suppressAutoHyphens/>
      <w:ind w:left="283" w:hanging="283"/>
    </w:pPr>
    <w:rPr>
      <w:sz w:val="22"/>
      <w:szCs w:val="20"/>
      <w:lang w:eastAsia="ar-SA"/>
    </w:rPr>
  </w:style>
  <w:style w:type="paragraph" w:customStyle="1" w:styleId="Index">
    <w:name w:val="Index"/>
    <w:basedOn w:val="Normal"/>
    <w:rsid w:val="008207F3"/>
    <w:pPr>
      <w:suppressLineNumbers/>
      <w:suppressAutoHyphens/>
    </w:pPr>
    <w:rPr>
      <w:sz w:val="22"/>
      <w:szCs w:val="20"/>
      <w:lang w:eastAsia="ar-SA"/>
    </w:rPr>
  </w:style>
  <w:style w:type="paragraph" w:styleId="Ttulodendice">
    <w:name w:val="index heading"/>
    <w:basedOn w:val="Normal"/>
    <w:next w:val="ndice1"/>
    <w:rsid w:val="008207F3"/>
    <w:pPr>
      <w:suppressAutoHyphens/>
      <w:spacing w:before="120" w:after="120"/>
    </w:pPr>
    <w:rPr>
      <w:rFonts w:ascii="Times New Roman" w:hAnsi="Times New Roman"/>
      <w:b/>
      <w:i/>
      <w:sz w:val="20"/>
      <w:szCs w:val="20"/>
      <w:lang w:eastAsia="ar-SA"/>
    </w:rPr>
  </w:style>
  <w:style w:type="paragraph" w:styleId="ndice2">
    <w:name w:val="index 2"/>
    <w:basedOn w:val="Normal"/>
    <w:next w:val="Normal"/>
    <w:rsid w:val="008207F3"/>
    <w:pPr>
      <w:suppressAutoHyphens/>
      <w:ind w:left="480" w:hanging="240"/>
    </w:pPr>
    <w:rPr>
      <w:rFonts w:ascii="Times New Roman" w:hAnsi="Times New Roman"/>
      <w:sz w:val="20"/>
      <w:szCs w:val="20"/>
      <w:lang w:eastAsia="ar-SA"/>
    </w:rPr>
  </w:style>
  <w:style w:type="paragraph" w:styleId="ndice3">
    <w:name w:val="index 3"/>
    <w:basedOn w:val="Normal"/>
    <w:next w:val="Normal"/>
    <w:rsid w:val="008207F3"/>
    <w:pPr>
      <w:suppressAutoHyphens/>
      <w:ind w:left="720" w:hanging="240"/>
    </w:pPr>
    <w:rPr>
      <w:rFonts w:ascii="Times New Roman" w:hAnsi="Times New Roman"/>
      <w:sz w:val="20"/>
      <w:szCs w:val="20"/>
      <w:lang w:eastAsia="ar-SA"/>
    </w:rPr>
  </w:style>
  <w:style w:type="paragraph" w:customStyle="1" w:styleId="Figuras">
    <w:name w:val="Figuras"/>
    <w:basedOn w:val="Textoindependiente"/>
    <w:rsid w:val="008207F3"/>
    <w:pPr>
      <w:suppressAutoHyphens/>
    </w:pPr>
    <w:rPr>
      <w:rFonts w:cs="Times New Roman"/>
      <w:b w:val="0"/>
      <w:bCs w:val="0"/>
      <w:i/>
      <w:iCs/>
      <w:sz w:val="22"/>
      <w:szCs w:val="20"/>
      <w:lang w:eastAsia="ar-SA"/>
    </w:rPr>
  </w:style>
  <w:style w:type="paragraph" w:customStyle="1" w:styleId="Text">
    <w:name w:val="Text"/>
    <w:basedOn w:val="Normal"/>
    <w:rsid w:val="008207F3"/>
    <w:pPr>
      <w:suppressLineNumbers/>
      <w:suppressAutoHyphens/>
      <w:spacing w:before="120" w:after="120"/>
    </w:pPr>
    <w:rPr>
      <w:i/>
      <w:iCs/>
      <w:lang w:eastAsia="ar-SA"/>
    </w:rPr>
  </w:style>
  <w:style w:type="paragraph" w:styleId="Textoindependienteprimerasangra">
    <w:name w:val="Body Text First Indent"/>
    <w:basedOn w:val="Textoindependiente"/>
    <w:link w:val="TextoindependienteprimerasangraCar"/>
    <w:rsid w:val="008207F3"/>
    <w:pPr>
      <w:suppressAutoHyphens/>
      <w:ind w:firstLine="283"/>
    </w:pPr>
    <w:rPr>
      <w:rFonts w:ascii="Times New Roman" w:hAnsi="Times New Roman" w:cs="Times New Roman"/>
      <w:bCs w:val="0"/>
      <w:i/>
      <w:sz w:val="28"/>
      <w:szCs w:val="20"/>
      <w:lang w:eastAsia="ar-SA"/>
    </w:rPr>
  </w:style>
  <w:style w:type="character" w:customStyle="1" w:styleId="TextoindependienteprimerasangraCar">
    <w:name w:val="Texto independiente primera sangría Car"/>
    <w:basedOn w:val="TextoindependienteCar"/>
    <w:link w:val="Textoindependienteprimerasangra"/>
    <w:rsid w:val="008207F3"/>
    <w:rPr>
      <w:rFonts w:ascii="Arial" w:hAnsi="Arial" w:cs="Arial"/>
      <w:b/>
      <w:bCs/>
      <w:i/>
      <w:sz w:val="28"/>
      <w:szCs w:val="24"/>
      <w:lang w:val="es-CO" w:eastAsia="ar-SA"/>
    </w:rPr>
  </w:style>
  <w:style w:type="paragraph" w:customStyle="1" w:styleId="Notes">
    <w:name w:val="Notes"/>
    <w:rsid w:val="008207F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lang w:val="es-CO"/>
    </w:rPr>
  </w:style>
  <w:style w:type="paragraph" w:customStyle="1" w:styleId="Tabla">
    <w:name w:val="Tabla"/>
    <w:basedOn w:val="Descripcin"/>
    <w:link w:val="TablaCar"/>
    <w:qFormat/>
    <w:rsid w:val="008207F3"/>
    <w:pPr>
      <w:keepNext/>
      <w:widowControl/>
      <w:suppressAutoHyphens/>
      <w:adjustRightInd/>
      <w:spacing w:after="200" w:line="240" w:lineRule="auto"/>
      <w:textAlignment w:val="auto"/>
    </w:pPr>
    <w:rPr>
      <w:b/>
      <w:bCs/>
      <w:iCs/>
    </w:rPr>
  </w:style>
  <w:style w:type="character" w:customStyle="1" w:styleId="TablaCar">
    <w:name w:val="Tabla Car"/>
    <w:basedOn w:val="DescripcinCar"/>
    <w:link w:val="Tabla"/>
    <w:rsid w:val="008207F3"/>
    <w:rPr>
      <w:rFonts w:ascii="Arial" w:hAnsi="Arial" w:cs="Arial"/>
      <w:b/>
      <w:bCs/>
      <w:iCs/>
      <w:sz w:val="24"/>
      <w:szCs w:val="24"/>
    </w:rPr>
  </w:style>
  <w:style w:type="paragraph" w:customStyle="1" w:styleId="DatosDocumento">
    <w:name w:val="Datos Documento"/>
    <w:basedOn w:val="Normal"/>
    <w:rsid w:val="008207F3"/>
    <w:pPr>
      <w:jc w:val="right"/>
    </w:pPr>
    <w:rPr>
      <w:rFonts w:ascii="Arial" w:hAnsi="Arial"/>
      <w:szCs w:val="20"/>
    </w:rPr>
  </w:style>
  <w:style w:type="paragraph" w:customStyle="1" w:styleId="TituloDocumento">
    <w:name w:val="Titulo Documento"/>
    <w:basedOn w:val="Normal"/>
    <w:rsid w:val="008207F3"/>
    <w:pPr>
      <w:jc w:val="right"/>
    </w:pPr>
    <w:rPr>
      <w:rFonts w:ascii="Arial Black" w:hAnsi="Arial Black"/>
      <w:sz w:val="48"/>
      <w:szCs w:val="20"/>
    </w:rPr>
  </w:style>
  <w:style w:type="paragraph" w:customStyle="1" w:styleId="SubtituloDocumento">
    <w:name w:val="Subtitulo Documento"/>
    <w:basedOn w:val="Normal"/>
    <w:rsid w:val="008207F3"/>
    <w:pPr>
      <w:jc w:val="right"/>
    </w:pPr>
    <w:rPr>
      <w:rFonts w:ascii="Arial Black" w:hAnsi="Arial Black"/>
      <w:sz w:val="32"/>
      <w:szCs w:val="20"/>
    </w:rPr>
  </w:style>
  <w:style w:type="paragraph" w:customStyle="1" w:styleId="TtuloInforme">
    <w:name w:val="Título Informe"/>
    <w:basedOn w:val="Normal"/>
    <w:next w:val="Normal"/>
    <w:rsid w:val="008207F3"/>
    <w:pPr>
      <w:spacing w:before="120" w:after="120"/>
      <w:jc w:val="center"/>
    </w:pPr>
    <w:rPr>
      <w:rFonts w:ascii="Arial" w:hAnsi="Arial"/>
      <w:color w:val="FF6309"/>
      <w:sz w:val="28"/>
      <w:szCs w:val="28"/>
    </w:rPr>
  </w:style>
  <w:style w:type="character" w:customStyle="1" w:styleId="TtuloInformeChar">
    <w:name w:val="Título Informe Char"/>
    <w:basedOn w:val="Fuentedeprrafopredeter"/>
    <w:rsid w:val="008207F3"/>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207F3"/>
    <w:pPr>
      <w:spacing w:before="120" w:after="120"/>
    </w:pPr>
    <w:rPr>
      <w:rFonts w:ascii="Arial" w:hAnsi="Arial"/>
      <w:color w:val="808080"/>
    </w:rPr>
  </w:style>
  <w:style w:type="character" w:customStyle="1" w:styleId="SubtuloInformeChar">
    <w:name w:val="Subítulo Informe Char"/>
    <w:basedOn w:val="Fuentedeprrafopredeter"/>
    <w:rsid w:val="008207F3"/>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207F3"/>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207F3"/>
    <w:pPr>
      <w:spacing w:before="120" w:after="120"/>
    </w:pPr>
    <w:rPr>
      <w:rFonts w:ascii="Arial" w:hAnsi="Arial"/>
      <w:sz w:val="20"/>
      <w:szCs w:val="20"/>
    </w:rPr>
  </w:style>
  <w:style w:type="paragraph" w:customStyle="1" w:styleId="CUERPOTEXTO">
    <w:name w:val="CUERPO TEXTO"/>
    <w:rsid w:val="008207F3"/>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rPr>
  </w:style>
  <w:style w:type="paragraph" w:styleId="Revisin">
    <w:name w:val="Revision"/>
    <w:hidden/>
    <w:uiPriority w:val="99"/>
    <w:semiHidden/>
    <w:rsid w:val="00806970"/>
    <w:rPr>
      <w:rFonts w:ascii="Bookman Old Style" w:hAnsi="Bookman Old Style"/>
    </w:rPr>
  </w:style>
  <w:style w:type="paragraph" w:styleId="Saludo">
    <w:name w:val="Salutation"/>
    <w:basedOn w:val="Normal"/>
    <w:next w:val="Normal"/>
    <w:link w:val="SaludoCar"/>
    <w:uiPriority w:val="99"/>
    <w:unhideWhenUsed/>
    <w:rsid w:val="00806970"/>
    <w:pPr>
      <w:widowControl w:val="0"/>
      <w:adjustRightInd w:val="0"/>
      <w:spacing w:before="240" w:after="240"/>
      <w:textAlignment w:val="baseline"/>
    </w:pPr>
  </w:style>
  <w:style w:type="character" w:customStyle="1" w:styleId="SaludoCar">
    <w:name w:val="Saludo Car"/>
    <w:basedOn w:val="Fuentedeprrafopredeter"/>
    <w:link w:val="Saludo"/>
    <w:uiPriority w:val="99"/>
    <w:rsid w:val="00806970"/>
    <w:rPr>
      <w:rFonts w:ascii="Bookman Old Style" w:hAnsi="Bookman Old Style"/>
      <w:sz w:val="24"/>
      <w:szCs w:val="24"/>
      <w:lang w:val="es-CO"/>
    </w:rPr>
  </w:style>
  <w:style w:type="character" w:customStyle="1" w:styleId="subtitulo1">
    <w:name w:val="subtitulo1"/>
    <w:rsid w:val="0005134A"/>
    <w:rPr>
      <w:rFonts w:ascii="Arial" w:hAnsi="Arial" w:cs="Arial" w:hint="default"/>
      <w:b/>
      <w:bCs/>
      <w:strike w:val="0"/>
      <w:dstrike w:val="0"/>
      <w:color w:val="1C6D12"/>
      <w:sz w:val="18"/>
      <w:szCs w:val="18"/>
      <w:u w:val="none"/>
      <w:effect w:val="none"/>
    </w:rPr>
  </w:style>
  <w:style w:type="paragraph" w:customStyle="1" w:styleId="TITULO">
    <w:name w:val="TITULO"/>
    <w:basedOn w:val="Normal"/>
    <w:link w:val="TITULOCar"/>
    <w:qFormat/>
    <w:rsid w:val="00527806"/>
    <w:pPr>
      <w:jc w:val="center"/>
    </w:pPr>
    <w:rPr>
      <w:b/>
    </w:rPr>
  </w:style>
  <w:style w:type="character" w:customStyle="1" w:styleId="TITULOCar">
    <w:name w:val="TITULO Car"/>
    <w:basedOn w:val="Fuentedeprrafopredeter"/>
    <w:link w:val="TITULO"/>
    <w:rsid w:val="00527806"/>
    <w:rPr>
      <w:rFonts w:ascii="Bookman Old Style" w:hAnsi="Bookman Old Style" w:cs="Arial"/>
      <w:b/>
      <w:sz w:val="24"/>
      <w:szCs w:val="24"/>
    </w:rPr>
  </w:style>
  <w:style w:type="paragraph" w:customStyle="1" w:styleId="BodyText31">
    <w:name w:val="Body Text 31"/>
    <w:basedOn w:val="Normal"/>
    <w:rsid w:val="00B1168F"/>
    <w:rPr>
      <w:rFonts w:ascii="Arial" w:hAnsi="Arial" w:cs="Times New Roman"/>
      <w:szCs w:val="20"/>
      <w:lang w:val="es-ES"/>
    </w:rPr>
  </w:style>
  <w:style w:type="paragraph" w:customStyle="1" w:styleId="EstiloTtulo1Arial">
    <w:name w:val="Estilo Título 1 + Arial"/>
    <w:basedOn w:val="Ttulo1"/>
    <w:rsid w:val="00B15E89"/>
    <w:pPr>
      <w:numPr>
        <w:numId w:val="3"/>
      </w:numPr>
      <w:spacing w:before="0" w:after="0"/>
      <w:jc w:val="left"/>
    </w:pPr>
    <w:rPr>
      <w:rFonts w:ascii="Arial Negrita" w:hAnsi="Arial Negrita" w:cs="Times New Roman"/>
      <w:bCs/>
      <w:caps w:val="0"/>
      <w:spacing w:val="0"/>
      <w:lang w:val="es-MX"/>
    </w:rPr>
  </w:style>
  <w:style w:type="paragraph" w:customStyle="1" w:styleId="Estilottulo3">
    <w:name w:val="Estilo título 3"/>
    <w:basedOn w:val="Normal"/>
    <w:next w:val="Normal"/>
    <w:rsid w:val="00B15E89"/>
    <w:pPr>
      <w:keepNext/>
      <w:numPr>
        <w:ilvl w:val="2"/>
        <w:numId w:val="3"/>
      </w:numPr>
      <w:tabs>
        <w:tab w:val="left" w:pos="540"/>
      </w:tabs>
      <w:spacing w:before="240" w:after="120"/>
      <w:jc w:val="left"/>
      <w:outlineLvl w:val="0"/>
    </w:pPr>
    <w:rPr>
      <w:rFonts w:ascii="Arial Negrita" w:hAnsi="Arial Negrita" w:cs="Times New Roman"/>
      <w:lang w:val="es-MX"/>
    </w:rPr>
  </w:style>
  <w:style w:type="character" w:customStyle="1" w:styleId="Estilo2Car">
    <w:name w:val="Estilo2 Car"/>
    <w:link w:val="Estilo2"/>
    <w:rsid w:val="0041381B"/>
    <w:rPr>
      <w:rFonts w:ascii="Bookman Old Style" w:hAnsi="Bookman Old Style" w:cs="Arial"/>
      <w:b/>
      <w:bCs/>
      <w:caps/>
      <w:spacing w:val="4"/>
      <w:sz w:val="24"/>
      <w:szCs w:val="24"/>
    </w:rPr>
  </w:style>
  <w:style w:type="paragraph" w:customStyle="1" w:styleId="pa11">
    <w:name w:val="pa11"/>
    <w:basedOn w:val="Normal"/>
    <w:rsid w:val="002C519D"/>
    <w:pPr>
      <w:spacing w:before="100" w:beforeAutospacing="1" w:after="100" w:afterAutospacing="1"/>
      <w:jc w:val="left"/>
    </w:pPr>
    <w:rPr>
      <w:rFonts w:ascii="Times New Roman" w:hAnsi="Times New Roman" w:cs="Times New Roman"/>
      <w:lang w:eastAsia="es-CO"/>
    </w:rPr>
  </w:style>
  <w:style w:type="paragraph" w:styleId="Textonotaalfinal">
    <w:name w:val="endnote text"/>
    <w:basedOn w:val="Normal"/>
    <w:link w:val="TextonotaalfinalCar"/>
    <w:uiPriority w:val="99"/>
    <w:semiHidden/>
    <w:unhideWhenUsed/>
    <w:rsid w:val="003B7176"/>
    <w:rPr>
      <w:sz w:val="20"/>
      <w:szCs w:val="20"/>
    </w:rPr>
  </w:style>
  <w:style w:type="character" w:customStyle="1" w:styleId="TextonotaalfinalCar">
    <w:name w:val="Texto nota al final Car"/>
    <w:basedOn w:val="Fuentedeprrafopredeter"/>
    <w:link w:val="Textonotaalfinal"/>
    <w:uiPriority w:val="99"/>
    <w:semiHidden/>
    <w:rsid w:val="003B7176"/>
    <w:rPr>
      <w:rFonts w:ascii="Bookman Old Style" w:hAnsi="Bookman Old Style" w:cs="Arial"/>
      <w:sz w:val="20"/>
      <w:szCs w:val="20"/>
      <w:lang w:val="es-CO"/>
    </w:rPr>
  </w:style>
  <w:style w:type="character" w:styleId="Refdenotaalfinal">
    <w:name w:val="endnote reference"/>
    <w:basedOn w:val="Fuentedeprrafopredeter"/>
    <w:uiPriority w:val="99"/>
    <w:semiHidden/>
    <w:unhideWhenUsed/>
    <w:rsid w:val="003B7176"/>
    <w:rPr>
      <w:vertAlign w:val="superscript"/>
    </w:rPr>
  </w:style>
  <w:style w:type="character" w:styleId="Mencinsinresolver">
    <w:name w:val="Unresolved Mention"/>
    <w:basedOn w:val="Fuentedeprrafopredeter"/>
    <w:uiPriority w:val="99"/>
    <w:semiHidden/>
    <w:unhideWhenUsed/>
    <w:rsid w:val="008F5DAC"/>
    <w:rPr>
      <w:color w:val="605E5C"/>
      <w:shd w:val="clear" w:color="auto" w:fill="E1DFDD"/>
    </w:rPr>
  </w:style>
  <w:style w:type="character" w:styleId="Mencionar">
    <w:name w:val="Mention"/>
    <w:basedOn w:val="Fuentedeprrafopredeter"/>
    <w:uiPriority w:val="99"/>
    <w:unhideWhenUsed/>
    <w:rsid w:val="002B0F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842">
      <w:bodyDiv w:val="1"/>
      <w:marLeft w:val="0"/>
      <w:marRight w:val="0"/>
      <w:marTop w:val="0"/>
      <w:marBottom w:val="0"/>
      <w:divBdr>
        <w:top w:val="none" w:sz="0" w:space="0" w:color="auto"/>
        <w:left w:val="none" w:sz="0" w:space="0" w:color="auto"/>
        <w:bottom w:val="none" w:sz="0" w:space="0" w:color="auto"/>
        <w:right w:val="none" w:sz="0" w:space="0" w:color="auto"/>
      </w:divBdr>
    </w:div>
    <w:div w:id="95096778">
      <w:bodyDiv w:val="1"/>
      <w:marLeft w:val="0"/>
      <w:marRight w:val="0"/>
      <w:marTop w:val="0"/>
      <w:marBottom w:val="0"/>
      <w:divBdr>
        <w:top w:val="none" w:sz="0" w:space="0" w:color="auto"/>
        <w:left w:val="none" w:sz="0" w:space="0" w:color="auto"/>
        <w:bottom w:val="none" w:sz="0" w:space="0" w:color="auto"/>
        <w:right w:val="none" w:sz="0" w:space="0" w:color="auto"/>
      </w:divBdr>
    </w:div>
    <w:div w:id="334262233">
      <w:bodyDiv w:val="1"/>
      <w:marLeft w:val="0"/>
      <w:marRight w:val="0"/>
      <w:marTop w:val="0"/>
      <w:marBottom w:val="0"/>
      <w:divBdr>
        <w:top w:val="none" w:sz="0" w:space="0" w:color="auto"/>
        <w:left w:val="none" w:sz="0" w:space="0" w:color="auto"/>
        <w:bottom w:val="none" w:sz="0" w:space="0" w:color="auto"/>
        <w:right w:val="none" w:sz="0" w:space="0" w:color="auto"/>
      </w:divBdr>
    </w:div>
    <w:div w:id="504397032">
      <w:bodyDiv w:val="1"/>
      <w:marLeft w:val="0"/>
      <w:marRight w:val="0"/>
      <w:marTop w:val="0"/>
      <w:marBottom w:val="0"/>
      <w:divBdr>
        <w:top w:val="none" w:sz="0" w:space="0" w:color="auto"/>
        <w:left w:val="none" w:sz="0" w:space="0" w:color="auto"/>
        <w:bottom w:val="none" w:sz="0" w:space="0" w:color="auto"/>
        <w:right w:val="none" w:sz="0" w:space="0" w:color="auto"/>
      </w:divBdr>
    </w:div>
    <w:div w:id="511771968">
      <w:bodyDiv w:val="1"/>
      <w:marLeft w:val="0"/>
      <w:marRight w:val="0"/>
      <w:marTop w:val="0"/>
      <w:marBottom w:val="0"/>
      <w:divBdr>
        <w:top w:val="none" w:sz="0" w:space="0" w:color="auto"/>
        <w:left w:val="none" w:sz="0" w:space="0" w:color="auto"/>
        <w:bottom w:val="none" w:sz="0" w:space="0" w:color="auto"/>
        <w:right w:val="none" w:sz="0" w:space="0" w:color="auto"/>
      </w:divBdr>
    </w:div>
    <w:div w:id="641081111">
      <w:bodyDiv w:val="1"/>
      <w:marLeft w:val="0"/>
      <w:marRight w:val="0"/>
      <w:marTop w:val="0"/>
      <w:marBottom w:val="0"/>
      <w:divBdr>
        <w:top w:val="none" w:sz="0" w:space="0" w:color="auto"/>
        <w:left w:val="none" w:sz="0" w:space="0" w:color="auto"/>
        <w:bottom w:val="none" w:sz="0" w:space="0" w:color="auto"/>
        <w:right w:val="none" w:sz="0" w:space="0" w:color="auto"/>
      </w:divBdr>
    </w:div>
    <w:div w:id="725224519">
      <w:bodyDiv w:val="1"/>
      <w:marLeft w:val="0"/>
      <w:marRight w:val="0"/>
      <w:marTop w:val="0"/>
      <w:marBottom w:val="0"/>
      <w:divBdr>
        <w:top w:val="none" w:sz="0" w:space="0" w:color="auto"/>
        <w:left w:val="none" w:sz="0" w:space="0" w:color="auto"/>
        <w:bottom w:val="none" w:sz="0" w:space="0" w:color="auto"/>
        <w:right w:val="none" w:sz="0" w:space="0" w:color="auto"/>
      </w:divBdr>
    </w:div>
    <w:div w:id="1057702012">
      <w:bodyDiv w:val="1"/>
      <w:marLeft w:val="0"/>
      <w:marRight w:val="0"/>
      <w:marTop w:val="0"/>
      <w:marBottom w:val="0"/>
      <w:divBdr>
        <w:top w:val="none" w:sz="0" w:space="0" w:color="auto"/>
        <w:left w:val="none" w:sz="0" w:space="0" w:color="auto"/>
        <w:bottom w:val="none" w:sz="0" w:space="0" w:color="auto"/>
        <w:right w:val="none" w:sz="0" w:space="0" w:color="auto"/>
      </w:divBdr>
    </w:div>
    <w:div w:id="1108429800">
      <w:bodyDiv w:val="1"/>
      <w:marLeft w:val="0"/>
      <w:marRight w:val="0"/>
      <w:marTop w:val="0"/>
      <w:marBottom w:val="0"/>
      <w:divBdr>
        <w:top w:val="none" w:sz="0" w:space="0" w:color="auto"/>
        <w:left w:val="none" w:sz="0" w:space="0" w:color="auto"/>
        <w:bottom w:val="none" w:sz="0" w:space="0" w:color="auto"/>
        <w:right w:val="none" w:sz="0" w:space="0" w:color="auto"/>
      </w:divBdr>
      <w:divsChild>
        <w:div w:id="762189515">
          <w:marLeft w:val="0"/>
          <w:marRight w:val="0"/>
          <w:marTop w:val="0"/>
          <w:marBottom w:val="0"/>
          <w:divBdr>
            <w:top w:val="none" w:sz="0" w:space="0" w:color="auto"/>
            <w:left w:val="none" w:sz="0" w:space="0" w:color="auto"/>
            <w:bottom w:val="none" w:sz="0" w:space="0" w:color="auto"/>
            <w:right w:val="none" w:sz="0" w:space="0" w:color="auto"/>
          </w:divBdr>
        </w:div>
        <w:div w:id="1769109617">
          <w:marLeft w:val="0"/>
          <w:marRight w:val="0"/>
          <w:marTop w:val="0"/>
          <w:marBottom w:val="0"/>
          <w:divBdr>
            <w:top w:val="none" w:sz="0" w:space="0" w:color="auto"/>
            <w:left w:val="none" w:sz="0" w:space="0" w:color="auto"/>
            <w:bottom w:val="none" w:sz="0" w:space="0" w:color="auto"/>
            <w:right w:val="none" w:sz="0" w:space="0" w:color="auto"/>
          </w:divBdr>
        </w:div>
      </w:divsChild>
    </w:div>
    <w:div w:id="1131439574">
      <w:bodyDiv w:val="1"/>
      <w:marLeft w:val="0"/>
      <w:marRight w:val="0"/>
      <w:marTop w:val="0"/>
      <w:marBottom w:val="0"/>
      <w:divBdr>
        <w:top w:val="none" w:sz="0" w:space="0" w:color="auto"/>
        <w:left w:val="none" w:sz="0" w:space="0" w:color="auto"/>
        <w:bottom w:val="none" w:sz="0" w:space="0" w:color="auto"/>
        <w:right w:val="none" w:sz="0" w:space="0" w:color="auto"/>
      </w:divBdr>
    </w:div>
    <w:div w:id="1192652148">
      <w:bodyDiv w:val="1"/>
      <w:marLeft w:val="0"/>
      <w:marRight w:val="0"/>
      <w:marTop w:val="0"/>
      <w:marBottom w:val="0"/>
      <w:divBdr>
        <w:top w:val="none" w:sz="0" w:space="0" w:color="auto"/>
        <w:left w:val="none" w:sz="0" w:space="0" w:color="auto"/>
        <w:bottom w:val="none" w:sz="0" w:space="0" w:color="auto"/>
        <w:right w:val="none" w:sz="0" w:space="0" w:color="auto"/>
      </w:divBdr>
    </w:div>
    <w:div w:id="1214391856">
      <w:bodyDiv w:val="1"/>
      <w:marLeft w:val="0"/>
      <w:marRight w:val="0"/>
      <w:marTop w:val="0"/>
      <w:marBottom w:val="0"/>
      <w:divBdr>
        <w:top w:val="none" w:sz="0" w:space="0" w:color="auto"/>
        <w:left w:val="none" w:sz="0" w:space="0" w:color="auto"/>
        <w:bottom w:val="none" w:sz="0" w:space="0" w:color="auto"/>
        <w:right w:val="none" w:sz="0" w:space="0" w:color="auto"/>
      </w:divBdr>
    </w:div>
    <w:div w:id="1261255974">
      <w:bodyDiv w:val="1"/>
      <w:marLeft w:val="0"/>
      <w:marRight w:val="0"/>
      <w:marTop w:val="0"/>
      <w:marBottom w:val="0"/>
      <w:divBdr>
        <w:top w:val="none" w:sz="0" w:space="0" w:color="auto"/>
        <w:left w:val="none" w:sz="0" w:space="0" w:color="auto"/>
        <w:bottom w:val="none" w:sz="0" w:space="0" w:color="auto"/>
        <w:right w:val="none" w:sz="0" w:space="0" w:color="auto"/>
      </w:divBdr>
    </w:div>
    <w:div w:id="1266646517">
      <w:bodyDiv w:val="1"/>
      <w:marLeft w:val="0"/>
      <w:marRight w:val="0"/>
      <w:marTop w:val="0"/>
      <w:marBottom w:val="0"/>
      <w:divBdr>
        <w:top w:val="none" w:sz="0" w:space="0" w:color="auto"/>
        <w:left w:val="none" w:sz="0" w:space="0" w:color="auto"/>
        <w:bottom w:val="none" w:sz="0" w:space="0" w:color="auto"/>
        <w:right w:val="none" w:sz="0" w:space="0" w:color="auto"/>
      </w:divBdr>
    </w:div>
    <w:div w:id="1282105033">
      <w:bodyDiv w:val="1"/>
      <w:marLeft w:val="0"/>
      <w:marRight w:val="0"/>
      <w:marTop w:val="0"/>
      <w:marBottom w:val="0"/>
      <w:divBdr>
        <w:top w:val="none" w:sz="0" w:space="0" w:color="auto"/>
        <w:left w:val="none" w:sz="0" w:space="0" w:color="auto"/>
        <w:bottom w:val="none" w:sz="0" w:space="0" w:color="auto"/>
        <w:right w:val="none" w:sz="0" w:space="0" w:color="auto"/>
      </w:divBdr>
    </w:div>
    <w:div w:id="1389955709">
      <w:bodyDiv w:val="1"/>
      <w:marLeft w:val="0"/>
      <w:marRight w:val="0"/>
      <w:marTop w:val="0"/>
      <w:marBottom w:val="0"/>
      <w:divBdr>
        <w:top w:val="none" w:sz="0" w:space="0" w:color="auto"/>
        <w:left w:val="none" w:sz="0" w:space="0" w:color="auto"/>
        <w:bottom w:val="none" w:sz="0" w:space="0" w:color="auto"/>
        <w:right w:val="none" w:sz="0" w:space="0" w:color="auto"/>
      </w:divBdr>
    </w:div>
    <w:div w:id="1446464702">
      <w:bodyDiv w:val="1"/>
      <w:marLeft w:val="0"/>
      <w:marRight w:val="0"/>
      <w:marTop w:val="0"/>
      <w:marBottom w:val="0"/>
      <w:divBdr>
        <w:top w:val="none" w:sz="0" w:space="0" w:color="auto"/>
        <w:left w:val="none" w:sz="0" w:space="0" w:color="auto"/>
        <w:bottom w:val="none" w:sz="0" w:space="0" w:color="auto"/>
        <w:right w:val="none" w:sz="0" w:space="0" w:color="auto"/>
      </w:divBdr>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492868481">
      <w:bodyDiv w:val="1"/>
      <w:marLeft w:val="0"/>
      <w:marRight w:val="0"/>
      <w:marTop w:val="0"/>
      <w:marBottom w:val="0"/>
      <w:divBdr>
        <w:top w:val="none" w:sz="0" w:space="0" w:color="auto"/>
        <w:left w:val="none" w:sz="0" w:space="0" w:color="auto"/>
        <w:bottom w:val="none" w:sz="0" w:space="0" w:color="auto"/>
        <w:right w:val="none" w:sz="0" w:space="0" w:color="auto"/>
      </w:divBdr>
    </w:div>
    <w:div w:id="1591038819">
      <w:bodyDiv w:val="1"/>
      <w:marLeft w:val="0"/>
      <w:marRight w:val="0"/>
      <w:marTop w:val="0"/>
      <w:marBottom w:val="0"/>
      <w:divBdr>
        <w:top w:val="none" w:sz="0" w:space="0" w:color="auto"/>
        <w:left w:val="none" w:sz="0" w:space="0" w:color="auto"/>
        <w:bottom w:val="none" w:sz="0" w:space="0" w:color="auto"/>
        <w:right w:val="none" w:sz="0" w:space="0" w:color="auto"/>
      </w:divBdr>
      <w:divsChild>
        <w:div w:id="517044620">
          <w:marLeft w:val="0"/>
          <w:marRight w:val="0"/>
          <w:marTop w:val="0"/>
          <w:marBottom w:val="0"/>
          <w:divBdr>
            <w:top w:val="none" w:sz="0" w:space="0" w:color="auto"/>
            <w:left w:val="none" w:sz="0" w:space="0" w:color="auto"/>
            <w:bottom w:val="none" w:sz="0" w:space="0" w:color="auto"/>
            <w:right w:val="none" w:sz="0" w:space="0" w:color="auto"/>
          </w:divBdr>
        </w:div>
        <w:div w:id="669020811">
          <w:marLeft w:val="0"/>
          <w:marRight w:val="0"/>
          <w:marTop w:val="0"/>
          <w:marBottom w:val="0"/>
          <w:divBdr>
            <w:top w:val="none" w:sz="0" w:space="0" w:color="auto"/>
            <w:left w:val="none" w:sz="0" w:space="0" w:color="auto"/>
            <w:bottom w:val="none" w:sz="0" w:space="0" w:color="auto"/>
            <w:right w:val="none" w:sz="0" w:space="0" w:color="auto"/>
          </w:divBdr>
        </w:div>
      </w:divsChild>
    </w:div>
    <w:div w:id="1615089591">
      <w:bodyDiv w:val="1"/>
      <w:marLeft w:val="0"/>
      <w:marRight w:val="0"/>
      <w:marTop w:val="0"/>
      <w:marBottom w:val="0"/>
      <w:divBdr>
        <w:top w:val="none" w:sz="0" w:space="0" w:color="auto"/>
        <w:left w:val="none" w:sz="0" w:space="0" w:color="auto"/>
        <w:bottom w:val="none" w:sz="0" w:space="0" w:color="auto"/>
        <w:right w:val="none" w:sz="0" w:space="0" w:color="auto"/>
      </w:divBdr>
    </w:div>
    <w:div w:id="1705784416">
      <w:bodyDiv w:val="1"/>
      <w:marLeft w:val="0"/>
      <w:marRight w:val="0"/>
      <w:marTop w:val="0"/>
      <w:marBottom w:val="0"/>
      <w:divBdr>
        <w:top w:val="none" w:sz="0" w:space="0" w:color="auto"/>
        <w:left w:val="none" w:sz="0" w:space="0" w:color="auto"/>
        <w:bottom w:val="none" w:sz="0" w:space="0" w:color="auto"/>
        <w:right w:val="none" w:sz="0" w:space="0" w:color="auto"/>
      </w:divBdr>
    </w:div>
    <w:div w:id="1727609586">
      <w:bodyDiv w:val="1"/>
      <w:marLeft w:val="0"/>
      <w:marRight w:val="0"/>
      <w:marTop w:val="0"/>
      <w:marBottom w:val="0"/>
      <w:divBdr>
        <w:top w:val="none" w:sz="0" w:space="0" w:color="auto"/>
        <w:left w:val="none" w:sz="0" w:space="0" w:color="auto"/>
        <w:bottom w:val="none" w:sz="0" w:space="0" w:color="auto"/>
        <w:right w:val="none" w:sz="0" w:space="0" w:color="auto"/>
      </w:divBdr>
    </w:div>
    <w:div w:id="1755199747">
      <w:bodyDiv w:val="1"/>
      <w:marLeft w:val="0"/>
      <w:marRight w:val="0"/>
      <w:marTop w:val="0"/>
      <w:marBottom w:val="0"/>
      <w:divBdr>
        <w:top w:val="none" w:sz="0" w:space="0" w:color="auto"/>
        <w:left w:val="none" w:sz="0" w:space="0" w:color="auto"/>
        <w:bottom w:val="none" w:sz="0" w:space="0" w:color="auto"/>
        <w:right w:val="none" w:sz="0" w:space="0" w:color="auto"/>
      </w:divBdr>
      <w:divsChild>
        <w:div w:id="638733607">
          <w:marLeft w:val="446"/>
          <w:marRight w:val="0"/>
          <w:marTop w:val="120"/>
          <w:marBottom w:val="0"/>
          <w:divBdr>
            <w:top w:val="none" w:sz="0" w:space="0" w:color="auto"/>
            <w:left w:val="none" w:sz="0" w:space="0" w:color="auto"/>
            <w:bottom w:val="none" w:sz="0" w:space="0" w:color="auto"/>
            <w:right w:val="none" w:sz="0" w:space="0" w:color="auto"/>
          </w:divBdr>
        </w:div>
        <w:div w:id="1021323582">
          <w:marLeft w:val="1166"/>
          <w:marRight w:val="0"/>
          <w:marTop w:val="120"/>
          <w:marBottom w:val="0"/>
          <w:divBdr>
            <w:top w:val="none" w:sz="0" w:space="0" w:color="auto"/>
            <w:left w:val="none" w:sz="0" w:space="0" w:color="auto"/>
            <w:bottom w:val="none" w:sz="0" w:space="0" w:color="auto"/>
            <w:right w:val="none" w:sz="0" w:space="0" w:color="auto"/>
          </w:divBdr>
        </w:div>
        <w:div w:id="1646356103">
          <w:marLeft w:val="1166"/>
          <w:marRight w:val="0"/>
          <w:marTop w:val="120"/>
          <w:marBottom w:val="0"/>
          <w:divBdr>
            <w:top w:val="none" w:sz="0" w:space="0" w:color="auto"/>
            <w:left w:val="none" w:sz="0" w:space="0" w:color="auto"/>
            <w:bottom w:val="none" w:sz="0" w:space="0" w:color="auto"/>
            <w:right w:val="none" w:sz="0" w:space="0" w:color="auto"/>
          </w:divBdr>
        </w:div>
      </w:divsChild>
    </w:div>
    <w:div w:id="1766876488">
      <w:bodyDiv w:val="1"/>
      <w:marLeft w:val="0"/>
      <w:marRight w:val="0"/>
      <w:marTop w:val="0"/>
      <w:marBottom w:val="0"/>
      <w:divBdr>
        <w:top w:val="none" w:sz="0" w:space="0" w:color="auto"/>
        <w:left w:val="none" w:sz="0" w:space="0" w:color="auto"/>
        <w:bottom w:val="none" w:sz="0" w:space="0" w:color="auto"/>
        <w:right w:val="none" w:sz="0" w:space="0" w:color="auto"/>
      </w:divBdr>
    </w:div>
    <w:div w:id="1882551837">
      <w:bodyDiv w:val="1"/>
      <w:marLeft w:val="0"/>
      <w:marRight w:val="0"/>
      <w:marTop w:val="0"/>
      <w:marBottom w:val="0"/>
      <w:divBdr>
        <w:top w:val="none" w:sz="0" w:space="0" w:color="auto"/>
        <w:left w:val="none" w:sz="0" w:space="0" w:color="auto"/>
        <w:bottom w:val="none" w:sz="0" w:space="0" w:color="auto"/>
        <w:right w:val="none" w:sz="0" w:space="0" w:color="auto"/>
      </w:divBdr>
    </w:div>
    <w:div w:id="1900289417">
      <w:bodyDiv w:val="1"/>
      <w:marLeft w:val="0"/>
      <w:marRight w:val="0"/>
      <w:marTop w:val="0"/>
      <w:marBottom w:val="0"/>
      <w:divBdr>
        <w:top w:val="none" w:sz="0" w:space="0" w:color="auto"/>
        <w:left w:val="none" w:sz="0" w:space="0" w:color="auto"/>
        <w:bottom w:val="none" w:sz="0" w:space="0" w:color="auto"/>
        <w:right w:val="none" w:sz="0" w:space="0" w:color="auto"/>
      </w:divBdr>
    </w:div>
    <w:div w:id="1948080242">
      <w:bodyDiv w:val="1"/>
      <w:marLeft w:val="0"/>
      <w:marRight w:val="0"/>
      <w:marTop w:val="0"/>
      <w:marBottom w:val="0"/>
      <w:divBdr>
        <w:top w:val="none" w:sz="0" w:space="0" w:color="auto"/>
        <w:left w:val="none" w:sz="0" w:space="0" w:color="auto"/>
        <w:bottom w:val="none" w:sz="0" w:space="0" w:color="auto"/>
        <w:right w:val="none" w:sz="0" w:space="0" w:color="auto"/>
      </w:divBdr>
    </w:div>
    <w:div w:id="1989897697">
      <w:bodyDiv w:val="1"/>
      <w:marLeft w:val="0"/>
      <w:marRight w:val="0"/>
      <w:marTop w:val="0"/>
      <w:marBottom w:val="0"/>
      <w:divBdr>
        <w:top w:val="none" w:sz="0" w:space="0" w:color="auto"/>
        <w:left w:val="none" w:sz="0" w:space="0" w:color="auto"/>
        <w:bottom w:val="none" w:sz="0" w:space="0" w:color="auto"/>
        <w:right w:val="none" w:sz="0" w:space="0" w:color="auto"/>
      </w:divBdr>
    </w:div>
    <w:div w:id="1992513694">
      <w:bodyDiv w:val="1"/>
      <w:marLeft w:val="0"/>
      <w:marRight w:val="0"/>
      <w:marTop w:val="0"/>
      <w:marBottom w:val="0"/>
      <w:divBdr>
        <w:top w:val="none" w:sz="0" w:space="0" w:color="auto"/>
        <w:left w:val="none" w:sz="0" w:space="0" w:color="auto"/>
        <w:bottom w:val="none" w:sz="0" w:space="0" w:color="auto"/>
        <w:right w:val="none" w:sz="0" w:space="0" w:color="auto"/>
      </w:divBdr>
    </w:div>
    <w:div w:id="2011903892">
      <w:bodyDiv w:val="1"/>
      <w:marLeft w:val="0"/>
      <w:marRight w:val="0"/>
      <w:marTop w:val="0"/>
      <w:marBottom w:val="0"/>
      <w:divBdr>
        <w:top w:val="none" w:sz="0" w:space="0" w:color="auto"/>
        <w:left w:val="none" w:sz="0" w:space="0" w:color="auto"/>
        <w:bottom w:val="none" w:sz="0" w:space="0" w:color="auto"/>
        <w:right w:val="none" w:sz="0" w:space="0" w:color="auto"/>
      </w:divBdr>
    </w:div>
    <w:div w:id="2065328607">
      <w:bodyDiv w:val="1"/>
      <w:marLeft w:val="0"/>
      <w:marRight w:val="0"/>
      <w:marTop w:val="0"/>
      <w:marBottom w:val="0"/>
      <w:divBdr>
        <w:top w:val="none" w:sz="0" w:space="0" w:color="auto"/>
        <w:left w:val="none" w:sz="0" w:space="0" w:color="auto"/>
        <w:bottom w:val="none" w:sz="0" w:space="0" w:color="auto"/>
        <w:right w:val="none" w:sz="0" w:space="0" w:color="auto"/>
      </w:divBdr>
    </w:div>
    <w:div w:id="2071414311">
      <w:bodyDiv w:val="1"/>
      <w:marLeft w:val="0"/>
      <w:marRight w:val="0"/>
      <w:marTop w:val="0"/>
      <w:marBottom w:val="0"/>
      <w:divBdr>
        <w:top w:val="none" w:sz="0" w:space="0" w:color="auto"/>
        <w:left w:val="none" w:sz="0" w:space="0" w:color="auto"/>
        <w:bottom w:val="none" w:sz="0" w:space="0" w:color="auto"/>
        <w:right w:val="none" w:sz="0" w:space="0" w:color="auto"/>
      </w:divBdr>
    </w:div>
    <w:div w:id="21366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estornormativo.creg.gov.co/gestor/entorno/docs/ley_0143_1994.htm" TargetMode="External"/><Relationship Id="rId18" Type="http://schemas.openxmlformats.org/officeDocument/2006/relationships/hyperlink" Target="https://gestornormativo.creg.gov.co/gestor/entorno/docs/decreto_2108_2015.ht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gestornormativo.creg.gov.co/gestor/entorno/docs/ley_1715_2014.htm" TargetMode="External"/><Relationship Id="rId2" Type="http://schemas.openxmlformats.org/officeDocument/2006/relationships/customXml" Target="../customXml/item2.xml"/><Relationship Id="rId16" Type="http://schemas.openxmlformats.org/officeDocument/2006/relationships/hyperlink" Target="https://gestornormativo.creg.gov.co/gestor/entorno/docs/ley_0143_1994.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gestornormativo.creg.gov.co/gestor/entorno/docs/ley_0142_1994.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estornormativo.creg.gov.co/gestor/entorno/docs/decreto_1073_2015.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stornormativo.creg.gov.co/gestor/entorno/docs/ley_0143_1994.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6a60979-da33-420a-8434-8bf5b3722770" xsi:nil="true"/>
    <lcf76f155ced4ddcb4097134ff3c332f xmlns="2c011d06-38f1-4e80-939a-5db6db66462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A45FE57D81F0E41B4891F775443895E" ma:contentTypeVersion="15" ma:contentTypeDescription="Crear nuevo documento." ma:contentTypeScope="" ma:versionID="313fc65673c9d84f243e776094b59f8d">
  <xsd:schema xmlns:xsd="http://www.w3.org/2001/XMLSchema" xmlns:xs="http://www.w3.org/2001/XMLSchema" xmlns:p="http://schemas.microsoft.com/office/2006/metadata/properties" xmlns:ns2="2c011d06-38f1-4e80-939a-5db6db66462c" xmlns:ns3="96a60979-da33-420a-8434-8bf5b3722770" targetNamespace="http://schemas.microsoft.com/office/2006/metadata/properties" ma:root="true" ma:fieldsID="e92db3edbd8df7459f54449caa3ca0a5" ns2:_="" ns3:_="">
    <xsd:import namespace="2c011d06-38f1-4e80-939a-5db6db66462c"/>
    <xsd:import namespace="96a60979-da33-420a-8434-8bf5b37227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11d06-38f1-4e80-939a-5db6db664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a60979-da33-420a-8434-8bf5b372277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f1284921-373c-464e-afb1-191ae275db4f}" ma:internalName="TaxCatchAll" ma:showField="CatchAllData" ma:web="96a60979-da33-420a-8434-8bf5b3722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7E662-F5E7-4E25-A0AC-0D365527AC2E}">
  <ds:schemaRefs>
    <ds:schemaRef ds:uri="http://schemas.microsoft.com/sharepoint/v3/contenttype/forms"/>
  </ds:schemaRefs>
</ds:datastoreItem>
</file>

<file path=customXml/itemProps2.xml><?xml version="1.0" encoding="utf-8"?>
<ds:datastoreItem xmlns:ds="http://schemas.openxmlformats.org/officeDocument/2006/customXml" ds:itemID="{B7538B3D-CD86-4E7B-AB9D-696236894253}">
  <ds:schemaRefs>
    <ds:schemaRef ds:uri="http://schemas.openxmlformats.org/officeDocument/2006/bibliography"/>
  </ds:schemaRefs>
</ds:datastoreItem>
</file>

<file path=customXml/itemProps3.xml><?xml version="1.0" encoding="utf-8"?>
<ds:datastoreItem xmlns:ds="http://schemas.openxmlformats.org/officeDocument/2006/customXml" ds:itemID="{313EC735-CD6C-463D-87C2-1E291FC32427}">
  <ds:schemaRefs>
    <ds:schemaRef ds:uri="http://schemas.microsoft.com/office/2006/metadata/properties"/>
    <ds:schemaRef ds:uri="http://schemas.microsoft.com/office/infopath/2007/PartnerControls"/>
    <ds:schemaRef ds:uri="96a60979-da33-420a-8434-8bf5b3722770"/>
    <ds:schemaRef ds:uri="2c011d06-38f1-4e80-939a-5db6db66462c"/>
  </ds:schemaRefs>
</ds:datastoreItem>
</file>

<file path=customXml/itemProps4.xml><?xml version="1.0" encoding="utf-8"?>
<ds:datastoreItem xmlns:ds="http://schemas.openxmlformats.org/officeDocument/2006/customXml" ds:itemID="{BADB2270-65E9-47F6-8EFE-79B47ABCE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11d06-38f1-4e80-939a-5db6db66462c"/>
    <ds:schemaRef ds:uri="96a60979-da33-420a-8434-8bf5b3722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371</TotalTime>
  <Pages>1</Pages>
  <Words>1840</Words>
  <Characters>10121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67</cp:revision>
  <cp:lastPrinted>2024-11-28T14:40:00Z</cp:lastPrinted>
  <dcterms:created xsi:type="dcterms:W3CDTF">2024-11-07T12:37:00Z</dcterms:created>
  <dcterms:modified xsi:type="dcterms:W3CDTF">2024-11-28T14:40:00Z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0x0101006A45FE57D81F0E41B4891F775443895E</vt:lpwstr>
  </property>
  <property fmtid="{D5CDD505-2E9C-101B-9397-08002B2CF9AE}" pid="3" name="MediaServiceImageTags">
    <vt:lpwstr/>
  </property>
</Properties>
</file>