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02B27" w14:textId="6524661F" w:rsidR="009C5367" w:rsidRDefault="00000000" w:rsidP="009C5367">
      <w:pPr>
        <w:pStyle w:val="Encabezado"/>
        <w:tabs>
          <w:tab w:val="clear" w:pos="8504"/>
          <w:tab w:val="left" w:pos="0"/>
          <w:tab w:val="right" w:pos="9356"/>
        </w:tabs>
        <w:spacing w:before="0"/>
        <w:jc w:val="center"/>
        <w:rPr>
          <w:rFonts w:ascii="Bookman Old Style" w:hAnsi="Bookman Old Style"/>
          <w:bCs/>
          <w:szCs w:val="24"/>
        </w:rPr>
      </w:pPr>
      <w:r>
        <w:rPr>
          <w:rFonts w:ascii="Bookman Old Style" w:hAnsi="Bookman Old Style"/>
          <w:noProof/>
          <w:szCs w:val="24"/>
        </w:rPr>
        <w:object w:dxaOrig="1440" w:dyaOrig="1440" w14:anchorId="6B489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7.35pt;margin-top:-43.8pt;width:52.5pt;height:48.75pt;z-index:251658240;mso-wrap-edited:f;mso-width-percent:0;mso-height-percent:0;mso-width-percent:0;mso-height-percent:0" fillcolor="#0c9">
            <v:imagedata r:id="rId11" o:title=""/>
          </v:shape>
          <o:OLEObject Type="Embed" ProgID="PBrush" ShapeID="_x0000_s2050" DrawAspect="Content" ObjectID="_1795001797" r:id="rId12"/>
        </w:object>
      </w:r>
    </w:p>
    <w:p w14:paraId="78CB12DC" w14:textId="77777777" w:rsidR="00965EAF" w:rsidRDefault="00965EAF" w:rsidP="00965EAF">
      <w:pPr>
        <w:pStyle w:val="Encabezado"/>
        <w:tabs>
          <w:tab w:val="clear" w:pos="8504"/>
          <w:tab w:val="left" w:pos="0"/>
          <w:tab w:val="right" w:pos="9356"/>
        </w:tabs>
        <w:spacing w:before="0" w:after="0"/>
        <w:jc w:val="center"/>
        <w:rPr>
          <w:rFonts w:ascii="Bookman Old Style" w:hAnsi="Bookman Old Style"/>
          <w:bCs/>
          <w:szCs w:val="24"/>
        </w:rPr>
      </w:pPr>
    </w:p>
    <w:p w14:paraId="2F3E40FF" w14:textId="77777777" w:rsidR="00965EAF" w:rsidRPr="00420D08" w:rsidRDefault="00965EAF" w:rsidP="00965EAF">
      <w:pPr>
        <w:pStyle w:val="Ttulo4"/>
        <w:tabs>
          <w:tab w:val="left" w:pos="0"/>
          <w:tab w:val="right" w:pos="9356"/>
        </w:tabs>
        <w:spacing w:before="0" w:after="0"/>
        <w:rPr>
          <w:rFonts w:ascii="Bookman Old Style" w:hAnsi="Bookman Old Style"/>
          <w:b w:val="0"/>
          <w:bCs/>
          <w:sz w:val="24"/>
          <w:szCs w:val="24"/>
        </w:rPr>
      </w:pPr>
    </w:p>
    <w:p w14:paraId="02504A09" w14:textId="77777777" w:rsidR="00965EAF" w:rsidRPr="00420D08" w:rsidRDefault="00965EAF" w:rsidP="00965EAF">
      <w:pPr>
        <w:pStyle w:val="Ttulo4"/>
        <w:tabs>
          <w:tab w:val="left" w:pos="0"/>
          <w:tab w:val="right" w:pos="9356"/>
        </w:tabs>
        <w:spacing w:before="0" w:after="0"/>
        <w:rPr>
          <w:rFonts w:ascii="Bookman Old Style" w:hAnsi="Bookman Old Style"/>
          <w:b w:val="0"/>
          <w:bCs/>
          <w:noProof/>
          <w:sz w:val="24"/>
          <w:szCs w:val="24"/>
          <w:lang w:val="es-ES"/>
        </w:rPr>
      </w:pPr>
      <w:r w:rsidRPr="00420D08">
        <w:rPr>
          <w:rFonts w:ascii="Bookman Old Style" w:hAnsi="Bookman Old Style"/>
          <w:b w:val="0"/>
          <w:bCs/>
          <w:sz w:val="24"/>
          <w:szCs w:val="24"/>
        </w:rPr>
        <w:t>Ministerio de Minas y Energía</w:t>
      </w:r>
    </w:p>
    <w:p w14:paraId="5D34F51D" w14:textId="77777777" w:rsidR="00965EAF" w:rsidRPr="00420D08" w:rsidRDefault="00965EAF" w:rsidP="00965EAF">
      <w:pPr>
        <w:pStyle w:val="Ttulo4"/>
        <w:tabs>
          <w:tab w:val="left" w:pos="0"/>
          <w:tab w:val="right" w:pos="9356"/>
        </w:tabs>
        <w:spacing w:before="0" w:after="0"/>
        <w:rPr>
          <w:rFonts w:ascii="Bookman Old Style" w:hAnsi="Bookman Old Style"/>
          <w:b w:val="0"/>
          <w:bCs/>
          <w:sz w:val="24"/>
          <w:szCs w:val="24"/>
        </w:rPr>
      </w:pPr>
    </w:p>
    <w:p w14:paraId="53AC3C11" w14:textId="77777777" w:rsidR="00965EAF" w:rsidRPr="00420D08" w:rsidRDefault="00965EAF" w:rsidP="00965EAF">
      <w:pPr>
        <w:pStyle w:val="Ttulo3"/>
        <w:tabs>
          <w:tab w:val="left" w:pos="0"/>
          <w:tab w:val="right" w:pos="9356"/>
        </w:tabs>
        <w:spacing w:before="0" w:after="0"/>
        <w:rPr>
          <w:rFonts w:ascii="Bookman Old Style" w:hAnsi="Bookman Old Style" w:cs="Arial"/>
          <w:spacing w:val="20"/>
          <w:szCs w:val="24"/>
        </w:rPr>
      </w:pPr>
      <w:r w:rsidRPr="00420D08">
        <w:rPr>
          <w:rFonts w:ascii="Bookman Old Style" w:hAnsi="Bookman Old Style" w:cs="Arial"/>
          <w:spacing w:val="20"/>
          <w:szCs w:val="24"/>
        </w:rPr>
        <w:t>COMISIÓN DE REGULACIÓN DE ENERGÍA Y GAS</w:t>
      </w:r>
    </w:p>
    <w:p w14:paraId="1189438D" w14:textId="77777777" w:rsidR="00965EAF" w:rsidRPr="00420D08" w:rsidRDefault="00965EAF" w:rsidP="00965EAF">
      <w:pPr>
        <w:pStyle w:val="Ttulo5"/>
        <w:tabs>
          <w:tab w:val="left" w:pos="0"/>
          <w:tab w:val="right" w:pos="9356"/>
        </w:tabs>
        <w:spacing w:before="0" w:after="0"/>
        <w:rPr>
          <w:rFonts w:ascii="Bookman Old Style" w:hAnsi="Bookman Old Style"/>
          <w:sz w:val="24"/>
          <w:szCs w:val="24"/>
        </w:rPr>
      </w:pPr>
    </w:p>
    <w:p w14:paraId="59F136DD" w14:textId="77777777" w:rsidR="00965EAF" w:rsidRPr="00420D08" w:rsidRDefault="00965EAF" w:rsidP="00965EAF">
      <w:pPr>
        <w:pStyle w:val="Ttulo5"/>
        <w:tabs>
          <w:tab w:val="left" w:pos="0"/>
          <w:tab w:val="right" w:pos="9356"/>
        </w:tabs>
        <w:spacing w:before="0" w:after="0"/>
        <w:rPr>
          <w:rFonts w:ascii="Bookman Old Style" w:hAnsi="Bookman Old Style"/>
          <w:sz w:val="24"/>
          <w:szCs w:val="24"/>
        </w:rPr>
      </w:pPr>
    </w:p>
    <w:p w14:paraId="15D2906F" w14:textId="77777777" w:rsidR="00965EAF" w:rsidRPr="008C1215" w:rsidRDefault="00965EAF" w:rsidP="00965EAF">
      <w:pPr>
        <w:pStyle w:val="Ttulo5"/>
        <w:tabs>
          <w:tab w:val="left" w:pos="0"/>
          <w:tab w:val="right" w:pos="9356"/>
        </w:tabs>
        <w:spacing w:before="0" w:after="0"/>
        <w:rPr>
          <w:rFonts w:ascii="Bookman Old Style" w:hAnsi="Bookman Old Style"/>
          <w:sz w:val="24"/>
          <w:szCs w:val="24"/>
        </w:rPr>
      </w:pPr>
      <w:r w:rsidRPr="008C1215">
        <w:rPr>
          <w:rFonts w:ascii="Bookman Old Style" w:hAnsi="Bookman Old Style"/>
          <w:sz w:val="24"/>
          <w:szCs w:val="24"/>
        </w:rPr>
        <w:t xml:space="preserve">RESOLUCIÓN </w:t>
      </w:r>
      <w:r w:rsidRPr="0042019F">
        <w:rPr>
          <w:rFonts w:ascii="Bookman Old Style" w:hAnsi="Bookman Old Style"/>
          <w:sz w:val="32"/>
          <w:szCs w:val="32"/>
        </w:rPr>
        <w:fldChar w:fldCharType="begin"/>
      </w:r>
      <w:r w:rsidRPr="0042019F">
        <w:rPr>
          <w:rFonts w:ascii="Bookman Old Style" w:hAnsi="Bookman Old Style"/>
          <w:sz w:val="32"/>
          <w:szCs w:val="32"/>
        </w:rPr>
        <w:instrText xml:space="preserve"> MERGEFIELD  NumeroResolucion  \* MERGEFORMAT </w:instrText>
      </w:r>
      <w:r w:rsidRPr="0042019F">
        <w:rPr>
          <w:rFonts w:ascii="Bookman Old Style" w:hAnsi="Bookman Old Style"/>
          <w:sz w:val="32"/>
          <w:szCs w:val="32"/>
        </w:rPr>
        <w:fldChar w:fldCharType="separate"/>
      </w:r>
      <w:r w:rsidRPr="0042019F">
        <w:rPr>
          <w:rFonts w:ascii="Bookman Old Style" w:hAnsi="Bookman Old Style"/>
          <w:sz w:val="32"/>
          <w:szCs w:val="32"/>
        </w:rPr>
        <w:t>502 113</w:t>
      </w:r>
      <w:r w:rsidRPr="0042019F">
        <w:rPr>
          <w:rFonts w:ascii="Bookman Old Style" w:hAnsi="Bookman Old Style"/>
          <w:sz w:val="32"/>
          <w:szCs w:val="32"/>
        </w:rPr>
        <w:fldChar w:fldCharType="end"/>
      </w:r>
      <w:r w:rsidRPr="0042019F">
        <w:rPr>
          <w:rFonts w:ascii="Bookman Old Style" w:hAnsi="Bookman Old Style"/>
          <w:sz w:val="32"/>
          <w:szCs w:val="32"/>
        </w:rPr>
        <w:t xml:space="preserve"> DE </w:t>
      </w:r>
      <w:r w:rsidRPr="0042019F">
        <w:rPr>
          <w:rFonts w:ascii="Bookman Old Style" w:hAnsi="Bookman Old Style"/>
          <w:sz w:val="32"/>
          <w:szCs w:val="32"/>
        </w:rPr>
        <w:fldChar w:fldCharType="begin"/>
      </w:r>
      <w:r w:rsidRPr="0042019F">
        <w:rPr>
          <w:rFonts w:ascii="Bookman Old Style" w:hAnsi="Bookman Old Style"/>
          <w:sz w:val="32"/>
          <w:szCs w:val="32"/>
        </w:rPr>
        <w:instrText xml:space="preserve"> MERGEFIELD  Anio  \* MERGEFORMAT </w:instrText>
      </w:r>
      <w:r w:rsidRPr="0042019F">
        <w:rPr>
          <w:rFonts w:ascii="Bookman Old Style" w:hAnsi="Bookman Old Style"/>
          <w:sz w:val="32"/>
          <w:szCs w:val="32"/>
        </w:rPr>
        <w:fldChar w:fldCharType="separate"/>
      </w:r>
      <w:r w:rsidRPr="0042019F">
        <w:rPr>
          <w:rFonts w:ascii="Bookman Old Style" w:hAnsi="Bookman Old Style"/>
          <w:noProof/>
          <w:sz w:val="32"/>
          <w:szCs w:val="32"/>
        </w:rPr>
        <w:t>2024</w:t>
      </w:r>
      <w:r w:rsidRPr="0042019F">
        <w:rPr>
          <w:rFonts w:ascii="Bookman Old Style" w:hAnsi="Bookman Old Style"/>
          <w:sz w:val="32"/>
          <w:szCs w:val="32"/>
        </w:rPr>
        <w:fldChar w:fldCharType="end"/>
      </w:r>
    </w:p>
    <w:p w14:paraId="49FBA520" w14:textId="77777777" w:rsidR="00965EAF" w:rsidRPr="008C1215" w:rsidRDefault="00965EAF" w:rsidP="00965EAF">
      <w:pPr>
        <w:tabs>
          <w:tab w:val="left" w:pos="0"/>
          <w:tab w:val="right" w:pos="9356"/>
        </w:tabs>
        <w:spacing w:before="0" w:after="0"/>
        <w:jc w:val="center"/>
        <w:rPr>
          <w:rFonts w:cs="Arial"/>
          <w:b/>
          <w:snapToGrid w:val="0"/>
          <w:color w:val="000000"/>
          <w:lang w:val="es-ES_tradnl"/>
        </w:rPr>
      </w:pPr>
    </w:p>
    <w:p w14:paraId="0A4B5AD2" w14:textId="0DB182CF" w:rsidR="00965EAF" w:rsidRPr="0042019F" w:rsidRDefault="00965EAF" w:rsidP="00FD1786">
      <w:pPr>
        <w:pStyle w:val="Ttulo3"/>
        <w:tabs>
          <w:tab w:val="left" w:pos="0"/>
          <w:tab w:val="right" w:pos="9356"/>
        </w:tabs>
        <w:spacing w:before="0" w:after="0"/>
      </w:pPr>
      <w:r w:rsidRPr="0042019F">
        <w:rPr>
          <w:rFonts w:ascii="Bookman Old Style" w:hAnsi="Bookman Old Style"/>
          <w:bCs/>
          <w:szCs w:val="24"/>
        </w:rPr>
        <w:t>(</w:t>
      </w:r>
      <w:r w:rsidR="0042019F" w:rsidRPr="0042019F">
        <w:rPr>
          <w:rFonts w:ascii="Bookman Old Style" w:hAnsi="Bookman Old Style"/>
          <w:bCs/>
          <w:szCs w:val="24"/>
        </w:rPr>
        <w:t>14 NOV.2024</w:t>
      </w:r>
      <w:r w:rsidRPr="0042019F">
        <w:rPr>
          <w:rFonts w:ascii="Bookman Old Style" w:hAnsi="Bookman Old Style"/>
          <w:bCs/>
          <w:szCs w:val="24"/>
        </w:rPr>
        <w:t>)</w:t>
      </w:r>
    </w:p>
    <w:p w14:paraId="4171FFD9" w14:textId="77777777" w:rsidR="00965EAF" w:rsidRPr="008C1215" w:rsidRDefault="00965EAF" w:rsidP="00965EAF">
      <w:pPr>
        <w:tabs>
          <w:tab w:val="left" w:pos="0"/>
          <w:tab w:val="right" w:pos="9356"/>
        </w:tabs>
        <w:spacing w:before="0" w:after="0"/>
        <w:jc w:val="center"/>
        <w:rPr>
          <w:lang w:val="es-ES_tradnl"/>
        </w:rPr>
      </w:pPr>
    </w:p>
    <w:p w14:paraId="03BBB0C3" w14:textId="77777777" w:rsidR="00965EAF" w:rsidRPr="008C1215" w:rsidRDefault="00965EAF" w:rsidP="00965EAF">
      <w:pPr>
        <w:tabs>
          <w:tab w:val="left" w:pos="0"/>
          <w:tab w:val="right" w:pos="9356"/>
        </w:tabs>
        <w:spacing w:before="0" w:after="0"/>
        <w:jc w:val="center"/>
        <w:rPr>
          <w:lang w:val="es-ES_tradnl"/>
        </w:rPr>
      </w:pPr>
    </w:p>
    <w:p w14:paraId="0E83FC5C" w14:textId="21519B74" w:rsidR="008F6E08" w:rsidRPr="008C1215" w:rsidRDefault="00FE0833" w:rsidP="00F800EE">
      <w:pPr>
        <w:widowControl w:val="0"/>
        <w:adjustRightInd w:val="0"/>
        <w:spacing w:before="0" w:after="0"/>
        <w:ind w:right="23"/>
        <w:jc w:val="center"/>
        <w:rPr>
          <w:rFonts w:cs="Arial"/>
        </w:rPr>
      </w:pPr>
      <w:r w:rsidRPr="008C1215">
        <w:rPr>
          <w:rFonts w:cs="Arial"/>
        </w:rPr>
        <w:t>Por la cual se aprueba</w:t>
      </w:r>
      <w:r w:rsidR="008F6E08" w:rsidRPr="008C1215">
        <w:rPr>
          <w:rFonts w:cs="Arial"/>
        </w:rPr>
        <w:t>n</w:t>
      </w:r>
      <w:r w:rsidRPr="008C1215">
        <w:rPr>
          <w:rFonts w:cs="Arial"/>
        </w:rPr>
        <w:t xml:space="preserve"> </w:t>
      </w:r>
      <w:r w:rsidR="008F6E08" w:rsidRPr="008C1215">
        <w:rPr>
          <w:rFonts w:cs="Arial"/>
        </w:rPr>
        <w:t xml:space="preserve">el </w:t>
      </w:r>
      <w:r w:rsidR="00517666" w:rsidRPr="008C1215">
        <w:rPr>
          <w:rFonts w:cs="Arial"/>
        </w:rPr>
        <w:t>M</w:t>
      </w:r>
      <w:r w:rsidR="008F6E08" w:rsidRPr="008C1215">
        <w:rPr>
          <w:rFonts w:cs="Arial"/>
        </w:rPr>
        <w:t xml:space="preserve">ercado </w:t>
      </w:r>
      <w:r w:rsidR="00517666" w:rsidRPr="008C1215">
        <w:rPr>
          <w:rFonts w:cs="Arial"/>
        </w:rPr>
        <w:t>R</w:t>
      </w:r>
      <w:r w:rsidR="008F6E08" w:rsidRPr="008C1215">
        <w:rPr>
          <w:rFonts w:cs="Arial"/>
        </w:rPr>
        <w:t xml:space="preserve">elevante de </w:t>
      </w:r>
      <w:r w:rsidR="00517666" w:rsidRPr="008C1215">
        <w:rPr>
          <w:rFonts w:cs="Arial"/>
        </w:rPr>
        <w:t>D</w:t>
      </w:r>
      <w:r w:rsidR="008F6E08" w:rsidRPr="008C1215">
        <w:rPr>
          <w:rFonts w:cs="Arial"/>
        </w:rPr>
        <w:t xml:space="preserve">istribución conformado por </w:t>
      </w:r>
      <w:r w:rsidR="00F43F97" w:rsidRPr="008C1215">
        <w:rPr>
          <w:rFonts w:cs="Arial"/>
        </w:rPr>
        <w:t xml:space="preserve">el municipio de </w:t>
      </w:r>
      <w:r w:rsidR="00167AA6">
        <w:rPr>
          <w:rFonts w:cs="Arial"/>
        </w:rPr>
        <w:t>Toca</w:t>
      </w:r>
      <w:r w:rsidR="00F43F97" w:rsidRPr="008C1215">
        <w:rPr>
          <w:rFonts w:cs="Arial"/>
        </w:rPr>
        <w:t xml:space="preserve"> en el departamento de Boyac</w:t>
      </w:r>
      <w:r w:rsidR="00F43F97" w:rsidRPr="00184756">
        <w:rPr>
          <w:rFonts w:cs="Arial"/>
        </w:rPr>
        <w:t>á</w:t>
      </w:r>
      <w:r w:rsidR="00737BF5" w:rsidRPr="008C1215">
        <w:rPr>
          <w:rFonts w:cs="Arial"/>
        </w:rPr>
        <w:t>,</w:t>
      </w:r>
      <w:r w:rsidR="00FE0F03" w:rsidRPr="008C1215">
        <w:rPr>
          <w:rFonts w:cs="Arial"/>
        </w:rPr>
        <w:t xml:space="preserve"> y </w:t>
      </w:r>
      <w:r w:rsidR="008F6E08" w:rsidRPr="008C1215">
        <w:rPr>
          <w:rFonts w:cs="Arial"/>
        </w:rPr>
        <w:t xml:space="preserve">el cargo de distribución por uso del sistema de distribución de </w:t>
      </w:r>
      <w:r w:rsidR="007573D9">
        <w:rPr>
          <w:rFonts w:cs="Arial"/>
        </w:rPr>
        <w:t>Gas Licuado de Petróleo</w:t>
      </w:r>
      <w:r w:rsidR="008F6E08" w:rsidRPr="008C1215">
        <w:rPr>
          <w:rFonts w:cs="Arial"/>
        </w:rPr>
        <w:t xml:space="preserve"> </w:t>
      </w:r>
      <w:r w:rsidR="00A27D98">
        <w:rPr>
          <w:rFonts w:cs="Arial"/>
        </w:rPr>
        <w:t xml:space="preserve">(GLP) </w:t>
      </w:r>
      <w:r w:rsidR="008F6E08" w:rsidRPr="008C1215">
        <w:rPr>
          <w:rFonts w:cs="Arial"/>
        </w:rPr>
        <w:t>por redes de tubería para el mismo</w:t>
      </w:r>
      <w:r w:rsidR="00E45AAF">
        <w:rPr>
          <w:rFonts w:cs="Arial"/>
        </w:rPr>
        <w:t xml:space="preserve"> mercado</w:t>
      </w:r>
      <w:r w:rsidR="008F6E08" w:rsidRPr="008C1215">
        <w:rPr>
          <w:rFonts w:cs="Arial"/>
        </w:rPr>
        <w:t>.</w:t>
      </w:r>
    </w:p>
    <w:p w14:paraId="292703A6" w14:textId="0FDC9DA8" w:rsidR="008F6E08" w:rsidRPr="008C1215" w:rsidRDefault="008F6E08" w:rsidP="008F6E08">
      <w:pPr>
        <w:widowControl w:val="0"/>
        <w:adjustRightInd w:val="0"/>
        <w:spacing w:before="0" w:after="0"/>
        <w:ind w:right="23"/>
        <w:rPr>
          <w:rFonts w:cs="Arial"/>
        </w:rPr>
      </w:pPr>
    </w:p>
    <w:p w14:paraId="1D98DEA5" w14:textId="77777777" w:rsidR="008F6E08" w:rsidRPr="008C1215" w:rsidRDefault="008F6E08" w:rsidP="008F6E08">
      <w:pPr>
        <w:widowControl w:val="0"/>
        <w:adjustRightInd w:val="0"/>
        <w:spacing w:before="0" w:after="0"/>
        <w:ind w:right="23"/>
      </w:pPr>
    </w:p>
    <w:p w14:paraId="6B31A049" w14:textId="5DE753BA" w:rsidR="00E379D9" w:rsidRPr="005039CA" w:rsidRDefault="00E379D9" w:rsidP="00787EB1">
      <w:pPr>
        <w:widowControl w:val="0"/>
        <w:adjustRightInd w:val="0"/>
        <w:spacing w:before="0" w:after="0"/>
        <w:ind w:right="23"/>
        <w:jc w:val="center"/>
        <w:rPr>
          <w:b/>
        </w:rPr>
      </w:pPr>
      <w:r w:rsidRPr="008C1215">
        <w:rPr>
          <w:b/>
        </w:rPr>
        <w:t>LA COMISIÓN DE REGULACIÓN DE ENERGÍA Y GAS</w:t>
      </w:r>
    </w:p>
    <w:p w14:paraId="0EA1AB34" w14:textId="77777777" w:rsidR="00E379D9" w:rsidRPr="001954E9" w:rsidRDefault="00E379D9" w:rsidP="00FE0833">
      <w:pPr>
        <w:widowControl w:val="0"/>
        <w:adjustRightInd w:val="0"/>
        <w:ind w:right="20"/>
        <w:rPr>
          <w:rFonts w:cs="Arial"/>
          <w:lang w:val="es-ES_tradnl"/>
        </w:rPr>
      </w:pPr>
    </w:p>
    <w:p w14:paraId="0AA6A3FE" w14:textId="2F46C740" w:rsidR="00045D3D" w:rsidRPr="00BF69C9" w:rsidRDefault="009A0748" w:rsidP="001A7613">
      <w:pPr>
        <w:spacing w:before="0" w:after="0"/>
        <w:jc w:val="center"/>
      </w:pPr>
      <w:r w:rsidRPr="00BF69C9">
        <w:t xml:space="preserve">En ejercicio de sus atribuciones constitucionales y legales, en especial las conferidas por </w:t>
      </w:r>
      <w:r w:rsidRPr="003315FD">
        <w:t>la Ley 142</w:t>
      </w:r>
      <w:r w:rsidR="00FD4165">
        <w:t xml:space="preserve"> de 1994</w:t>
      </w:r>
      <w:r w:rsidRPr="003315FD">
        <w:t xml:space="preserve"> y</w:t>
      </w:r>
      <w:r w:rsidR="00E835B3" w:rsidRPr="003315FD">
        <w:t>,</w:t>
      </w:r>
      <w:r w:rsidRPr="003315FD">
        <w:t xml:space="preserve"> en desarrollo de los Decretos 2253 de 1994</w:t>
      </w:r>
      <w:r w:rsidR="008D09B9">
        <w:t xml:space="preserve"> </w:t>
      </w:r>
      <w:r w:rsidRPr="003315FD">
        <w:t>y 1260 de 2013</w:t>
      </w:r>
      <w:r w:rsidR="00E835B3" w:rsidRPr="003315FD">
        <w:t>;</w:t>
      </w:r>
      <w:r w:rsidR="00E379D9" w:rsidRPr="003315FD">
        <w:t xml:space="preserve"> y,</w:t>
      </w:r>
    </w:p>
    <w:p w14:paraId="35EE09A9" w14:textId="77777777" w:rsidR="00045D3D" w:rsidRPr="00BF69C9" w:rsidRDefault="00955F64" w:rsidP="003B3EF0">
      <w:pPr>
        <w:suppressAutoHyphens/>
        <w:spacing w:before="480" w:after="480"/>
        <w:jc w:val="center"/>
        <w:rPr>
          <w:b/>
        </w:rPr>
      </w:pPr>
      <w:r w:rsidRPr="00BF69C9">
        <w:rPr>
          <w:b/>
        </w:rPr>
        <w:t>C</w:t>
      </w:r>
      <w:r w:rsidR="00045D3D" w:rsidRPr="00BF69C9">
        <w:rPr>
          <w:b/>
        </w:rPr>
        <w:t>ONSIDERAND</w:t>
      </w:r>
      <w:r w:rsidR="00A06C25" w:rsidRPr="00BF69C9">
        <w:rPr>
          <w:b/>
        </w:rPr>
        <w:t>O</w:t>
      </w:r>
      <w:r w:rsidRPr="00BF69C9">
        <w:rPr>
          <w:b/>
        </w:rPr>
        <w:t xml:space="preserve"> </w:t>
      </w:r>
      <w:r w:rsidR="00A06C25" w:rsidRPr="00BF69C9">
        <w:rPr>
          <w:b/>
        </w:rPr>
        <w:t>Q</w:t>
      </w:r>
      <w:r w:rsidR="00045D3D" w:rsidRPr="00BF69C9">
        <w:rPr>
          <w:b/>
        </w:rPr>
        <w:t>UE:</w:t>
      </w:r>
    </w:p>
    <w:p w14:paraId="0A4A2533" w14:textId="7C9DC2AF" w:rsidR="003615B9" w:rsidRDefault="003615B9" w:rsidP="003615B9">
      <w:pPr>
        <w:adjustRightInd w:val="0"/>
        <w:spacing w:before="240" w:after="240"/>
        <w:rPr>
          <w:rFonts w:cs="Arial"/>
        </w:rPr>
      </w:pPr>
      <w:r w:rsidRPr="001954E9">
        <w:rPr>
          <w:rFonts w:cs="Arial"/>
        </w:rPr>
        <w:t xml:space="preserve">El </w:t>
      </w:r>
      <w:r w:rsidR="00056D68">
        <w:rPr>
          <w:rFonts w:cs="Arial"/>
        </w:rPr>
        <w:t>n</w:t>
      </w:r>
      <w:r>
        <w:rPr>
          <w:rFonts w:cs="Arial"/>
        </w:rPr>
        <w:t>umeral</w:t>
      </w:r>
      <w:r w:rsidRPr="001954E9">
        <w:rPr>
          <w:rFonts w:cs="Arial"/>
        </w:rPr>
        <w:t xml:space="preserve"> 14.28 </w:t>
      </w:r>
      <w:r>
        <w:rPr>
          <w:rFonts w:cs="Arial"/>
        </w:rPr>
        <w:t xml:space="preserve">del </w:t>
      </w:r>
      <w:r w:rsidR="00110039">
        <w:rPr>
          <w:rFonts w:cs="Arial"/>
        </w:rPr>
        <w:t>a</w:t>
      </w:r>
      <w:r>
        <w:rPr>
          <w:rFonts w:cs="Arial"/>
        </w:rPr>
        <w:t xml:space="preserve">rtículo 14 </w:t>
      </w:r>
      <w:r w:rsidRPr="001954E9">
        <w:rPr>
          <w:rFonts w:cs="Arial"/>
        </w:rPr>
        <w:t>de la Ley 142 de 1994 defin</w:t>
      </w:r>
      <w:r w:rsidR="00E379D9">
        <w:rPr>
          <w:rFonts w:cs="Arial"/>
        </w:rPr>
        <w:t>e</w:t>
      </w:r>
      <w:r w:rsidRPr="001954E9">
        <w:rPr>
          <w:rFonts w:cs="Arial"/>
        </w:rPr>
        <w:t xml:space="preserve"> el servicio público domiciliario de gas combustible como </w:t>
      </w:r>
      <w:r w:rsidR="00E379D9" w:rsidRPr="00ED69DF">
        <w:rPr>
          <w:rFonts w:cs="Arial"/>
          <w:i/>
          <w:iCs/>
        </w:rPr>
        <w:t>“…e</w:t>
      </w:r>
      <w:r w:rsidRPr="00ED69DF">
        <w:rPr>
          <w:rFonts w:cs="Arial"/>
          <w:i/>
          <w:iCs/>
        </w:rPr>
        <w:t>l conjunto de actividades ordenadas a la distribución de gas combustible, por tubería u otro medio, desde un sitio de acopio de grandes volúmenes o desde un gasoducto central hasta la instalación de un consumidor final, incluyendo su conexión y medición</w:t>
      </w:r>
      <w:r w:rsidR="00ED69DF" w:rsidRPr="00ED69DF">
        <w:rPr>
          <w:rFonts w:cs="Arial"/>
          <w:i/>
          <w:iCs/>
        </w:rPr>
        <w:t>”</w:t>
      </w:r>
      <w:r w:rsidR="0077621A">
        <w:rPr>
          <w:rFonts w:cs="Arial"/>
          <w:i/>
          <w:iCs/>
        </w:rPr>
        <w:t>.</w:t>
      </w:r>
    </w:p>
    <w:p w14:paraId="5981DA76" w14:textId="73B6AD22" w:rsidR="003615B9" w:rsidRPr="001954E9" w:rsidRDefault="003615B9" w:rsidP="003615B9">
      <w:pPr>
        <w:adjustRightInd w:val="0"/>
        <w:spacing w:before="240" w:after="240"/>
        <w:rPr>
          <w:rFonts w:cs="Arial"/>
        </w:rPr>
      </w:pPr>
      <w:r w:rsidRPr="001954E9">
        <w:rPr>
          <w:rFonts w:cs="Arial"/>
        </w:rPr>
        <w:t xml:space="preserve">Según lo dispuesto por el </w:t>
      </w:r>
      <w:r w:rsidR="00F800EE">
        <w:rPr>
          <w:rFonts w:cs="Arial"/>
        </w:rPr>
        <w:t>a</w:t>
      </w:r>
      <w:r w:rsidRPr="001954E9">
        <w:rPr>
          <w:rFonts w:cs="Arial"/>
        </w:rPr>
        <w:t xml:space="preserve">rtículo 28 de la Ley 142 de 1994, la construcción y operación de redes </w:t>
      </w:r>
      <w:r>
        <w:rPr>
          <w:rFonts w:cs="Arial"/>
        </w:rPr>
        <w:t xml:space="preserve">para la distribución de gas, así </w:t>
      </w:r>
      <w:r w:rsidRPr="001954E9">
        <w:rPr>
          <w:rFonts w:cs="Arial"/>
        </w:rPr>
        <w:t>como el señalamiento de las tarifas por uso, se regirán exclusivamente por es</w:t>
      </w:r>
      <w:r w:rsidR="00ED69DF">
        <w:rPr>
          <w:rFonts w:cs="Arial"/>
        </w:rPr>
        <w:t>t</w:t>
      </w:r>
      <w:r w:rsidRPr="001954E9">
        <w:rPr>
          <w:rFonts w:cs="Arial"/>
        </w:rPr>
        <w:t>a Ley.</w:t>
      </w:r>
    </w:p>
    <w:p w14:paraId="65A6BEE6" w14:textId="0E4F3E37" w:rsidR="003615B9" w:rsidRDefault="003615B9" w:rsidP="00514676">
      <w:pPr>
        <w:adjustRightInd w:val="0"/>
        <w:rPr>
          <w:rFonts w:cs="Arial"/>
        </w:rPr>
      </w:pPr>
      <w:r w:rsidRPr="001954E9">
        <w:rPr>
          <w:rFonts w:cs="Arial"/>
        </w:rPr>
        <w:t xml:space="preserve">El </w:t>
      </w:r>
      <w:r w:rsidR="00F800EE">
        <w:rPr>
          <w:rFonts w:cs="Arial"/>
        </w:rPr>
        <w:t>n</w:t>
      </w:r>
      <w:r>
        <w:rPr>
          <w:rFonts w:cs="Arial"/>
        </w:rPr>
        <w:t xml:space="preserve">umeral </w:t>
      </w:r>
      <w:r w:rsidRPr="001954E9">
        <w:rPr>
          <w:rFonts w:cs="Arial"/>
        </w:rPr>
        <w:t xml:space="preserve">73.11 </w:t>
      </w:r>
      <w:r>
        <w:rPr>
          <w:rFonts w:cs="Arial"/>
        </w:rPr>
        <w:t xml:space="preserve">del </w:t>
      </w:r>
      <w:r w:rsidR="00CE2B49">
        <w:rPr>
          <w:rFonts w:cs="Arial"/>
        </w:rPr>
        <w:t>a</w:t>
      </w:r>
      <w:r>
        <w:rPr>
          <w:rFonts w:cs="Arial"/>
        </w:rPr>
        <w:t xml:space="preserve">rtículo 73 </w:t>
      </w:r>
      <w:r w:rsidRPr="001954E9">
        <w:rPr>
          <w:rFonts w:cs="Arial"/>
        </w:rPr>
        <w:t>de la Ley 142 de 1994 atribuy</w:t>
      </w:r>
      <w:r w:rsidR="00CE2B49">
        <w:rPr>
          <w:rFonts w:cs="Arial"/>
        </w:rPr>
        <w:t>ó</w:t>
      </w:r>
      <w:r w:rsidRPr="001954E9">
        <w:rPr>
          <w:rFonts w:cs="Arial"/>
        </w:rPr>
        <w:t xml:space="preserve"> a la Comisión de Regulación de Energía y Gas</w:t>
      </w:r>
      <w:r w:rsidR="00CE2B49">
        <w:rPr>
          <w:rFonts w:cs="Arial"/>
        </w:rPr>
        <w:t>, CREG,</w:t>
      </w:r>
      <w:r w:rsidRPr="001954E9">
        <w:rPr>
          <w:rFonts w:cs="Arial"/>
        </w:rPr>
        <w:t xml:space="preserve"> la competencia para establecer las fórmulas para la fijación de las tarifas del servicio público domiciliario de gas combustible.</w:t>
      </w:r>
    </w:p>
    <w:p w14:paraId="6FD372DE" w14:textId="77777777" w:rsidR="00C142CE" w:rsidRDefault="00C142CE" w:rsidP="00C142CE">
      <w:pPr>
        <w:adjustRightInd w:val="0"/>
        <w:spacing w:before="240" w:after="240"/>
        <w:rPr>
          <w:rFonts w:cs="Arial"/>
        </w:rPr>
      </w:pPr>
      <w:r w:rsidRPr="001954E9">
        <w:rPr>
          <w:rFonts w:cs="Arial"/>
        </w:rPr>
        <w:t xml:space="preserve">Según lo dispuesto </w:t>
      </w:r>
      <w:r>
        <w:rPr>
          <w:rFonts w:cs="Arial"/>
        </w:rPr>
        <w:t xml:space="preserve">en </w:t>
      </w:r>
      <w:r w:rsidRPr="001954E9">
        <w:rPr>
          <w:rFonts w:cs="Arial"/>
        </w:rPr>
        <w:t xml:space="preserve">el </w:t>
      </w:r>
      <w:r>
        <w:rPr>
          <w:rFonts w:cs="Arial"/>
        </w:rPr>
        <w:t xml:space="preserve">numeral </w:t>
      </w:r>
      <w:r w:rsidRPr="001954E9">
        <w:rPr>
          <w:rFonts w:cs="Arial"/>
        </w:rPr>
        <w:t xml:space="preserve">88.1 </w:t>
      </w:r>
      <w:r>
        <w:rPr>
          <w:rFonts w:cs="Arial"/>
        </w:rPr>
        <w:t xml:space="preserve">del artículo 88 </w:t>
      </w:r>
      <w:r w:rsidRPr="001954E9">
        <w:rPr>
          <w:rFonts w:cs="Arial"/>
        </w:rPr>
        <w:t>de la Ley 142 de 1994, la CREG podrá establecer topes máximos y mínimos tarifarios, de obligatorio cumplimiento por parte de las empresas.</w:t>
      </w:r>
    </w:p>
    <w:p w14:paraId="236DF460" w14:textId="77777777" w:rsidR="004338A8" w:rsidRDefault="004338A8" w:rsidP="004338A8">
      <w:pPr>
        <w:adjustRightInd w:val="0"/>
        <w:spacing w:before="240" w:after="240"/>
        <w:rPr>
          <w:rFonts w:cs="Arial"/>
        </w:rPr>
      </w:pPr>
      <w:r>
        <w:rPr>
          <w:rFonts w:cs="Arial"/>
        </w:rPr>
        <w:t xml:space="preserve">El artículo 126 de la Ley 142 de 1994, modificado por el artículo 52 de la Ley 2099 de 2021, establece que las fórmulas tarifarias tendrán una vigencia de </w:t>
      </w:r>
      <w:r>
        <w:rPr>
          <w:rFonts w:cs="Arial"/>
        </w:rPr>
        <w:lastRenderedPageBreak/>
        <w:t>cinco años y que, vencido el período de vigencia de las mismas, éstas continuarán rigiendo mientras la Comisión no fije las nuevas.</w:t>
      </w:r>
    </w:p>
    <w:p w14:paraId="2C2CD47E" w14:textId="77777777" w:rsidR="003615B9" w:rsidRDefault="003615B9" w:rsidP="003615B9">
      <w:pPr>
        <w:adjustRightInd w:val="0"/>
        <w:spacing w:before="240" w:after="240"/>
        <w:rPr>
          <w:rFonts w:cs="Arial"/>
        </w:rPr>
      </w:pPr>
      <w:r>
        <w:rPr>
          <w:rFonts w:cs="Arial"/>
        </w:rPr>
        <w:t>Mediante la Resolución CREG 137 de 2013 se establecieron las fórmulas tarifarias generales para la prestación del servicio público domiciliario de gas combustible por redes de tubería a usuarios regulados.</w:t>
      </w:r>
    </w:p>
    <w:p w14:paraId="7B2A5A0C" w14:textId="3836EB31" w:rsidR="00AE72E1" w:rsidRPr="008C1215" w:rsidRDefault="00AE72E1" w:rsidP="00AE72E1">
      <w:pPr>
        <w:adjustRightInd w:val="0"/>
        <w:spacing w:before="240" w:after="240"/>
        <w:rPr>
          <w:rFonts w:cs="Arial"/>
          <w:color w:val="000000" w:themeColor="text1"/>
        </w:rPr>
      </w:pPr>
      <w:r w:rsidRPr="4A5A59C1">
        <w:rPr>
          <w:rFonts w:cs="Arial"/>
          <w:color w:val="000000" w:themeColor="text1"/>
        </w:rPr>
        <w:t xml:space="preserve">En el artículo 4 de la mencionada resolución, se fijaron las Fórmulas Tarifarias Generales aplicables a los usuarios regulados del servicio público domiciliario de gas combustible por redes de tubería y, en el artículo 12, corregido por el artículo 1 de la Resolución CREG 008 de 2014, se dispuso que el costo por uso de los Sistemas de Distribución corresponderá al cargo de distribución que ha sido </w:t>
      </w:r>
      <w:r w:rsidRPr="008C1215">
        <w:rPr>
          <w:rFonts w:cs="Arial"/>
          <w:color w:val="000000" w:themeColor="text1"/>
        </w:rPr>
        <w:t>aprobado para el Mercado Relevante de Distribución de acuerdo con el tipo de usuario y la Resolución CREG 011 de 2003 o aquellas que la aclaren, modifiquen o sustituyan es decir, la Resolución CREG 202 de 2013</w:t>
      </w:r>
      <w:r w:rsidR="00982CC0" w:rsidRPr="008C1215">
        <w:rPr>
          <w:rStyle w:val="Refdenotaalpie"/>
          <w:rFonts w:cs="Arial"/>
          <w:color w:val="000000" w:themeColor="text1"/>
        </w:rPr>
        <w:footnoteReference w:id="2"/>
      </w:r>
      <w:r w:rsidRPr="008C1215">
        <w:rPr>
          <w:rFonts w:cs="Arial"/>
          <w:color w:val="000000" w:themeColor="text1"/>
        </w:rPr>
        <w:t xml:space="preserve">, en concordancia con las Resoluciones 138 de 2014, 090 y 132 de 2018, y 011 de 2020, </w:t>
      </w:r>
      <w:r w:rsidR="00675A19" w:rsidRPr="008C1215">
        <w:rPr>
          <w:rFonts w:cs="Arial"/>
          <w:color w:val="000000" w:themeColor="text1"/>
        </w:rPr>
        <w:t>en conjunto, la Metodología de Distribución</w:t>
      </w:r>
      <w:r w:rsidR="00386C1B" w:rsidRPr="008C1215">
        <w:rPr>
          <w:rStyle w:val="Refdenotaalpie"/>
          <w:rFonts w:cs="Arial"/>
          <w:color w:val="000000" w:themeColor="text1"/>
        </w:rPr>
        <w:footnoteReference w:id="3"/>
      </w:r>
      <w:r w:rsidR="00675A19" w:rsidRPr="008C1215">
        <w:rPr>
          <w:rFonts w:cs="Arial"/>
          <w:color w:val="000000" w:themeColor="text1"/>
        </w:rPr>
        <w:t>.</w:t>
      </w:r>
    </w:p>
    <w:p w14:paraId="697BE0BF" w14:textId="77777777" w:rsidR="00106027" w:rsidRPr="008C1215" w:rsidRDefault="00106027" w:rsidP="00106027">
      <w:pPr>
        <w:adjustRightInd w:val="0"/>
        <w:spacing w:before="240" w:after="240"/>
        <w:rPr>
          <w:rFonts w:cs="Arial"/>
        </w:rPr>
      </w:pPr>
      <w:r w:rsidRPr="00184756">
        <w:rPr>
          <w:rFonts w:cs="Arial"/>
        </w:rPr>
        <w:t>Mediante Circular CREG 030 de 2019 se divulgó el procedimiento que se debe tener en cuenta para el trámite de solicitudes tarifarias para la aprobación de cargos de distribución de gas combustible por redes de tubería.</w:t>
      </w:r>
    </w:p>
    <w:p w14:paraId="27A136A4" w14:textId="57F7869C" w:rsidR="00502000" w:rsidRDefault="00856C7E" w:rsidP="00856C7E">
      <w:pPr>
        <w:adjustRightInd w:val="0"/>
        <w:spacing w:before="240" w:after="240"/>
        <w:rPr>
          <w:rFonts w:cs="Arial"/>
        </w:rPr>
      </w:pPr>
      <w:r w:rsidRPr="008C1215">
        <w:rPr>
          <w:rFonts w:cs="Arial"/>
        </w:rPr>
        <w:t>En desarrollo de dicho procedimiento</w:t>
      </w:r>
      <w:r w:rsidR="00D56881" w:rsidRPr="008C1215">
        <w:rPr>
          <w:rFonts w:cs="Arial"/>
        </w:rPr>
        <w:t>,</w:t>
      </w:r>
      <w:r w:rsidRPr="008C1215">
        <w:rPr>
          <w:rFonts w:cs="Arial"/>
        </w:rPr>
        <w:t xml:space="preserve"> con base en la facultad otorgada en el parágrafo 2 del numeral 9.5 del artículo 9 de la Metodología</w:t>
      </w:r>
      <w:r w:rsidR="00D56881" w:rsidRPr="008C1215">
        <w:rPr>
          <w:rFonts w:cs="Arial"/>
        </w:rPr>
        <w:t xml:space="preserve"> </w:t>
      </w:r>
      <w:r w:rsidR="001F6AA2">
        <w:rPr>
          <w:rFonts w:cs="Arial"/>
        </w:rPr>
        <w:t xml:space="preserve">de distribución </w:t>
      </w:r>
      <w:r w:rsidR="0035517A">
        <w:rPr>
          <w:rFonts w:cs="Arial"/>
        </w:rPr>
        <w:t>se</w:t>
      </w:r>
      <w:r w:rsidRPr="008C1215">
        <w:rPr>
          <w:rFonts w:cs="Arial"/>
        </w:rPr>
        <w:t xml:space="preserve"> previ</w:t>
      </w:r>
      <w:r w:rsidR="0035517A">
        <w:rPr>
          <w:rFonts w:cs="Arial"/>
        </w:rPr>
        <w:t>ó</w:t>
      </w:r>
      <w:r w:rsidRPr="008C1215">
        <w:rPr>
          <w:rFonts w:cs="Arial"/>
        </w:rPr>
        <w:t xml:space="preserve"> establecer el cronograma de presentación de solicitudes tarifarias</w:t>
      </w:r>
      <w:r w:rsidR="0035517A">
        <w:rPr>
          <w:rFonts w:cs="Arial"/>
        </w:rPr>
        <w:t>.</w:t>
      </w:r>
      <w:r w:rsidRPr="008C1215">
        <w:rPr>
          <w:rFonts w:cs="Arial"/>
        </w:rPr>
        <w:t xml:space="preserve"> </w:t>
      </w:r>
      <w:r w:rsidR="0035517A">
        <w:rPr>
          <w:rFonts w:cs="Arial"/>
        </w:rPr>
        <w:t>M</w:t>
      </w:r>
      <w:r w:rsidRPr="008C1215">
        <w:rPr>
          <w:rFonts w:cs="Arial"/>
        </w:rPr>
        <w:t xml:space="preserve">ediante Circular </w:t>
      </w:r>
      <w:r w:rsidR="00D56881" w:rsidRPr="008C1215">
        <w:rPr>
          <w:rFonts w:cs="Arial"/>
        </w:rPr>
        <w:t>0</w:t>
      </w:r>
      <w:r w:rsidRPr="008C1215">
        <w:rPr>
          <w:rFonts w:cs="Arial"/>
        </w:rPr>
        <w:t>31 de 2019 se solicitó a las empresas distribuidoras el cargue en el Aplicativo Apligas de la información de activos, con el fin de establecer la muestra para adelantar la verificación de la calidad de la información sobre los activos reportados por las empresas distribuidoras de gas combustible por redes</w:t>
      </w:r>
      <w:r w:rsidR="00F53332">
        <w:rPr>
          <w:rFonts w:cs="Arial"/>
        </w:rPr>
        <w:t xml:space="preserve"> de tubería</w:t>
      </w:r>
      <w:r w:rsidR="00710413">
        <w:rPr>
          <w:rFonts w:cs="Arial"/>
        </w:rPr>
        <w:t>,</w:t>
      </w:r>
      <w:r w:rsidR="00813E05">
        <w:rPr>
          <w:rFonts w:cs="Arial"/>
        </w:rPr>
        <w:t xml:space="preserve"> y con ello</w:t>
      </w:r>
      <w:r w:rsidRPr="008C1215">
        <w:rPr>
          <w:rFonts w:cs="Arial"/>
        </w:rPr>
        <w:t xml:space="preserve"> determinar los cargos por uso de los sistemas de distribución, conforme a lo previsto en el Anexo 3 de </w:t>
      </w:r>
      <w:r w:rsidR="00710413">
        <w:rPr>
          <w:rFonts w:cs="Arial"/>
        </w:rPr>
        <w:t>l</w:t>
      </w:r>
      <w:r w:rsidRPr="008C1215">
        <w:rPr>
          <w:rFonts w:cs="Arial"/>
        </w:rPr>
        <w:t>a Metodología.</w:t>
      </w:r>
    </w:p>
    <w:p w14:paraId="0DE0718F" w14:textId="5C3205D7" w:rsidR="00107204" w:rsidRPr="00CF3500" w:rsidRDefault="00107204" w:rsidP="00107204">
      <w:pPr>
        <w:rPr>
          <w:rFonts w:cs="Arial"/>
          <w:color w:val="000000" w:themeColor="text1"/>
        </w:rPr>
      </w:pPr>
      <w:r w:rsidRPr="00CF3500">
        <w:rPr>
          <w:rFonts w:cs="Arial"/>
          <w:color w:val="000000" w:themeColor="text1"/>
        </w:rPr>
        <w:t xml:space="preserve">Mediante comunicación con </w:t>
      </w:r>
      <w:r>
        <w:rPr>
          <w:rFonts w:cs="Arial"/>
          <w:color w:val="000000" w:themeColor="text1"/>
        </w:rPr>
        <w:t>r</w:t>
      </w:r>
      <w:r w:rsidRPr="00CF3500">
        <w:rPr>
          <w:rFonts w:cs="Arial"/>
          <w:color w:val="000000" w:themeColor="text1"/>
        </w:rPr>
        <w:t xml:space="preserve">adicado CREG S-2019-005200 del 16 de septiembre de 2019, se notificó a REDNOVA sobre el inicio del proceso de Verificación Tipo I en relación con la información reportada por la empresa en </w:t>
      </w:r>
      <w:r>
        <w:rPr>
          <w:rFonts w:cs="Arial"/>
          <w:color w:val="000000" w:themeColor="text1"/>
        </w:rPr>
        <w:t>APLIGAS</w:t>
      </w:r>
      <w:r w:rsidRPr="00CF3500">
        <w:rPr>
          <w:rFonts w:cs="Arial"/>
          <w:color w:val="000000" w:themeColor="text1"/>
        </w:rPr>
        <w:t xml:space="preserve">. Este proceso fue llevado a cabo por la firma DIVISA INGENIEROS CONSULTORES ASOCIADOS LTDA., en virtud del Contrato N° 073 de 2019 suscrito para tal fin. Con base en los resultados de las verificaciones documental y de campo, el Informe Final concluyó que la empresa no cumple con los requisitos establecidos en la Metodología, recomendando a la Comisión </w:t>
      </w:r>
      <w:r w:rsidRPr="006B56F8">
        <w:rPr>
          <w:rFonts w:cs="Arial"/>
          <w:i/>
          <w:iCs/>
          <w:color w:val="000000" w:themeColor="text1"/>
        </w:rPr>
        <w:t>“RECHAZAR la información reportada por la empresa REDNOVA S.A.S. E.S.P.  para efectos de la aprobación de cargos tarifarios de distribución de gas combustible por redes de tubería”.</w:t>
      </w:r>
    </w:p>
    <w:p w14:paraId="5302AC4B" w14:textId="2A2A6779" w:rsidR="00107204" w:rsidRPr="00CF3500" w:rsidRDefault="00107204" w:rsidP="00107204">
      <w:pPr>
        <w:rPr>
          <w:rFonts w:cs="Arial"/>
          <w:color w:val="000000" w:themeColor="text1"/>
        </w:rPr>
      </w:pPr>
      <w:r w:rsidRPr="00CF3500">
        <w:rPr>
          <w:rFonts w:cs="Arial"/>
          <w:color w:val="000000" w:themeColor="text1"/>
        </w:rPr>
        <w:lastRenderedPageBreak/>
        <w:t xml:space="preserve">El numeral 1 del Anexo 3 de la </w:t>
      </w:r>
      <w:r>
        <w:rPr>
          <w:rFonts w:cs="Arial"/>
          <w:color w:val="000000" w:themeColor="text1"/>
        </w:rPr>
        <w:t>M</w:t>
      </w:r>
      <w:r w:rsidRPr="00CF3500">
        <w:rPr>
          <w:rFonts w:cs="Arial"/>
          <w:color w:val="000000" w:themeColor="text1"/>
        </w:rPr>
        <w:t>etodología, dispone la facultad que tiene la Comisión para decretar pruebas, en caso de rechazar la información de activos en la Verificación Tipo 1, con el objeto de contar con elementos de convicción adicionales</w:t>
      </w:r>
      <w:r>
        <w:rPr>
          <w:rFonts w:cs="Arial"/>
          <w:color w:val="000000" w:themeColor="text1"/>
        </w:rPr>
        <w:t>,</w:t>
      </w:r>
      <w:r w:rsidRPr="00CF3500">
        <w:rPr>
          <w:rFonts w:cs="Arial"/>
          <w:color w:val="000000" w:themeColor="text1"/>
        </w:rPr>
        <w:t xml:space="preserve"> que permitan reconsiderar o ratificar la conclusión proferida por la empresa verificadora sobre la calidad de la información de activos reportada con corte al 31 de diciembre de 2018. Conforme a lo anterior, la Comisión expidió el auto de pruebas I-2020-002355 del 13 de mayo de 2020.</w:t>
      </w:r>
    </w:p>
    <w:p w14:paraId="2EA91D8A" w14:textId="4DAD6740" w:rsidR="00107204" w:rsidRPr="00107204" w:rsidRDefault="00107204" w:rsidP="00107204">
      <w:pPr>
        <w:rPr>
          <w:rFonts w:cs="Arial"/>
          <w:color w:val="000000" w:themeColor="text1"/>
        </w:rPr>
      </w:pPr>
      <w:r w:rsidRPr="00255DAA">
        <w:rPr>
          <w:rFonts w:cs="Arial"/>
          <w:color w:val="000000" w:themeColor="text1"/>
        </w:rPr>
        <w:t xml:space="preserve">Una vez valorado, por parte de la Comisión, el resultado de la prueba </w:t>
      </w:r>
      <w:r w:rsidR="001065EB" w:rsidRPr="00255DAA">
        <w:rPr>
          <w:rFonts w:cs="Arial"/>
          <w:color w:val="000000" w:themeColor="text1"/>
        </w:rPr>
        <w:t xml:space="preserve">practicada, </w:t>
      </w:r>
      <w:r w:rsidR="001065EB">
        <w:rPr>
          <w:rFonts w:cs="Arial"/>
          <w:color w:val="000000" w:themeColor="text1"/>
        </w:rPr>
        <w:t>se</w:t>
      </w:r>
      <w:r w:rsidRPr="00255DAA">
        <w:rPr>
          <w:rFonts w:cs="Arial"/>
          <w:color w:val="000000" w:themeColor="text1"/>
        </w:rPr>
        <w:t xml:space="preserve"> le informó a la empresa REDNOVA mediante comunicación S-2020-004247</w:t>
      </w:r>
      <w:r>
        <w:rPr>
          <w:rFonts w:cs="Arial"/>
          <w:color w:val="000000" w:themeColor="text1"/>
        </w:rPr>
        <w:t xml:space="preserve"> </w:t>
      </w:r>
      <w:r w:rsidRPr="00255DAA">
        <w:rPr>
          <w:rFonts w:cs="Arial"/>
          <w:color w:val="000000" w:themeColor="text1"/>
        </w:rPr>
        <w:t>del 10 de agosto de 2020, que concluyó satisfactoriamente el Proceso de</w:t>
      </w:r>
      <w:r>
        <w:rPr>
          <w:rFonts w:cs="Arial"/>
          <w:color w:val="000000" w:themeColor="text1"/>
        </w:rPr>
        <w:t xml:space="preserve"> </w:t>
      </w:r>
      <w:r w:rsidRPr="00255DAA">
        <w:rPr>
          <w:rFonts w:cs="Arial"/>
          <w:color w:val="000000" w:themeColor="text1"/>
        </w:rPr>
        <w:t>Verificación Tipo 1 de la Calidad de la Información de Activos de Distribución de</w:t>
      </w:r>
      <w:r>
        <w:rPr>
          <w:rFonts w:cs="Arial"/>
          <w:color w:val="000000" w:themeColor="text1"/>
        </w:rPr>
        <w:t xml:space="preserve"> </w:t>
      </w:r>
      <w:r w:rsidRPr="00255DAA">
        <w:rPr>
          <w:rFonts w:cs="Arial"/>
          <w:color w:val="000000" w:themeColor="text1"/>
        </w:rPr>
        <w:t>Gas Combustible por Redes de Tubería reportados en APLIGAS.</w:t>
      </w:r>
      <w:r w:rsidR="001065EB">
        <w:rPr>
          <w:rFonts w:cs="Arial"/>
          <w:color w:val="000000" w:themeColor="text1"/>
        </w:rPr>
        <w:t xml:space="preserve"> Así, e</w:t>
      </w:r>
      <w:r w:rsidR="001065EB" w:rsidRPr="001065EB">
        <w:rPr>
          <w:rFonts w:cs="Arial"/>
          <w:color w:val="000000" w:themeColor="text1"/>
        </w:rPr>
        <w:t>n relación a las verificaciones anteriormente mencionada, La Comisión encontró que sobre los activos reportados no hay registros de unidades constructivas que, dentro del análisis de la solicitud y de los autos de prueba remitidos, se le hayan solicitado aclaraciones dentro del mercado de Toca.</w:t>
      </w:r>
    </w:p>
    <w:p w14:paraId="19C91F3B" w14:textId="0E5EFF8E" w:rsidR="001B21E3" w:rsidRDefault="001B21E3" w:rsidP="001B21E3">
      <w:pPr>
        <w:spacing w:before="240" w:after="240"/>
        <w:rPr>
          <w:rFonts w:cs="Arial"/>
        </w:rPr>
      </w:pPr>
      <w:r w:rsidRPr="39D0F79E">
        <w:rPr>
          <w:rFonts w:cs="Arial"/>
        </w:rPr>
        <w:t xml:space="preserve">Mediante Circular CREG 062 de 2020, modificada por la Circular CREG 068 de 2020 y adicionada por las Circulares 082 y 084 de 2020, el Director Ejecutivo de la CREG definió </w:t>
      </w:r>
      <w:r>
        <w:rPr>
          <w:rFonts w:cs="Arial"/>
        </w:rPr>
        <w:t>el</w:t>
      </w:r>
      <w:r w:rsidRPr="39D0F79E">
        <w:rPr>
          <w:rFonts w:cs="Arial"/>
        </w:rPr>
        <w:t xml:space="preserve"> cronograma </w:t>
      </w:r>
      <w:r>
        <w:rPr>
          <w:rFonts w:cs="Arial"/>
        </w:rPr>
        <w:t>para que</w:t>
      </w:r>
      <w:r w:rsidRPr="39D0F79E">
        <w:rPr>
          <w:rFonts w:cs="Arial"/>
        </w:rPr>
        <w:t xml:space="preserve"> las empresas distribuidoras de gas combustible por redes</w:t>
      </w:r>
      <w:r w:rsidR="00F53332">
        <w:rPr>
          <w:rFonts w:cs="Arial"/>
        </w:rPr>
        <w:t xml:space="preserve"> de tubería</w:t>
      </w:r>
      <w:r w:rsidR="005E2B6B">
        <w:rPr>
          <w:rFonts w:cs="Arial"/>
        </w:rPr>
        <w:t>,</w:t>
      </w:r>
      <w:r w:rsidRPr="39D0F79E">
        <w:rPr>
          <w:rFonts w:cs="Arial"/>
        </w:rPr>
        <w:t xml:space="preserve"> </w:t>
      </w:r>
      <w:r>
        <w:rPr>
          <w:rFonts w:cs="Arial"/>
        </w:rPr>
        <w:t>hicieran el reporte de información a través del aplicativo Apligas y presentaran, por medios electrónicos, las solicitudes de aprobación de cargos de distribución para el siguiente periodo tarifario.</w:t>
      </w:r>
    </w:p>
    <w:p w14:paraId="5069E8F6" w14:textId="6D7E984A" w:rsidR="00106027" w:rsidRPr="008C1215" w:rsidRDefault="00106027" w:rsidP="00106027">
      <w:pPr>
        <w:adjustRightInd w:val="0"/>
        <w:spacing w:before="240" w:after="240"/>
      </w:pPr>
      <w:r w:rsidRPr="003B0C1D">
        <w:t xml:space="preserve">El día 19 de agosto de 2020, la Dirección Ejecutiva de la Comisión expidió la Circular CREG 77 de 2020, </w:t>
      </w:r>
      <w:r w:rsidRPr="278C2A31">
        <w:t>en donde se suministr</w:t>
      </w:r>
      <w:r>
        <w:t>aron</w:t>
      </w:r>
      <w:r w:rsidRPr="003B0C1D">
        <w:t xml:space="preserve"> las listas de chequeo </w:t>
      </w:r>
      <w:r w:rsidRPr="008C1215">
        <w:t>indicativas actualizadas que ha utilizado la Comisión para la verificación de la completitud de las solicitudes de aprobación de cargos de distribución para el siguiente periodo tarifario, dirigida a las empresas distribuidoras de gas combustible por redes de tubería que deben presentar solicitudes de aprobación de cargos para mercados relevantes de distribución para el siguiente periodo tarifario. </w:t>
      </w:r>
    </w:p>
    <w:p w14:paraId="34A82B88" w14:textId="18353406" w:rsidR="003F5BAF" w:rsidRPr="008C1215" w:rsidRDefault="007B59FA" w:rsidP="00F77C21">
      <w:pPr>
        <w:adjustRightInd w:val="0"/>
        <w:spacing w:before="240" w:after="240"/>
        <w:rPr>
          <w:rFonts w:cs="Arial"/>
        </w:rPr>
      </w:pPr>
      <w:r>
        <w:rPr>
          <w:rFonts w:cs="Arial"/>
        </w:rPr>
        <w:t>A</w:t>
      </w:r>
      <w:r w:rsidR="001304F3" w:rsidRPr="008C1215">
        <w:rPr>
          <w:rFonts w:cs="Arial"/>
        </w:rPr>
        <w:t xml:space="preserve"> través de comunicaci</w:t>
      </w:r>
      <w:r w:rsidR="009E569D" w:rsidRPr="008C1215">
        <w:rPr>
          <w:rFonts w:cs="Arial"/>
        </w:rPr>
        <w:t>ón</w:t>
      </w:r>
      <w:r w:rsidR="001304F3" w:rsidRPr="008C1215">
        <w:rPr>
          <w:rFonts w:cs="Arial"/>
        </w:rPr>
        <w:t xml:space="preserve"> </w:t>
      </w:r>
      <w:r w:rsidR="00C35ABF" w:rsidRPr="008C1215">
        <w:rPr>
          <w:rFonts w:cs="Arial"/>
        </w:rPr>
        <w:t xml:space="preserve">con </w:t>
      </w:r>
      <w:r w:rsidR="009E569D" w:rsidRPr="008C1215">
        <w:rPr>
          <w:rFonts w:cs="Arial"/>
        </w:rPr>
        <w:t>R</w:t>
      </w:r>
      <w:r w:rsidR="00C35ABF" w:rsidRPr="008C1215">
        <w:rPr>
          <w:rFonts w:cs="Arial"/>
        </w:rPr>
        <w:t xml:space="preserve">adicado </w:t>
      </w:r>
      <w:r w:rsidR="00EB0927" w:rsidRPr="008C1215">
        <w:rPr>
          <w:rFonts w:cs="Arial"/>
        </w:rPr>
        <w:t xml:space="preserve">CREG </w:t>
      </w:r>
      <w:bookmarkStart w:id="0" w:name="_Hlk55381156"/>
      <w:r w:rsidR="00DA573D" w:rsidRPr="00DA573D">
        <w:rPr>
          <w:rFonts w:cs="Arial"/>
        </w:rPr>
        <w:t>E-2020-011479</w:t>
      </w:r>
      <w:r w:rsidR="00CF4D6E" w:rsidRPr="008C1215">
        <w:rPr>
          <w:rFonts w:cs="Arial"/>
        </w:rPr>
        <w:t xml:space="preserve"> </w:t>
      </w:r>
      <w:r w:rsidR="009327E7" w:rsidRPr="008C1215">
        <w:rPr>
          <w:rFonts w:cs="Arial"/>
        </w:rPr>
        <w:t xml:space="preserve">del </w:t>
      </w:r>
      <w:r w:rsidR="00CF4D6E" w:rsidRPr="00184756">
        <w:rPr>
          <w:rFonts w:cs="Arial"/>
        </w:rPr>
        <w:t xml:space="preserve">18 </w:t>
      </w:r>
      <w:r w:rsidR="00F41A92" w:rsidRPr="00184756">
        <w:rPr>
          <w:rFonts w:cs="Arial"/>
        </w:rPr>
        <w:t xml:space="preserve">de </w:t>
      </w:r>
      <w:r w:rsidR="00CF4D6E" w:rsidRPr="00184756">
        <w:rPr>
          <w:rFonts w:cs="Arial"/>
        </w:rPr>
        <w:t xml:space="preserve">septiembre </w:t>
      </w:r>
      <w:r w:rsidR="00F41A92" w:rsidRPr="00184756">
        <w:rPr>
          <w:rFonts w:cs="Arial"/>
        </w:rPr>
        <w:t xml:space="preserve">de </w:t>
      </w:r>
      <w:r w:rsidR="00CF4D6E" w:rsidRPr="00184756">
        <w:rPr>
          <w:rFonts w:cs="Arial"/>
        </w:rPr>
        <w:t>202</w:t>
      </w:r>
      <w:r w:rsidR="00CF4D6E" w:rsidRPr="008C1215">
        <w:rPr>
          <w:rFonts w:cs="Arial"/>
        </w:rPr>
        <w:t>0</w:t>
      </w:r>
      <w:r w:rsidR="00737BF5" w:rsidRPr="008C1215">
        <w:rPr>
          <w:rFonts w:cs="Arial"/>
        </w:rPr>
        <w:t>,</w:t>
      </w:r>
      <w:r w:rsidR="009327E7" w:rsidRPr="008C1215">
        <w:rPr>
          <w:rFonts w:cs="Arial"/>
        </w:rPr>
        <w:t xml:space="preserve"> </w:t>
      </w:r>
      <w:bookmarkEnd w:id="0"/>
      <w:r w:rsidR="009327E7" w:rsidRPr="008C1215">
        <w:rPr>
          <w:rFonts w:cs="Arial"/>
        </w:rPr>
        <w:t xml:space="preserve">y </w:t>
      </w:r>
      <w:r w:rsidR="00FE3D94">
        <w:rPr>
          <w:rFonts w:cs="Arial"/>
        </w:rPr>
        <w:t>n</w:t>
      </w:r>
      <w:r w:rsidR="009327E7" w:rsidRPr="008C1215">
        <w:rPr>
          <w:rFonts w:cs="Arial"/>
        </w:rPr>
        <w:t xml:space="preserve">úmero de </w:t>
      </w:r>
      <w:r w:rsidR="0080321C" w:rsidRPr="008C1215">
        <w:rPr>
          <w:rFonts w:cs="Arial"/>
        </w:rPr>
        <w:t>s</w:t>
      </w:r>
      <w:r w:rsidR="009327E7" w:rsidRPr="008C1215">
        <w:rPr>
          <w:rFonts w:cs="Arial"/>
        </w:rPr>
        <w:t xml:space="preserve">olicitud Apligas </w:t>
      </w:r>
      <w:r w:rsidR="00DA573D">
        <w:rPr>
          <w:rFonts w:cs="Arial"/>
        </w:rPr>
        <w:t>2244</w:t>
      </w:r>
      <w:r w:rsidR="001304F3" w:rsidRPr="008C1215">
        <w:rPr>
          <w:rFonts w:cs="Arial"/>
        </w:rPr>
        <w:t xml:space="preserve">, </w:t>
      </w:r>
      <w:r>
        <w:rPr>
          <w:rFonts w:cs="Arial"/>
        </w:rPr>
        <w:t xml:space="preserve">REDNOVA </w:t>
      </w:r>
      <w:r w:rsidR="003D2290" w:rsidRPr="008C1215">
        <w:rPr>
          <w:rFonts w:cs="Arial"/>
        </w:rPr>
        <w:t xml:space="preserve">presentó solicitud tarifaria </w:t>
      </w:r>
      <w:r w:rsidR="0075091F" w:rsidRPr="008C1215">
        <w:rPr>
          <w:rFonts w:cs="Arial"/>
        </w:rPr>
        <w:t>para</w:t>
      </w:r>
      <w:r w:rsidR="00243488" w:rsidRPr="008C1215">
        <w:rPr>
          <w:rFonts w:cs="Arial"/>
        </w:rPr>
        <w:t xml:space="preserve">: (i) </w:t>
      </w:r>
      <w:r w:rsidR="00BD4774" w:rsidRPr="008C1215">
        <w:rPr>
          <w:rFonts w:cs="Arial"/>
        </w:rPr>
        <w:t>a</w:t>
      </w:r>
      <w:r w:rsidR="00243488" w:rsidRPr="008C1215">
        <w:rPr>
          <w:rFonts w:cs="Arial"/>
        </w:rPr>
        <w:t>proba</w:t>
      </w:r>
      <w:r w:rsidR="00BD4774" w:rsidRPr="008C1215">
        <w:rPr>
          <w:rFonts w:cs="Arial"/>
        </w:rPr>
        <w:t>r</w:t>
      </w:r>
      <w:r w:rsidR="00243488" w:rsidRPr="008C1215">
        <w:rPr>
          <w:rFonts w:cs="Arial"/>
        </w:rPr>
        <w:t xml:space="preserve"> el Mercado Relevante de Distribución de </w:t>
      </w:r>
      <w:r w:rsidR="007573D9">
        <w:rPr>
          <w:rFonts w:cs="Arial"/>
        </w:rPr>
        <w:t>Gas Licuado de Petróleo</w:t>
      </w:r>
      <w:r w:rsidR="00BE67F5">
        <w:rPr>
          <w:rFonts w:cs="Arial"/>
        </w:rPr>
        <w:t xml:space="preserve"> </w:t>
      </w:r>
      <w:r>
        <w:rPr>
          <w:rFonts w:cs="Arial"/>
        </w:rPr>
        <w:t>(GLP)</w:t>
      </w:r>
      <w:r w:rsidR="00243488" w:rsidRPr="008C1215">
        <w:rPr>
          <w:rFonts w:cs="Arial"/>
        </w:rPr>
        <w:t xml:space="preserve"> </w:t>
      </w:r>
      <w:r w:rsidR="00BD4774" w:rsidRPr="008C1215">
        <w:rPr>
          <w:rFonts w:cs="Arial"/>
        </w:rPr>
        <w:t xml:space="preserve">conformado por </w:t>
      </w:r>
      <w:r w:rsidR="00CF4D6E" w:rsidRPr="008C1215">
        <w:rPr>
          <w:rFonts w:cs="Arial"/>
        </w:rPr>
        <w:t xml:space="preserve">el municipio de </w:t>
      </w:r>
      <w:r w:rsidR="00167AA6">
        <w:rPr>
          <w:rFonts w:cs="Arial"/>
        </w:rPr>
        <w:t>Toca</w:t>
      </w:r>
      <w:r w:rsidR="00CF4D6E" w:rsidRPr="008C1215">
        <w:rPr>
          <w:rFonts w:cs="Arial"/>
        </w:rPr>
        <w:t xml:space="preserve"> en el departamento de Boyacá </w:t>
      </w:r>
      <w:r w:rsidR="00243488" w:rsidRPr="008C1215">
        <w:rPr>
          <w:rFonts w:cs="Arial"/>
        </w:rPr>
        <w:t>que se relaciona a continuación</w:t>
      </w:r>
      <w:r w:rsidR="00BD4774" w:rsidRPr="008C1215">
        <w:rPr>
          <w:rFonts w:cs="Arial"/>
        </w:rPr>
        <w:t xml:space="preserve">; </w:t>
      </w:r>
      <w:r w:rsidR="00243488" w:rsidRPr="008C1215">
        <w:rPr>
          <w:rFonts w:cs="Arial"/>
        </w:rPr>
        <w:t xml:space="preserve">y, (ii) </w:t>
      </w:r>
      <w:r w:rsidR="00BD4774" w:rsidRPr="008C1215">
        <w:rPr>
          <w:rFonts w:cs="Arial"/>
        </w:rPr>
        <w:t>a</w:t>
      </w:r>
      <w:r w:rsidR="00243488" w:rsidRPr="008C1215">
        <w:rPr>
          <w:rFonts w:cs="Arial"/>
        </w:rPr>
        <w:t>proba</w:t>
      </w:r>
      <w:r w:rsidR="00BD4774" w:rsidRPr="008C1215">
        <w:rPr>
          <w:rFonts w:cs="Arial"/>
        </w:rPr>
        <w:t>r</w:t>
      </w:r>
      <w:r w:rsidR="00243488" w:rsidRPr="008C1215">
        <w:rPr>
          <w:rFonts w:cs="Arial"/>
        </w:rPr>
        <w:t xml:space="preserve"> los cargos por uso del Sistema de Distribución correspondiente, aplicable</w:t>
      </w:r>
      <w:r w:rsidR="00BD4774" w:rsidRPr="008C1215">
        <w:rPr>
          <w:rFonts w:cs="Arial"/>
        </w:rPr>
        <w:t>s</w:t>
      </w:r>
      <w:r w:rsidR="00243488" w:rsidRPr="008C1215">
        <w:rPr>
          <w:rFonts w:cs="Arial"/>
        </w:rPr>
        <w:t xml:space="preserve"> a los usuarios de uso residencial y a los usuarios de uso diferente al residencial</w:t>
      </w:r>
      <w:r>
        <w:rPr>
          <w:rFonts w:cs="Arial"/>
        </w:rPr>
        <w:t>, de dicho mercado.</w:t>
      </w:r>
      <w:r w:rsidR="003F5BAF" w:rsidRPr="008C1215">
        <w:rPr>
          <w:rFonts w:cs="Arial"/>
        </w:rPr>
        <w:t xml:space="preserve"> </w:t>
      </w:r>
    </w:p>
    <w:p w14:paraId="00EBA574" w14:textId="2F0E55ED" w:rsidR="00924E2E" w:rsidRDefault="007A3597" w:rsidP="00AA0287">
      <w:pPr>
        <w:adjustRightInd w:val="0"/>
        <w:spacing w:before="240" w:after="240"/>
        <w:ind w:right="20"/>
        <w:rPr>
          <w:rFonts w:cs="Arial"/>
        </w:rPr>
      </w:pPr>
      <w:r w:rsidRPr="008C1215">
        <w:rPr>
          <w:rFonts w:cs="Arial"/>
        </w:rPr>
        <w:t xml:space="preserve">En su solicitud tarifaria, </w:t>
      </w:r>
      <w:r w:rsidR="00167AA6">
        <w:rPr>
          <w:rFonts w:cs="Arial"/>
        </w:rPr>
        <w:t>REDNOVA</w:t>
      </w:r>
      <w:r w:rsidR="005E3BDC" w:rsidRPr="008C1215">
        <w:rPr>
          <w:rFonts w:cs="Arial"/>
        </w:rPr>
        <w:t xml:space="preserve"> </w:t>
      </w:r>
      <w:r w:rsidRPr="008C1215">
        <w:rPr>
          <w:rFonts w:cs="Arial"/>
        </w:rPr>
        <w:t>manifiesta que el Mercado Relevante de Distribución propuesto</w:t>
      </w:r>
      <w:r w:rsidR="00924E2E">
        <w:rPr>
          <w:rFonts w:cs="Arial"/>
        </w:rPr>
        <w:t>,</w:t>
      </w:r>
      <w:r w:rsidRPr="008C1215">
        <w:rPr>
          <w:rFonts w:cs="Arial"/>
        </w:rPr>
        <w:t xml:space="preserve"> </w:t>
      </w:r>
      <w:r w:rsidR="00817632" w:rsidRPr="008C1215">
        <w:rPr>
          <w:rFonts w:cs="Arial"/>
        </w:rPr>
        <w:t xml:space="preserve">no </w:t>
      </w:r>
      <w:r w:rsidRPr="008C1215">
        <w:rPr>
          <w:rFonts w:cs="Arial"/>
        </w:rPr>
        <w:t>cuenta con recursos públicos para la cofinanciación de la infraestructura de distribución gas por</w:t>
      </w:r>
      <w:r w:rsidR="00817632" w:rsidRPr="008C1215">
        <w:rPr>
          <w:rFonts w:cs="Arial"/>
        </w:rPr>
        <w:t xml:space="preserve"> redes</w:t>
      </w:r>
      <w:r w:rsidR="00F53332">
        <w:rPr>
          <w:rFonts w:cs="Arial"/>
        </w:rPr>
        <w:t xml:space="preserve"> de tubería</w:t>
      </w:r>
      <w:r w:rsidR="00817632" w:rsidRPr="008C1215">
        <w:rPr>
          <w:rFonts w:cs="Arial"/>
        </w:rPr>
        <w:t>.</w:t>
      </w:r>
      <w:r w:rsidR="00817632" w:rsidRPr="008C1215" w:rsidDel="00817632">
        <w:rPr>
          <w:rFonts w:cs="Arial"/>
        </w:rPr>
        <w:t xml:space="preserve"> </w:t>
      </w:r>
    </w:p>
    <w:p w14:paraId="3694DB5D" w14:textId="328B19F8" w:rsidR="007F76F4" w:rsidRPr="008C1215" w:rsidRDefault="00F213F7" w:rsidP="00AA0287">
      <w:pPr>
        <w:adjustRightInd w:val="0"/>
        <w:spacing w:before="240" w:after="240"/>
        <w:ind w:right="20"/>
        <w:rPr>
          <w:shd w:val="clear" w:color="auto" w:fill="FFFFFF"/>
          <w14:ligatures w14:val="standardContextual"/>
        </w:rPr>
      </w:pPr>
      <w:r w:rsidRPr="008C1215">
        <w:rPr>
          <w:shd w:val="clear" w:color="auto" w:fill="FFFFFF"/>
          <w14:ligatures w14:val="standardContextual"/>
        </w:rPr>
        <w:t>La Comisión verificó el cumplimiento de los requisitos establecidos en la</w:t>
      </w:r>
      <w:r w:rsidR="00AA0287" w:rsidRPr="008C1215">
        <w:rPr>
          <w:shd w:val="clear" w:color="auto" w:fill="FFFFFF"/>
          <w14:ligatures w14:val="standardContextual"/>
        </w:rPr>
        <w:t xml:space="preserve"> Metodología, </w:t>
      </w:r>
      <w:r w:rsidR="00AA0287" w:rsidRPr="008C1215">
        <w:rPr>
          <w:rFonts w:cs="Arial"/>
        </w:rPr>
        <w:t>evidenciando</w:t>
      </w:r>
      <w:r w:rsidR="00B63549" w:rsidRPr="008C1215">
        <w:rPr>
          <w:rFonts w:cs="Arial"/>
        </w:rPr>
        <w:t xml:space="preserve"> </w:t>
      </w:r>
      <w:r w:rsidR="007F76F4" w:rsidRPr="008C1215">
        <w:rPr>
          <w:rFonts w:cs="Arial"/>
        </w:rPr>
        <w:t>que la información remitida con la solicitud presentada por</w:t>
      </w:r>
      <w:r w:rsidR="001A19DD" w:rsidRPr="008C1215">
        <w:rPr>
          <w:rFonts w:cs="Arial"/>
        </w:rPr>
        <w:t xml:space="preserve"> la empresa</w:t>
      </w:r>
      <w:r w:rsidR="007F76F4" w:rsidRPr="008C1215">
        <w:rPr>
          <w:rFonts w:cs="Arial"/>
        </w:rPr>
        <w:t xml:space="preserve"> </w:t>
      </w:r>
      <w:r w:rsidR="00167AA6">
        <w:rPr>
          <w:rFonts w:cs="Arial"/>
        </w:rPr>
        <w:t>REDNOVA</w:t>
      </w:r>
      <w:r w:rsidR="00817632" w:rsidRPr="008C1215">
        <w:rPr>
          <w:rFonts w:cs="Arial"/>
        </w:rPr>
        <w:t xml:space="preserve"> </w:t>
      </w:r>
      <w:r w:rsidR="007F76F4" w:rsidRPr="008C1215">
        <w:rPr>
          <w:rFonts w:cs="Arial"/>
        </w:rPr>
        <w:t>no era suficiente para iniciar la actuación administrativa</w:t>
      </w:r>
      <w:r w:rsidR="001A19DD" w:rsidRPr="008C1215">
        <w:rPr>
          <w:rFonts w:cs="Arial"/>
        </w:rPr>
        <w:t xml:space="preserve">. En consecuencia, </w:t>
      </w:r>
      <w:r w:rsidR="005E5904" w:rsidRPr="008C1215">
        <w:rPr>
          <w:shd w:val="clear" w:color="auto" w:fill="FFFFFF"/>
          <w14:ligatures w14:val="standardContextual"/>
        </w:rPr>
        <w:t xml:space="preserve">mediante comunicación con radicado CREG </w:t>
      </w:r>
      <w:r w:rsidR="00DA573D" w:rsidRPr="00DA573D">
        <w:rPr>
          <w:shd w:val="clear" w:color="auto" w:fill="FFFFFF"/>
          <w14:ligatures w14:val="standardContextual"/>
        </w:rPr>
        <w:lastRenderedPageBreak/>
        <w:t>S-2020-005678</w:t>
      </w:r>
      <w:r w:rsidR="00DA573D">
        <w:rPr>
          <w:shd w:val="clear" w:color="auto" w:fill="FFFFFF"/>
          <w14:ligatures w14:val="standardContextual"/>
        </w:rPr>
        <w:t xml:space="preserve"> </w:t>
      </w:r>
      <w:r w:rsidR="005E5904" w:rsidRPr="008C1215">
        <w:rPr>
          <w:shd w:val="clear" w:color="auto" w:fill="FFFFFF"/>
          <w14:ligatures w14:val="standardContextual"/>
        </w:rPr>
        <w:t xml:space="preserve">del </w:t>
      </w:r>
      <w:r w:rsidR="00CF637A" w:rsidRPr="00184756">
        <w:rPr>
          <w:shd w:val="clear" w:color="auto" w:fill="FFFFFF"/>
          <w14:ligatures w14:val="standardContextual"/>
        </w:rPr>
        <w:t>7</w:t>
      </w:r>
      <w:r w:rsidR="00E620FD" w:rsidRPr="00184756">
        <w:rPr>
          <w:shd w:val="clear" w:color="auto" w:fill="FFFFFF"/>
          <w14:ligatures w14:val="standardContextual"/>
        </w:rPr>
        <w:t xml:space="preserve"> </w:t>
      </w:r>
      <w:r w:rsidR="005E5904" w:rsidRPr="00184756">
        <w:rPr>
          <w:shd w:val="clear" w:color="auto" w:fill="FFFFFF"/>
          <w14:ligatures w14:val="standardContextual"/>
        </w:rPr>
        <w:t xml:space="preserve">de </w:t>
      </w:r>
      <w:r w:rsidR="00E620FD" w:rsidRPr="00184756">
        <w:rPr>
          <w:shd w:val="clear" w:color="auto" w:fill="FFFFFF"/>
          <w14:ligatures w14:val="standardContextual"/>
        </w:rPr>
        <w:t xml:space="preserve">octubre </w:t>
      </w:r>
      <w:r w:rsidR="005E5904" w:rsidRPr="00184756">
        <w:rPr>
          <w:shd w:val="clear" w:color="auto" w:fill="FFFFFF"/>
          <w14:ligatures w14:val="standardContextual"/>
        </w:rPr>
        <w:t xml:space="preserve">de </w:t>
      </w:r>
      <w:r w:rsidR="00E620FD" w:rsidRPr="00184756">
        <w:rPr>
          <w:shd w:val="clear" w:color="auto" w:fill="FFFFFF"/>
          <w14:ligatures w14:val="standardContextual"/>
        </w:rPr>
        <w:t>202</w:t>
      </w:r>
      <w:r w:rsidR="00E620FD" w:rsidRPr="008C1215">
        <w:rPr>
          <w:shd w:val="clear" w:color="auto" w:fill="FFFFFF"/>
          <w14:ligatures w14:val="standardContextual"/>
        </w:rPr>
        <w:t>0</w:t>
      </w:r>
      <w:r w:rsidR="005E5904" w:rsidRPr="008C1215">
        <w:rPr>
          <w:shd w:val="clear" w:color="auto" w:fill="FFFFFF"/>
          <w14:ligatures w14:val="standardContextual"/>
        </w:rPr>
        <w:t xml:space="preserve"> se le solicitó a </w:t>
      </w:r>
      <w:r w:rsidR="00167AA6">
        <w:rPr>
          <w:rFonts w:cs="Arial"/>
        </w:rPr>
        <w:t>REDNOVA</w:t>
      </w:r>
      <w:r w:rsidR="00E620FD" w:rsidRPr="008C1215">
        <w:rPr>
          <w:shd w:val="clear" w:color="auto" w:fill="FFFFFF"/>
          <w14:ligatures w14:val="standardContextual"/>
        </w:rPr>
        <w:t xml:space="preserve"> </w:t>
      </w:r>
      <w:r w:rsidR="00E93C65">
        <w:rPr>
          <w:shd w:val="clear" w:color="auto" w:fill="FFFFFF"/>
          <w14:ligatures w14:val="standardContextual"/>
        </w:rPr>
        <w:t>completar</w:t>
      </w:r>
      <w:r w:rsidR="00E93C65" w:rsidRPr="008C1215">
        <w:rPr>
          <w:shd w:val="clear" w:color="auto" w:fill="FFFFFF"/>
          <w14:ligatures w14:val="standardContextual"/>
        </w:rPr>
        <w:t xml:space="preserve"> </w:t>
      </w:r>
      <w:r w:rsidR="005E5904" w:rsidRPr="008C1215">
        <w:rPr>
          <w:shd w:val="clear" w:color="auto" w:fill="FFFFFF"/>
          <w14:ligatures w14:val="standardContextual"/>
        </w:rPr>
        <w:t xml:space="preserve">la información </w:t>
      </w:r>
      <w:r w:rsidR="00AB51EC">
        <w:rPr>
          <w:shd w:val="clear" w:color="auto" w:fill="FFFFFF"/>
          <w14:ligatures w14:val="standardContextual"/>
        </w:rPr>
        <w:t>de la solicitud tarifaria</w:t>
      </w:r>
      <w:r w:rsidR="005E5904" w:rsidRPr="008C1215">
        <w:rPr>
          <w:shd w:val="clear" w:color="auto" w:fill="FFFFFF"/>
          <w14:ligatures w14:val="standardContextual"/>
        </w:rPr>
        <w:t>.</w:t>
      </w:r>
    </w:p>
    <w:p w14:paraId="7C8C0A63" w14:textId="0D842127" w:rsidR="009923B4" w:rsidRDefault="009923B4" w:rsidP="009923B4">
      <w:pPr>
        <w:widowControl w:val="0"/>
        <w:tabs>
          <w:tab w:val="right" w:leader="dot" w:pos="9284"/>
        </w:tabs>
        <w:adjustRightInd w:val="0"/>
        <w:spacing w:before="100" w:beforeAutospacing="1" w:after="100" w:afterAutospacing="1"/>
        <w:textAlignment w:val="baseline"/>
        <w:rPr>
          <w:rFonts w:cs="Arial"/>
          <w14:ligatures w14:val="standardContextual"/>
        </w:rPr>
      </w:pPr>
      <w:r w:rsidRPr="008C1215">
        <w:rPr>
          <w:rFonts w:cs="Arial"/>
          <w14:ligatures w14:val="standardContextual"/>
        </w:rPr>
        <w:t xml:space="preserve">Mediante radicado CREG </w:t>
      </w:r>
      <w:r w:rsidR="00DA573D" w:rsidRPr="00DA573D">
        <w:rPr>
          <w:rFonts w:cs="Arial"/>
          <w14:ligatures w14:val="standardContextual"/>
        </w:rPr>
        <w:t>E-2020-013642</w:t>
      </w:r>
      <w:r w:rsidRPr="008C1215">
        <w:rPr>
          <w:rFonts w:cs="Arial"/>
          <w14:ligatures w14:val="standardContextual"/>
        </w:rPr>
        <w:t xml:space="preserve"> del </w:t>
      </w:r>
      <w:r w:rsidR="00DA573D">
        <w:rPr>
          <w:rFonts w:cs="Arial"/>
          <w14:ligatures w14:val="standardContextual"/>
        </w:rPr>
        <w:t>16</w:t>
      </w:r>
      <w:r w:rsidR="00CF637A" w:rsidRPr="00184756">
        <w:rPr>
          <w:rFonts w:cs="Arial"/>
          <w14:ligatures w14:val="standardContextual"/>
        </w:rPr>
        <w:t xml:space="preserve"> </w:t>
      </w:r>
      <w:r w:rsidRPr="00184756">
        <w:rPr>
          <w:rFonts w:cs="Arial"/>
          <w14:ligatures w14:val="standardContextual"/>
        </w:rPr>
        <w:t xml:space="preserve">de </w:t>
      </w:r>
      <w:r w:rsidR="00DA573D">
        <w:rPr>
          <w:rFonts w:cs="Arial"/>
          <w14:ligatures w14:val="standardContextual"/>
        </w:rPr>
        <w:t>noviemb</w:t>
      </w:r>
      <w:r w:rsidR="00CF637A" w:rsidRPr="00184756">
        <w:rPr>
          <w:rFonts w:cs="Arial"/>
          <w14:ligatures w14:val="standardContextual"/>
        </w:rPr>
        <w:t xml:space="preserve">re </w:t>
      </w:r>
      <w:r w:rsidRPr="00184756">
        <w:rPr>
          <w:rFonts w:cs="Arial"/>
          <w14:ligatures w14:val="standardContextual"/>
        </w:rPr>
        <w:t>de 202</w:t>
      </w:r>
      <w:r w:rsidR="00CF637A" w:rsidRPr="00184756">
        <w:rPr>
          <w:rFonts w:cs="Arial"/>
          <w14:ligatures w14:val="standardContextual"/>
        </w:rPr>
        <w:t>0</w:t>
      </w:r>
      <w:r w:rsidRPr="008C1215">
        <w:rPr>
          <w:rFonts w:cs="Arial"/>
          <w14:ligatures w14:val="standardContextual"/>
        </w:rPr>
        <w:t xml:space="preserve">, la empresa </w:t>
      </w:r>
      <w:r w:rsidR="00167AA6">
        <w:rPr>
          <w:rFonts w:cs="Arial"/>
        </w:rPr>
        <w:t>REDNOVA</w:t>
      </w:r>
      <w:r w:rsidR="00CF637A" w:rsidRPr="008C1215">
        <w:rPr>
          <w:rFonts w:cs="Arial"/>
          <w14:ligatures w14:val="standardContextual"/>
        </w:rPr>
        <w:t xml:space="preserve"> </w:t>
      </w:r>
      <w:r w:rsidR="00DA573D">
        <w:rPr>
          <w:rFonts w:cs="Arial"/>
          <w14:ligatures w14:val="standardContextual"/>
        </w:rPr>
        <w:t>remitió parcialmente</w:t>
      </w:r>
      <w:r w:rsidR="000A6D04" w:rsidRPr="008C1215">
        <w:rPr>
          <w:rFonts w:cs="Arial"/>
          <w14:ligatures w14:val="standardContextual"/>
        </w:rPr>
        <w:t xml:space="preserve"> </w:t>
      </w:r>
      <w:r w:rsidR="00703A70" w:rsidRPr="008C1215">
        <w:rPr>
          <w:rFonts w:cs="Arial"/>
          <w14:ligatures w14:val="standardContextual"/>
        </w:rPr>
        <w:t xml:space="preserve">la información </w:t>
      </w:r>
      <w:r w:rsidR="000A6D04">
        <w:rPr>
          <w:rFonts w:cs="Arial"/>
          <w14:ligatures w14:val="standardContextual"/>
        </w:rPr>
        <w:t>de la solicitud tarifaria</w:t>
      </w:r>
      <w:r w:rsidR="00703A70" w:rsidRPr="008C1215">
        <w:rPr>
          <w:rFonts w:cs="Arial"/>
          <w14:ligatures w14:val="standardContextual"/>
        </w:rPr>
        <w:t>.</w:t>
      </w:r>
    </w:p>
    <w:p w14:paraId="7BFD51E5" w14:textId="753A4626" w:rsidR="00DA573D" w:rsidRPr="008C1215" w:rsidRDefault="00DA573D" w:rsidP="009923B4">
      <w:pPr>
        <w:widowControl w:val="0"/>
        <w:tabs>
          <w:tab w:val="right" w:leader="dot" w:pos="9284"/>
        </w:tabs>
        <w:adjustRightInd w:val="0"/>
        <w:spacing w:before="100" w:beforeAutospacing="1" w:after="100" w:afterAutospacing="1"/>
        <w:textAlignment w:val="baseline"/>
        <w:rPr>
          <w:rFonts w:cs="Arial"/>
          <w14:ligatures w14:val="standardContextual"/>
        </w:rPr>
      </w:pPr>
      <w:r>
        <w:rPr>
          <w:rFonts w:cs="Arial"/>
          <w14:ligatures w14:val="standardContextual"/>
        </w:rPr>
        <w:t xml:space="preserve">Dado lo anterior, La Comisión reitera la completitud de información mediante radicado CREG </w:t>
      </w:r>
      <w:r w:rsidRPr="00DA573D">
        <w:rPr>
          <w:rFonts w:cs="Arial"/>
          <w14:ligatures w14:val="standardContextual"/>
        </w:rPr>
        <w:t>S-2020-006333</w:t>
      </w:r>
      <w:r>
        <w:rPr>
          <w:rFonts w:cs="Arial"/>
          <w14:ligatures w14:val="standardContextual"/>
        </w:rPr>
        <w:t xml:space="preserve"> del 18 de noviembre de 2020. Así, la empresa REDNOVA remite la completitud de la información el 19 de noviembre de 2020 mediante radicado CREG </w:t>
      </w:r>
      <w:r w:rsidRPr="00DA573D">
        <w:rPr>
          <w:rFonts w:cs="Arial"/>
          <w14:ligatures w14:val="standardContextual"/>
        </w:rPr>
        <w:t>E-2020-014413</w:t>
      </w:r>
      <w:r>
        <w:rPr>
          <w:rFonts w:cs="Arial"/>
          <w14:ligatures w14:val="standardContextual"/>
        </w:rPr>
        <w:t>.</w:t>
      </w:r>
    </w:p>
    <w:p w14:paraId="2377704D" w14:textId="2A58DD9A" w:rsidR="009923B4" w:rsidRPr="008C1215" w:rsidRDefault="009923B4" w:rsidP="009923B4">
      <w:pPr>
        <w:tabs>
          <w:tab w:val="right" w:leader="dot" w:pos="9284"/>
        </w:tabs>
        <w:adjustRightInd w:val="0"/>
        <w:spacing w:before="240" w:after="240"/>
        <w:rPr>
          <w:rFonts w:cs="Arial"/>
        </w:rPr>
      </w:pPr>
      <w:r w:rsidRPr="008C1215">
        <w:rPr>
          <w:rFonts w:cs="Arial"/>
        </w:rPr>
        <w:t xml:space="preserve">La Comisión verificó el cumplimiento de los requisitos establecidos en la Resolución CREG 202 de 2013, en concordancia con las resoluciones CREG 138 de 2014, 090 y 132 de 2018, y 011 de 2020, evidenciando que la información remitida con la solicitud presentada por la empresa </w:t>
      </w:r>
      <w:r w:rsidR="00167AA6">
        <w:rPr>
          <w:rFonts w:cs="Arial"/>
        </w:rPr>
        <w:t>REDNOVA</w:t>
      </w:r>
      <w:r w:rsidR="00CF637A" w:rsidRPr="008C1215">
        <w:rPr>
          <w:rFonts w:cs="Arial"/>
        </w:rPr>
        <w:t xml:space="preserve"> </w:t>
      </w:r>
      <w:r w:rsidRPr="008C1215">
        <w:rPr>
          <w:rFonts w:cs="Arial"/>
        </w:rPr>
        <w:t>era suficiente para iniciar la actuación administrativa.</w:t>
      </w:r>
    </w:p>
    <w:p w14:paraId="65FC2541" w14:textId="1F668555" w:rsidR="00C06D16" w:rsidRPr="008C1215" w:rsidRDefault="00DE742C" w:rsidP="00C06D16">
      <w:pPr>
        <w:adjustRightInd w:val="0"/>
        <w:spacing w:before="240" w:after="240"/>
        <w:ind w:right="20"/>
        <w:rPr>
          <w:rFonts w:cs="Arial"/>
          <w:lang w:val="es-ES_tradnl"/>
        </w:rPr>
      </w:pPr>
      <w:r w:rsidRPr="008C1215">
        <w:rPr>
          <w:rFonts w:cs="Arial"/>
        </w:rPr>
        <w:t xml:space="preserve">Mediante Auto </w:t>
      </w:r>
      <w:r w:rsidR="00DA573D" w:rsidRPr="00DA573D">
        <w:rPr>
          <w:rFonts w:cs="Arial"/>
        </w:rPr>
        <w:t>I-2020-004656</w:t>
      </w:r>
      <w:r w:rsidR="00954120" w:rsidRPr="008C1215">
        <w:rPr>
          <w:rFonts w:cs="Arial"/>
        </w:rPr>
        <w:t xml:space="preserve"> </w:t>
      </w:r>
      <w:r w:rsidRPr="008C1215">
        <w:rPr>
          <w:rFonts w:cs="Arial"/>
        </w:rPr>
        <w:t xml:space="preserve">proferido el </w:t>
      </w:r>
      <w:r w:rsidR="00810F59">
        <w:rPr>
          <w:rFonts w:cs="Arial"/>
        </w:rPr>
        <w:t>1</w:t>
      </w:r>
      <w:r w:rsidR="007573D9">
        <w:rPr>
          <w:rFonts w:cs="Arial"/>
        </w:rPr>
        <w:t>2</w:t>
      </w:r>
      <w:r w:rsidRPr="00184756">
        <w:rPr>
          <w:rFonts w:cs="Arial"/>
        </w:rPr>
        <w:t xml:space="preserve"> de </w:t>
      </w:r>
      <w:r w:rsidR="007573D9">
        <w:rPr>
          <w:rFonts w:cs="Arial"/>
        </w:rPr>
        <w:t>enero</w:t>
      </w:r>
      <w:r w:rsidR="00810F59" w:rsidRPr="00184756">
        <w:rPr>
          <w:rFonts w:cs="Arial"/>
        </w:rPr>
        <w:t xml:space="preserve"> </w:t>
      </w:r>
      <w:r w:rsidRPr="00184756">
        <w:rPr>
          <w:rFonts w:cs="Arial"/>
        </w:rPr>
        <w:t xml:space="preserve">de </w:t>
      </w:r>
      <w:r w:rsidR="00954120" w:rsidRPr="00184756">
        <w:rPr>
          <w:rFonts w:cs="Arial"/>
        </w:rPr>
        <w:t>202</w:t>
      </w:r>
      <w:r w:rsidR="007573D9">
        <w:rPr>
          <w:rFonts w:cs="Arial"/>
        </w:rPr>
        <w:t>1</w:t>
      </w:r>
      <w:r w:rsidRPr="008C1215">
        <w:rPr>
          <w:rFonts w:cs="Arial"/>
        </w:rPr>
        <w:t xml:space="preserve">, comunicado a la empresa </w:t>
      </w:r>
      <w:r w:rsidR="00167AA6">
        <w:rPr>
          <w:rFonts w:cs="Arial"/>
        </w:rPr>
        <w:t>REDNOVA</w:t>
      </w:r>
      <w:r w:rsidR="00954120" w:rsidRPr="008C1215">
        <w:rPr>
          <w:rFonts w:cs="Arial"/>
        </w:rPr>
        <w:t xml:space="preserve"> </w:t>
      </w:r>
      <w:r w:rsidRPr="008C1215">
        <w:rPr>
          <w:rFonts w:cs="Arial"/>
        </w:rPr>
        <w:t xml:space="preserve">mediante radicado CREG </w:t>
      </w:r>
      <w:r w:rsidR="007573D9" w:rsidRPr="007573D9">
        <w:rPr>
          <w:rFonts w:cs="Arial"/>
        </w:rPr>
        <w:t>S-2021-000109</w:t>
      </w:r>
      <w:r w:rsidR="00954120" w:rsidRPr="008C1215">
        <w:rPr>
          <w:rFonts w:cs="Arial"/>
        </w:rPr>
        <w:t xml:space="preserve"> </w:t>
      </w:r>
      <w:r w:rsidRPr="008C1215">
        <w:rPr>
          <w:rFonts w:cs="Arial"/>
        </w:rPr>
        <w:t xml:space="preserve">de </w:t>
      </w:r>
      <w:r w:rsidRPr="00184756">
        <w:rPr>
          <w:rFonts w:cs="Arial"/>
        </w:rPr>
        <w:t>la misma fecha</w:t>
      </w:r>
      <w:r w:rsidRPr="008C1215">
        <w:rPr>
          <w:rFonts w:cs="Arial"/>
        </w:rPr>
        <w:t>, la Dirección Ejecutiva de la Comisión dispuso iniciar la respectiva actuación administrativa</w:t>
      </w:r>
      <w:r w:rsidR="00C06D16" w:rsidRPr="008C1215">
        <w:rPr>
          <w:rFonts w:cs="Arial"/>
        </w:rPr>
        <w:t xml:space="preserve"> con fundamento en la solicitud presentada por </w:t>
      </w:r>
      <w:r w:rsidR="00167AA6">
        <w:rPr>
          <w:rFonts w:cs="Arial"/>
        </w:rPr>
        <w:t>REDNOVA</w:t>
      </w:r>
      <w:r w:rsidR="00954120" w:rsidRPr="008C1215">
        <w:rPr>
          <w:rFonts w:cs="Arial"/>
        </w:rPr>
        <w:t xml:space="preserve"> </w:t>
      </w:r>
      <w:r w:rsidR="00C06D16" w:rsidRPr="008C1215">
        <w:rPr>
          <w:rFonts w:cs="Arial"/>
        </w:rPr>
        <w:t xml:space="preserve">para la aprobación de los cargos de distribución de </w:t>
      </w:r>
      <w:r w:rsidR="007573D9">
        <w:rPr>
          <w:rFonts w:cs="Arial"/>
        </w:rPr>
        <w:t>Gas Licuado de Petróleo</w:t>
      </w:r>
      <w:r w:rsidR="00763621">
        <w:rPr>
          <w:rFonts w:cs="Arial"/>
        </w:rPr>
        <w:t xml:space="preserve"> (GLP)</w:t>
      </w:r>
      <w:r w:rsidR="00954120" w:rsidRPr="008C1215">
        <w:rPr>
          <w:rFonts w:cs="Arial"/>
        </w:rPr>
        <w:t xml:space="preserve"> </w:t>
      </w:r>
      <w:r w:rsidR="00C06D16" w:rsidRPr="008C1215">
        <w:rPr>
          <w:rFonts w:cs="Arial"/>
        </w:rPr>
        <w:t>para el Mercado Relevante</w:t>
      </w:r>
      <w:r w:rsidR="00C06D16" w:rsidRPr="008C1215">
        <w:rPr>
          <w:rFonts w:cs="Arial"/>
          <w:lang w:val="es-ES_tradnl"/>
        </w:rPr>
        <w:t xml:space="preserve"> que se detalla a continuación:</w:t>
      </w:r>
    </w:p>
    <w:tbl>
      <w:tblPr>
        <w:tblStyle w:val="Tablaconcuadrcula"/>
        <w:tblW w:w="5000" w:type="pct"/>
        <w:jc w:val="center"/>
        <w:tblLook w:val="04A0" w:firstRow="1" w:lastRow="0" w:firstColumn="1" w:lastColumn="0" w:noHBand="0" w:noVBand="1"/>
      </w:tblPr>
      <w:tblGrid>
        <w:gridCol w:w="2725"/>
        <w:gridCol w:w="3503"/>
        <w:gridCol w:w="3118"/>
      </w:tblGrid>
      <w:tr w:rsidR="008D6D5D" w:rsidRPr="008C1215" w14:paraId="25A20C6F" w14:textId="77777777" w:rsidTr="00303298">
        <w:trPr>
          <w:trHeight w:val="468"/>
          <w:tblHeader/>
          <w:jc w:val="center"/>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59D4C" w14:textId="77777777" w:rsidR="008D6D5D" w:rsidRPr="008C1215" w:rsidRDefault="008D6D5D" w:rsidP="00C67B57">
            <w:pPr>
              <w:keepNext/>
              <w:spacing w:before="0" w:after="0"/>
              <w:jc w:val="center"/>
              <w:rPr>
                <w:rFonts w:cs="Arial"/>
                <w:b/>
                <w:sz w:val="22"/>
                <w:szCs w:val="22"/>
              </w:rPr>
            </w:pPr>
            <w:r w:rsidRPr="008C1215">
              <w:rPr>
                <w:rFonts w:cs="Arial"/>
                <w:b/>
                <w:sz w:val="22"/>
                <w:szCs w:val="22"/>
              </w:rPr>
              <w:t>CÓDIGO DANE</w:t>
            </w:r>
          </w:p>
        </w:tc>
        <w:tc>
          <w:tcPr>
            <w:tcW w:w="1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022A2" w14:textId="77777777" w:rsidR="008D6D5D" w:rsidRPr="008C1215" w:rsidRDefault="008D6D5D" w:rsidP="00C67B57">
            <w:pPr>
              <w:keepNext/>
              <w:spacing w:before="0" w:after="0"/>
              <w:jc w:val="center"/>
              <w:rPr>
                <w:rFonts w:cs="Arial"/>
                <w:b/>
                <w:sz w:val="22"/>
                <w:szCs w:val="22"/>
              </w:rPr>
            </w:pPr>
            <w:r w:rsidRPr="008C1215">
              <w:rPr>
                <w:rFonts w:cs="Arial"/>
                <w:b/>
                <w:sz w:val="22"/>
                <w:szCs w:val="22"/>
              </w:rPr>
              <w:t>MUNICIPIO</w:t>
            </w:r>
          </w:p>
        </w:tc>
        <w:tc>
          <w:tcPr>
            <w:tcW w:w="1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D7944" w14:textId="229095D4" w:rsidR="008D6D5D" w:rsidRPr="008C1215" w:rsidRDefault="008D6D5D" w:rsidP="00C67B57">
            <w:pPr>
              <w:keepNext/>
              <w:spacing w:before="0" w:after="0"/>
              <w:jc w:val="center"/>
              <w:rPr>
                <w:rFonts w:cs="Arial"/>
                <w:b/>
                <w:sz w:val="22"/>
                <w:szCs w:val="22"/>
              </w:rPr>
            </w:pPr>
            <w:r w:rsidRPr="008C1215">
              <w:rPr>
                <w:rFonts w:cs="Arial"/>
                <w:b/>
                <w:sz w:val="22"/>
                <w:szCs w:val="22"/>
              </w:rPr>
              <w:t>DEPARTAMENTO</w:t>
            </w:r>
          </w:p>
        </w:tc>
      </w:tr>
      <w:tr w:rsidR="008D6D5D" w:rsidRPr="008C1215" w14:paraId="3A578FA5" w14:textId="77777777" w:rsidTr="00303298">
        <w:trPr>
          <w:trHeight w:val="302"/>
          <w:jc w:val="center"/>
        </w:trPr>
        <w:tc>
          <w:tcPr>
            <w:tcW w:w="1458" w:type="pct"/>
            <w:tcBorders>
              <w:top w:val="single" w:sz="4" w:space="0" w:color="auto"/>
              <w:left w:val="single" w:sz="4" w:space="0" w:color="auto"/>
              <w:bottom w:val="single" w:sz="4" w:space="0" w:color="auto"/>
              <w:right w:val="single" w:sz="4" w:space="0" w:color="auto"/>
            </w:tcBorders>
          </w:tcPr>
          <w:p w14:paraId="54C3B2EC" w14:textId="387453BF" w:rsidR="008D6D5D" w:rsidRPr="00184756" w:rsidRDefault="007573D9" w:rsidP="00606CBF">
            <w:pPr>
              <w:spacing w:before="0" w:after="0"/>
              <w:jc w:val="center"/>
              <w:rPr>
                <w:rFonts w:cs="Arial"/>
                <w:sz w:val="22"/>
                <w:szCs w:val="22"/>
              </w:rPr>
            </w:pPr>
            <w:bookmarkStart w:id="1" w:name="_Hlk108446743"/>
            <w:bookmarkStart w:id="2" w:name="_Hlk106897643"/>
            <w:r>
              <w:rPr>
                <w:rFonts w:cs="Arial"/>
                <w:sz w:val="22"/>
                <w:szCs w:val="22"/>
              </w:rPr>
              <w:t>15814</w:t>
            </w:r>
          </w:p>
        </w:tc>
        <w:tc>
          <w:tcPr>
            <w:tcW w:w="1874" w:type="pct"/>
            <w:tcBorders>
              <w:top w:val="single" w:sz="4" w:space="0" w:color="auto"/>
              <w:left w:val="single" w:sz="4" w:space="0" w:color="auto"/>
              <w:bottom w:val="single" w:sz="4" w:space="0" w:color="auto"/>
              <w:right w:val="single" w:sz="4" w:space="0" w:color="auto"/>
            </w:tcBorders>
          </w:tcPr>
          <w:p w14:paraId="72B3F534" w14:textId="28BC2939" w:rsidR="008D6D5D" w:rsidRPr="00184756" w:rsidRDefault="00167AA6" w:rsidP="00606CBF">
            <w:pPr>
              <w:spacing w:before="0" w:after="0"/>
              <w:jc w:val="center"/>
              <w:rPr>
                <w:rFonts w:cs="Arial"/>
                <w:sz w:val="22"/>
                <w:szCs w:val="22"/>
              </w:rPr>
            </w:pPr>
            <w:r>
              <w:rPr>
                <w:rFonts w:cs="Arial"/>
                <w:sz w:val="22"/>
                <w:szCs w:val="22"/>
              </w:rPr>
              <w:t>Toca</w:t>
            </w:r>
          </w:p>
        </w:tc>
        <w:tc>
          <w:tcPr>
            <w:tcW w:w="1668" w:type="pct"/>
            <w:tcBorders>
              <w:top w:val="single" w:sz="4" w:space="0" w:color="auto"/>
              <w:left w:val="single" w:sz="4" w:space="0" w:color="auto"/>
              <w:bottom w:val="single" w:sz="4" w:space="0" w:color="auto"/>
              <w:right w:val="single" w:sz="4" w:space="0" w:color="auto"/>
            </w:tcBorders>
          </w:tcPr>
          <w:p w14:paraId="7CD2B430" w14:textId="1550F085" w:rsidR="008D6D5D" w:rsidRPr="00184756" w:rsidRDefault="008D6D5D" w:rsidP="00606CBF">
            <w:pPr>
              <w:spacing w:before="0" w:after="0"/>
              <w:jc w:val="center"/>
              <w:rPr>
                <w:rFonts w:cs="Arial"/>
                <w:sz w:val="22"/>
                <w:szCs w:val="22"/>
              </w:rPr>
            </w:pPr>
            <w:r w:rsidRPr="00184756">
              <w:rPr>
                <w:rFonts w:cs="Arial"/>
                <w:sz w:val="22"/>
                <w:szCs w:val="22"/>
              </w:rPr>
              <w:t>Boyacá</w:t>
            </w:r>
          </w:p>
        </w:tc>
      </w:tr>
    </w:tbl>
    <w:bookmarkEnd w:id="1"/>
    <w:bookmarkEnd w:id="2"/>
    <w:p w14:paraId="1AC05438" w14:textId="51EFFD6B" w:rsidR="008D6D5D" w:rsidRPr="008C1215" w:rsidRDefault="00A41A77" w:rsidP="00CC0493">
      <w:pPr>
        <w:adjustRightInd w:val="0"/>
        <w:spacing w:before="240" w:after="240"/>
        <w:ind w:right="23"/>
        <w:rPr>
          <w:rFonts w:cs="Arial"/>
        </w:rPr>
      </w:pPr>
      <w:r w:rsidRPr="008C1215">
        <w:rPr>
          <w:rFonts w:cs="Arial"/>
        </w:rPr>
        <w:t xml:space="preserve">De acuerdo con lo establecido en el Auto de Inicio de la actuación administrativa, y conforme a lo dispuesto en el </w:t>
      </w:r>
      <w:r w:rsidR="00110039">
        <w:rPr>
          <w:rFonts w:cs="Arial"/>
        </w:rPr>
        <w:t>a</w:t>
      </w:r>
      <w:r w:rsidRPr="008C1215">
        <w:rPr>
          <w:rFonts w:cs="Arial"/>
        </w:rPr>
        <w:t xml:space="preserve">rtículo 37 del Código de Procedimiento Administrativo y de lo Contencioso Administrativo, C.P.A.C.A., con el fin de que los terceros interesados pudieran hacerse parte en la respectiva actuación, se publicó en el </w:t>
      </w:r>
      <w:r w:rsidR="00A27BE4" w:rsidRPr="008C1215">
        <w:rPr>
          <w:rFonts w:cs="Arial"/>
        </w:rPr>
        <w:t xml:space="preserve">Diario Oficial No. </w:t>
      </w:r>
      <w:r w:rsidR="0080413E" w:rsidRPr="0080413E">
        <w:rPr>
          <w:rFonts w:cs="Arial"/>
        </w:rPr>
        <w:t>51.562 del 19 de enero de 2021</w:t>
      </w:r>
      <w:r w:rsidR="00B23869" w:rsidRPr="008C1215">
        <w:rPr>
          <w:rFonts w:cs="Arial"/>
        </w:rPr>
        <w:t>,</w:t>
      </w:r>
      <w:r w:rsidR="00A27BE4" w:rsidRPr="008C1215">
        <w:rPr>
          <w:rFonts w:cs="Arial"/>
        </w:rPr>
        <w:t xml:space="preserve"> el Aviso No. </w:t>
      </w:r>
      <w:r w:rsidR="00D717A8" w:rsidRPr="00184756">
        <w:rPr>
          <w:rFonts w:cs="Arial"/>
        </w:rPr>
        <w:t>0</w:t>
      </w:r>
      <w:r w:rsidR="007573D9">
        <w:rPr>
          <w:rFonts w:cs="Arial"/>
        </w:rPr>
        <w:t>11</w:t>
      </w:r>
      <w:r w:rsidR="0021278D" w:rsidRPr="008C1215">
        <w:rPr>
          <w:rFonts w:cs="Arial"/>
        </w:rPr>
        <w:t xml:space="preserve"> </w:t>
      </w:r>
      <w:r w:rsidR="0021278D" w:rsidRPr="00184756">
        <w:rPr>
          <w:rFonts w:cs="Arial"/>
        </w:rPr>
        <w:t>de la misma vigencia</w:t>
      </w:r>
      <w:r w:rsidR="00CC0493" w:rsidRPr="008C1215">
        <w:rPr>
          <w:rFonts w:cs="Arial"/>
        </w:rPr>
        <w:t xml:space="preserve"> con el resumen de la solicitud tarifaria presentada por </w:t>
      </w:r>
      <w:r w:rsidR="00167AA6">
        <w:rPr>
          <w:rFonts w:cs="Arial"/>
        </w:rPr>
        <w:t>REDNOVA</w:t>
      </w:r>
      <w:r w:rsidR="008D6D5D" w:rsidRPr="008C1215">
        <w:rPr>
          <w:rFonts w:cs="Arial"/>
        </w:rPr>
        <w:t xml:space="preserve"> </w:t>
      </w:r>
      <w:r w:rsidR="00A27BE4" w:rsidRPr="008C1215">
        <w:rPr>
          <w:rFonts w:cs="Arial"/>
        </w:rPr>
        <w:t xml:space="preserve">para la aprobación de cargos de distribución de </w:t>
      </w:r>
      <w:r w:rsidR="007573D9">
        <w:rPr>
          <w:rFonts w:cs="Arial"/>
        </w:rPr>
        <w:t>Gas Licuado de Petróleo</w:t>
      </w:r>
      <w:r w:rsidR="00631A88">
        <w:rPr>
          <w:rFonts w:cs="Arial"/>
        </w:rPr>
        <w:t xml:space="preserve"> (GLP)</w:t>
      </w:r>
      <w:r w:rsidR="00A27BE4" w:rsidRPr="008C1215">
        <w:rPr>
          <w:rFonts w:cs="Arial"/>
        </w:rPr>
        <w:t>.</w:t>
      </w:r>
    </w:p>
    <w:p w14:paraId="71A56907" w14:textId="2C22B139" w:rsidR="000E0372" w:rsidRDefault="00EB0EB7" w:rsidP="00391FE9">
      <w:pPr>
        <w:adjustRightInd w:val="0"/>
        <w:spacing w:before="240" w:after="240"/>
        <w:ind w:right="23"/>
        <w:rPr>
          <w:rFonts w:cs="Arial"/>
        </w:rPr>
      </w:pPr>
      <w:r w:rsidRPr="008C1215">
        <w:rPr>
          <w:rFonts w:cs="Arial"/>
        </w:rPr>
        <w:t>D</w:t>
      </w:r>
      <w:r w:rsidR="0014075A" w:rsidRPr="008C1215">
        <w:rPr>
          <w:rFonts w:cs="Arial"/>
        </w:rPr>
        <w:t xml:space="preserve">entro del trámite de </w:t>
      </w:r>
      <w:r w:rsidR="001D5C85" w:rsidRPr="008C1215">
        <w:rPr>
          <w:rFonts w:cs="Arial"/>
        </w:rPr>
        <w:t>la actuación administrativa</w:t>
      </w:r>
      <w:r w:rsidR="00737BF5" w:rsidRPr="008C1215">
        <w:rPr>
          <w:rFonts w:cs="Arial"/>
        </w:rPr>
        <w:t>,</w:t>
      </w:r>
      <w:r w:rsidR="001D5C85" w:rsidRPr="008C1215">
        <w:rPr>
          <w:rFonts w:cs="Arial"/>
        </w:rPr>
        <w:t xml:space="preserve"> y </w:t>
      </w:r>
      <w:r w:rsidR="0014075A" w:rsidRPr="008C1215">
        <w:rPr>
          <w:rFonts w:cs="Arial"/>
        </w:rPr>
        <w:t>con el fin de contar con los elementos de juicio suficientes para decidir de fondo la</w:t>
      </w:r>
      <w:r w:rsidR="001D5C85" w:rsidRPr="008C1215">
        <w:rPr>
          <w:rFonts w:cs="Arial"/>
        </w:rPr>
        <w:t xml:space="preserve"> misma</w:t>
      </w:r>
      <w:r w:rsidR="0014075A" w:rsidRPr="008C1215">
        <w:rPr>
          <w:rFonts w:cs="Arial"/>
        </w:rPr>
        <w:t>,</w:t>
      </w:r>
      <w:r w:rsidR="007A1185" w:rsidRPr="008C1215">
        <w:rPr>
          <w:rFonts w:cs="Arial"/>
        </w:rPr>
        <w:t xml:space="preserve"> </w:t>
      </w:r>
      <w:r w:rsidR="0014075A" w:rsidRPr="008C1215">
        <w:rPr>
          <w:rFonts w:cs="Arial"/>
        </w:rPr>
        <w:t>con fundamento en lo dispuesto</w:t>
      </w:r>
      <w:r w:rsidR="00737BF5" w:rsidRPr="008C1215">
        <w:rPr>
          <w:rFonts w:cs="Arial"/>
        </w:rPr>
        <w:t>,</w:t>
      </w:r>
      <w:r w:rsidR="007A1185" w:rsidRPr="008C1215">
        <w:rPr>
          <w:rFonts w:cs="Arial"/>
        </w:rPr>
        <w:t xml:space="preserve"> tanto en el </w:t>
      </w:r>
      <w:r w:rsidR="00110039">
        <w:rPr>
          <w:rFonts w:cs="Arial"/>
        </w:rPr>
        <w:t>a</w:t>
      </w:r>
      <w:r w:rsidR="007A1185" w:rsidRPr="008C1215">
        <w:rPr>
          <w:rFonts w:cs="Arial"/>
        </w:rPr>
        <w:t xml:space="preserve">rtículo 40 del C.P.A.C.A, como en el </w:t>
      </w:r>
      <w:r w:rsidR="00110039">
        <w:rPr>
          <w:rFonts w:cs="Arial"/>
        </w:rPr>
        <w:t>a</w:t>
      </w:r>
      <w:r w:rsidR="0014075A" w:rsidRPr="008C1215">
        <w:rPr>
          <w:rFonts w:cs="Arial"/>
        </w:rPr>
        <w:t xml:space="preserve">rtículo 108 de la Ley 142 de 1994, </w:t>
      </w:r>
      <w:r w:rsidR="002D5495" w:rsidRPr="008C1215">
        <w:rPr>
          <w:rFonts w:cs="Arial"/>
        </w:rPr>
        <w:t xml:space="preserve">mediante Auto </w:t>
      </w:r>
      <w:r w:rsidR="0080413E" w:rsidRPr="0080413E">
        <w:rPr>
          <w:rFonts w:cs="Arial"/>
        </w:rPr>
        <w:t>I-2021-000614</w:t>
      </w:r>
      <w:r w:rsidR="0080413E">
        <w:rPr>
          <w:rFonts w:cs="Arial"/>
        </w:rPr>
        <w:t xml:space="preserve"> </w:t>
      </w:r>
      <w:r w:rsidR="009127AF" w:rsidRPr="009127AF">
        <w:rPr>
          <w:rFonts w:cs="Arial"/>
        </w:rPr>
        <w:t>del 1</w:t>
      </w:r>
      <w:r w:rsidR="0080413E">
        <w:rPr>
          <w:rFonts w:cs="Arial"/>
        </w:rPr>
        <w:t>2</w:t>
      </w:r>
      <w:r w:rsidR="009127AF" w:rsidRPr="009127AF">
        <w:rPr>
          <w:rFonts w:cs="Arial"/>
        </w:rPr>
        <w:t xml:space="preserve"> de </w:t>
      </w:r>
      <w:r w:rsidR="0080413E">
        <w:rPr>
          <w:rFonts w:cs="Arial"/>
        </w:rPr>
        <w:t>marz</w:t>
      </w:r>
      <w:r w:rsidR="009127AF" w:rsidRPr="009127AF">
        <w:rPr>
          <w:rFonts w:cs="Arial"/>
        </w:rPr>
        <w:t>o de 2021</w:t>
      </w:r>
      <w:r w:rsidR="009127AF">
        <w:rPr>
          <w:rFonts w:cs="Arial"/>
        </w:rPr>
        <w:t xml:space="preserve"> comunicado mediante radicado </w:t>
      </w:r>
      <w:r w:rsidR="0080413E" w:rsidRPr="0080413E">
        <w:rPr>
          <w:rFonts w:cs="Arial"/>
        </w:rPr>
        <w:t>S-2021-001101</w:t>
      </w:r>
      <w:r w:rsidR="00BB4867">
        <w:rPr>
          <w:rFonts w:cs="Arial"/>
        </w:rPr>
        <w:t xml:space="preserve"> de la misma fecha,</w:t>
      </w:r>
      <w:r w:rsidR="009127AF" w:rsidRPr="009127AF">
        <w:rPr>
          <w:rFonts w:cs="Arial"/>
        </w:rPr>
        <w:t xml:space="preserve"> </w:t>
      </w:r>
      <w:r w:rsidRPr="008C1215">
        <w:rPr>
          <w:rFonts w:cs="Arial"/>
        </w:rPr>
        <w:t xml:space="preserve">se </w:t>
      </w:r>
      <w:r w:rsidR="007A1185" w:rsidRPr="008C1215">
        <w:rPr>
          <w:rFonts w:cs="Arial"/>
        </w:rPr>
        <w:t>procedió a abrir per</w:t>
      </w:r>
      <w:r w:rsidRPr="008C1215">
        <w:rPr>
          <w:rFonts w:cs="Arial"/>
        </w:rPr>
        <w:t>í</w:t>
      </w:r>
      <w:r w:rsidR="007A1185" w:rsidRPr="008C1215">
        <w:rPr>
          <w:rFonts w:cs="Arial"/>
        </w:rPr>
        <w:t xml:space="preserve">odo probatorio </w:t>
      </w:r>
      <w:r w:rsidR="00A041D4" w:rsidRPr="008C1215">
        <w:rPr>
          <w:rFonts w:cs="Arial"/>
        </w:rPr>
        <w:t>y dentro del mismo a decretar la práctica de pruebas de ofici</w:t>
      </w:r>
      <w:r w:rsidR="000E0372">
        <w:rPr>
          <w:rFonts w:cs="Arial"/>
        </w:rPr>
        <w:t>o</w:t>
      </w:r>
      <w:r w:rsidR="00841D53">
        <w:rPr>
          <w:rFonts w:cs="Arial"/>
        </w:rPr>
        <w:t xml:space="preserve">; </w:t>
      </w:r>
      <w:r w:rsidR="00A32621" w:rsidRPr="00A32621">
        <w:rPr>
          <w:rFonts w:cs="Arial"/>
        </w:rPr>
        <w:t>período probatorio que, posteriormente, fue adicionado mediante Autos I-2021-001052 del 9 de abril de 2021, I-2021-000996 del 19 de abril de 2021, I-2021-002101 del 13 de agosto de 2021, I-2021-003393 del 24 de noviembre de 2021, I-2021-003867 del 15 de diciembre de 2021, I-2022-005307 del 4 de abril de 2022 y Auto 20240000226 del 12 de abril de 2024.</w:t>
      </w:r>
    </w:p>
    <w:p w14:paraId="6D7F6B63" w14:textId="265C5B78" w:rsidR="00B96BF6" w:rsidRDefault="00B96BF6" w:rsidP="00391FE9">
      <w:pPr>
        <w:adjustRightInd w:val="0"/>
        <w:spacing w:before="240" w:after="240"/>
        <w:ind w:right="23"/>
        <w:rPr>
          <w:rFonts w:cs="Arial"/>
        </w:rPr>
      </w:pPr>
      <w:r w:rsidRPr="00B96BF6">
        <w:rPr>
          <w:rFonts w:cs="Arial"/>
        </w:rPr>
        <w:t xml:space="preserve">Los autos proferidos dentro de la actuación administrativa fueron atendidos por REDNOVA mediante radicados CREG E-2021-003526 del 23 de marzo de 2021, </w:t>
      </w:r>
      <w:r w:rsidRPr="00B96BF6">
        <w:rPr>
          <w:rFonts w:cs="Arial"/>
        </w:rPr>
        <w:lastRenderedPageBreak/>
        <w:t>E-2021-004272 del 14 de abril de 2021,</w:t>
      </w:r>
      <w:r w:rsidR="0088172D" w:rsidRPr="00761B07">
        <w:rPr>
          <w:rFonts w:cs="Arial"/>
        </w:rPr>
        <w:t xml:space="preserve"> </w:t>
      </w:r>
      <w:r w:rsidR="0088172D" w:rsidRPr="0088172D">
        <w:rPr>
          <w:rFonts w:cs="Arial"/>
        </w:rPr>
        <w:t>E-2021-004542</w:t>
      </w:r>
      <w:r w:rsidR="00CA301C">
        <w:rPr>
          <w:rFonts w:cs="Arial"/>
        </w:rPr>
        <w:t xml:space="preserve"> del 21 de abril de 2021,</w:t>
      </w:r>
      <w:r w:rsidR="00822366" w:rsidRPr="00761B07">
        <w:rPr>
          <w:rFonts w:cs="Arial"/>
        </w:rPr>
        <w:t xml:space="preserve"> E-2021-004604 del 23 de abril de 2021, </w:t>
      </w:r>
      <w:r w:rsidRPr="00B96BF6">
        <w:rPr>
          <w:rFonts w:cs="Arial"/>
        </w:rPr>
        <w:t xml:space="preserve"> </w:t>
      </w:r>
      <w:r w:rsidRPr="003D5A9A">
        <w:rPr>
          <w:rFonts w:cs="Arial"/>
        </w:rPr>
        <w:t>E-2021-004917 del 29 de abril de 2021</w:t>
      </w:r>
      <w:r w:rsidRPr="00B96BF6">
        <w:rPr>
          <w:rFonts w:cs="Arial"/>
        </w:rPr>
        <w:t>,</w:t>
      </w:r>
      <w:r w:rsidR="00A07B20">
        <w:rPr>
          <w:rFonts w:cs="Arial"/>
        </w:rPr>
        <w:t xml:space="preserve"> </w:t>
      </w:r>
      <w:r w:rsidR="00A07B20" w:rsidRPr="00A07B20">
        <w:rPr>
          <w:rFonts w:cs="Arial"/>
        </w:rPr>
        <w:t>E-2021-010832</w:t>
      </w:r>
      <w:r w:rsidR="00F037D9">
        <w:rPr>
          <w:rFonts w:cs="Arial"/>
        </w:rPr>
        <w:t xml:space="preserve"> del 15 de septiembre de 2021,</w:t>
      </w:r>
      <w:r w:rsidRPr="00B96BF6">
        <w:rPr>
          <w:rFonts w:cs="Arial"/>
        </w:rPr>
        <w:t xml:space="preserve"> E-2021-009844 y E-2021-009887 del 26 de noviembre de 2021, E-2021-014540 del 3 de diciembre de 2021, E-2021-015132 del 17 de diciembre de 2021, E-2022-004071, E-2022-004072, E-2022-004073 del 12 de abril de 2022 y E</w:t>
      </w:r>
      <w:r w:rsidR="00761B07">
        <w:rPr>
          <w:rFonts w:cs="Arial"/>
        </w:rPr>
        <w:t>-</w:t>
      </w:r>
      <w:r w:rsidRPr="00B96BF6">
        <w:rPr>
          <w:rFonts w:cs="Arial"/>
        </w:rPr>
        <w:t>2024</w:t>
      </w:r>
      <w:r w:rsidR="00761B07">
        <w:rPr>
          <w:rFonts w:cs="Arial"/>
        </w:rPr>
        <w:t>-</w:t>
      </w:r>
      <w:r w:rsidRPr="00B96BF6">
        <w:rPr>
          <w:rFonts w:cs="Arial"/>
        </w:rPr>
        <w:t>005785 de 26 abril de 2024.</w:t>
      </w:r>
    </w:p>
    <w:p w14:paraId="6565779A" w14:textId="4DBDD982" w:rsidR="00097FE3" w:rsidRPr="00097FE3" w:rsidRDefault="00097FE3" w:rsidP="00097FE3">
      <w:pPr>
        <w:rPr>
          <w:rFonts w:cs="Arial"/>
        </w:rPr>
      </w:pPr>
      <w:r w:rsidRPr="00097FE3">
        <w:rPr>
          <w:rFonts w:cs="Arial"/>
        </w:rPr>
        <w:t>En desarrollo de la etapa probatoria, el día 21 de abril de 2021, a través de medios electrónicos, se celebró la audiencia virtual programada mediante Auto I-2021-001052 la cual tuvo por objeto que la empresa expusiera y sustentara a la Comisión los Otros Activos, los Gastos de Administración, Operación y Mantenimiento, AOM, y los Otros Gastos de AOM cuyo reconocimiento se pretende con la solicitud.</w:t>
      </w:r>
    </w:p>
    <w:p w14:paraId="587F835E" w14:textId="0B752090" w:rsidR="00581939" w:rsidRPr="009176F4" w:rsidRDefault="00581939" w:rsidP="00581939">
      <w:pPr>
        <w:adjustRightInd w:val="0"/>
        <w:spacing w:before="240" w:after="240"/>
        <w:ind w:right="20"/>
        <w:rPr>
          <w:rFonts w:cs="Arial"/>
        </w:rPr>
      </w:pPr>
      <w:r w:rsidRPr="4A5A59C1">
        <w:rPr>
          <w:rFonts w:cs="Arial"/>
        </w:rPr>
        <w:t xml:space="preserve">Dado que el sistema de distribución presentado por la empresa </w:t>
      </w:r>
      <w:r w:rsidR="00167AA6">
        <w:rPr>
          <w:rFonts w:cs="Arial"/>
        </w:rPr>
        <w:t>REDNOVA</w:t>
      </w:r>
      <w:r w:rsidR="008D6D5D" w:rsidRPr="4A5A59C1">
        <w:rPr>
          <w:rFonts w:cs="Arial"/>
        </w:rPr>
        <w:t xml:space="preserve"> </w:t>
      </w:r>
      <w:r w:rsidRPr="4A5A59C1">
        <w:rPr>
          <w:rFonts w:cs="Arial"/>
        </w:rPr>
        <w:t>para el mercado relevante solicitado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el numeral 9.3 del artículo 9 de la Resolución CREG 202 de 2013, en concordancia con las resoluciones CREG 138 de 2014, 090 y 132 de 2018 y 011 de 2020,</w:t>
      </w:r>
      <w:r>
        <w:rPr>
          <w:rFonts w:cs="Arial"/>
        </w:rPr>
        <w:t xml:space="preserve"> el cual</w:t>
      </w:r>
      <w:r w:rsidRPr="4A5A59C1">
        <w:rPr>
          <w:rFonts w:cs="Arial"/>
        </w:rPr>
        <w:t xml:space="preserve"> establece lo siguiente:</w:t>
      </w:r>
    </w:p>
    <w:p w14:paraId="2EDF98BF" w14:textId="77777777" w:rsidR="00581939" w:rsidRPr="00F57411" w:rsidRDefault="00581939" w:rsidP="00581939">
      <w:pPr>
        <w:tabs>
          <w:tab w:val="left" w:pos="7513"/>
        </w:tabs>
        <w:spacing w:before="240" w:after="240"/>
        <w:ind w:left="284" w:right="425"/>
        <w:rPr>
          <w:rFonts w:cs="Arial"/>
          <w:b/>
          <w:i/>
          <w:sz w:val="22"/>
          <w:szCs w:val="22"/>
        </w:rPr>
      </w:pPr>
      <w:r w:rsidRPr="00F57411">
        <w:rPr>
          <w:rFonts w:cs="Arial"/>
          <w:b/>
          <w:i/>
          <w:sz w:val="22"/>
          <w:szCs w:val="22"/>
        </w:rPr>
        <w:t>“9.3. CARGOS DE DISTRIBUCIÓN EN SISTEMAS DE DISTRIBUCIÓN QUE NO TIENEN CONECTADOS USUARIOS A LA RED PRIMARIA.</w:t>
      </w:r>
    </w:p>
    <w:p w14:paraId="52F3AAEE" w14:textId="77777777" w:rsidR="00581939" w:rsidRPr="00F57411" w:rsidRDefault="00581939" w:rsidP="00581939">
      <w:pPr>
        <w:tabs>
          <w:tab w:val="left" w:pos="7513"/>
        </w:tabs>
        <w:spacing w:before="240" w:after="240"/>
        <w:ind w:left="426" w:right="425"/>
        <w:rPr>
          <w:rFonts w:cs="Arial"/>
          <w:i/>
          <w:sz w:val="22"/>
          <w:szCs w:val="22"/>
        </w:rPr>
      </w:pPr>
      <w:r w:rsidRPr="00F57411">
        <w:rPr>
          <w:rFonts w:cs="Arial"/>
          <w:i/>
          <w:sz w:val="22"/>
          <w:szCs w:val="22"/>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25355AA7" w14:textId="66CFDF7E" w:rsidR="007E3963" w:rsidRDefault="00F2047D" w:rsidP="007E3963">
      <w:pPr>
        <w:widowControl w:val="0"/>
        <w:adjustRightInd w:val="0"/>
        <w:spacing w:before="240" w:after="240"/>
        <w:ind w:right="20"/>
        <w:rPr>
          <w:rFonts w:cs="Arial"/>
        </w:rPr>
      </w:pPr>
      <w:r w:rsidRPr="00F2047D">
        <w:rPr>
          <w:rFonts w:cs="Arial"/>
        </w:rPr>
        <w:t>El análisis de la solicitud tarifaria y los cálculos correspondientes efectuados por parte de la Comisión, así como las consideraciones que soportan la presente Resolución</w:t>
      </w:r>
      <w:r>
        <w:rPr>
          <w:rFonts w:cs="Arial"/>
        </w:rPr>
        <w:t xml:space="preserve"> están</w:t>
      </w:r>
      <w:r w:rsidR="00E80039" w:rsidRPr="001954E9">
        <w:rPr>
          <w:rFonts w:cs="Arial"/>
        </w:rPr>
        <w:t xml:space="preserve"> </w:t>
      </w:r>
      <w:r w:rsidR="00780B90">
        <w:rPr>
          <w:rFonts w:cs="Arial"/>
        </w:rPr>
        <w:t xml:space="preserve">contenidos </w:t>
      </w:r>
      <w:r w:rsidR="00E80039" w:rsidRPr="001954E9">
        <w:rPr>
          <w:rFonts w:cs="Arial"/>
        </w:rPr>
        <w:t xml:space="preserve">en el Documento </w:t>
      </w:r>
      <w:r w:rsidR="006915B3" w:rsidRPr="00303298">
        <w:rPr>
          <w:rFonts w:cs="Arial"/>
        </w:rPr>
        <w:t xml:space="preserve">CREG </w:t>
      </w:r>
      <w:r w:rsidR="0042019F">
        <w:rPr>
          <w:rFonts w:cs="Arial"/>
        </w:rPr>
        <w:t>902 088</w:t>
      </w:r>
      <w:r w:rsidR="006915B3" w:rsidRPr="00303298">
        <w:rPr>
          <w:rFonts w:cs="Arial"/>
        </w:rPr>
        <w:t xml:space="preserve"> de 202</w:t>
      </w:r>
      <w:r w:rsidR="00303298">
        <w:rPr>
          <w:rFonts w:cs="Arial"/>
        </w:rPr>
        <w:t>4</w:t>
      </w:r>
      <w:r w:rsidR="00E80039" w:rsidRPr="001954E9">
        <w:rPr>
          <w:rFonts w:cs="Arial"/>
        </w:rPr>
        <w:t xml:space="preserve">, </w:t>
      </w:r>
      <w:r w:rsidR="001A17AF">
        <w:rPr>
          <w:rFonts w:cs="Arial"/>
        </w:rPr>
        <w:t xml:space="preserve">el cual hace parte integral de la </w:t>
      </w:r>
      <w:r w:rsidR="00E80039" w:rsidRPr="001954E9">
        <w:rPr>
          <w:rFonts w:cs="Arial"/>
        </w:rPr>
        <w:t xml:space="preserve">presente </w:t>
      </w:r>
      <w:r w:rsidR="00E80039">
        <w:rPr>
          <w:rFonts w:cs="Arial"/>
        </w:rPr>
        <w:t>R</w:t>
      </w:r>
      <w:r w:rsidR="00E80039" w:rsidRPr="001954E9">
        <w:rPr>
          <w:rFonts w:cs="Arial"/>
        </w:rPr>
        <w:t>esolución.</w:t>
      </w:r>
    </w:p>
    <w:p w14:paraId="50BEFE0F" w14:textId="327CEAD5" w:rsidR="00533D10" w:rsidRDefault="00533D10" w:rsidP="00533D10">
      <w:pPr>
        <w:spacing w:before="240" w:after="240"/>
        <w:rPr>
          <w:lang w:val="es-ES_tradnl"/>
        </w:rPr>
      </w:pPr>
      <w:r>
        <w:rPr>
          <w:lang w:val="es-ES_tradnl"/>
        </w:rPr>
        <w:t>En la Resolución CREG 102-002 de 2022 se establecieron los valores de la Tasa de Descuento para la actividad de distribución de gas combustible</w:t>
      </w:r>
      <w:r w:rsidR="00061220">
        <w:rPr>
          <w:lang w:val="es-ES_tradnl"/>
        </w:rPr>
        <w:t xml:space="preserve">, </w:t>
      </w:r>
      <w:r w:rsidR="00061220" w:rsidRPr="00061220">
        <w:rPr>
          <w:lang w:val="es-ES_tradnl"/>
        </w:rPr>
        <w:t>el cual corresponde a 12.65% a partir de 2022.</w:t>
      </w:r>
    </w:p>
    <w:p w14:paraId="07DBD674" w14:textId="2F180B4C" w:rsidR="00F76CE1" w:rsidRPr="009176F4" w:rsidRDefault="00F76CE1" w:rsidP="00F76CE1">
      <w:pPr>
        <w:spacing w:before="240" w:after="240"/>
        <w:rPr>
          <w:rFonts w:cs="Arial"/>
        </w:rPr>
      </w:pPr>
      <w:r w:rsidRPr="42D9CC66">
        <w:rPr>
          <w:rFonts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Pr>
          <w:rFonts w:cs="Arial"/>
        </w:rPr>
        <w:t>,</w:t>
      </w:r>
      <w:r w:rsidRPr="42D9CC66">
        <w:rPr>
          <w:rFonts w:cs="Arial"/>
        </w:rPr>
        <w:t xml:space="preserve"> para efectos de lo establecido en el artículo 7 de la Ley 1340 de 2009. La respuesta al cuestionario se encuentra en el Documento </w:t>
      </w:r>
      <w:r w:rsidRPr="00303298">
        <w:rPr>
          <w:rFonts w:cs="Arial"/>
        </w:rPr>
        <w:t xml:space="preserve">CREG </w:t>
      </w:r>
      <w:r w:rsidR="0042019F">
        <w:rPr>
          <w:rFonts w:cs="Arial"/>
        </w:rPr>
        <w:t>902 088</w:t>
      </w:r>
      <w:r w:rsidRPr="00303298">
        <w:rPr>
          <w:rFonts w:cs="Arial"/>
        </w:rPr>
        <w:t xml:space="preserve"> de 202</w:t>
      </w:r>
      <w:r w:rsidR="00303298" w:rsidRPr="00303298">
        <w:rPr>
          <w:rFonts w:cs="Arial"/>
        </w:rPr>
        <w:t>4</w:t>
      </w:r>
      <w:r w:rsidRPr="00303298">
        <w:rPr>
          <w:rFonts w:cs="Arial"/>
        </w:rPr>
        <w:t>,</w:t>
      </w:r>
      <w:r w:rsidRPr="42D9CC66">
        <w:rPr>
          <w:rFonts w:cs="Arial"/>
        </w:rPr>
        <w:t xml:space="preserve"> que hace parte integral de la presente resolución.</w:t>
      </w:r>
    </w:p>
    <w:p w14:paraId="211AC841" w14:textId="1CEA2CE7" w:rsidR="00196F32" w:rsidRPr="00D252FD" w:rsidRDefault="00196F32" w:rsidP="00196F32">
      <w:pPr>
        <w:adjustRightInd w:val="0"/>
        <w:spacing w:before="240" w:after="240"/>
        <w:ind w:right="23"/>
        <w:rPr>
          <w:rFonts w:cs="Arial"/>
        </w:rPr>
      </w:pPr>
      <w:r w:rsidRPr="009176F4">
        <w:rPr>
          <w:rFonts w:cs="Arial"/>
          <w:color w:val="000000"/>
          <w:spacing w:val="-3"/>
        </w:rPr>
        <w:lastRenderedPageBreak/>
        <w:t xml:space="preserve">Con </w:t>
      </w:r>
      <w:r w:rsidRPr="00D252FD">
        <w:rPr>
          <w:rFonts w:cs="Arial"/>
        </w:rPr>
        <w:t xml:space="preserve">base en lo anterior, la Comisión de Regulación de Energía y Gas, en su sesión No. </w:t>
      </w:r>
      <w:r w:rsidR="00D252FD" w:rsidRPr="00D252FD">
        <w:rPr>
          <w:rFonts w:cs="Arial"/>
        </w:rPr>
        <w:t>1356</w:t>
      </w:r>
      <w:r w:rsidRPr="00D252FD">
        <w:rPr>
          <w:rFonts w:cs="Arial"/>
        </w:rPr>
        <w:t xml:space="preserve"> del </w:t>
      </w:r>
      <w:r w:rsidR="00D252FD" w:rsidRPr="00D252FD">
        <w:rPr>
          <w:rFonts w:cs="Arial"/>
        </w:rPr>
        <w:t>14</w:t>
      </w:r>
      <w:r w:rsidRPr="00D252FD">
        <w:rPr>
          <w:rFonts w:cs="Arial"/>
        </w:rPr>
        <w:t xml:space="preserve"> de </w:t>
      </w:r>
      <w:r w:rsidR="00D252FD" w:rsidRPr="00D252FD">
        <w:rPr>
          <w:rFonts w:cs="Arial"/>
        </w:rPr>
        <w:t>noviembre</w:t>
      </w:r>
      <w:r w:rsidRPr="00D252FD">
        <w:rPr>
          <w:rFonts w:cs="Arial"/>
        </w:rPr>
        <w:t xml:space="preserve"> de 202</w:t>
      </w:r>
      <w:r w:rsidR="00D252FD" w:rsidRPr="00D252FD">
        <w:rPr>
          <w:rFonts w:cs="Arial"/>
        </w:rPr>
        <w:t>4</w:t>
      </w:r>
      <w:r w:rsidRPr="00D252FD">
        <w:rPr>
          <w:rFonts w:cs="Arial"/>
        </w:rPr>
        <w:t>, aprobó expedir la presente Resolución y, en consecuencia,</w:t>
      </w:r>
    </w:p>
    <w:p w14:paraId="2C7DA547" w14:textId="5CB3EDDC" w:rsidR="00FA4486" w:rsidRPr="005039CA" w:rsidRDefault="00780B90" w:rsidP="00FA4486">
      <w:pPr>
        <w:keepNext/>
        <w:spacing w:before="360" w:after="360"/>
        <w:jc w:val="center"/>
        <w:rPr>
          <w:rFonts w:cs="Arial"/>
        </w:rPr>
      </w:pPr>
      <w:r>
        <w:rPr>
          <w:rFonts w:cs="Arial"/>
          <w:b/>
          <w:spacing w:val="80"/>
        </w:rPr>
        <w:t>R</w:t>
      </w:r>
      <w:r w:rsidR="00FA4486" w:rsidRPr="005039CA">
        <w:rPr>
          <w:rFonts w:cs="Arial"/>
          <w:b/>
          <w:spacing w:val="80"/>
        </w:rPr>
        <w:t>ESUELVE</w:t>
      </w:r>
      <w:r w:rsidR="00FA4486" w:rsidRPr="005039CA">
        <w:rPr>
          <w:rFonts w:cs="Arial"/>
        </w:rPr>
        <w:t>:</w:t>
      </w:r>
    </w:p>
    <w:p w14:paraId="541CD391" w14:textId="77777777" w:rsidR="00D90B8D" w:rsidRPr="0044777B" w:rsidRDefault="00D90B8D" w:rsidP="00D90B8D">
      <w:pPr>
        <w:keepNext/>
        <w:spacing w:before="480" w:after="240"/>
        <w:jc w:val="center"/>
        <w:rPr>
          <w:rFonts w:cs="Arial"/>
          <w:b/>
          <w:spacing w:val="80"/>
        </w:rPr>
      </w:pPr>
      <w:r w:rsidRPr="0044777B">
        <w:rPr>
          <w:rFonts w:cs="Arial"/>
          <w:b/>
          <w:spacing w:val="80"/>
        </w:rPr>
        <w:t>CAPÍTULO I</w:t>
      </w:r>
    </w:p>
    <w:p w14:paraId="70ED47E0" w14:textId="77777777" w:rsidR="00D90B8D" w:rsidRPr="0044777B" w:rsidRDefault="00D90B8D" w:rsidP="00D90B8D">
      <w:pPr>
        <w:keepNext/>
        <w:spacing w:before="240" w:after="240"/>
        <w:jc w:val="center"/>
        <w:rPr>
          <w:rFonts w:cs="Arial"/>
          <w:b/>
          <w:spacing w:val="80"/>
        </w:rPr>
      </w:pPr>
      <w:r w:rsidRPr="0044777B">
        <w:rPr>
          <w:rFonts w:cs="Arial"/>
          <w:b/>
          <w:spacing w:val="80"/>
        </w:rPr>
        <w:t xml:space="preserve">MERCADO RELEVANTE DE DISTRIBUCIÓN </w:t>
      </w:r>
    </w:p>
    <w:p w14:paraId="68A980F6" w14:textId="330D1F0D" w:rsidR="00D90B8D" w:rsidRDefault="00D90B8D" w:rsidP="00382D36">
      <w:pPr>
        <w:tabs>
          <w:tab w:val="left" w:pos="0"/>
        </w:tabs>
        <w:adjustRightInd w:val="0"/>
        <w:spacing w:before="240" w:after="240"/>
        <w:ind w:right="23"/>
        <w:rPr>
          <w:rFonts w:cs="Arial"/>
          <w:bCs/>
        </w:rPr>
      </w:pPr>
      <w:r w:rsidRPr="0044777B">
        <w:rPr>
          <w:rFonts w:cs="Arial"/>
          <w:b/>
        </w:rPr>
        <w:t xml:space="preserve">ARTÍCULO 1. Mercado Relevante de Distribución </w:t>
      </w:r>
      <w:r w:rsidR="00196F32">
        <w:rPr>
          <w:rFonts w:cs="Arial"/>
          <w:b/>
        </w:rPr>
        <w:t>p</w:t>
      </w:r>
      <w:r w:rsidRPr="0044777B">
        <w:rPr>
          <w:rFonts w:cs="Arial"/>
          <w:b/>
        </w:rPr>
        <w:t xml:space="preserve">ara el Siguiente Período Tarifario. </w:t>
      </w:r>
      <w:r w:rsidRPr="0044777B">
        <w:rPr>
          <w:rFonts w:cs="Arial"/>
          <w:bCs/>
        </w:rPr>
        <w:t xml:space="preserve">Conforme a lo definido en el </w:t>
      </w:r>
      <w:r w:rsidR="00061220">
        <w:rPr>
          <w:rFonts w:cs="Arial"/>
          <w:bCs/>
        </w:rPr>
        <w:t>n</w:t>
      </w:r>
      <w:r w:rsidRPr="0044777B">
        <w:rPr>
          <w:rFonts w:cs="Arial"/>
          <w:bCs/>
        </w:rPr>
        <w:t xml:space="preserve">umeral 5.2 de la Metodología, se aprueba el Mercado Relevante de Distribución para el Siguiente Período Tarifario conformado como se relaciona a continuación, para </w:t>
      </w:r>
      <w:r w:rsidR="00D26224">
        <w:rPr>
          <w:rFonts w:cs="Arial"/>
          <w:bCs/>
        </w:rPr>
        <w:t>el</w:t>
      </w:r>
      <w:r w:rsidR="00D26224" w:rsidRPr="0044777B">
        <w:rPr>
          <w:rFonts w:cs="Arial"/>
          <w:bCs/>
        </w:rPr>
        <w:t xml:space="preserve"> </w:t>
      </w:r>
      <w:r w:rsidRPr="0044777B">
        <w:rPr>
          <w:rFonts w:cs="Arial"/>
          <w:bCs/>
        </w:rPr>
        <w:t xml:space="preserve">cual se determinará en la presente Resolución </w:t>
      </w:r>
      <w:r w:rsidR="00D26224">
        <w:rPr>
          <w:rFonts w:cs="Arial"/>
          <w:bCs/>
        </w:rPr>
        <w:t xml:space="preserve">el </w:t>
      </w:r>
      <w:r w:rsidRPr="0044777B">
        <w:rPr>
          <w:rFonts w:cs="Arial"/>
          <w:bCs/>
        </w:rPr>
        <w:t>correspondiente cargo por uso del Sistema de Distribución:</w:t>
      </w:r>
    </w:p>
    <w:tbl>
      <w:tblPr>
        <w:tblStyle w:val="Tablaconcuadrcula"/>
        <w:tblW w:w="5000" w:type="pct"/>
        <w:jc w:val="center"/>
        <w:tblLook w:val="04A0" w:firstRow="1" w:lastRow="0" w:firstColumn="1" w:lastColumn="0" w:noHBand="0" w:noVBand="1"/>
      </w:tblPr>
      <w:tblGrid>
        <w:gridCol w:w="2953"/>
        <w:gridCol w:w="2432"/>
        <w:gridCol w:w="3961"/>
      </w:tblGrid>
      <w:tr w:rsidR="008E09BB" w:rsidRPr="008C1215" w14:paraId="74766C9A" w14:textId="77777777" w:rsidTr="00303298">
        <w:trPr>
          <w:trHeight w:val="468"/>
          <w:tblHeader/>
          <w:jc w:val="center"/>
        </w:trPr>
        <w:tc>
          <w:tcPr>
            <w:tcW w:w="1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685C4" w14:textId="77777777" w:rsidR="008E09BB" w:rsidRPr="008C1215" w:rsidRDefault="008E09BB" w:rsidP="00FD7994">
            <w:pPr>
              <w:keepNext/>
              <w:spacing w:before="0" w:after="0"/>
              <w:jc w:val="center"/>
              <w:rPr>
                <w:rFonts w:cs="Arial"/>
                <w:b/>
                <w:sz w:val="22"/>
                <w:szCs w:val="22"/>
              </w:rPr>
            </w:pPr>
            <w:r w:rsidRPr="008C1215">
              <w:rPr>
                <w:rFonts w:cs="Arial"/>
                <w:b/>
                <w:sz w:val="22"/>
                <w:szCs w:val="22"/>
              </w:rPr>
              <w:t>CÓDIGO DANE</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66867" w14:textId="77777777" w:rsidR="008E09BB" w:rsidRPr="008C1215" w:rsidRDefault="008E09BB" w:rsidP="00FD7994">
            <w:pPr>
              <w:keepNext/>
              <w:spacing w:before="0" w:after="0"/>
              <w:jc w:val="center"/>
              <w:rPr>
                <w:rFonts w:cs="Arial"/>
                <w:b/>
                <w:sz w:val="22"/>
                <w:szCs w:val="22"/>
              </w:rPr>
            </w:pPr>
            <w:r w:rsidRPr="008C1215">
              <w:rPr>
                <w:rFonts w:cs="Arial"/>
                <w:b/>
                <w:sz w:val="22"/>
                <w:szCs w:val="22"/>
              </w:rPr>
              <w:t>MUNICIPIO</w:t>
            </w:r>
          </w:p>
        </w:tc>
        <w:tc>
          <w:tcPr>
            <w:tcW w:w="2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FF3BE" w14:textId="77777777" w:rsidR="008E09BB" w:rsidRPr="008C1215" w:rsidRDefault="008E09BB" w:rsidP="00FD7994">
            <w:pPr>
              <w:keepNext/>
              <w:spacing w:before="0" w:after="0"/>
              <w:jc w:val="center"/>
              <w:rPr>
                <w:rFonts w:cs="Arial"/>
                <w:b/>
                <w:sz w:val="22"/>
                <w:szCs w:val="22"/>
              </w:rPr>
            </w:pPr>
            <w:r w:rsidRPr="008C1215">
              <w:rPr>
                <w:rFonts w:cs="Arial"/>
                <w:b/>
                <w:sz w:val="22"/>
                <w:szCs w:val="22"/>
              </w:rPr>
              <w:t>DEPARTAMENTO</w:t>
            </w:r>
          </w:p>
        </w:tc>
      </w:tr>
      <w:tr w:rsidR="008E09BB" w:rsidRPr="008C1215" w14:paraId="084367E8" w14:textId="77777777" w:rsidTr="00303298">
        <w:trPr>
          <w:trHeight w:val="302"/>
          <w:jc w:val="center"/>
        </w:trPr>
        <w:tc>
          <w:tcPr>
            <w:tcW w:w="1580" w:type="pct"/>
            <w:tcBorders>
              <w:top w:val="single" w:sz="4" w:space="0" w:color="auto"/>
              <w:left w:val="single" w:sz="4" w:space="0" w:color="auto"/>
              <w:bottom w:val="single" w:sz="4" w:space="0" w:color="auto"/>
              <w:right w:val="single" w:sz="4" w:space="0" w:color="auto"/>
            </w:tcBorders>
          </w:tcPr>
          <w:p w14:paraId="7E315311" w14:textId="5C09F5F7" w:rsidR="008E09BB" w:rsidRPr="00FD7994" w:rsidRDefault="007573D9" w:rsidP="00FD7994">
            <w:pPr>
              <w:spacing w:before="0" w:after="0"/>
              <w:jc w:val="center"/>
              <w:rPr>
                <w:rFonts w:cs="Arial"/>
                <w:sz w:val="22"/>
                <w:szCs w:val="22"/>
              </w:rPr>
            </w:pPr>
            <w:r>
              <w:rPr>
                <w:rFonts w:cs="Arial"/>
                <w:sz w:val="22"/>
                <w:szCs w:val="22"/>
              </w:rPr>
              <w:t>15814</w:t>
            </w:r>
          </w:p>
        </w:tc>
        <w:tc>
          <w:tcPr>
            <w:tcW w:w="1301" w:type="pct"/>
            <w:tcBorders>
              <w:top w:val="single" w:sz="4" w:space="0" w:color="auto"/>
              <w:left w:val="single" w:sz="4" w:space="0" w:color="auto"/>
              <w:bottom w:val="single" w:sz="4" w:space="0" w:color="auto"/>
              <w:right w:val="single" w:sz="4" w:space="0" w:color="auto"/>
            </w:tcBorders>
          </w:tcPr>
          <w:p w14:paraId="454CAE95" w14:textId="547DDA12" w:rsidR="008E09BB" w:rsidRPr="00FD7994" w:rsidRDefault="00167AA6" w:rsidP="00FD7994">
            <w:pPr>
              <w:spacing w:before="0" w:after="0"/>
              <w:jc w:val="center"/>
              <w:rPr>
                <w:rFonts w:cs="Arial"/>
                <w:sz w:val="22"/>
                <w:szCs w:val="22"/>
              </w:rPr>
            </w:pPr>
            <w:r>
              <w:rPr>
                <w:rFonts w:cs="Arial"/>
                <w:sz w:val="22"/>
                <w:szCs w:val="22"/>
              </w:rPr>
              <w:t>Toca</w:t>
            </w:r>
          </w:p>
        </w:tc>
        <w:tc>
          <w:tcPr>
            <w:tcW w:w="2119" w:type="pct"/>
            <w:tcBorders>
              <w:top w:val="single" w:sz="4" w:space="0" w:color="auto"/>
              <w:left w:val="single" w:sz="4" w:space="0" w:color="auto"/>
              <w:bottom w:val="single" w:sz="4" w:space="0" w:color="auto"/>
              <w:right w:val="single" w:sz="4" w:space="0" w:color="auto"/>
            </w:tcBorders>
          </w:tcPr>
          <w:p w14:paraId="29D26A43" w14:textId="77777777" w:rsidR="008E09BB" w:rsidRPr="00FD7994" w:rsidRDefault="008E09BB" w:rsidP="00FD7994">
            <w:pPr>
              <w:spacing w:before="0" w:after="0"/>
              <w:jc w:val="center"/>
              <w:rPr>
                <w:rFonts w:cs="Arial"/>
                <w:sz w:val="22"/>
                <w:szCs w:val="22"/>
              </w:rPr>
            </w:pPr>
            <w:r w:rsidRPr="00FD7994">
              <w:rPr>
                <w:rFonts w:cs="Arial"/>
                <w:sz w:val="22"/>
                <w:szCs w:val="22"/>
              </w:rPr>
              <w:t>Boyacá</w:t>
            </w:r>
          </w:p>
        </w:tc>
      </w:tr>
    </w:tbl>
    <w:p w14:paraId="6DFE8A6C" w14:textId="77777777" w:rsidR="00454385" w:rsidRDefault="00454385" w:rsidP="00D90B8D">
      <w:pPr>
        <w:widowControl w:val="0"/>
        <w:adjustRightInd w:val="0"/>
        <w:spacing w:before="0" w:after="0"/>
        <w:ind w:right="23" w:firstLine="708"/>
        <w:jc w:val="left"/>
        <w:rPr>
          <w:rFonts w:cs="Arial"/>
          <w:bCs/>
          <w:sz w:val="20"/>
          <w:szCs w:val="20"/>
          <w:lang w:val="es-CO"/>
        </w:rPr>
      </w:pPr>
    </w:p>
    <w:p w14:paraId="188703FF" w14:textId="77777777" w:rsidR="00D90B8D" w:rsidRPr="0044777B" w:rsidRDefault="00D90B8D" w:rsidP="00D90B8D">
      <w:pPr>
        <w:keepNext/>
        <w:spacing w:before="480" w:after="240"/>
        <w:jc w:val="center"/>
        <w:rPr>
          <w:rFonts w:cs="Arial"/>
          <w:b/>
          <w:spacing w:val="80"/>
        </w:rPr>
      </w:pPr>
      <w:r w:rsidRPr="0044777B">
        <w:rPr>
          <w:rFonts w:cs="Arial"/>
          <w:b/>
          <w:spacing w:val="80"/>
        </w:rPr>
        <w:t>CAPÍTULO II</w:t>
      </w:r>
    </w:p>
    <w:p w14:paraId="0EB0FCB2" w14:textId="77777777" w:rsidR="00D90B8D" w:rsidRPr="0044777B" w:rsidRDefault="00D90B8D" w:rsidP="00D90B8D">
      <w:pPr>
        <w:keepNext/>
        <w:spacing w:before="240" w:after="240"/>
        <w:jc w:val="center"/>
        <w:rPr>
          <w:rFonts w:cs="Arial"/>
          <w:b/>
          <w:spacing w:val="80"/>
        </w:rPr>
      </w:pPr>
      <w:r w:rsidRPr="0044777B">
        <w:rPr>
          <w:rFonts w:cs="Arial"/>
          <w:b/>
          <w:spacing w:val="80"/>
        </w:rPr>
        <w:t>CARGO POR USO DEL SISTEMA DE DISTRIBUCIÓN</w:t>
      </w:r>
    </w:p>
    <w:p w14:paraId="36DAEED7" w14:textId="73DC1895" w:rsidR="00D90B8D" w:rsidRPr="0044777B" w:rsidRDefault="00D90B8D" w:rsidP="00D90B8D">
      <w:pPr>
        <w:widowControl w:val="0"/>
        <w:adjustRightInd w:val="0"/>
        <w:spacing w:before="240" w:after="240"/>
        <w:ind w:right="23"/>
        <w:rPr>
          <w:rFonts w:cs="Arial"/>
        </w:rPr>
      </w:pPr>
      <w:r w:rsidRPr="0044777B">
        <w:rPr>
          <w:rFonts w:cs="Arial"/>
          <w:b/>
        </w:rPr>
        <w:t xml:space="preserve">ARTÍCULO 2. </w:t>
      </w:r>
      <w:bookmarkStart w:id="3" w:name="_Hlk106717606"/>
      <w:r w:rsidRPr="0044777B">
        <w:rPr>
          <w:rFonts w:cs="Arial"/>
          <w:b/>
        </w:rPr>
        <w:t>Cargo de Distribución Aplicable a los Usuarios de Uso Residencial y Cargo Promedio de Distribución aplicable a los Usuarios Diferentes a los de Uso Residencial.</w:t>
      </w:r>
      <w:r w:rsidRPr="0044777B">
        <w:rPr>
          <w:rFonts w:cs="Arial"/>
        </w:rPr>
        <w:t xml:space="preserve"> A partir de la vigencia de la presente Resolución, el Cargo de Distribución Aplicable a los Usuarios de Uso Residencial y el Cargo Promedio de Distribución Aplicable a los Usuarios Diferentes a los de Uso Residencial conectados al Sistema de Distribución del Mercado Relevante de Distribución para el Siguiente Período Tarifario aprobado en el </w:t>
      </w:r>
      <w:r w:rsidR="00623ED8">
        <w:rPr>
          <w:rFonts w:cs="Arial"/>
        </w:rPr>
        <w:t>a</w:t>
      </w:r>
      <w:r w:rsidRPr="0044777B">
        <w:rPr>
          <w:rFonts w:cs="Arial"/>
        </w:rPr>
        <w:t xml:space="preserve">rtículo 1 de la presente Resolución, para recuperar los costos de inversión y los gastos de AOM para la distribución domiciliaria de </w:t>
      </w:r>
      <w:r w:rsidR="007573D9">
        <w:rPr>
          <w:rFonts w:cs="Arial"/>
        </w:rPr>
        <w:t>Gas Licuado de Petróleo</w:t>
      </w:r>
      <w:r w:rsidR="00983049">
        <w:rPr>
          <w:rFonts w:cs="Arial"/>
        </w:rPr>
        <w:t xml:space="preserve"> </w:t>
      </w:r>
      <w:r w:rsidRPr="0044777B">
        <w:rPr>
          <w:rFonts w:cs="Arial"/>
        </w:rPr>
        <w:t>por redes de tubería</w:t>
      </w:r>
      <w:r w:rsidR="00F90DA8">
        <w:rPr>
          <w:rFonts w:cs="Arial"/>
        </w:rPr>
        <w:t>,</w:t>
      </w:r>
      <w:r w:rsidRPr="0044777B">
        <w:rPr>
          <w:rFonts w:cs="Arial"/>
        </w:rPr>
        <w:t xml:space="preserve"> se fija de la siguiente manera: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850"/>
        <w:gridCol w:w="2125"/>
        <w:gridCol w:w="2548"/>
      </w:tblGrid>
      <w:tr w:rsidR="00352899" w:rsidRPr="0044777B" w14:paraId="068BF7CA" w14:textId="77777777" w:rsidTr="00BF6403">
        <w:trPr>
          <w:trHeight w:val="403"/>
          <w:tblHeader/>
          <w:jc w:val="center"/>
        </w:trPr>
        <w:tc>
          <w:tcPr>
            <w:tcW w:w="2045" w:type="pct"/>
            <w:shd w:val="clear" w:color="auto" w:fill="D9D9D9" w:themeFill="background1" w:themeFillShade="D9"/>
            <w:vAlign w:val="center"/>
          </w:tcPr>
          <w:bookmarkEnd w:id="3"/>
          <w:p w14:paraId="632FDD5F" w14:textId="77777777" w:rsidR="00D90B8D" w:rsidRPr="0044777B" w:rsidRDefault="00D90B8D" w:rsidP="00635E98">
            <w:pPr>
              <w:widowControl w:val="0"/>
              <w:adjustRightInd w:val="0"/>
              <w:ind w:right="20"/>
              <w:jc w:val="center"/>
              <w:rPr>
                <w:rFonts w:cs="Arial"/>
                <w:sz w:val="22"/>
                <w:szCs w:val="22"/>
              </w:rPr>
            </w:pPr>
            <w:r w:rsidRPr="0044777B">
              <w:rPr>
                <w:b/>
                <w:bCs/>
                <w:color w:val="000000"/>
                <w:sz w:val="22"/>
                <w:szCs w:val="22"/>
                <w:lang w:val="es-ES_tradnl" w:eastAsia="es-CO"/>
              </w:rPr>
              <w:t>Componente</w:t>
            </w:r>
          </w:p>
        </w:tc>
        <w:tc>
          <w:tcPr>
            <w:tcW w:w="455" w:type="pct"/>
            <w:shd w:val="clear" w:color="auto" w:fill="D9D9D9" w:themeFill="background1" w:themeFillShade="D9"/>
            <w:vAlign w:val="center"/>
          </w:tcPr>
          <w:p w14:paraId="3E4C6AF7" w14:textId="77777777" w:rsidR="00D90B8D" w:rsidRPr="0044777B" w:rsidRDefault="00D90B8D" w:rsidP="00635E98">
            <w:pPr>
              <w:widowControl w:val="0"/>
              <w:adjustRightInd w:val="0"/>
              <w:ind w:right="20"/>
              <w:jc w:val="center"/>
              <w:rPr>
                <w:rFonts w:cs="Arial"/>
                <w:sz w:val="22"/>
                <w:szCs w:val="22"/>
              </w:rPr>
            </w:pPr>
          </w:p>
        </w:tc>
        <w:tc>
          <w:tcPr>
            <w:tcW w:w="1137" w:type="pct"/>
            <w:shd w:val="clear" w:color="auto" w:fill="D9D9D9" w:themeFill="background1" w:themeFillShade="D9"/>
            <w:vAlign w:val="center"/>
          </w:tcPr>
          <w:p w14:paraId="14B05D53" w14:textId="77777777" w:rsidR="00D90B8D" w:rsidRPr="0044777B" w:rsidRDefault="00D90B8D" w:rsidP="00635E98">
            <w:pPr>
              <w:widowControl w:val="0"/>
              <w:adjustRightInd w:val="0"/>
              <w:ind w:right="20"/>
              <w:jc w:val="center"/>
              <w:rPr>
                <w:rFonts w:cs="Arial"/>
                <w:b/>
                <w:bCs/>
                <w:color w:val="000000"/>
                <w:sz w:val="22"/>
                <w:szCs w:val="22"/>
                <w:lang w:eastAsia="es-CO"/>
              </w:rPr>
            </w:pPr>
            <w:r w:rsidRPr="0044777B">
              <w:rPr>
                <w:rFonts w:cs="Arial"/>
                <w:b/>
                <w:bCs/>
                <w:color w:val="000000"/>
                <w:sz w:val="22"/>
                <w:szCs w:val="22"/>
                <w:lang w:eastAsia="es-CO"/>
              </w:rPr>
              <w:t>Usuarios de Uso Residencial</w:t>
            </w:r>
          </w:p>
        </w:tc>
        <w:tc>
          <w:tcPr>
            <w:tcW w:w="1363" w:type="pct"/>
            <w:shd w:val="clear" w:color="auto" w:fill="D9D9D9" w:themeFill="background1" w:themeFillShade="D9"/>
            <w:vAlign w:val="center"/>
          </w:tcPr>
          <w:p w14:paraId="4CF8F997" w14:textId="77777777" w:rsidR="00D90B8D" w:rsidRPr="0044777B" w:rsidRDefault="00D90B8D" w:rsidP="00635E98">
            <w:pPr>
              <w:widowControl w:val="0"/>
              <w:adjustRightInd w:val="0"/>
              <w:ind w:right="20"/>
              <w:jc w:val="center"/>
              <w:rPr>
                <w:rFonts w:cs="Arial"/>
                <w:b/>
                <w:bCs/>
                <w:color w:val="000000"/>
                <w:sz w:val="22"/>
                <w:szCs w:val="22"/>
                <w:lang w:eastAsia="es-CO"/>
              </w:rPr>
            </w:pPr>
            <w:r w:rsidRPr="0044777B">
              <w:rPr>
                <w:rFonts w:cs="Arial"/>
                <w:b/>
                <w:bCs/>
                <w:color w:val="000000"/>
                <w:sz w:val="22"/>
                <w:szCs w:val="22"/>
                <w:lang w:eastAsia="es-CO"/>
              </w:rPr>
              <w:t>Usuarios diferentes a los de Uso Residencial</w:t>
            </w:r>
          </w:p>
        </w:tc>
      </w:tr>
      <w:tr w:rsidR="00F925C7" w:rsidRPr="0044777B" w14:paraId="590FCEB0" w14:textId="77777777" w:rsidTr="00BF6403">
        <w:trPr>
          <w:trHeight w:val="512"/>
          <w:jc w:val="center"/>
        </w:trPr>
        <w:tc>
          <w:tcPr>
            <w:tcW w:w="2045" w:type="pct"/>
            <w:shd w:val="clear" w:color="auto" w:fill="auto"/>
            <w:vAlign w:val="center"/>
          </w:tcPr>
          <w:p w14:paraId="42ADC35E" w14:textId="77777777" w:rsidR="00F925C7" w:rsidRPr="0044777B" w:rsidRDefault="00F925C7" w:rsidP="00F925C7">
            <w:pPr>
              <w:widowControl w:val="0"/>
              <w:adjustRightInd w:val="0"/>
              <w:ind w:right="20"/>
              <w:jc w:val="left"/>
              <w:rPr>
                <w:rFonts w:cs="Arial"/>
                <w:sz w:val="22"/>
                <w:szCs w:val="22"/>
              </w:rPr>
            </w:pPr>
            <w:r w:rsidRPr="0044777B">
              <w:rPr>
                <w:b/>
                <w:bCs/>
                <w:color w:val="000000"/>
                <w:sz w:val="22"/>
                <w:szCs w:val="22"/>
                <w:lang w:val="es-ES_tradnl" w:eastAsia="es-CO"/>
              </w:rPr>
              <w:t>Cargo de distribución Total</w:t>
            </w:r>
          </w:p>
        </w:tc>
        <w:tc>
          <w:tcPr>
            <w:tcW w:w="455" w:type="pct"/>
            <w:shd w:val="clear" w:color="auto" w:fill="auto"/>
            <w:vAlign w:val="center"/>
          </w:tcPr>
          <w:p w14:paraId="1F2CD5D3" w14:textId="77777777" w:rsidR="00F925C7" w:rsidRPr="0044777B" w:rsidRDefault="00F925C7" w:rsidP="00F925C7">
            <w:pPr>
              <w:widowControl w:val="0"/>
              <w:adjustRightInd w:val="0"/>
              <w:ind w:right="20"/>
              <w:jc w:val="center"/>
              <w:rPr>
                <w:rFonts w:cs="Arial"/>
                <w:sz w:val="22"/>
                <w:szCs w:val="22"/>
              </w:rPr>
            </w:pPr>
            <w:r w:rsidRPr="0044777B">
              <w:rPr>
                <w:b/>
                <w:bCs/>
                <w:color w:val="000000"/>
                <w:sz w:val="22"/>
                <w:szCs w:val="22"/>
                <w:lang w:val="es-ES_tradnl" w:eastAsia="es-CO"/>
              </w:rPr>
              <w:t>$/m</w:t>
            </w:r>
            <w:r w:rsidRPr="0044777B">
              <w:rPr>
                <w:b/>
                <w:bCs/>
                <w:color w:val="000000"/>
                <w:sz w:val="22"/>
                <w:szCs w:val="22"/>
                <w:vertAlign w:val="superscript"/>
                <w:lang w:val="es-ES_tradnl" w:eastAsia="es-CO"/>
              </w:rPr>
              <w:t>3</w:t>
            </w:r>
          </w:p>
        </w:tc>
        <w:tc>
          <w:tcPr>
            <w:tcW w:w="1137" w:type="pct"/>
            <w:vAlign w:val="center"/>
          </w:tcPr>
          <w:p w14:paraId="1613CFFA" w14:textId="728AF1A7" w:rsidR="00F925C7" w:rsidRPr="009A0252" w:rsidRDefault="00F925C7" w:rsidP="00F925C7">
            <w:pPr>
              <w:jc w:val="center"/>
              <w:rPr>
                <w:b/>
                <w:bCs/>
                <w:color w:val="000000"/>
                <w:sz w:val="22"/>
                <w:szCs w:val="22"/>
                <w:highlight w:val="yellow"/>
              </w:rPr>
            </w:pPr>
            <w:r w:rsidRPr="00F925C7">
              <w:rPr>
                <w:b/>
                <w:bCs/>
                <w:color w:val="000000"/>
                <w:sz w:val="22"/>
                <w:szCs w:val="22"/>
              </w:rPr>
              <w:t>2,458.70</w:t>
            </w:r>
          </w:p>
        </w:tc>
        <w:tc>
          <w:tcPr>
            <w:tcW w:w="1363" w:type="pct"/>
            <w:vAlign w:val="center"/>
          </w:tcPr>
          <w:p w14:paraId="111E78DF" w14:textId="71E339FB" w:rsidR="00F925C7" w:rsidRPr="009A0252" w:rsidRDefault="00F925C7" w:rsidP="00F925C7">
            <w:pPr>
              <w:jc w:val="center"/>
              <w:rPr>
                <w:b/>
                <w:bCs/>
                <w:color w:val="000000"/>
                <w:sz w:val="22"/>
                <w:szCs w:val="22"/>
                <w:highlight w:val="yellow"/>
              </w:rPr>
            </w:pPr>
            <w:r w:rsidRPr="00F925C7">
              <w:rPr>
                <w:b/>
                <w:bCs/>
                <w:color w:val="000000"/>
                <w:sz w:val="22"/>
                <w:szCs w:val="22"/>
              </w:rPr>
              <w:t>2,458.70</w:t>
            </w:r>
          </w:p>
        </w:tc>
      </w:tr>
      <w:tr w:rsidR="00F925C7" w:rsidRPr="0044777B" w14:paraId="79E81D81" w14:textId="77777777" w:rsidTr="00BF6403">
        <w:trPr>
          <w:trHeight w:val="512"/>
          <w:jc w:val="center"/>
        </w:trPr>
        <w:tc>
          <w:tcPr>
            <w:tcW w:w="2045" w:type="pct"/>
            <w:shd w:val="clear" w:color="auto" w:fill="auto"/>
            <w:vAlign w:val="center"/>
          </w:tcPr>
          <w:p w14:paraId="4E79214F" w14:textId="66525D0D" w:rsidR="00F925C7" w:rsidRPr="0044777B" w:rsidRDefault="00F925C7" w:rsidP="00F925C7">
            <w:pPr>
              <w:widowControl w:val="0"/>
              <w:adjustRightInd w:val="0"/>
              <w:ind w:right="20"/>
              <w:rPr>
                <w:rFonts w:cs="Arial"/>
                <w:sz w:val="22"/>
                <w:szCs w:val="22"/>
              </w:rPr>
            </w:pPr>
            <w:r w:rsidRPr="0044777B">
              <w:rPr>
                <w:color w:val="000000"/>
                <w:sz w:val="22"/>
                <w:szCs w:val="22"/>
                <w:lang w:val="es-CO" w:eastAsia="es-CO"/>
              </w:rPr>
              <w:t xml:space="preserve">Componente de inversión pagada con recursos de </w:t>
            </w:r>
            <w:r>
              <w:rPr>
                <w:rFonts w:cs="Arial"/>
              </w:rPr>
              <w:t>REDNOVA</w:t>
            </w:r>
          </w:p>
        </w:tc>
        <w:tc>
          <w:tcPr>
            <w:tcW w:w="455" w:type="pct"/>
            <w:shd w:val="clear" w:color="auto" w:fill="auto"/>
            <w:vAlign w:val="center"/>
          </w:tcPr>
          <w:p w14:paraId="17FFB8B5" w14:textId="77777777" w:rsidR="00F925C7" w:rsidRPr="0044777B" w:rsidRDefault="00F925C7" w:rsidP="00F925C7">
            <w:pPr>
              <w:widowControl w:val="0"/>
              <w:adjustRightInd w:val="0"/>
              <w:ind w:right="20"/>
              <w:jc w:val="center"/>
              <w:rPr>
                <w:rFonts w:cs="Arial"/>
                <w:sz w:val="22"/>
                <w:szCs w:val="22"/>
              </w:rPr>
            </w:pPr>
            <w:r w:rsidRPr="0044777B">
              <w:rPr>
                <w:color w:val="000000"/>
                <w:sz w:val="22"/>
                <w:szCs w:val="22"/>
                <w:lang w:val="es-ES_tradnl" w:eastAsia="es-CO"/>
              </w:rPr>
              <w:t>$/m</w:t>
            </w:r>
            <w:r w:rsidRPr="0044777B">
              <w:rPr>
                <w:color w:val="000000"/>
                <w:sz w:val="22"/>
                <w:szCs w:val="22"/>
                <w:vertAlign w:val="superscript"/>
                <w:lang w:val="es-ES_tradnl" w:eastAsia="es-CO"/>
              </w:rPr>
              <w:t>3</w:t>
            </w:r>
          </w:p>
        </w:tc>
        <w:tc>
          <w:tcPr>
            <w:tcW w:w="1137" w:type="pct"/>
            <w:vAlign w:val="center"/>
          </w:tcPr>
          <w:p w14:paraId="485DA589" w14:textId="1980469B" w:rsidR="00F925C7" w:rsidRPr="009A0252" w:rsidRDefault="00F925C7" w:rsidP="00F925C7">
            <w:pPr>
              <w:jc w:val="center"/>
              <w:rPr>
                <w:color w:val="000000"/>
                <w:sz w:val="22"/>
                <w:szCs w:val="22"/>
                <w:highlight w:val="yellow"/>
              </w:rPr>
            </w:pPr>
            <w:r w:rsidRPr="00F925C7">
              <w:t>1,989.70</w:t>
            </w:r>
          </w:p>
        </w:tc>
        <w:tc>
          <w:tcPr>
            <w:tcW w:w="1363" w:type="pct"/>
            <w:vAlign w:val="center"/>
          </w:tcPr>
          <w:p w14:paraId="4BA451EF" w14:textId="72BE4BF3" w:rsidR="00F925C7" w:rsidRPr="009A0252" w:rsidRDefault="00F925C7" w:rsidP="00F925C7">
            <w:pPr>
              <w:jc w:val="center"/>
              <w:rPr>
                <w:color w:val="000000"/>
                <w:sz w:val="22"/>
                <w:szCs w:val="22"/>
                <w:highlight w:val="yellow"/>
              </w:rPr>
            </w:pPr>
            <w:r w:rsidRPr="00F925C7">
              <w:t>1,989.70</w:t>
            </w:r>
          </w:p>
        </w:tc>
      </w:tr>
      <w:tr w:rsidR="00F925C7" w:rsidRPr="00162BBB" w14:paraId="7954D7D4" w14:textId="77777777" w:rsidTr="00BF6403">
        <w:trPr>
          <w:trHeight w:val="512"/>
          <w:jc w:val="center"/>
        </w:trPr>
        <w:tc>
          <w:tcPr>
            <w:tcW w:w="2045" w:type="pct"/>
            <w:shd w:val="clear" w:color="auto" w:fill="auto"/>
            <w:vAlign w:val="center"/>
          </w:tcPr>
          <w:p w14:paraId="58C0DC57" w14:textId="77777777" w:rsidR="00F925C7" w:rsidRPr="00162BBB" w:rsidRDefault="00F925C7" w:rsidP="00F925C7">
            <w:pPr>
              <w:widowControl w:val="0"/>
              <w:adjustRightInd w:val="0"/>
              <w:ind w:right="20"/>
              <w:rPr>
                <w:color w:val="000000"/>
                <w:sz w:val="22"/>
                <w:szCs w:val="22"/>
                <w:lang w:val="es-CO" w:eastAsia="es-CO"/>
              </w:rPr>
            </w:pPr>
            <w:r w:rsidRPr="00162BBB">
              <w:rPr>
                <w:color w:val="000000"/>
                <w:sz w:val="22"/>
                <w:szCs w:val="22"/>
                <w:lang w:val="es-CO" w:eastAsia="es-CO"/>
              </w:rPr>
              <w:t>Componente Gastos AOM</w:t>
            </w:r>
          </w:p>
        </w:tc>
        <w:tc>
          <w:tcPr>
            <w:tcW w:w="455" w:type="pct"/>
            <w:shd w:val="clear" w:color="auto" w:fill="auto"/>
            <w:vAlign w:val="center"/>
          </w:tcPr>
          <w:p w14:paraId="79D1E6D2" w14:textId="77777777" w:rsidR="00F925C7" w:rsidRPr="00162BBB" w:rsidRDefault="00F925C7" w:rsidP="00F925C7">
            <w:pPr>
              <w:widowControl w:val="0"/>
              <w:adjustRightInd w:val="0"/>
              <w:ind w:right="20"/>
              <w:jc w:val="center"/>
              <w:rPr>
                <w:color w:val="000000"/>
                <w:sz w:val="22"/>
                <w:szCs w:val="22"/>
                <w:lang w:val="es-ES_tradnl" w:eastAsia="es-CO"/>
              </w:rPr>
            </w:pPr>
            <w:r w:rsidRPr="00162BBB">
              <w:rPr>
                <w:color w:val="000000"/>
                <w:sz w:val="22"/>
                <w:szCs w:val="22"/>
                <w:lang w:val="es-ES_tradnl" w:eastAsia="es-CO"/>
              </w:rPr>
              <w:t>$/m</w:t>
            </w:r>
            <w:r w:rsidRPr="00162BBB">
              <w:rPr>
                <w:color w:val="000000"/>
                <w:sz w:val="22"/>
                <w:szCs w:val="22"/>
                <w:vertAlign w:val="superscript"/>
                <w:lang w:val="es-ES_tradnl" w:eastAsia="es-CO"/>
              </w:rPr>
              <w:t>3</w:t>
            </w:r>
          </w:p>
        </w:tc>
        <w:tc>
          <w:tcPr>
            <w:tcW w:w="1137" w:type="pct"/>
          </w:tcPr>
          <w:p w14:paraId="0490F1BD" w14:textId="44098ECE" w:rsidR="00F925C7" w:rsidRPr="00184756" w:rsidRDefault="00F925C7" w:rsidP="00F925C7">
            <w:pPr>
              <w:jc w:val="center"/>
              <w:rPr>
                <w:sz w:val="22"/>
                <w:szCs w:val="22"/>
              </w:rPr>
            </w:pPr>
            <w:r w:rsidRPr="00F925C7">
              <w:t>469.00</w:t>
            </w:r>
          </w:p>
        </w:tc>
        <w:tc>
          <w:tcPr>
            <w:tcW w:w="1363" w:type="pct"/>
          </w:tcPr>
          <w:p w14:paraId="4796A56B" w14:textId="779B3DD6" w:rsidR="00F925C7" w:rsidRPr="00184756" w:rsidRDefault="00F925C7" w:rsidP="00F925C7">
            <w:pPr>
              <w:jc w:val="center"/>
              <w:rPr>
                <w:sz w:val="22"/>
                <w:szCs w:val="22"/>
              </w:rPr>
            </w:pPr>
            <w:r w:rsidRPr="00F925C7">
              <w:t>469.00</w:t>
            </w:r>
          </w:p>
        </w:tc>
      </w:tr>
    </w:tbl>
    <w:p w14:paraId="46E8D7AD" w14:textId="1273D925" w:rsidR="00D90B8D" w:rsidRPr="0044777B" w:rsidRDefault="00D90B8D" w:rsidP="009A0252">
      <w:pPr>
        <w:widowControl w:val="0"/>
        <w:adjustRightInd w:val="0"/>
        <w:spacing w:before="0" w:after="240"/>
        <w:ind w:right="23"/>
        <w:jc w:val="center"/>
        <w:rPr>
          <w:rFonts w:cs="Arial"/>
          <w:sz w:val="18"/>
          <w:lang w:val="x-none" w:eastAsia="x-none"/>
        </w:rPr>
      </w:pPr>
      <w:r w:rsidRPr="00184756">
        <w:rPr>
          <w:rFonts w:cs="Arial"/>
          <w:sz w:val="18"/>
          <w:lang w:val="x-none" w:eastAsia="x-none"/>
        </w:rPr>
        <w:t>Cifras en pesos</w:t>
      </w:r>
      <w:r w:rsidR="004138A0" w:rsidRPr="00184756">
        <w:rPr>
          <w:rFonts w:cs="Arial"/>
          <w:sz w:val="18"/>
          <w:lang w:val="es-CO" w:eastAsia="x-none"/>
        </w:rPr>
        <w:t xml:space="preserve"> colombianos</w:t>
      </w:r>
      <w:r w:rsidRPr="00184756">
        <w:rPr>
          <w:rFonts w:cs="Arial"/>
          <w:sz w:val="18"/>
          <w:lang w:val="x-none" w:eastAsia="x-none"/>
        </w:rPr>
        <w:t xml:space="preserve"> de diciembre de 20</w:t>
      </w:r>
      <w:r w:rsidR="00AA0E18" w:rsidRPr="00184756">
        <w:rPr>
          <w:rFonts w:cs="Arial"/>
          <w:sz w:val="18"/>
          <w:lang w:val="x-none" w:eastAsia="x-none"/>
        </w:rPr>
        <w:t>19</w:t>
      </w:r>
    </w:p>
    <w:p w14:paraId="52E007E3" w14:textId="3571E3CA" w:rsidR="00752E84" w:rsidRDefault="00752E84" w:rsidP="00D90B8D">
      <w:pPr>
        <w:spacing w:before="240" w:after="240"/>
        <w:rPr>
          <w:rFonts w:cs="Arial"/>
          <w:b/>
          <w:bCs/>
        </w:rPr>
      </w:pPr>
      <w:r w:rsidRPr="00752E84">
        <w:rPr>
          <w:rFonts w:cs="Arial"/>
          <w:b/>
          <w:bCs/>
        </w:rPr>
        <w:lastRenderedPageBreak/>
        <w:t xml:space="preserve">PARÁGRAFO 1. </w:t>
      </w:r>
      <w:r w:rsidRPr="00752E84">
        <w:rPr>
          <w:rFonts w:cs="Arial"/>
        </w:rPr>
        <w:t>Para el cálculo de las tarifas que se cobren a los usuarios conforme a los cargos aprobados en el numeral 5.2 de la presente Resolución, se tendrá en cuenta lo establecido en el numeral 87.9 del artículo 87 de la Ley 142 de 1994, modificado por el artículo 99 de la Ley 1450 de 2011, o aquella que la modifique, aclare o sustituya.</w:t>
      </w:r>
    </w:p>
    <w:p w14:paraId="4F8F51BA" w14:textId="47D1699F" w:rsidR="00D90B8D" w:rsidRDefault="00D90B8D" w:rsidP="00D90B8D">
      <w:pPr>
        <w:spacing w:before="240" w:after="240"/>
        <w:rPr>
          <w:rFonts w:cs="Arial"/>
        </w:rPr>
      </w:pPr>
      <w:r w:rsidRPr="00AD7D38">
        <w:rPr>
          <w:rFonts w:cs="Arial"/>
          <w:b/>
          <w:bCs/>
        </w:rPr>
        <w:t>P</w:t>
      </w:r>
      <w:r w:rsidR="00752E84">
        <w:rPr>
          <w:rFonts w:cs="Arial"/>
          <w:b/>
          <w:bCs/>
        </w:rPr>
        <w:t>ARÁGRAFO 2</w:t>
      </w:r>
      <w:r w:rsidRPr="00AD7D38">
        <w:rPr>
          <w:rFonts w:cs="Arial"/>
          <w:b/>
          <w:bCs/>
        </w:rPr>
        <w:t>.</w:t>
      </w:r>
      <w:r w:rsidRPr="00AD7D38">
        <w:rPr>
          <w:rFonts w:cs="Arial"/>
        </w:rPr>
        <w:t xml:space="preserve"> Los C</w:t>
      </w:r>
      <w:r w:rsidRPr="0044777B">
        <w:rPr>
          <w:rFonts w:cs="Arial"/>
        </w:rPr>
        <w:t xml:space="preserve">argos de Distribución del presente artículo se actualizarán de conformidad con lo establecido en el </w:t>
      </w:r>
      <w:r w:rsidR="00623ED8">
        <w:rPr>
          <w:rFonts w:cs="Arial"/>
        </w:rPr>
        <w:t>a</w:t>
      </w:r>
      <w:r w:rsidRPr="0044777B">
        <w:rPr>
          <w:rFonts w:cs="Arial"/>
        </w:rPr>
        <w:t xml:space="preserve">rtículo 12 de la Metodología, modificado por el </w:t>
      </w:r>
      <w:r w:rsidR="00623ED8">
        <w:rPr>
          <w:rFonts w:cs="Arial"/>
        </w:rPr>
        <w:t>a</w:t>
      </w:r>
      <w:r w:rsidRPr="0044777B">
        <w:rPr>
          <w:rFonts w:cs="Arial"/>
        </w:rPr>
        <w:t>rtículo 3 de la Resolución CREG 125 de 2015.</w:t>
      </w:r>
    </w:p>
    <w:p w14:paraId="483F358B" w14:textId="4A3AB1D4" w:rsidR="00D90B8D" w:rsidRPr="0044777B" w:rsidRDefault="00D90B8D" w:rsidP="00D90B8D">
      <w:pPr>
        <w:widowControl w:val="0"/>
        <w:adjustRightInd w:val="0"/>
        <w:spacing w:before="240" w:after="240"/>
        <w:ind w:right="23"/>
        <w:rPr>
          <w:rFonts w:cs="Arial"/>
        </w:rPr>
      </w:pPr>
      <w:r w:rsidRPr="0044777B">
        <w:rPr>
          <w:rFonts w:cs="Arial"/>
          <w:b/>
          <w:bCs/>
        </w:rPr>
        <w:t>ARTÍCULO 3</w:t>
      </w:r>
      <w:r w:rsidRPr="0044777B">
        <w:rPr>
          <w:rFonts w:cs="Arial"/>
        </w:rPr>
        <w:t xml:space="preserve">. La inversión base, el valor eficiente de Otros Activos, el monto eficiente de gastos de AOM y las demandas de volumen con base en los cuales se determinan los cargos aprobados en el </w:t>
      </w:r>
      <w:r w:rsidR="00623ED8">
        <w:rPr>
          <w:rFonts w:cs="Arial"/>
        </w:rPr>
        <w:t>a</w:t>
      </w:r>
      <w:r w:rsidRPr="0044777B">
        <w:rPr>
          <w:rFonts w:cs="Arial"/>
        </w:rPr>
        <w:t xml:space="preserve">rtículo 3 de la presente Resolución se presentan en los Anexos 1, 2, 3 y 4 de la misma. </w:t>
      </w:r>
    </w:p>
    <w:p w14:paraId="02140FCF" w14:textId="7DB965FC" w:rsidR="001B0371" w:rsidRPr="0044777B" w:rsidRDefault="00D90B8D" w:rsidP="00D90B8D">
      <w:pPr>
        <w:spacing w:before="240" w:after="240"/>
        <w:rPr>
          <w:rFonts w:cs="Arial"/>
        </w:rPr>
      </w:pPr>
      <w:r w:rsidRPr="0044777B">
        <w:rPr>
          <w:rFonts w:cs="Arial"/>
          <w:b/>
          <w:bCs/>
        </w:rPr>
        <w:t xml:space="preserve">ARTÍCULO 4. </w:t>
      </w:r>
      <w:r w:rsidRPr="0044777B">
        <w:rPr>
          <w:rFonts w:cs="Arial"/>
        </w:rPr>
        <w:t>Las empresas prestadoras de servicios públicos domiciliarios debidamente constituidas y registradas en el SUI como distribuidoras de gas combustible</w:t>
      </w:r>
      <w:r w:rsidR="00F90DA8">
        <w:rPr>
          <w:rFonts w:cs="Arial"/>
        </w:rPr>
        <w:t>,</w:t>
      </w:r>
      <w:r w:rsidRPr="0044777B">
        <w:rPr>
          <w:rFonts w:cs="Arial"/>
        </w:rPr>
        <w:t xml:space="preserve"> que decidan prestar el servicio público domiciliario de </w:t>
      </w:r>
      <w:r w:rsidR="007573D9">
        <w:rPr>
          <w:rFonts w:cs="Arial"/>
        </w:rPr>
        <w:t>Gas Licuado de Petróleo</w:t>
      </w:r>
      <w:r w:rsidR="00F61B69">
        <w:rPr>
          <w:rFonts w:cs="Arial"/>
        </w:rPr>
        <w:t xml:space="preserve"> </w:t>
      </w:r>
      <w:r w:rsidRPr="0044777B">
        <w:rPr>
          <w:rFonts w:cs="Arial"/>
        </w:rPr>
        <w:t xml:space="preserve">por redes </w:t>
      </w:r>
      <w:r w:rsidR="00F53332">
        <w:rPr>
          <w:rFonts w:cs="Arial"/>
        </w:rPr>
        <w:t xml:space="preserve">de tubería </w:t>
      </w:r>
      <w:r w:rsidRPr="0044777B">
        <w:rPr>
          <w:rFonts w:cs="Arial"/>
        </w:rPr>
        <w:t xml:space="preserve">a usuarios del Mercado Relevante de Distribución para el Siguiente Período Tarifario aprobado en el </w:t>
      </w:r>
      <w:r w:rsidR="00623ED8">
        <w:rPr>
          <w:rFonts w:cs="Arial"/>
        </w:rPr>
        <w:t>a</w:t>
      </w:r>
      <w:r w:rsidRPr="0044777B">
        <w:rPr>
          <w:rFonts w:cs="Arial"/>
        </w:rPr>
        <w:t xml:space="preserve">rtículo 1 de la presente Resolución, deberán aplicar los Cargos de Distribución aprobados en el </w:t>
      </w:r>
      <w:r w:rsidR="00623ED8">
        <w:rPr>
          <w:rFonts w:cs="Arial"/>
        </w:rPr>
        <w:t>a</w:t>
      </w:r>
      <w:r w:rsidRPr="0044777B">
        <w:rPr>
          <w:rFonts w:cs="Arial"/>
        </w:rPr>
        <w:t xml:space="preserve">rtículo 2 de este mismo acto administrativo. </w:t>
      </w:r>
    </w:p>
    <w:p w14:paraId="67ABC83A" w14:textId="18121FB0" w:rsidR="00D90B8D" w:rsidRPr="0044777B" w:rsidRDefault="00D90B8D" w:rsidP="00D90B8D">
      <w:pPr>
        <w:widowControl w:val="0"/>
        <w:adjustRightInd w:val="0"/>
        <w:spacing w:before="240" w:after="240"/>
        <w:ind w:right="20"/>
        <w:rPr>
          <w:rFonts w:cs="Arial"/>
        </w:rPr>
      </w:pPr>
      <w:r w:rsidRPr="0044777B">
        <w:rPr>
          <w:rFonts w:cs="Arial"/>
          <w:b/>
        </w:rPr>
        <w:t xml:space="preserve">ARTÍCULO 5. Vigencia del Cargo de Distribución aprobados. </w:t>
      </w:r>
      <w:r w:rsidRPr="0044777B">
        <w:rPr>
          <w:rFonts w:cs="Arial"/>
        </w:rPr>
        <w:t xml:space="preserve">Los Cargos de Distribución aprobados en el </w:t>
      </w:r>
      <w:r w:rsidR="00623ED8">
        <w:rPr>
          <w:rFonts w:cs="Arial"/>
        </w:rPr>
        <w:t>a</w:t>
      </w:r>
      <w:r w:rsidRPr="0044777B">
        <w:rPr>
          <w:rFonts w:cs="Arial"/>
        </w:rPr>
        <w:t xml:space="preserve">rtículo 2 </w:t>
      </w:r>
      <w:r w:rsidRPr="0044777B">
        <w:rPr>
          <w:bCs/>
        </w:rPr>
        <w:t>estarán vigentes por un término de cinco (5) años, contados desde la fecha en que quede en firme la presente Resolución</w:t>
      </w:r>
      <w:r w:rsidR="00F90DA8">
        <w:rPr>
          <w:bCs/>
        </w:rPr>
        <w:t>,</w:t>
      </w:r>
      <w:r w:rsidRPr="0044777B">
        <w:rPr>
          <w:bCs/>
        </w:rPr>
        <w:t xml:space="preserve"> de conformidad con el </w:t>
      </w:r>
      <w:r w:rsidR="00623ED8">
        <w:rPr>
          <w:bCs/>
        </w:rPr>
        <w:t>a</w:t>
      </w:r>
      <w:r w:rsidRPr="0044777B">
        <w:rPr>
          <w:rFonts w:cs="Arial"/>
        </w:rPr>
        <w:t>rtículo 126 de la Ley 142 de 1994</w:t>
      </w:r>
      <w:r w:rsidR="00AF1D1B">
        <w:rPr>
          <w:rFonts w:cs="Arial"/>
        </w:rPr>
        <w:t>, modificado por el Artículo 52 de la Ley 2099 de 2021</w:t>
      </w:r>
      <w:r w:rsidRPr="0044777B">
        <w:rPr>
          <w:rFonts w:cs="Arial"/>
        </w:rPr>
        <w:t>.</w:t>
      </w:r>
    </w:p>
    <w:p w14:paraId="18E0D9F6" w14:textId="77777777" w:rsidR="00D90B8D" w:rsidRDefault="00D90B8D" w:rsidP="00D90B8D">
      <w:pPr>
        <w:keepNext/>
        <w:spacing w:before="360" w:after="240"/>
        <w:jc w:val="center"/>
        <w:rPr>
          <w:rFonts w:cs="Arial"/>
          <w:b/>
          <w:spacing w:val="80"/>
        </w:rPr>
      </w:pPr>
      <w:r w:rsidRPr="0044777B">
        <w:rPr>
          <w:rFonts w:cs="Arial"/>
          <w:b/>
          <w:spacing w:val="80"/>
        </w:rPr>
        <w:t>CAPÍTULO III</w:t>
      </w:r>
    </w:p>
    <w:p w14:paraId="79C64749" w14:textId="77777777" w:rsidR="0042019F" w:rsidRPr="0044777B" w:rsidRDefault="0042019F" w:rsidP="00D90B8D">
      <w:pPr>
        <w:keepNext/>
        <w:spacing w:before="360" w:after="240"/>
        <w:jc w:val="center"/>
        <w:rPr>
          <w:rFonts w:cs="Arial"/>
          <w:b/>
          <w:spacing w:val="80"/>
        </w:rPr>
      </w:pPr>
    </w:p>
    <w:p w14:paraId="05166B51" w14:textId="77777777" w:rsidR="00D90B8D" w:rsidRPr="0044777B" w:rsidRDefault="00D90B8D" w:rsidP="00D90B8D">
      <w:pPr>
        <w:keepNext/>
        <w:spacing w:before="240"/>
        <w:jc w:val="center"/>
        <w:rPr>
          <w:rFonts w:cs="Arial"/>
          <w:b/>
          <w:spacing w:val="80"/>
        </w:rPr>
      </w:pPr>
      <w:r w:rsidRPr="0044777B">
        <w:rPr>
          <w:rFonts w:cs="Arial"/>
          <w:b/>
          <w:spacing w:val="80"/>
        </w:rPr>
        <w:t>FÓRMULA TARIFARIA</w:t>
      </w:r>
    </w:p>
    <w:p w14:paraId="481FB7B3" w14:textId="77777777" w:rsidR="00D90B8D" w:rsidRPr="0044777B" w:rsidRDefault="00D90B8D" w:rsidP="00D90B8D">
      <w:pPr>
        <w:keepNext/>
        <w:spacing w:before="240"/>
        <w:jc w:val="center"/>
        <w:rPr>
          <w:rFonts w:cs="Arial"/>
          <w:b/>
          <w:spacing w:val="80"/>
        </w:rPr>
      </w:pPr>
    </w:p>
    <w:p w14:paraId="03D72D7D" w14:textId="5C49E69A" w:rsidR="00D90B8D" w:rsidRPr="0044777B" w:rsidRDefault="00D90B8D" w:rsidP="00D90B8D">
      <w:pPr>
        <w:adjustRightInd w:val="0"/>
        <w:ind w:right="23"/>
        <w:rPr>
          <w:rFonts w:cs="Arial"/>
        </w:rPr>
      </w:pPr>
      <w:r w:rsidRPr="0044777B">
        <w:rPr>
          <w:rFonts w:cs="Arial"/>
          <w:b/>
        </w:rPr>
        <w:t xml:space="preserve">ARTÍCULO </w:t>
      </w:r>
      <w:r w:rsidR="0042052C">
        <w:rPr>
          <w:rFonts w:cs="Arial"/>
          <w:b/>
        </w:rPr>
        <w:t>6</w:t>
      </w:r>
      <w:r w:rsidRPr="0044777B">
        <w:rPr>
          <w:rFonts w:cs="Arial"/>
          <w:b/>
        </w:rPr>
        <w:t>. Fórmula Tarifaria</w:t>
      </w:r>
      <w:r w:rsidRPr="0044777B">
        <w:rPr>
          <w:rFonts w:cs="Arial"/>
          <w:b/>
          <w:bCs/>
        </w:rPr>
        <w:t>.</w:t>
      </w:r>
      <w:r w:rsidRPr="0044777B">
        <w:rPr>
          <w:rFonts w:cs="Arial"/>
        </w:rPr>
        <w:t xml:space="preserve"> La Fórmula Tarifaria aplicable al mercado relevante aprobado en el </w:t>
      </w:r>
      <w:r w:rsidR="00623ED8">
        <w:rPr>
          <w:rFonts w:cs="Arial"/>
        </w:rPr>
        <w:t>a</w:t>
      </w:r>
      <w:r w:rsidRPr="0044777B">
        <w:rPr>
          <w:rFonts w:cs="Arial"/>
        </w:rPr>
        <w:t xml:space="preserve">rtículo 1 de la presente Resolución corresponderá a la establecida en el </w:t>
      </w:r>
      <w:r w:rsidR="00623ED8">
        <w:rPr>
          <w:rFonts w:cs="Arial"/>
        </w:rPr>
        <w:t>a</w:t>
      </w:r>
      <w:r w:rsidRPr="0044777B">
        <w:rPr>
          <w:rFonts w:cs="Arial"/>
        </w:rPr>
        <w:t>rtículo 4 de la Resolución CREG 137 de 2013 o a aquella que la modifique, adicione o sustituya.</w:t>
      </w:r>
    </w:p>
    <w:p w14:paraId="70F8D79E" w14:textId="3574674D" w:rsidR="00D90B8D" w:rsidRPr="0044777B" w:rsidRDefault="00D90B8D" w:rsidP="00D90B8D">
      <w:pPr>
        <w:widowControl w:val="0"/>
        <w:adjustRightInd w:val="0"/>
        <w:spacing w:before="240" w:after="240"/>
        <w:ind w:right="23"/>
        <w:rPr>
          <w:rFonts w:cs="Arial"/>
        </w:rPr>
      </w:pPr>
      <w:r w:rsidRPr="0044777B">
        <w:rPr>
          <w:rFonts w:cs="Arial"/>
          <w:b/>
        </w:rPr>
        <w:t xml:space="preserve">ARTÍCULO </w:t>
      </w:r>
      <w:r w:rsidR="0042052C">
        <w:rPr>
          <w:rFonts w:cs="Arial"/>
          <w:b/>
        </w:rPr>
        <w:t>7</w:t>
      </w:r>
      <w:r w:rsidRPr="0044777B">
        <w:rPr>
          <w:rFonts w:cs="Arial"/>
          <w:b/>
        </w:rPr>
        <w:t xml:space="preserve">. Vigencia de la Fórmula Tarifaria. </w:t>
      </w:r>
      <w:r w:rsidRPr="0044777B">
        <w:rPr>
          <w:rFonts w:cs="Arial"/>
        </w:rPr>
        <w:t>La fórmula tarifaria regirá a partir de la fecha en que la presente Resolución quede en firme y durante el término de vigencia de las fórmulas tarifarias definidas en la Resolución CREG-137 de 2013. Vencido este período</w:t>
      </w:r>
      <w:r w:rsidR="00F90DA8">
        <w:rPr>
          <w:rFonts w:cs="Arial"/>
        </w:rPr>
        <w:t>,</w:t>
      </w:r>
      <w:r w:rsidRPr="0044777B">
        <w:rPr>
          <w:rFonts w:cs="Arial"/>
        </w:rPr>
        <w:t xml:space="preserve"> las fórmulas tarifarias continuarán rigiendo mientras la Comisión no fije las nuevas, tal como está previsto en el </w:t>
      </w:r>
      <w:r w:rsidR="00623ED8">
        <w:rPr>
          <w:rFonts w:cs="Arial"/>
        </w:rPr>
        <w:t>a</w:t>
      </w:r>
      <w:r w:rsidRPr="0044777B">
        <w:rPr>
          <w:rFonts w:cs="Arial"/>
        </w:rPr>
        <w:t>rtículo 126 de la Ley 142 de 1994</w:t>
      </w:r>
      <w:r w:rsidR="006F075D">
        <w:rPr>
          <w:rFonts w:cs="Arial"/>
        </w:rPr>
        <w:t xml:space="preserve">, modificado por el </w:t>
      </w:r>
      <w:r w:rsidR="00623ED8">
        <w:rPr>
          <w:rFonts w:cs="Arial"/>
        </w:rPr>
        <w:t>a</w:t>
      </w:r>
      <w:r w:rsidR="006F075D">
        <w:rPr>
          <w:rFonts w:cs="Arial"/>
        </w:rPr>
        <w:t>rtículo 52 de la Ley 2099 de 2021</w:t>
      </w:r>
      <w:r w:rsidRPr="0044777B">
        <w:rPr>
          <w:rFonts w:cs="Arial"/>
        </w:rPr>
        <w:t>.</w:t>
      </w:r>
    </w:p>
    <w:p w14:paraId="7591E74C" w14:textId="77777777" w:rsidR="00FD0AC4" w:rsidRDefault="00FD0AC4" w:rsidP="00D90B8D">
      <w:pPr>
        <w:keepNext/>
        <w:adjustRightInd w:val="0"/>
        <w:spacing w:before="360" w:after="240"/>
        <w:ind w:right="23"/>
        <w:jc w:val="center"/>
        <w:rPr>
          <w:rFonts w:cs="Arial"/>
          <w:b/>
          <w:spacing w:val="80"/>
        </w:rPr>
      </w:pPr>
    </w:p>
    <w:p w14:paraId="1574C5FB" w14:textId="20263A29" w:rsidR="00D90B8D" w:rsidRPr="0044777B" w:rsidRDefault="00D90B8D" w:rsidP="00D90B8D">
      <w:pPr>
        <w:keepNext/>
        <w:adjustRightInd w:val="0"/>
        <w:spacing w:before="360" w:after="240"/>
        <w:ind w:right="23"/>
        <w:jc w:val="center"/>
        <w:rPr>
          <w:rFonts w:cs="Arial"/>
          <w:b/>
          <w:spacing w:val="80"/>
        </w:rPr>
      </w:pPr>
      <w:r w:rsidRPr="0044777B">
        <w:rPr>
          <w:rFonts w:cs="Arial"/>
          <w:b/>
          <w:spacing w:val="80"/>
        </w:rPr>
        <w:t>CAPÍTULO IV</w:t>
      </w:r>
    </w:p>
    <w:p w14:paraId="3BDBF225" w14:textId="77777777" w:rsidR="00D90B8D" w:rsidRPr="0044777B" w:rsidRDefault="00D90B8D" w:rsidP="00D90B8D">
      <w:pPr>
        <w:keepNext/>
        <w:spacing w:before="240"/>
        <w:jc w:val="center"/>
        <w:rPr>
          <w:rFonts w:cs="Arial"/>
          <w:b/>
          <w:spacing w:val="80"/>
        </w:rPr>
      </w:pPr>
      <w:r w:rsidRPr="0044777B">
        <w:rPr>
          <w:rFonts w:cs="Arial"/>
          <w:b/>
          <w:spacing w:val="80"/>
        </w:rPr>
        <w:t>OTRAS DISPOSICIONES</w:t>
      </w:r>
    </w:p>
    <w:p w14:paraId="19AC7F84" w14:textId="2C352EEE" w:rsidR="00D90B8D" w:rsidRPr="0044777B" w:rsidRDefault="00D90B8D" w:rsidP="00D90B8D">
      <w:pPr>
        <w:widowControl w:val="0"/>
        <w:adjustRightInd w:val="0"/>
        <w:ind w:right="20"/>
        <w:rPr>
          <w:rFonts w:cs="Arial"/>
          <w:spacing w:val="-4"/>
        </w:rPr>
      </w:pPr>
      <w:r w:rsidRPr="0044777B">
        <w:rPr>
          <w:rFonts w:cs="Arial"/>
          <w:b/>
        </w:rPr>
        <w:t xml:space="preserve">ARTÍCULO </w:t>
      </w:r>
      <w:r w:rsidR="0042052C">
        <w:rPr>
          <w:rFonts w:cs="Arial"/>
          <w:b/>
        </w:rPr>
        <w:t>8</w:t>
      </w:r>
      <w:r w:rsidRPr="0044777B">
        <w:rPr>
          <w:rFonts w:cs="Arial"/>
          <w:b/>
          <w:spacing w:val="-4"/>
        </w:rPr>
        <w:t>.</w:t>
      </w:r>
      <w:r w:rsidRPr="0044777B">
        <w:rPr>
          <w:rFonts w:cs="Arial"/>
          <w:spacing w:val="-4"/>
        </w:rPr>
        <w:t xml:space="preserve"> </w:t>
      </w:r>
      <w:r w:rsidRPr="0044777B">
        <w:rPr>
          <w:rFonts w:cs="Arial"/>
          <w:b/>
          <w:spacing w:val="-4"/>
        </w:rPr>
        <w:t>Notificación y Recursos.</w:t>
      </w:r>
      <w:r w:rsidRPr="0044777B">
        <w:rPr>
          <w:rFonts w:cs="Arial"/>
          <w:spacing w:val="-4"/>
        </w:rPr>
        <w:t xml:space="preserve"> La presente Resolución deberá notificarse al representante legal de</w:t>
      </w:r>
      <w:r w:rsidR="002A228B">
        <w:rPr>
          <w:rFonts w:cs="Arial"/>
          <w:spacing w:val="-4"/>
        </w:rPr>
        <w:t xml:space="preserve"> la empresa</w:t>
      </w:r>
      <w:r w:rsidRPr="0044777B">
        <w:rPr>
          <w:rFonts w:cs="Arial"/>
          <w:spacing w:val="-4"/>
        </w:rPr>
        <w:t xml:space="preserve"> </w:t>
      </w:r>
      <w:r w:rsidR="00167AA6">
        <w:rPr>
          <w:rFonts w:cs="Arial"/>
        </w:rPr>
        <w:t>REDNOVA</w:t>
      </w:r>
      <w:r w:rsidR="00797C63">
        <w:rPr>
          <w:rFonts w:cs="Arial"/>
        </w:rPr>
        <w:t>.</w:t>
      </w:r>
      <w:r w:rsidRPr="0044777B">
        <w:rPr>
          <w:rFonts w:cs="Arial"/>
          <w:lang w:val="es-ES_tradnl"/>
        </w:rPr>
        <w:t xml:space="preserve"> Una </w:t>
      </w:r>
      <w:r w:rsidRPr="0044777B">
        <w:rPr>
          <w:rFonts w:cs="Arial"/>
          <w:spacing w:val="-4"/>
        </w:rPr>
        <w:t xml:space="preserve">vez en firme, deberá publicarse en el </w:t>
      </w:r>
      <w:r w:rsidRPr="0044777B">
        <w:rPr>
          <w:rFonts w:cs="Arial"/>
          <w:iCs/>
          <w:spacing w:val="-4"/>
        </w:rPr>
        <w:t>Diario Oficial</w:t>
      </w:r>
      <w:r w:rsidRPr="0044777B">
        <w:rPr>
          <w:rFonts w:cs="Arial"/>
          <w:i/>
          <w:iCs/>
          <w:spacing w:val="-4"/>
        </w:rPr>
        <w:t>.</w:t>
      </w:r>
      <w:r w:rsidRPr="0044777B">
        <w:rPr>
          <w:rFonts w:cs="Arial"/>
          <w:spacing w:val="-4"/>
        </w:rPr>
        <w:t xml:space="preserve"> Contra las disposiciones contenidas en esta Resolución procede el Recurso de Reposición, el cual podrá interponerse ante la Dirección Ejecutiva de la CREG dentro de los cinco (5) días hábiles siguientes a la fecha de su notificación.</w:t>
      </w:r>
    </w:p>
    <w:p w14:paraId="3BDC7E2C" w14:textId="77777777" w:rsidR="00F90DA8" w:rsidRDefault="00F90DA8" w:rsidP="00D90B8D">
      <w:pPr>
        <w:widowControl w:val="0"/>
        <w:adjustRightInd w:val="0"/>
        <w:ind w:right="20"/>
        <w:jc w:val="center"/>
        <w:rPr>
          <w:rFonts w:cs="Arial"/>
          <w:b/>
        </w:rPr>
      </w:pPr>
    </w:p>
    <w:p w14:paraId="31A9E3C5" w14:textId="106989EA" w:rsidR="00D90B8D" w:rsidRPr="0044777B" w:rsidRDefault="00D90B8D" w:rsidP="00D90B8D">
      <w:pPr>
        <w:widowControl w:val="0"/>
        <w:adjustRightInd w:val="0"/>
        <w:ind w:right="20"/>
        <w:jc w:val="center"/>
        <w:rPr>
          <w:rFonts w:cs="Arial"/>
          <w:b/>
        </w:rPr>
      </w:pPr>
      <w:r w:rsidRPr="0044777B">
        <w:rPr>
          <w:rFonts w:cs="Arial"/>
          <w:b/>
        </w:rPr>
        <w:t>NOTIFÍQUESE, PUBLÍQUESE Y CÚMPLASE</w:t>
      </w:r>
    </w:p>
    <w:p w14:paraId="5D93D3EE" w14:textId="77777777" w:rsidR="00D90B8D" w:rsidRPr="0044777B" w:rsidRDefault="00D90B8D" w:rsidP="00D90B8D">
      <w:pPr>
        <w:widowControl w:val="0"/>
        <w:adjustRightInd w:val="0"/>
        <w:ind w:right="20"/>
        <w:rPr>
          <w:rFonts w:cs="Arial"/>
        </w:rPr>
      </w:pPr>
    </w:p>
    <w:p w14:paraId="0B3649B9" w14:textId="65DFDD67" w:rsidR="00D90B8D" w:rsidRPr="0044777B" w:rsidRDefault="00D90B8D" w:rsidP="00D90B8D">
      <w:pPr>
        <w:widowControl w:val="0"/>
        <w:adjustRightInd w:val="0"/>
        <w:ind w:right="20"/>
        <w:rPr>
          <w:rFonts w:cs="Arial"/>
          <w:b/>
          <w:bCs/>
        </w:rPr>
      </w:pPr>
      <w:r w:rsidRPr="0044777B">
        <w:rPr>
          <w:rFonts w:cs="Arial"/>
        </w:rPr>
        <w:t xml:space="preserve">Dada en Bogotá, D.C., </w:t>
      </w:r>
      <w:r w:rsidR="004E1B34" w:rsidRPr="00560D29">
        <w:rPr>
          <w:rFonts w:cs="Arial"/>
        </w:rPr>
        <w:t xml:space="preserve">a los </w:t>
      </w:r>
      <w:r w:rsidR="0042019F">
        <w:rPr>
          <w:rFonts w:cs="Arial"/>
        </w:rPr>
        <w:t>14</w:t>
      </w:r>
      <w:r w:rsidR="004E1B34" w:rsidRPr="00560D29">
        <w:rPr>
          <w:rFonts w:cs="Arial"/>
        </w:rPr>
        <w:t xml:space="preserve"> días del mes de </w:t>
      </w:r>
      <w:r w:rsidR="0042019F">
        <w:rPr>
          <w:rFonts w:cs="Arial"/>
        </w:rPr>
        <w:t>noviembre</w:t>
      </w:r>
      <w:r w:rsidR="004E1B34" w:rsidRPr="00560D29">
        <w:rPr>
          <w:rFonts w:cs="Arial"/>
        </w:rPr>
        <w:t xml:space="preserve"> de </w:t>
      </w:r>
      <w:r w:rsidR="004E1B34" w:rsidRPr="00FD0AC4">
        <w:rPr>
          <w:rFonts w:cs="Arial"/>
        </w:rPr>
        <w:t>202</w:t>
      </w:r>
      <w:r w:rsidR="00FD0AC4">
        <w:rPr>
          <w:rFonts w:cs="Arial"/>
        </w:rPr>
        <w:t>4</w:t>
      </w:r>
      <w:r w:rsidR="004E1B34" w:rsidRPr="00560D29">
        <w:rPr>
          <w:rFonts w:cs="Arial"/>
        </w:rPr>
        <w:t>.</w:t>
      </w:r>
    </w:p>
    <w:p w14:paraId="3CB70624" w14:textId="77777777" w:rsidR="00D90B8D" w:rsidRPr="0044777B" w:rsidRDefault="00D90B8D" w:rsidP="00D90B8D">
      <w:pPr>
        <w:widowControl w:val="0"/>
        <w:tabs>
          <w:tab w:val="left" w:pos="-720"/>
        </w:tabs>
        <w:suppressAutoHyphens/>
        <w:adjustRightInd w:val="0"/>
        <w:ind w:right="20"/>
        <w:rPr>
          <w:rFonts w:cs="Arial"/>
          <w:spacing w:val="-3"/>
        </w:rPr>
      </w:pPr>
    </w:p>
    <w:p w14:paraId="04B432C1" w14:textId="77777777" w:rsidR="00443B64" w:rsidRDefault="00443B64" w:rsidP="00443B64">
      <w:pPr>
        <w:widowControl w:val="0"/>
        <w:adjustRightInd w:val="0"/>
        <w:ind w:right="20"/>
        <w:rPr>
          <w:rFonts w:cs="Arial"/>
        </w:rPr>
      </w:pPr>
    </w:p>
    <w:p w14:paraId="100BB630" w14:textId="77777777" w:rsidR="00443B64" w:rsidRPr="00560D29" w:rsidRDefault="00443B64" w:rsidP="00443B64">
      <w:pPr>
        <w:widowControl w:val="0"/>
        <w:adjustRightInd w:val="0"/>
        <w:ind w:right="20"/>
        <w:rPr>
          <w:rFonts w:cs="Arial"/>
        </w:rPr>
      </w:pPr>
    </w:p>
    <w:p w14:paraId="2C58F906" w14:textId="77777777" w:rsidR="00443B64" w:rsidRPr="00560D29"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443B64" w:rsidRPr="00560D29" w14:paraId="69B5BF7A" w14:textId="77777777" w:rsidTr="00C85BB1">
        <w:tc>
          <w:tcPr>
            <w:tcW w:w="4962" w:type="dxa"/>
          </w:tcPr>
          <w:p w14:paraId="6C562DC0" w14:textId="2FDE7A90" w:rsidR="00443B64" w:rsidRPr="00E35B70" w:rsidRDefault="00F925C7" w:rsidP="00443B64">
            <w:pPr>
              <w:widowControl w:val="0"/>
              <w:spacing w:before="0" w:after="0" w:line="259" w:lineRule="auto"/>
              <w:jc w:val="center"/>
            </w:pPr>
            <w:r w:rsidRPr="00E35B70">
              <w:rPr>
                <w:rFonts w:cs="Arial"/>
                <w:b/>
                <w:bCs/>
              </w:rPr>
              <w:t>OMAR ANDRÉS CAMACHO MORALES</w:t>
            </w:r>
          </w:p>
        </w:tc>
        <w:tc>
          <w:tcPr>
            <w:tcW w:w="4679" w:type="dxa"/>
          </w:tcPr>
          <w:p w14:paraId="4125FF08" w14:textId="4C279AE2" w:rsidR="00443B64" w:rsidRPr="00E35B70" w:rsidRDefault="00630370" w:rsidP="00443B64">
            <w:pPr>
              <w:widowControl w:val="0"/>
              <w:adjustRightInd w:val="0"/>
              <w:spacing w:before="0" w:after="0"/>
              <w:jc w:val="center"/>
              <w:rPr>
                <w:rFonts w:cs="Arial"/>
                <w:bCs/>
              </w:rPr>
            </w:pPr>
            <w:r>
              <w:rPr>
                <w:rFonts w:cs="Arial"/>
                <w:b/>
              </w:rPr>
              <w:t>ANTONIO JIM</w:t>
            </w:r>
            <w:r w:rsidR="00337C12">
              <w:rPr>
                <w:rFonts w:cs="Arial"/>
                <w:b/>
              </w:rPr>
              <w:t>É</w:t>
            </w:r>
            <w:r>
              <w:rPr>
                <w:rFonts w:cs="Arial"/>
                <w:b/>
              </w:rPr>
              <w:t xml:space="preserve">NEZ </w:t>
            </w:r>
            <w:r w:rsidR="00337C12">
              <w:rPr>
                <w:rFonts w:cs="Arial"/>
                <w:b/>
              </w:rPr>
              <w:t>RIVERA</w:t>
            </w:r>
          </w:p>
        </w:tc>
      </w:tr>
      <w:tr w:rsidR="00443B64" w:rsidRPr="00560D29" w14:paraId="36B22DFE" w14:textId="77777777" w:rsidTr="00C85BB1">
        <w:tc>
          <w:tcPr>
            <w:tcW w:w="4962" w:type="dxa"/>
          </w:tcPr>
          <w:p w14:paraId="7C7FA8E6" w14:textId="77777777" w:rsidR="00443B64" w:rsidRPr="00C85BB1" w:rsidRDefault="00443B64" w:rsidP="00443B64">
            <w:pPr>
              <w:widowControl w:val="0"/>
              <w:adjustRightInd w:val="0"/>
              <w:spacing w:before="0" w:after="0"/>
              <w:jc w:val="center"/>
              <w:rPr>
                <w:rFonts w:cs="Arial"/>
              </w:rPr>
            </w:pPr>
            <w:r w:rsidRPr="00C85BB1">
              <w:t xml:space="preserve"> Ministro de Minas y Energía</w:t>
            </w:r>
          </w:p>
          <w:p w14:paraId="487F69E1" w14:textId="77777777" w:rsidR="00443B64" w:rsidRPr="00C85BB1" w:rsidRDefault="00443B64" w:rsidP="00443B64">
            <w:pPr>
              <w:widowControl w:val="0"/>
              <w:adjustRightInd w:val="0"/>
              <w:spacing w:before="0" w:after="0"/>
              <w:jc w:val="center"/>
            </w:pPr>
            <w:r w:rsidRPr="00C85BB1">
              <w:t>Presidente</w:t>
            </w:r>
          </w:p>
        </w:tc>
        <w:tc>
          <w:tcPr>
            <w:tcW w:w="4679" w:type="dxa"/>
          </w:tcPr>
          <w:p w14:paraId="5B0DACFC" w14:textId="77777777" w:rsidR="00443B64" w:rsidRPr="00E35B70" w:rsidRDefault="00443B64" w:rsidP="00443B64">
            <w:pPr>
              <w:widowControl w:val="0"/>
              <w:adjustRightInd w:val="0"/>
              <w:spacing w:before="0" w:after="0"/>
              <w:jc w:val="center"/>
              <w:rPr>
                <w:rFonts w:cs="Arial"/>
                <w:bCs/>
              </w:rPr>
            </w:pPr>
            <w:r w:rsidRPr="00E35B70">
              <w:rPr>
                <w:rFonts w:cs="Arial"/>
                <w:spacing w:val="-3"/>
              </w:rPr>
              <w:t xml:space="preserve">Director Ejecutivo </w:t>
            </w:r>
          </w:p>
        </w:tc>
      </w:tr>
    </w:tbl>
    <w:p w14:paraId="7E7EFFA9" w14:textId="77777777" w:rsidR="00FD0AC4" w:rsidRDefault="00FD0AC4">
      <w:r>
        <w:br w:type="page"/>
      </w:r>
    </w:p>
    <w:p w14:paraId="4A0B8EB3" w14:textId="64C840A4" w:rsidR="00BB3726" w:rsidRDefault="00BB3726" w:rsidP="003471C9">
      <w:pPr>
        <w:widowControl w:val="0"/>
        <w:tabs>
          <w:tab w:val="left" w:pos="-720"/>
        </w:tabs>
        <w:suppressAutoHyphens/>
        <w:adjustRightInd w:val="0"/>
        <w:ind w:right="20"/>
        <w:jc w:val="center"/>
        <w:rPr>
          <w:rFonts w:cs="Arial"/>
          <w:b/>
          <w:bCs/>
          <w:spacing w:val="-3"/>
        </w:rPr>
      </w:pPr>
      <w:r w:rsidRPr="00D42A6C">
        <w:rPr>
          <w:rFonts w:cs="Arial"/>
          <w:b/>
          <w:bCs/>
          <w:spacing w:val="-3"/>
        </w:rPr>
        <w:lastRenderedPageBreak/>
        <w:t>ANEXO 1</w:t>
      </w:r>
    </w:p>
    <w:p w14:paraId="386E3BE6" w14:textId="77777777" w:rsidR="00BB3726" w:rsidRPr="00F903A4" w:rsidRDefault="00BB3726" w:rsidP="00BB3726">
      <w:pPr>
        <w:adjustRightInd w:val="0"/>
        <w:spacing w:before="240" w:after="240"/>
        <w:ind w:right="23"/>
        <w:jc w:val="center"/>
        <w:rPr>
          <w:rFonts w:cs="Arial"/>
          <w:b/>
        </w:rPr>
      </w:pPr>
      <w:r w:rsidRPr="00F903A4">
        <w:rPr>
          <w:rFonts w:cs="Arial"/>
          <w:b/>
        </w:rPr>
        <w:t>INVERSIÓN BASE</w:t>
      </w:r>
    </w:p>
    <w:p w14:paraId="77FCBC58" w14:textId="06527414" w:rsidR="00BB3726" w:rsidRPr="00F903A4" w:rsidRDefault="00BB3726" w:rsidP="00BB3726">
      <w:pPr>
        <w:adjustRightInd w:val="0"/>
        <w:spacing w:before="240" w:after="240"/>
        <w:ind w:right="23"/>
        <w:rPr>
          <w:rFonts w:cs="Arial"/>
          <w:b/>
        </w:rPr>
      </w:pPr>
      <w:r w:rsidRPr="00F903A4">
        <w:rPr>
          <w:rFonts w:cs="Arial"/>
        </w:rPr>
        <w:t xml:space="preserve">La Inversión Base para determinar los </w:t>
      </w:r>
      <w:r>
        <w:rPr>
          <w:rFonts w:cs="Arial"/>
        </w:rPr>
        <w:t>C</w:t>
      </w:r>
      <w:r w:rsidRPr="00F903A4">
        <w:rPr>
          <w:rFonts w:cs="Arial"/>
        </w:rPr>
        <w:t xml:space="preserve">argos de </w:t>
      </w:r>
      <w:r>
        <w:rPr>
          <w:rFonts w:cs="Arial"/>
        </w:rPr>
        <w:t>D</w:t>
      </w:r>
      <w:r w:rsidRPr="00F903A4">
        <w:rPr>
          <w:rFonts w:cs="Arial"/>
        </w:rPr>
        <w:t xml:space="preserve">istribución para el Mercado Relevante de Distribución aprobado en el </w:t>
      </w:r>
      <w:r w:rsidR="00D35B35">
        <w:rPr>
          <w:rFonts w:cs="Arial"/>
        </w:rPr>
        <w:t>a</w:t>
      </w:r>
      <w:r w:rsidRPr="00AA70D7">
        <w:rPr>
          <w:rFonts w:cs="Arial"/>
        </w:rPr>
        <w:t>rtículo 1</w:t>
      </w:r>
      <w:r w:rsidRPr="00F903A4">
        <w:rPr>
          <w:rFonts w:cs="Arial"/>
        </w:rPr>
        <w:t xml:space="preserve"> de esta Resolución se compone como se indica a continuación:</w:t>
      </w:r>
    </w:p>
    <w:p w14:paraId="7E35613B" w14:textId="5F3D7665" w:rsidR="00BB3726" w:rsidRPr="00184756" w:rsidRDefault="00BB3726" w:rsidP="00184756">
      <w:pPr>
        <w:widowControl w:val="0"/>
        <w:tabs>
          <w:tab w:val="left" w:pos="-720"/>
        </w:tabs>
        <w:suppressAutoHyphens/>
        <w:adjustRightInd w:val="0"/>
        <w:ind w:right="20"/>
        <w:rPr>
          <w:rFonts w:cs="Arial"/>
          <w:spacing w:val="-3"/>
        </w:rPr>
      </w:pPr>
      <w:r w:rsidRPr="00F903A4">
        <w:rPr>
          <w:rFonts w:cs="Arial"/>
          <w:b/>
        </w:rPr>
        <w:t>Inversión Existente</w:t>
      </w:r>
      <w:r w:rsidR="006F4B4F">
        <w:rPr>
          <w:rFonts w:cs="Arial"/>
          <w:b/>
        </w:rPr>
        <w:t xml:space="preserve"> </w:t>
      </w:r>
      <w:r w:rsidR="006F4B4F" w:rsidRPr="008C1215">
        <w:rPr>
          <w:rFonts w:cs="Arial"/>
          <w:b/>
        </w:rPr>
        <w:t>(IE)</w:t>
      </w:r>
      <w:r w:rsidRPr="008C1215">
        <w:rPr>
          <w:rFonts w:cs="Arial"/>
          <w:b/>
        </w:rPr>
        <w:t xml:space="preserve">: </w:t>
      </w:r>
      <w:r w:rsidRPr="008C1215">
        <w:rPr>
          <w:rFonts w:cs="Arial"/>
          <w:bCs/>
        </w:rPr>
        <w:t>Es la</w:t>
      </w:r>
      <w:r w:rsidRPr="008C1215">
        <w:rPr>
          <w:rFonts w:cs="Arial"/>
          <w:b/>
        </w:rPr>
        <w:t xml:space="preserve"> </w:t>
      </w:r>
      <w:r w:rsidRPr="008C1215">
        <w:rPr>
          <w:lang w:val="es-ES_tradnl"/>
        </w:rPr>
        <w:t xml:space="preserve">Inversión reconocida como existente en la última revisión tarifaria, por </w:t>
      </w:r>
      <w:r w:rsidRPr="008C1215">
        <w:rPr>
          <w:rFonts w:cs="Arial"/>
        </w:rPr>
        <w:t xml:space="preserve">un valor </w:t>
      </w:r>
      <w:r w:rsidRPr="00184756">
        <w:rPr>
          <w:rFonts w:cs="Arial"/>
        </w:rPr>
        <w:t>$</w:t>
      </w:r>
      <w:r w:rsidR="001852D0">
        <w:rPr>
          <w:rFonts w:cs="Arial"/>
        </w:rPr>
        <w:t xml:space="preserve"> 0</w:t>
      </w:r>
      <w:r w:rsidR="000643B9" w:rsidRPr="008C1215">
        <w:rPr>
          <w:rFonts w:cs="Arial"/>
        </w:rPr>
        <w:t xml:space="preserve"> </w:t>
      </w:r>
      <w:r w:rsidRPr="008C1215">
        <w:rPr>
          <w:rFonts w:cs="Arial"/>
        </w:rPr>
        <w:t>(</w:t>
      </w:r>
      <w:r w:rsidR="009F6BAD" w:rsidRPr="00184756">
        <w:rPr>
          <w:rFonts w:cs="Arial"/>
        </w:rPr>
        <w:t>pesos colombianos</w:t>
      </w:r>
      <w:r w:rsidR="00240570" w:rsidRPr="00184756">
        <w:rPr>
          <w:rFonts w:cs="Arial"/>
        </w:rPr>
        <w:t xml:space="preserve"> </w:t>
      </w:r>
      <w:r w:rsidRPr="00184756">
        <w:rPr>
          <w:rFonts w:cs="Arial"/>
        </w:rPr>
        <w:t xml:space="preserve">de diciembre de </w:t>
      </w:r>
      <w:r w:rsidR="000643B9" w:rsidRPr="00184756">
        <w:rPr>
          <w:rFonts w:cs="Arial"/>
        </w:rPr>
        <w:t>20</w:t>
      </w:r>
      <w:r w:rsidR="000643B9" w:rsidRPr="008C1215">
        <w:rPr>
          <w:rFonts w:cs="Arial"/>
        </w:rPr>
        <w:t>19</w:t>
      </w:r>
      <w:r w:rsidR="0081535E">
        <w:rPr>
          <w:rFonts w:cs="Arial"/>
        </w:rPr>
        <w:t>)</w:t>
      </w:r>
      <w:r w:rsidR="0060547F">
        <w:rPr>
          <w:rFonts w:cs="Arial"/>
        </w:rPr>
        <w:t xml:space="preserve"> </w:t>
      </w:r>
      <w:r w:rsidR="0060547F" w:rsidRPr="0081535E">
        <w:rPr>
          <w:rFonts w:cs="Arial"/>
          <w:spacing w:val="-3"/>
        </w:rPr>
        <w:t xml:space="preserve">y corresponde al que se presenta y analiza en el Documento CREG </w:t>
      </w:r>
      <w:r w:rsidR="0042019F">
        <w:rPr>
          <w:rFonts w:cs="Arial"/>
          <w:spacing w:val="-3"/>
        </w:rPr>
        <w:t>902 088</w:t>
      </w:r>
      <w:r w:rsidR="0060547F" w:rsidRPr="0081535E">
        <w:rPr>
          <w:rFonts w:cs="Arial"/>
          <w:spacing w:val="-3"/>
        </w:rPr>
        <w:t xml:space="preserve"> de 202</w:t>
      </w:r>
      <w:r w:rsidR="00FD0AC4">
        <w:rPr>
          <w:rFonts w:cs="Arial"/>
          <w:spacing w:val="-3"/>
        </w:rPr>
        <w:t>4</w:t>
      </w:r>
      <w:r w:rsidR="0060547F" w:rsidRPr="0081535E">
        <w:rPr>
          <w:rFonts w:cs="Arial"/>
          <w:spacing w:val="-3"/>
        </w:rPr>
        <w:t xml:space="preserve"> que soporta y hace parte integral de la presente Resolución</w:t>
      </w:r>
      <w:r w:rsidR="00D37F02">
        <w:rPr>
          <w:rFonts w:cs="Arial"/>
        </w:rPr>
        <w:t>.</w:t>
      </w:r>
    </w:p>
    <w:p w14:paraId="66D2D714" w14:textId="210D99F3" w:rsidR="00BB3726" w:rsidRPr="00162072" w:rsidRDefault="00BB3726" w:rsidP="00BB3726">
      <w:pPr>
        <w:adjustRightInd w:val="0"/>
        <w:spacing w:before="240" w:after="240"/>
        <w:ind w:right="23"/>
        <w:rPr>
          <w:bCs/>
          <w:lang w:val="es-ES_tradnl"/>
        </w:rPr>
      </w:pPr>
      <w:r w:rsidRPr="008C1215">
        <w:rPr>
          <w:b/>
          <w:lang w:val="es-ES_tradnl"/>
        </w:rPr>
        <w:t xml:space="preserve">Inversión Programada en nuevas inversiones que fue reconocida y ejecutada en la anterior revisión tarifaria (IPE): </w:t>
      </w:r>
      <w:r w:rsidRPr="008C1215">
        <w:rPr>
          <w:bCs/>
          <w:lang w:val="es-ES_tradnl"/>
        </w:rPr>
        <w:t>Es la</w:t>
      </w:r>
      <w:r w:rsidRPr="008C1215">
        <w:rPr>
          <w:b/>
          <w:lang w:val="es-ES_tradnl"/>
        </w:rPr>
        <w:t xml:space="preserve"> </w:t>
      </w:r>
      <w:r w:rsidRPr="008C1215">
        <w:rPr>
          <w:bCs/>
          <w:lang w:val="es-ES_tradnl"/>
        </w:rPr>
        <w:t xml:space="preserve">Inversión en activos que fueron reportados en el programa de nuevas inversiones en la anterior solicitud tarifaria, que se ejecutaron hasta </w:t>
      </w:r>
      <w:r w:rsidRPr="00184756">
        <w:rPr>
          <w:bCs/>
          <w:lang w:val="es-ES_tradnl"/>
        </w:rPr>
        <w:t>diciembre de 2019</w:t>
      </w:r>
      <w:r w:rsidRPr="008C1215">
        <w:rPr>
          <w:bCs/>
          <w:lang w:val="es-ES_tradnl"/>
        </w:rPr>
        <w:t xml:space="preserve">, la cual se reconoce por un valor de </w:t>
      </w:r>
      <w:r w:rsidR="006F4B4F" w:rsidRPr="00184756">
        <w:rPr>
          <w:rFonts w:cs="Arial"/>
        </w:rPr>
        <w:t>$</w:t>
      </w:r>
      <w:r w:rsidR="00F925C7" w:rsidRPr="00F925C7">
        <w:rPr>
          <w:rFonts w:cs="Arial"/>
        </w:rPr>
        <w:t xml:space="preserve">485,037,998.87 </w:t>
      </w:r>
      <w:r w:rsidR="006F4B4F" w:rsidRPr="008C1215">
        <w:rPr>
          <w:rFonts w:cs="Arial"/>
        </w:rPr>
        <w:t>(</w:t>
      </w:r>
      <w:r w:rsidR="006F4B4F" w:rsidRPr="00184756">
        <w:rPr>
          <w:rFonts w:cs="Arial"/>
        </w:rPr>
        <w:t xml:space="preserve">pesos colombianos de diciembre de </w:t>
      </w:r>
      <w:r w:rsidR="000643B9" w:rsidRPr="00184756">
        <w:rPr>
          <w:rFonts w:cs="Arial"/>
        </w:rPr>
        <w:t>20</w:t>
      </w:r>
      <w:r w:rsidR="000643B9" w:rsidRPr="008C1215">
        <w:rPr>
          <w:rFonts w:cs="Arial"/>
        </w:rPr>
        <w:t>19</w:t>
      </w:r>
      <w:r w:rsidR="00742B4B" w:rsidRPr="008C1215">
        <w:rPr>
          <w:rFonts w:cs="Arial"/>
        </w:rPr>
        <w:t>)</w:t>
      </w:r>
      <w:r>
        <w:rPr>
          <w:bCs/>
          <w:lang w:val="es-ES_tradnl"/>
        </w:rPr>
        <w:t xml:space="preserve"> y, corresponde a la que se presenta y analiza en el </w:t>
      </w:r>
      <w:r w:rsidRPr="00F903A4">
        <w:rPr>
          <w:lang w:val="es-ES_tradnl"/>
        </w:rPr>
        <w:t xml:space="preserve">Documento </w:t>
      </w:r>
      <w:r w:rsidR="006F4B4F" w:rsidRPr="00FD0AC4">
        <w:rPr>
          <w:lang w:val="es-ES_tradnl"/>
        </w:rPr>
        <w:t xml:space="preserve">CREG </w:t>
      </w:r>
      <w:r w:rsidR="0042019F">
        <w:rPr>
          <w:lang w:val="es-ES_tradnl"/>
        </w:rPr>
        <w:t>902 088</w:t>
      </w:r>
      <w:r w:rsidR="006F4B4F" w:rsidRPr="00FD0AC4">
        <w:rPr>
          <w:lang w:val="es-ES_tradnl"/>
        </w:rPr>
        <w:t xml:space="preserve"> de 202</w:t>
      </w:r>
      <w:r w:rsidR="00FD0AC4">
        <w:rPr>
          <w:lang w:val="es-ES_tradnl"/>
        </w:rPr>
        <w:t>4</w:t>
      </w:r>
      <w:r w:rsidR="006F4B4F" w:rsidRPr="00F903A4">
        <w:rPr>
          <w:lang w:val="es-ES_tradnl"/>
        </w:rPr>
        <w:t xml:space="preserve"> </w:t>
      </w:r>
      <w:r w:rsidRPr="00F903A4">
        <w:rPr>
          <w:lang w:val="es-ES_tradnl"/>
        </w:rPr>
        <w:t xml:space="preserve">que soporta </w:t>
      </w:r>
      <w:r>
        <w:rPr>
          <w:lang w:val="es-ES_tradnl"/>
        </w:rPr>
        <w:t xml:space="preserve">y hace parte integral de </w:t>
      </w:r>
      <w:r w:rsidRPr="00F903A4">
        <w:rPr>
          <w:lang w:val="es-ES_tradnl"/>
        </w:rPr>
        <w:t>la presente Resolución.</w:t>
      </w:r>
    </w:p>
    <w:p w14:paraId="4191FAA0" w14:textId="47FAA3F9" w:rsidR="00BB3726" w:rsidRPr="00162072" w:rsidRDefault="00BB3726" w:rsidP="00BB3726">
      <w:pPr>
        <w:adjustRightInd w:val="0"/>
        <w:spacing w:before="240" w:after="240"/>
        <w:ind w:right="23"/>
        <w:rPr>
          <w:bCs/>
          <w:lang w:val="es-ES_tradnl"/>
        </w:rPr>
      </w:pPr>
      <w:r w:rsidRPr="00F903A4">
        <w:rPr>
          <w:b/>
          <w:lang w:val="es-ES_tradnl"/>
        </w:rPr>
        <w:t xml:space="preserve">Inversión Ejecutada durante el período tarifario y No Prevista en el </w:t>
      </w:r>
      <w:r w:rsidRPr="008C1215">
        <w:rPr>
          <w:b/>
          <w:lang w:val="es-ES_tradnl"/>
        </w:rPr>
        <w:t xml:space="preserve">Programa de Nuevas Inversiones (INPE): </w:t>
      </w:r>
      <w:r w:rsidRPr="008C1215">
        <w:rPr>
          <w:lang w:val="es-ES_tradnl"/>
        </w:rPr>
        <w:t xml:space="preserve">Inversión en activos que fueron ejecutados hasta </w:t>
      </w:r>
      <w:r w:rsidRPr="00184756">
        <w:rPr>
          <w:lang w:val="es-ES_tradnl"/>
        </w:rPr>
        <w:t>diciembre de 2019</w:t>
      </w:r>
      <w:r w:rsidRPr="008C1215">
        <w:rPr>
          <w:lang w:val="es-ES_tradnl"/>
        </w:rPr>
        <w:t xml:space="preserve"> y que no fueron reportados en el Programa de Nuevas Inversiones, la cual </w:t>
      </w:r>
      <w:r w:rsidRPr="008C1215">
        <w:rPr>
          <w:bCs/>
          <w:lang w:val="es-ES_tradnl"/>
        </w:rPr>
        <w:t xml:space="preserve">se reconoce por un valor </w:t>
      </w:r>
      <w:r w:rsidRPr="008C1215">
        <w:rPr>
          <w:rFonts w:cs="Arial"/>
        </w:rPr>
        <w:t xml:space="preserve">de </w:t>
      </w:r>
      <w:r w:rsidR="006F4B4F" w:rsidRPr="00184756">
        <w:rPr>
          <w:rFonts w:cs="Arial"/>
        </w:rPr>
        <w:t>$</w:t>
      </w:r>
      <w:r w:rsidR="00F925C7" w:rsidRPr="00F925C7">
        <w:rPr>
          <w:rFonts w:cs="Arial"/>
        </w:rPr>
        <w:t>394,252,364.05</w:t>
      </w:r>
      <w:r w:rsidR="000643B9" w:rsidRPr="008C1215">
        <w:rPr>
          <w:rFonts w:cs="Arial"/>
        </w:rPr>
        <w:t xml:space="preserve"> </w:t>
      </w:r>
      <w:r w:rsidR="006F4B4F" w:rsidRPr="008C1215">
        <w:rPr>
          <w:rFonts w:cs="Arial"/>
        </w:rPr>
        <w:t>(</w:t>
      </w:r>
      <w:r w:rsidR="006F4B4F" w:rsidRPr="00184756">
        <w:rPr>
          <w:rFonts w:cs="Arial"/>
        </w:rPr>
        <w:t xml:space="preserve">pesos colombianos de diciembre de </w:t>
      </w:r>
      <w:r w:rsidR="000643B9" w:rsidRPr="00184756">
        <w:rPr>
          <w:rFonts w:cs="Arial"/>
        </w:rPr>
        <w:t>20</w:t>
      </w:r>
      <w:r w:rsidR="000643B9" w:rsidRPr="008C1215">
        <w:rPr>
          <w:rFonts w:cs="Arial"/>
        </w:rPr>
        <w:t>19</w:t>
      </w:r>
      <w:r w:rsidR="00742B4B" w:rsidRPr="008C1215">
        <w:rPr>
          <w:rFonts w:cs="Arial"/>
        </w:rPr>
        <w:t>)</w:t>
      </w:r>
      <w:r w:rsidRPr="008C1215">
        <w:rPr>
          <w:bCs/>
          <w:lang w:val="es-ES_tradnl"/>
        </w:rPr>
        <w:t xml:space="preserve"> y, corresponde</w:t>
      </w:r>
      <w:r>
        <w:rPr>
          <w:bCs/>
          <w:lang w:val="es-ES_tradnl"/>
        </w:rPr>
        <w:t xml:space="preserve"> a la que se presenta y analiza en el </w:t>
      </w:r>
      <w:r w:rsidRPr="00F903A4">
        <w:rPr>
          <w:lang w:val="es-ES_tradnl"/>
        </w:rPr>
        <w:t xml:space="preserve">Documento </w:t>
      </w:r>
      <w:r w:rsidR="006F4B4F" w:rsidRPr="00FD0AC4">
        <w:rPr>
          <w:lang w:val="es-ES_tradnl"/>
        </w:rPr>
        <w:t xml:space="preserve">CREG </w:t>
      </w:r>
      <w:r w:rsidR="0042019F">
        <w:rPr>
          <w:lang w:val="es-ES_tradnl"/>
        </w:rPr>
        <w:t>902 088</w:t>
      </w:r>
      <w:r w:rsidR="006F4B4F" w:rsidRPr="00FD0AC4">
        <w:rPr>
          <w:lang w:val="es-ES_tradnl"/>
        </w:rPr>
        <w:t xml:space="preserve"> de 202</w:t>
      </w:r>
      <w:r w:rsidR="00FD0AC4">
        <w:rPr>
          <w:lang w:val="es-ES_tradnl"/>
        </w:rPr>
        <w:t>4</w:t>
      </w:r>
      <w:r w:rsidR="006F4B4F" w:rsidRPr="00F903A4">
        <w:rPr>
          <w:lang w:val="es-ES_tradnl"/>
        </w:rPr>
        <w:t xml:space="preserve"> </w:t>
      </w:r>
      <w:r w:rsidRPr="00F903A4">
        <w:rPr>
          <w:lang w:val="es-ES_tradnl"/>
        </w:rPr>
        <w:t xml:space="preserve">que soporta </w:t>
      </w:r>
      <w:r>
        <w:rPr>
          <w:lang w:val="es-ES_tradnl"/>
        </w:rPr>
        <w:t xml:space="preserve">y hace parte integral de </w:t>
      </w:r>
      <w:r w:rsidRPr="00F903A4">
        <w:rPr>
          <w:lang w:val="es-ES_tradnl"/>
        </w:rPr>
        <w:t>la presente Resolución.</w:t>
      </w:r>
    </w:p>
    <w:p w14:paraId="39EC59C5" w14:textId="41B6D407" w:rsidR="00BB3726" w:rsidRPr="005039CA" w:rsidRDefault="0081535E" w:rsidP="00BB3726">
      <w:pPr>
        <w:widowControl w:val="0"/>
        <w:tabs>
          <w:tab w:val="left" w:pos="-720"/>
        </w:tabs>
        <w:suppressAutoHyphens/>
        <w:adjustRightInd w:val="0"/>
        <w:ind w:right="20"/>
        <w:rPr>
          <w:rFonts w:cs="Arial"/>
          <w:spacing w:val="-3"/>
        </w:rPr>
      </w:pPr>
      <w:r w:rsidRPr="00184756">
        <w:rPr>
          <w:rFonts w:cs="Arial"/>
          <w:b/>
          <w:bCs/>
          <w:spacing w:val="-3"/>
        </w:rPr>
        <w:t>Programa de Nuevas Inversiones para Municipios Nuevos (INPI):</w:t>
      </w:r>
      <w:r w:rsidRPr="0081535E">
        <w:rPr>
          <w:rFonts w:cs="Arial"/>
          <w:spacing w:val="-3"/>
        </w:rPr>
        <w:t xml:space="preserve"> El Programa de Nuevas Inversiones se reconoce por un valor de $ 0 y corresponde al que se presenta y analiza en el </w:t>
      </w:r>
      <w:r w:rsidRPr="00FD0AC4">
        <w:rPr>
          <w:rFonts w:cs="Arial"/>
          <w:spacing w:val="-3"/>
        </w:rPr>
        <w:t xml:space="preserve">Documento CREG </w:t>
      </w:r>
      <w:r w:rsidR="0042019F">
        <w:rPr>
          <w:rFonts w:cs="Arial"/>
          <w:spacing w:val="-3"/>
        </w:rPr>
        <w:t>902 088</w:t>
      </w:r>
      <w:r w:rsidRPr="00FD0AC4">
        <w:rPr>
          <w:rFonts w:cs="Arial"/>
          <w:spacing w:val="-3"/>
        </w:rPr>
        <w:t xml:space="preserve"> de 202</w:t>
      </w:r>
      <w:r w:rsidR="00FD0AC4">
        <w:rPr>
          <w:rFonts w:cs="Arial"/>
          <w:spacing w:val="-3"/>
        </w:rPr>
        <w:t>4</w:t>
      </w:r>
      <w:r w:rsidRPr="0081535E">
        <w:rPr>
          <w:rFonts w:cs="Arial"/>
          <w:spacing w:val="-3"/>
        </w:rPr>
        <w:t xml:space="preserve"> que soporta y hace parte integral de la presente Resolución.</w:t>
      </w:r>
    </w:p>
    <w:p w14:paraId="29792DBA" w14:textId="77777777" w:rsidR="00443B64" w:rsidRDefault="00443B64" w:rsidP="00443B64">
      <w:pPr>
        <w:widowControl w:val="0"/>
        <w:adjustRightInd w:val="0"/>
        <w:ind w:right="20"/>
        <w:rPr>
          <w:rFonts w:cs="Arial"/>
        </w:rPr>
      </w:pPr>
    </w:p>
    <w:p w14:paraId="2B9A375B" w14:textId="77777777" w:rsidR="003471C9" w:rsidRPr="00560D29" w:rsidRDefault="003471C9" w:rsidP="00443B64">
      <w:pPr>
        <w:widowControl w:val="0"/>
        <w:adjustRightInd w:val="0"/>
        <w:ind w:right="20"/>
        <w:rPr>
          <w:rFonts w:cs="Arial"/>
        </w:rPr>
      </w:pPr>
    </w:p>
    <w:p w14:paraId="28DC1422" w14:textId="77777777" w:rsidR="00443B64" w:rsidRPr="00560D29"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443B64" w:rsidRPr="00560D29" w14:paraId="7541D450" w14:textId="77777777" w:rsidTr="00C85BB1">
        <w:tc>
          <w:tcPr>
            <w:tcW w:w="4962" w:type="dxa"/>
          </w:tcPr>
          <w:p w14:paraId="1DFD34D8" w14:textId="6C5E0438" w:rsidR="00443B64" w:rsidRPr="00E35B70" w:rsidRDefault="00F925C7" w:rsidP="00C85BB1">
            <w:pPr>
              <w:widowControl w:val="0"/>
              <w:spacing w:before="0" w:after="0" w:line="259" w:lineRule="auto"/>
              <w:jc w:val="center"/>
            </w:pPr>
            <w:r w:rsidRPr="00E35B70">
              <w:rPr>
                <w:rFonts w:cs="Arial"/>
                <w:b/>
                <w:bCs/>
              </w:rPr>
              <w:t>OMAR ANDRÉS CAMACHO MORALES</w:t>
            </w:r>
          </w:p>
        </w:tc>
        <w:tc>
          <w:tcPr>
            <w:tcW w:w="4679" w:type="dxa"/>
          </w:tcPr>
          <w:p w14:paraId="15E109CE" w14:textId="32E7AB0D" w:rsidR="00443B64" w:rsidRPr="00E35B70" w:rsidRDefault="00817302" w:rsidP="00C85BB1">
            <w:pPr>
              <w:widowControl w:val="0"/>
              <w:adjustRightInd w:val="0"/>
              <w:spacing w:before="0" w:after="0"/>
              <w:jc w:val="center"/>
              <w:rPr>
                <w:rFonts w:cs="Arial"/>
                <w:bCs/>
              </w:rPr>
            </w:pPr>
            <w:r>
              <w:rPr>
                <w:rFonts w:cs="Arial"/>
                <w:b/>
              </w:rPr>
              <w:t>ANTONI</w:t>
            </w:r>
            <w:r w:rsidR="0060547F">
              <w:rPr>
                <w:rFonts w:cs="Arial"/>
                <w:b/>
              </w:rPr>
              <w:t>O</w:t>
            </w:r>
            <w:r>
              <w:rPr>
                <w:rFonts w:cs="Arial"/>
                <w:b/>
              </w:rPr>
              <w:t xml:space="preserve"> JIMÉNEZ RIVERA</w:t>
            </w:r>
          </w:p>
        </w:tc>
      </w:tr>
      <w:tr w:rsidR="00443B64" w:rsidRPr="00560D29" w14:paraId="3E2453FA" w14:textId="77777777" w:rsidTr="00C85BB1">
        <w:tc>
          <w:tcPr>
            <w:tcW w:w="4962" w:type="dxa"/>
          </w:tcPr>
          <w:p w14:paraId="797AEEE7" w14:textId="77777777" w:rsidR="00443B64" w:rsidRPr="00C85BB1" w:rsidRDefault="00443B64" w:rsidP="00C85BB1">
            <w:pPr>
              <w:widowControl w:val="0"/>
              <w:adjustRightInd w:val="0"/>
              <w:spacing w:before="0" w:after="0"/>
              <w:jc w:val="center"/>
              <w:rPr>
                <w:rFonts w:cs="Arial"/>
              </w:rPr>
            </w:pPr>
            <w:r w:rsidRPr="00C85BB1">
              <w:t xml:space="preserve"> Ministro de Minas y Energía</w:t>
            </w:r>
          </w:p>
          <w:p w14:paraId="7C2C1F35" w14:textId="77777777" w:rsidR="00443B64" w:rsidRPr="00C85BB1" w:rsidRDefault="00443B64" w:rsidP="00C85BB1">
            <w:pPr>
              <w:widowControl w:val="0"/>
              <w:adjustRightInd w:val="0"/>
              <w:spacing w:before="0" w:after="0"/>
              <w:jc w:val="center"/>
            </w:pPr>
            <w:r w:rsidRPr="00C85BB1">
              <w:t>Presidente</w:t>
            </w:r>
          </w:p>
        </w:tc>
        <w:tc>
          <w:tcPr>
            <w:tcW w:w="4679" w:type="dxa"/>
          </w:tcPr>
          <w:p w14:paraId="43B627DE" w14:textId="77777777" w:rsidR="00443B64" w:rsidRPr="00E35B70" w:rsidRDefault="00443B64" w:rsidP="00C85BB1">
            <w:pPr>
              <w:widowControl w:val="0"/>
              <w:adjustRightInd w:val="0"/>
              <w:spacing w:before="0" w:after="0"/>
              <w:jc w:val="center"/>
              <w:rPr>
                <w:rFonts w:cs="Arial"/>
                <w:bCs/>
              </w:rPr>
            </w:pPr>
            <w:r w:rsidRPr="00E35B70">
              <w:rPr>
                <w:rFonts w:cs="Arial"/>
                <w:spacing w:val="-3"/>
              </w:rPr>
              <w:t xml:space="preserve">Director Ejecutivo </w:t>
            </w:r>
          </w:p>
        </w:tc>
      </w:tr>
      <w:tr w:rsidR="00443B64" w:rsidRPr="00560D29" w14:paraId="220F2F6E" w14:textId="77777777" w:rsidTr="00C85BB1">
        <w:tc>
          <w:tcPr>
            <w:tcW w:w="4962" w:type="dxa"/>
          </w:tcPr>
          <w:p w14:paraId="12B67FFB" w14:textId="77777777" w:rsidR="00443B64" w:rsidRPr="00DC63AA" w:rsidRDefault="00443B64" w:rsidP="00C85BB1">
            <w:pPr>
              <w:widowControl w:val="0"/>
              <w:adjustRightInd w:val="0"/>
              <w:jc w:val="center"/>
              <w:rPr>
                <w:sz w:val="22"/>
                <w:szCs w:val="22"/>
                <w:highlight w:val="green"/>
              </w:rPr>
            </w:pPr>
          </w:p>
        </w:tc>
        <w:tc>
          <w:tcPr>
            <w:tcW w:w="4679" w:type="dxa"/>
          </w:tcPr>
          <w:p w14:paraId="7E5871B5" w14:textId="77777777" w:rsidR="00443B64" w:rsidRPr="00560D29" w:rsidRDefault="00443B64" w:rsidP="00C85BB1">
            <w:pPr>
              <w:widowControl w:val="0"/>
              <w:adjustRightInd w:val="0"/>
              <w:jc w:val="center"/>
              <w:rPr>
                <w:rFonts w:cs="Arial"/>
                <w:bCs/>
              </w:rPr>
            </w:pPr>
          </w:p>
        </w:tc>
      </w:tr>
    </w:tbl>
    <w:p w14:paraId="09D1D549" w14:textId="77777777" w:rsidR="00CB4ED0" w:rsidRDefault="00CB4ED0" w:rsidP="00BB3726">
      <w:pPr>
        <w:widowControl w:val="0"/>
        <w:tabs>
          <w:tab w:val="left" w:pos="-720"/>
        </w:tabs>
        <w:suppressAutoHyphens/>
        <w:adjustRightInd w:val="0"/>
        <w:ind w:right="20"/>
        <w:jc w:val="center"/>
        <w:rPr>
          <w:rFonts w:cs="Arial"/>
          <w:b/>
          <w:bCs/>
          <w:spacing w:val="-3"/>
        </w:rPr>
      </w:pPr>
    </w:p>
    <w:p w14:paraId="006F7724" w14:textId="77777777" w:rsidR="00CB4ED0" w:rsidRDefault="00CB4ED0">
      <w:pPr>
        <w:spacing w:before="0" w:after="0"/>
        <w:jc w:val="left"/>
        <w:rPr>
          <w:rFonts w:cs="Arial"/>
          <w:b/>
          <w:bCs/>
          <w:spacing w:val="-3"/>
        </w:rPr>
      </w:pPr>
      <w:r>
        <w:rPr>
          <w:rFonts w:cs="Arial"/>
          <w:b/>
          <w:bCs/>
          <w:spacing w:val="-3"/>
        </w:rPr>
        <w:br w:type="page"/>
      </w:r>
    </w:p>
    <w:p w14:paraId="3CC0ACBE" w14:textId="77777777" w:rsidR="00FD0AC4" w:rsidRDefault="00FD0AC4" w:rsidP="00BB3726">
      <w:pPr>
        <w:widowControl w:val="0"/>
        <w:tabs>
          <w:tab w:val="left" w:pos="-720"/>
        </w:tabs>
        <w:suppressAutoHyphens/>
        <w:adjustRightInd w:val="0"/>
        <w:ind w:right="20"/>
        <w:jc w:val="center"/>
        <w:rPr>
          <w:rFonts w:cs="Arial"/>
          <w:b/>
          <w:bCs/>
          <w:spacing w:val="-3"/>
        </w:rPr>
      </w:pPr>
    </w:p>
    <w:p w14:paraId="2A017B8E" w14:textId="30EADA2D" w:rsidR="00BB3726" w:rsidRDefault="00BB3726" w:rsidP="00BB3726">
      <w:pPr>
        <w:widowControl w:val="0"/>
        <w:tabs>
          <w:tab w:val="left" w:pos="-720"/>
        </w:tabs>
        <w:suppressAutoHyphens/>
        <w:adjustRightInd w:val="0"/>
        <w:ind w:right="20"/>
        <w:jc w:val="center"/>
        <w:rPr>
          <w:rFonts w:cs="Arial"/>
          <w:b/>
          <w:bCs/>
          <w:spacing w:val="-3"/>
        </w:rPr>
      </w:pPr>
      <w:r w:rsidRPr="00D42A6C">
        <w:rPr>
          <w:rFonts w:cs="Arial"/>
          <w:b/>
          <w:bCs/>
          <w:spacing w:val="-3"/>
        </w:rPr>
        <w:t xml:space="preserve">ANEXO </w:t>
      </w:r>
      <w:r>
        <w:rPr>
          <w:rFonts w:cs="Arial"/>
          <w:b/>
          <w:bCs/>
          <w:spacing w:val="-3"/>
        </w:rPr>
        <w:t xml:space="preserve">2 </w:t>
      </w:r>
    </w:p>
    <w:p w14:paraId="15EDCFFA" w14:textId="77777777" w:rsidR="00BB3726" w:rsidRPr="008C1215" w:rsidRDefault="00BB3726" w:rsidP="00BB3726">
      <w:pPr>
        <w:adjustRightInd w:val="0"/>
        <w:spacing w:before="240" w:after="240"/>
        <w:ind w:right="23"/>
        <w:jc w:val="center"/>
        <w:rPr>
          <w:rFonts w:cs="Arial"/>
          <w:b/>
        </w:rPr>
      </w:pPr>
      <w:r w:rsidRPr="008C1215">
        <w:rPr>
          <w:rFonts w:cs="Arial"/>
          <w:b/>
        </w:rPr>
        <w:t>OTROS ACTIVOS</w:t>
      </w:r>
    </w:p>
    <w:p w14:paraId="2AF47E55" w14:textId="58F8444B" w:rsidR="00646443" w:rsidRPr="00162072" w:rsidRDefault="00646443" w:rsidP="00646443">
      <w:pPr>
        <w:adjustRightInd w:val="0"/>
        <w:spacing w:before="240" w:after="240"/>
        <w:ind w:right="-142"/>
        <w:rPr>
          <w:bCs/>
          <w:lang w:val="es-ES_tradnl"/>
        </w:rPr>
      </w:pPr>
      <w:r w:rsidRPr="008C1215">
        <w:rPr>
          <w:rFonts w:cs="Arial"/>
          <w:bCs/>
        </w:rPr>
        <w:t xml:space="preserve">El valor eficiente de Otros Activos se establece en la suma </w:t>
      </w:r>
      <w:r w:rsidRPr="00184756">
        <w:rPr>
          <w:rFonts w:cs="Arial"/>
        </w:rPr>
        <w:t>$</w:t>
      </w:r>
      <w:r w:rsidR="004C2055" w:rsidRPr="004C2055">
        <w:t xml:space="preserve"> </w:t>
      </w:r>
      <w:r w:rsidR="00F925C7" w:rsidRPr="00F925C7">
        <w:rPr>
          <w:rFonts w:cs="Arial"/>
        </w:rPr>
        <w:t xml:space="preserve">7,279,818 </w:t>
      </w:r>
      <w:r w:rsidRPr="008C1215">
        <w:rPr>
          <w:rFonts w:cs="Arial"/>
        </w:rPr>
        <w:t>(</w:t>
      </w:r>
      <w:r w:rsidRPr="00184756">
        <w:rPr>
          <w:rFonts w:cs="Arial"/>
        </w:rPr>
        <w:t>pesos colombianos de diciembre de 20</w:t>
      </w:r>
      <w:r w:rsidR="008C1215" w:rsidRPr="008C1215">
        <w:rPr>
          <w:rFonts w:cs="Arial"/>
        </w:rPr>
        <w:t>19</w:t>
      </w:r>
      <w:r w:rsidRPr="008C1215">
        <w:rPr>
          <w:lang w:val="es-ES_tradnl" w:eastAsia="es-CO"/>
        </w:rPr>
        <w:t xml:space="preserve"> para los mercados existentes, los</w:t>
      </w:r>
      <w:r w:rsidRPr="00F903A4">
        <w:rPr>
          <w:lang w:val="es-ES_tradnl" w:eastAsia="es-CO"/>
        </w:rPr>
        <w:t xml:space="preserve"> cuales se considerar</w:t>
      </w:r>
      <w:r w:rsidR="00FA4175">
        <w:rPr>
          <w:lang w:val="es-ES_tradnl" w:eastAsia="es-CO"/>
        </w:rPr>
        <w:t>o</w:t>
      </w:r>
      <w:r w:rsidRPr="00F903A4">
        <w:rPr>
          <w:lang w:val="es-ES_tradnl" w:eastAsia="es-CO"/>
        </w:rPr>
        <w:t>n en los cálculos de los cargos de distribución</w:t>
      </w:r>
      <w:r>
        <w:rPr>
          <w:lang w:val="es-ES_tradnl" w:eastAsia="es-CO"/>
        </w:rPr>
        <w:t xml:space="preserve"> y </w:t>
      </w:r>
      <w:r>
        <w:rPr>
          <w:bCs/>
          <w:lang w:val="es-ES_tradnl"/>
        </w:rPr>
        <w:t xml:space="preserve">se presenta y analiza en el </w:t>
      </w:r>
      <w:r w:rsidRPr="00F903A4">
        <w:rPr>
          <w:lang w:val="es-ES_tradnl"/>
        </w:rPr>
        <w:t xml:space="preserve">Documento </w:t>
      </w:r>
      <w:r w:rsidRPr="00FD0AC4">
        <w:rPr>
          <w:lang w:val="es-ES_tradnl"/>
        </w:rPr>
        <w:t xml:space="preserve">CREG </w:t>
      </w:r>
      <w:r w:rsidR="0042019F">
        <w:rPr>
          <w:lang w:val="es-ES_tradnl"/>
        </w:rPr>
        <w:t>902 088</w:t>
      </w:r>
      <w:r w:rsidRPr="00FD0AC4">
        <w:rPr>
          <w:lang w:val="es-ES_tradnl"/>
        </w:rPr>
        <w:t xml:space="preserve"> de 202</w:t>
      </w:r>
      <w:r w:rsidR="00FD0AC4">
        <w:rPr>
          <w:lang w:val="es-ES_tradnl"/>
        </w:rPr>
        <w:t>4</w:t>
      </w:r>
      <w:r w:rsidRPr="00F903A4">
        <w:rPr>
          <w:lang w:val="es-ES_tradnl"/>
        </w:rPr>
        <w:t xml:space="preserve"> que soporta </w:t>
      </w:r>
      <w:r>
        <w:rPr>
          <w:lang w:val="es-ES_tradnl"/>
        </w:rPr>
        <w:t xml:space="preserve">y hace parte integral de </w:t>
      </w:r>
      <w:r w:rsidRPr="00F903A4">
        <w:rPr>
          <w:lang w:val="es-ES_tradnl"/>
        </w:rPr>
        <w:t>la presente Resolución.</w:t>
      </w:r>
    </w:p>
    <w:p w14:paraId="2D1A301D" w14:textId="77777777" w:rsidR="00BB3726" w:rsidRPr="00F903A4" w:rsidRDefault="00BB3726" w:rsidP="00BB3726">
      <w:pPr>
        <w:adjustRightInd w:val="0"/>
        <w:spacing w:before="240" w:after="240"/>
        <w:ind w:right="23"/>
        <w:rPr>
          <w:bCs/>
        </w:rPr>
      </w:pPr>
    </w:p>
    <w:p w14:paraId="60B49483" w14:textId="77777777" w:rsidR="00BB3726" w:rsidRDefault="00BB3726" w:rsidP="00BB3726">
      <w:pPr>
        <w:widowControl w:val="0"/>
        <w:tabs>
          <w:tab w:val="left" w:pos="-720"/>
        </w:tabs>
        <w:suppressAutoHyphens/>
        <w:adjustRightInd w:val="0"/>
        <w:ind w:right="20"/>
        <w:jc w:val="center"/>
        <w:rPr>
          <w:rFonts w:cs="Arial"/>
          <w:b/>
          <w:bCs/>
          <w:color w:val="FF0000"/>
          <w:spacing w:val="-3"/>
        </w:rPr>
      </w:pPr>
    </w:p>
    <w:p w14:paraId="790AD30C" w14:textId="77777777" w:rsidR="00443B64" w:rsidRPr="00560D29" w:rsidRDefault="00443B64" w:rsidP="00443B64">
      <w:pPr>
        <w:widowControl w:val="0"/>
        <w:adjustRightInd w:val="0"/>
        <w:ind w:right="20"/>
        <w:rPr>
          <w:rFonts w:cs="Arial"/>
        </w:rPr>
      </w:pPr>
    </w:p>
    <w:p w14:paraId="2F4F6EEB" w14:textId="77777777" w:rsidR="00443B64" w:rsidRPr="00560D29"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443B64" w:rsidRPr="00560D29" w14:paraId="767DFABB" w14:textId="77777777" w:rsidTr="00C85BB1">
        <w:tc>
          <w:tcPr>
            <w:tcW w:w="4962" w:type="dxa"/>
          </w:tcPr>
          <w:p w14:paraId="155EF515" w14:textId="18F48B13" w:rsidR="00443B64" w:rsidRPr="00E35B70" w:rsidRDefault="00F925C7" w:rsidP="00C85BB1">
            <w:pPr>
              <w:widowControl w:val="0"/>
              <w:spacing w:before="0" w:after="0" w:line="259" w:lineRule="auto"/>
              <w:jc w:val="center"/>
            </w:pPr>
            <w:r w:rsidRPr="00E35B70">
              <w:rPr>
                <w:rFonts w:cs="Arial"/>
                <w:b/>
                <w:bCs/>
              </w:rPr>
              <w:t>OMAR ANDRÉS CAMACHO MORALES</w:t>
            </w:r>
          </w:p>
        </w:tc>
        <w:tc>
          <w:tcPr>
            <w:tcW w:w="4679" w:type="dxa"/>
          </w:tcPr>
          <w:p w14:paraId="76ECD395" w14:textId="35251C5A" w:rsidR="00443B64" w:rsidRPr="00E35B70" w:rsidRDefault="004C2055" w:rsidP="00C85BB1">
            <w:pPr>
              <w:widowControl w:val="0"/>
              <w:adjustRightInd w:val="0"/>
              <w:spacing w:before="0" w:after="0"/>
              <w:jc w:val="center"/>
              <w:rPr>
                <w:rFonts w:cs="Arial"/>
                <w:bCs/>
              </w:rPr>
            </w:pPr>
            <w:r>
              <w:rPr>
                <w:rFonts w:cs="Arial"/>
                <w:b/>
              </w:rPr>
              <w:t>ANTONIO JIMÉNEZ RIVERA</w:t>
            </w:r>
          </w:p>
        </w:tc>
      </w:tr>
      <w:tr w:rsidR="00443B64" w:rsidRPr="00560D29" w14:paraId="56F9B13C" w14:textId="77777777" w:rsidTr="00C85BB1">
        <w:tc>
          <w:tcPr>
            <w:tcW w:w="4962" w:type="dxa"/>
          </w:tcPr>
          <w:p w14:paraId="5A08BEA9" w14:textId="77777777" w:rsidR="00443B64" w:rsidRPr="00C85BB1" w:rsidRDefault="00443B64" w:rsidP="00C85BB1">
            <w:pPr>
              <w:widowControl w:val="0"/>
              <w:adjustRightInd w:val="0"/>
              <w:spacing w:before="0" w:after="0"/>
              <w:jc w:val="center"/>
              <w:rPr>
                <w:rFonts w:cs="Arial"/>
              </w:rPr>
            </w:pPr>
            <w:r w:rsidRPr="00C85BB1">
              <w:t xml:space="preserve"> Ministro de Minas y Energía</w:t>
            </w:r>
          </w:p>
          <w:p w14:paraId="1C87346F" w14:textId="77777777" w:rsidR="00443B64" w:rsidRPr="00C85BB1" w:rsidRDefault="00443B64" w:rsidP="00C85BB1">
            <w:pPr>
              <w:widowControl w:val="0"/>
              <w:adjustRightInd w:val="0"/>
              <w:spacing w:before="0" w:after="0"/>
              <w:jc w:val="center"/>
            </w:pPr>
            <w:r w:rsidRPr="00C85BB1">
              <w:t>Presidente</w:t>
            </w:r>
          </w:p>
        </w:tc>
        <w:tc>
          <w:tcPr>
            <w:tcW w:w="4679" w:type="dxa"/>
          </w:tcPr>
          <w:p w14:paraId="09F35467" w14:textId="77777777" w:rsidR="00443B64" w:rsidRPr="00E35B70" w:rsidRDefault="00443B64" w:rsidP="00C85BB1">
            <w:pPr>
              <w:widowControl w:val="0"/>
              <w:adjustRightInd w:val="0"/>
              <w:spacing w:before="0" w:after="0"/>
              <w:jc w:val="center"/>
              <w:rPr>
                <w:rFonts w:cs="Arial"/>
                <w:bCs/>
              </w:rPr>
            </w:pPr>
            <w:r w:rsidRPr="00E35B70">
              <w:rPr>
                <w:rFonts w:cs="Arial"/>
                <w:spacing w:val="-3"/>
              </w:rPr>
              <w:t xml:space="preserve">Director Ejecutivo </w:t>
            </w:r>
          </w:p>
        </w:tc>
      </w:tr>
      <w:tr w:rsidR="00443B64" w:rsidRPr="00560D29" w14:paraId="2552A20E" w14:textId="77777777" w:rsidTr="00C85BB1">
        <w:tc>
          <w:tcPr>
            <w:tcW w:w="4962" w:type="dxa"/>
          </w:tcPr>
          <w:p w14:paraId="44111F04" w14:textId="77777777" w:rsidR="00443B64" w:rsidRPr="00DC63AA" w:rsidRDefault="00443B64" w:rsidP="00C85BB1">
            <w:pPr>
              <w:widowControl w:val="0"/>
              <w:adjustRightInd w:val="0"/>
              <w:jc w:val="center"/>
              <w:rPr>
                <w:sz w:val="22"/>
                <w:szCs w:val="22"/>
                <w:highlight w:val="green"/>
              </w:rPr>
            </w:pPr>
          </w:p>
        </w:tc>
        <w:tc>
          <w:tcPr>
            <w:tcW w:w="4679" w:type="dxa"/>
          </w:tcPr>
          <w:p w14:paraId="5FDFBC96" w14:textId="77777777" w:rsidR="00443B64" w:rsidRPr="00560D29" w:rsidRDefault="00443B64" w:rsidP="00C85BB1">
            <w:pPr>
              <w:widowControl w:val="0"/>
              <w:adjustRightInd w:val="0"/>
              <w:jc w:val="center"/>
              <w:rPr>
                <w:rFonts w:cs="Arial"/>
                <w:bCs/>
              </w:rPr>
            </w:pPr>
          </w:p>
        </w:tc>
      </w:tr>
    </w:tbl>
    <w:p w14:paraId="1C4926CE" w14:textId="77777777" w:rsidR="00BB3726" w:rsidRDefault="00BB3726" w:rsidP="00BB3726">
      <w:pPr>
        <w:widowControl w:val="0"/>
        <w:tabs>
          <w:tab w:val="left" w:pos="-720"/>
        </w:tabs>
        <w:suppressAutoHyphens/>
        <w:adjustRightInd w:val="0"/>
        <w:ind w:right="20"/>
        <w:rPr>
          <w:rFonts w:cs="Arial"/>
          <w:b/>
          <w:bCs/>
          <w:color w:val="FF0000"/>
          <w:spacing w:val="-3"/>
        </w:rPr>
      </w:pPr>
    </w:p>
    <w:p w14:paraId="3D62712C" w14:textId="4F3A47B7" w:rsidR="00CB4ED0" w:rsidRDefault="00CB4ED0">
      <w:pPr>
        <w:spacing w:before="0" w:after="0"/>
        <w:jc w:val="left"/>
        <w:rPr>
          <w:rFonts w:cs="Arial"/>
          <w:b/>
          <w:bCs/>
          <w:color w:val="FF0000"/>
          <w:spacing w:val="-3"/>
        </w:rPr>
      </w:pPr>
      <w:r>
        <w:rPr>
          <w:rFonts w:cs="Arial"/>
          <w:b/>
          <w:bCs/>
          <w:color w:val="FF0000"/>
          <w:spacing w:val="-3"/>
        </w:rPr>
        <w:br w:type="page"/>
      </w:r>
    </w:p>
    <w:p w14:paraId="7D1AB114" w14:textId="77777777" w:rsidR="00FD0AC4" w:rsidRDefault="00FD0AC4" w:rsidP="00BB3726">
      <w:pPr>
        <w:widowControl w:val="0"/>
        <w:tabs>
          <w:tab w:val="left" w:pos="-720"/>
        </w:tabs>
        <w:suppressAutoHyphens/>
        <w:adjustRightInd w:val="0"/>
        <w:ind w:right="20"/>
        <w:jc w:val="center"/>
        <w:rPr>
          <w:rFonts w:cs="Arial"/>
          <w:b/>
          <w:bCs/>
          <w:spacing w:val="-3"/>
        </w:rPr>
      </w:pPr>
    </w:p>
    <w:p w14:paraId="76EEFD0A" w14:textId="34CED052" w:rsidR="00BB3726" w:rsidRDefault="00BB3726" w:rsidP="00BB3726">
      <w:pPr>
        <w:widowControl w:val="0"/>
        <w:tabs>
          <w:tab w:val="left" w:pos="-720"/>
        </w:tabs>
        <w:suppressAutoHyphens/>
        <w:adjustRightInd w:val="0"/>
        <w:ind w:right="20"/>
        <w:jc w:val="center"/>
        <w:rPr>
          <w:rFonts w:cs="Arial"/>
          <w:b/>
          <w:bCs/>
          <w:spacing w:val="-3"/>
        </w:rPr>
      </w:pPr>
      <w:r w:rsidRPr="00D42A6C">
        <w:rPr>
          <w:rFonts w:cs="Arial"/>
          <w:b/>
          <w:bCs/>
          <w:spacing w:val="-3"/>
        </w:rPr>
        <w:t xml:space="preserve">ANEXO </w:t>
      </w:r>
      <w:r>
        <w:rPr>
          <w:rFonts w:cs="Arial"/>
          <w:b/>
          <w:bCs/>
          <w:spacing w:val="-3"/>
        </w:rPr>
        <w:t xml:space="preserve">3 </w:t>
      </w:r>
    </w:p>
    <w:p w14:paraId="496E63BD" w14:textId="77777777" w:rsidR="00BB3726" w:rsidRPr="00F903A4" w:rsidRDefault="00BB3726" w:rsidP="00BB3726">
      <w:pPr>
        <w:spacing w:before="240" w:after="240"/>
        <w:jc w:val="center"/>
        <w:rPr>
          <w:rFonts w:cs="Arial"/>
          <w:bCs/>
        </w:rPr>
      </w:pPr>
      <w:r w:rsidRPr="00F903A4">
        <w:rPr>
          <w:rFonts w:cs="Arial"/>
          <w:b/>
        </w:rPr>
        <w:t>GASTOS DE ADMINISTRACIÓN, OPERACIÓN Y MANTENIMIENTO - AOM.</w:t>
      </w:r>
    </w:p>
    <w:p w14:paraId="3B651B50" w14:textId="00FF8BE8" w:rsidR="00FA4175" w:rsidRDefault="00FA4175" w:rsidP="00FA4175">
      <w:pPr>
        <w:adjustRightInd w:val="0"/>
        <w:spacing w:before="240" w:after="240"/>
        <w:ind w:right="-142"/>
        <w:rPr>
          <w:lang w:val="es-ES_tradnl"/>
        </w:rPr>
      </w:pPr>
      <w:r w:rsidRPr="00F925C7">
        <w:rPr>
          <w:rFonts w:cs="Arial"/>
          <w:bCs/>
        </w:rPr>
        <w:t xml:space="preserve">El monto eficiente de AOM establecido para el mercado de distribución es </w:t>
      </w:r>
      <w:r w:rsidRPr="00F925C7">
        <w:rPr>
          <w:rFonts w:cs="Arial"/>
        </w:rPr>
        <w:t>$</w:t>
      </w:r>
      <w:r w:rsidR="00F925C7" w:rsidRPr="00F925C7">
        <w:rPr>
          <w:rFonts w:cs="Arial"/>
        </w:rPr>
        <w:t xml:space="preserve">29,124,787 </w:t>
      </w:r>
      <w:r w:rsidRPr="00F925C7">
        <w:rPr>
          <w:rFonts w:cs="Arial"/>
        </w:rPr>
        <w:t xml:space="preserve">(pesos colombianos de diciembre de </w:t>
      </w:r>
      <w:r w:rsidR="0004796B" w:rsidRPr="00F925C7">
        <w:rPr>
          <w:rFonts w:cs="Arial"/>
        </w:rPr>
        <w:t>2019</w:t>
      </w:r>
      <w:r w:rsidRPr="00F925C7">
        <w:rPr>
          <w:rFonts w:cs="Arial"/>
        </w:rPr>
        <w:t>)</w:t>
      </w:r>
      <w:r w:rsidRPr="00F925C7">
        <w:rPr>
          <w:lang w:val="es-ES_tradnl" w:eastAsia="es-CO"/>
        </w:rPr>
        <w:t xml:space="preserve"> para los mercados existentes, los cuales se considerar</w:t>
      </w:r>
      <w:r w:rsidR="00B16FF4" w:rsidRPr="00F925C7">
        <w:rPr>
          <w:lang w:val="es-ES_tradnl" w:eastAsia="es-CO"/>
        </w:rPr>
        <w:t>o</w:t>
      </w:r>
      <w:r w:rsidRPr="00F925C7">
        <w:rPr>
          <w:lang w:val="es-ES_tradnl" w:eastAsia="es-CO"/>
        </w:rPr>
        <w:t>n en los cá</w:t>
      </w:r>
      <w:r w:rsidRPr="00AC7842">
        <w:rPr>
          <w:lang w:val="es-ES_tradnl" w:eastAsia="es-CO"/>
        </w:rPr>
        <w:t>lculos de los cargos</w:t>
      </w:r>
      <w:r>
        <w:rPr>
          <w:lang w:val="es-ES_tradnl" w:eastAsia="es-CO"/>
        </w:rPr>
        <w:t xml:space="preserve"> </w:t>
      </w:r>
      <w:r w:rsidRPr="00AC7842">
        <w:rPr>
          <w:lang w:val="es-ES_tradnl" w:eastAsia="es-CO"/>
        </w:rPr>
        <w:t>de distribución</w:t>
      </w:r>
      <w:r>
        <w:rPr>
          <w:lang w:val="es-ES_tradnl" w:eastAsia="es-CO"/>
        </w:rPr>
        <w:t xml:space="preserve"> </w:t>
      </w:r>
      <w:r>
        <w:rPr>
          <w:bCs/>
          <w:lang w:val="es-ES_tradnl"/>
        </w:rPr>
        <w:t xml:space="preserve">se presenta y analiza en el </w:t>
      </w:r>
      <w:r w:rsidRPr="00F903A4">
        <w:rPr>
          <w:lang w:val="es-ES_tradnl"/>
        </w:rPr>
        <w:t xml:space="preserve">Documento </w:t>
      </w:r>
      <w:r w:rsidR="00B16FF4" w:rsidRPr="00FD0AC4">
        <w:rPr>
          <w:lang w:val="es-ES_tradnl"/>
        </w:rPr>
        <w:t xml:space="preserve">CREG </w:t>
      </w:r>
      <w:r w:rsidR="0042019F">
        <w:rPr>
          <w:lang w:val="es-ES_tradnl"/>
        </w:rPr>
        <w:t>902 088</w:t>
      </w:r>
      <w:r w:rsidR="00FD0AC4" w:rsidRPr="00FD0AC4">
        <w:rPr>
          <w:lang w:val="es-ES_tradnl"/>
        </w:rPr>
        <w:t xml:space="preserve"> </w:t>
      </w:r>
      <w:r w:rsidR="00B16FF4" w:rsidRPr="00FD0AC4">
        <w:rPr>
          <w:lang w:val="es-ES_tradnl"/>
        </w:rPr>
        <w:t>de 202</w:t>
      </w:r>
      <w:r w:rsidR="00FD0AC4">
        <w:rPr>
          <w:lang w:val="es-ES_tradnl"/>
        </w:rPr>
        <w:t>4</w:t>
      </w:r>
      <w:r w:rsidR="00B16FF4" w:rsidRPr="00F903A4">
        <w:rPr>
          <w:lang w:val="es-ES_tradnl"/>
        </w:rPr>
        <w:t xml:space="preserve"> </w:t>
      </w:r>
      <w:r w:rsidRPr="00F903A4">
        <w:rPr>
          <w:lang w:val="es-ES_tradnl"/>
        </w:rPr>
        <w:t xml:space="preserve">que soporta </w:t>
      </w:r>
      <w:r>
        <w:rPr>
          <w:lang w:val="es-ES_tradnl"/>
        </w:rPr>
        <w:t xml:space="preserve">y hace parte integral de </w:t>
      </w:r>
      <w:r w:rsidRPr="00F903A4">
        <w:rPr>
          <w:lang w:val="es-ES_tradnl"/>
        </w:rPr>
        <w:t>la presente Resolución.</w:t>
      </w:r>
    </w:p>
    <w:p w14:paraId="1BE39A35" w14:textId="2535B957" w:rsidR="00BB3726" w:rsidRDefault="00BB3726" w:rsidP="00BB3726">
      <w:pPr>
        <w:spacing w:before="240" w:after="240"/>
        <w:rPr>
          <w:rFonts w:cs="Arial"/>
          <w:bCs/>
        </w:rPr>
      </w:pPr>
    </w:p>
    <w:p w14:paraId="1CBAA431" w14:textId="77777777" w:rsidR="00443B64" w:rsidRDefault="00443B64" w:rsidP="00443B64">
      <w:pPr>
        <w:widowControl w:val="0"/>
        <w:adjustRightInd w:val="0"/>
        <w:ind w:right="20"/>
        <w:rPr>
          <w:rFonts w:cs="Arial"/>
        </w:rPr>
      </w:pPr>
    </w:p>
    <w:p w14:paraId="63E24F1B" w14:textId="77777777" w:rsidR="00E210E1" w:rsidRDefault="00E210E1" w:rsidP="00443B64">
      <w:pPr>
        <w:widowControl w:val="0"/>
        <w:adjustRightInd w:val="0"/>
        <w:ind w:right="20"/>
        <w:rPr>
          <w:rFonts w:cs="Arial"/>
        </w:rPr>
      </w:pPr>
    </w:p>
    <w:p w14:paraId="650A814F" w14:textId="77777777" w:rsidR="00E210E1" w:rsidRPr="00560D29" w:rsidRDefault="00E210E1" w:rsidP="00443B64">
      <w:pPr>
        <w:widowControl w:val="0"/>
        <w:adjustRightInd w:val="0"/>
        <w:ind w:right="20"/>
        <w:rPr>
          <w:rFonts w:cs="Arial"/>
        </w:rPr>
      </w:pPr>
    </w:p>
    <w:p w14:paraId="3F399BE8" w14:textId="77777777" w:rsidR="00443B64" w:rsidRPr="00560D29"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443B64" w:rsidRPr="00560D29" w14:paraId="1DD7B6DD" w14:textId="77777777" w:rsidTr="00C85BB1">
        <w:tc>
          <w:tcPr>
            <w:tcW w:w="4962" w:type="dxa"/>
          </w:tcPr>
          <w:p w14:paraId="201EDE49" w14:textId="77777777" w:rsidR="00443B64" w:rsidRPr="00E35B70" w:rsidRDefault="00443B64" w:rsidP="00C85BB1">
            <w:pPr>
              <w:widowControl w:val="0"/>
              <w:spacing w:before="0" w:after="0" w:line="259" w:lineRule="auto"/>
              <w:jc w:val="center"/>
            </w:pPr>
            <w:r w:rsidRPr="00E35B70">
              <w:rPr>
                <w:rFonts w:cs="Arial"/>
                <w:b/>
                <w:bCs/>
              </w:rPr>
              <w:t>OMAR ANDRÉS CAMACHO MORALES</w:t>
            </w:r>
          </w:p>
        </w:tc>
        <w:tc>
          <w:tcPr>
            <w:tcW w:w="4679" w:type="dxa"/>
          </w:tcPr>
          <w:p w14:paraId="5B42698A" w14:textId="232512D4" w:rsidR="00443B64" w:rsidRPr="00E35B70" w:rsidRDefault="00F925C7" w:rsidP="00C85BB1">
            <w:pPr>
              <w:widowControl w:val="0"/>
              <w:adjustRightInd w:val="0"/>
              <w:spacing w:before="0" w:after="0"/>
              <w:jc w:val="center"/>
              <w:rPr>
                <w:rFonts w:cs="Arial"/>
                <w:bCs/>
              </w:rPr>
            </w:pPr>
            <w:r>
              <w:rPr>
                <w:rFonts w:cs="Arial"/>
                <w:b/>
              </w:rPr>
              <w:t>ANTONIO JIMÉNEZ RIVERA</w:t>
            </w:r>
          </w:p>
        </w:tc>
      </w:tr>
      <w:tr w:rsidR="00443B64" w:rsidRPr="00560D29" w14:paraId="2292A190" w14:textId="77777777" w:rsidTr="00C85BB1">
        <w:tc>
          <w:tcPr>
            <w:tcW w:w="4962" w:type="dxa"/>
          </w:tcPr>
          <w:p w14:paraId="778F0D0E" w14:textId="77777777" w:rsidR="00443B64" w:rsidRPr="00C85BB1" w:rsidRDefault="00443B64" w:rsidP="00C85BB1">
            <w:pPr>
              <w:widowControl w:val="0"/>
              <w:adjustRightInd w:val="0"/>
              <w:spacing w:before="0" w:after="0"/>
              <w:jc w:val="center"/>
              <w:rPr>
                <w:rFonts w:cs="Arial"/>
              </w:rPr>
            </w:pPr>
            <w:r w:rsidRPr="00C85BB1">
              <w:t xml:space="preserve"> Ministro de Minas y Energía</w:t>
            </w:r>
          </w:p>
          <w:p w14:paraId="45F4CAF2" w14:textId="77777777" w:rsidR="00443B64" w:rsidRPr="00C85BB1" w:rsidRDefault="00443B64" w:rsidP="00C85BB1">
            <w:pPr>
              <w:widowControl w:val="0"/>
              <w:adjustRightInd w:val="0"/>
              <w:spacing w:before="0" w:after="0"/>
              <w:jc w:val="center"/>
            </w:pPr>
            <w:r w:rsidRPr="00C85BB1">
              <w:t>Presidente</w:t>
            </w:r>
          </w:p>
        </w:tc>
        <w:tc>
          <w:tcPr>
            <w:tcW w:w="4679" w:type="dxa"/>
          </w:tcPr>
          <w:p w14:paraId="5B1A7F4D" w14:textId="77777777" w:rsidR="00443B64" w:rsidRPr="00E35B70" w:rsidRDefault="00443B64" w:rsidP="00C85BB1">
            <w:pPr>
              <w:widowControl w:val="0"/>
              <w:adjustRightInd w:val="0"/>
              <w:spacing w:before="0" w:after="0"/>
              <w:jc w:val="center"/>
              <w:rPr>
                <w:rFonts w:cs="Arial"/>
                <w:bCs/>
              </w:rPr>
            </w:pPr>
            <w:r w:rsidRPr="00E35B70">
              <w:rPr>
                <w:rFonts w:cs="Arial"/>
                <w:spacing w:val="-3"/>
              </w:rPr>
              <w:t xml:space="preserve">Director Ejecutivo </w:t>
            </w:r>
          </w:p>
        </w:tc>
      </w:tr>
      <w:tr w:rsidR="00443B64" w:rsidRPr="00560D29" w14:paraId="73383633" w14:textId="77777777" w:rsidTr="00C85BB1">
        <w:tc>
          <w:tcPr>
            <w:tcW w:w="4962" w:type="dxa"/>
          </w:tcPr>
          <w:p w14:paraId="6E4CDD10" w14:textId="77777777" w:rsidR="00443B64" w:rsidRPr="00DC63AA" w:rsidRDefault="00443B64" w:rsidP="00C85BB1">
            <w:pPr>
              <w:widowControl w:val="0"/>
              <w:adjustRightInd w:val="0"/>
              <w:jc w:val="center"/>
              <w:rPr>
                <w:sz w:val="22"/>
                <w:szCs w:val="22"/>
                <w:highlight w:val="green"/>
              </w:rPr>
            </w:pPr>
          </w:p>
        </w:tc>
        <w:tc>
          <w:tcPr>
            <w:tcW w:w="4679" w:type="dxa"/>
          </w:tcPr>
          <w:p w14:paraId="15C9A128" w14:textId="77777777" w:rsidR="00443B64" w:rsidRPr="00560D29" w:rsidRDefault="00443B64" w:rsidP="00C85BB1">
            <w:pPr>
              <w:widowControl w:val="0"/>
              <w:adjustRightInd w:val="0"/>
              <w:jc w:val="center"/>
              <w:rPr>
                <w:rFonts w:cs="Arial"/>
                <w:bCs/>
              </w:rPr>
            </w:pPr>
          </w:p>
        </w:tc>
      </w:tr>
    </w:tbl>
    <w:p w14:paraId="0CD21BA9" w14:textId="41DC863F" w:rsidR="00CB4ED0" w:rsidRDefault="00CB4ED0" w:rsidP="00BB3726">
      <w:pPr>
        <w:widowControl w:val="0"/>
        <w:tabs>
          <w:tab w:val="left" w:pos="-720"/>
        </w:tabs>
        <w:suppressAutoHyphens/>
        <w:adjustRightInd w:val="0"/>
        <w:ind w:right="20"/>
        <w:jc w:val="center"/>
        <w:rPr>
          <w:rFonts w:cs="Arial"/>
          <w:b/>
          <w:bCs/>
          <w:color w:val="FF0000"/>
          <w:spacing w:val="-3"/>
        </w:rPr>
      </w:pPr>
    </w:p>
    <w:p w14:paraId="441706E3" w14:textId="77777777" w:rsidR="00CB4ED0" w:rsidRDefault="00CB4ED0">
      <w:pPr>
        <w:spacing w:before="0" w:after="0"/>
        <w:jc w:val="left"/>
        <w:rPr>
          <w:rFonts w:cs="Arial"/>
          <w:b/>
          <w:bCs/>
          <w:color w:val="FF0000"/>
          <w:spacing w:val="-3"/>
        </w:rPr>
      </w:pPr>
      <w:r>
        <w:rPr>
          <w:rFonts w:cs="Arial"/>
          <w:b/>
          <w:bCs/>
          <w:color w:val="FF0000"/>
          <w:spacing w:val="-3"/>
        </w:rPr>
        <w:br w:type="page"/>
      </w:r>
    </w:p>
    <w:p w14:paraId="61BE80A4" w14:textId="77777777" w:rsidR="00BB3726" w:rsidRDefault="00BB3726" w:rsidP="00BB3726">
      <w:pPr>
        <w:widowControl w:val="0"/>
        <w:tabs>
          <w:tab w:val="left" w:pos="-720"/>
        </w:tabs>
        <w:suppressAutoHyphens/>
        <w:adjustRightInd w:val="0"/>
        <w:ind w:right="20"/>
        <w:jc w:val="center"/>
        <w:rPr>
          <w:rFonts w:cs="Arial"/>
          <w:b/>
          <w:bCs/>
          <w:spacing w:val="-3"/>
        </w:rPr>
      </w:pPr>
      <w:r w:rsidRPr="00D42A6C">
        <w:rPr>
          <w:rFonts w:cs="Arial"/>
          <w:b/>
          <w:bCs/>
          <w:spacing w:val="-3"/>
        </w:rPr>
        <w:lastRenderedPageBreak/>
        <w:t xml:space="preserve">ANEXO </w:t>
      </w:r>
      <w:r>
        <w:rPr>
          <w:rFonts w:cs="Arial"/>
          <w:b/>
          <w:bCs/>
          <w:spacing w:val="-3"/>
        </w:rPr>
        <w:t>4</w:t>
      </w:r>
      <w:r w:rsidRPr="00D42A6C">
        <w:rPr>
          <w:rFonts w:cs="Arial"/>
          <w:b/>
          <w:bCs/>
          <w:spacing w:val="-3"/>
        </w:rPr>
        <w:t>.</w:t>
      </w:r>
      <w:r>
        <w:rPr>
          <w:rFonts w:cs="Arial"/>
          <w:b/>
          <w:bCs/>
          <w:spacing w:val="-3"/>
        </w:rPr>
        <w:t xml:space="preserve"> </w:t>
      </w:r>
    </w:p>
    <w:p w14:paraId="645A09E3" w14:textId="77777777" w:rsidR="00BB3726" w:rsidRDefault="00BB3726" w:rsidP="00BB3726">
      <w:pPr>
        <w:widowControl w:val="0"/>
        <w:tabs>
          <w:tab w:val="left" w:pos="-720"/>
        </w:tabs>
        <w:suppressAutoHyphens/>
        <w:adjustRightInd w:val="0"/>
        <w:ind w:right="20"/>
        <w:jc w:val="center"/>
        <w:rPr>
          <w:rFonts w:cs="Arial"/>
          <w:b/>
          <w:bCs/>
          <w:spacing w:val="-3"/>
        </w:rPr>
      </w:pPr>
      <w:r>
        <w:rPr>
          <w:rFonts w:cs="Arial"/>
          <w:b/>
          <w:bCs/>
          <w:spacing w:val="-3"/>
        </w:rPr>
        <w:t xml:space="preserve">DEMANDAS DE VOLUMEN </w:t>
      </w:r>
    </w:p>
    <w:p w14:paraId="28F1D8AA" w14:textId="6321B1EB" w:rsidR="003A448A" w:rsidRPr="0044777B" w:rsidRDefault="003A448A" w:rsidP="003A448A">
      <w:pPr>
        <w:pStyle w:val="Prrafodelista"/>
        <w:numPr>
          <w:ilvl w:val="0"/>
          <w:numId w:val="0"/>
        </w:numPr>
        <w:adjustRightInd w:val="0"/>
        <w:ind w:right="23"/>
        <w:rPr>
          <w:rFonts w:cs="Arial"/>
        </w:rPr>
      </w:pPr>
      <w:r w:rsidRPr="0044777B">
        <w:rPr>
          <w:rFonts w:cs="Arial"/>
        </w:rPr>
        <w:t xml:space="preserve">La Demanda de Volumen </w:t>
      </w:r>
      <w:r w:rsidR="0004796B">
        <w:rPr>
          <w:rFonts w:cs="Arial"/>
        </w:rPr>
        <w:t xml:space="preserve">no </w:t>
      </w:r>
      <w:r>
        <w:rPr>
          <w:rFonts w:cs="Arial"/>
        </w:rPr>
        <w:t xml:space="preserve">se </w:t>
      </w:r>
      <w:r w:rsidR="0004796B">
        <w:rPr>
          <w:rFonts w:cs="Arial"/>
        </w:rPr>
        <w:t>requirió ajustar</w:t>
      </w:r>
      <w:r w:rsidRPr="00FC6E99">
        <w:rPr>
          <w:rFonts w:cs="Arial"/>
          <w:lang w:val="es-ES"/>
        </w:rPr>
        <w:t>, lo que equivale a un</w:t>
      </w:r>
      <w:r w:rsidR="0004796B">
        <w:rPr>
          <w:rFonts w:cs="Arial"/>
          <w:lang w:val="es-ES"/>
        </w:rPr>
        <w:t xml:space="preserve">a demanda de </w:t>
      </w:r>
      <w:r w:rsidR="00F925C7" w:rsidRPr="00F925C7">
        <w:rPr>
          <w:rFonts w:cs="Arial"/>
          <w:lang w:val="es-ES"/>
        </w:rPr>
        <w:t>62,100</w:t>
      </w:r>
      <w:r w:rsidR="00F925C7">
        <w:rPr>
          <w:rFonts w:cs="Arial"/>
          <w:lang w:val="es-ES"/>
        </w:rPr>
        <w:t xml:space="preserve"> </w:t>
      </w:r>
      <w:r w:rsidR="0004796B" w:rsidRPr="003A448A">
        <w:rPr>
          <w:rFonts w:cs="Arial"/>
          <w:lang w:val="es-ES"/>
        </w:rPr>
        <w:t>m³</w:t>
      </w:r>
      <w:r>
        <w:rPr>
          <w:rFonts w:cs="Arial"/>
          <w:lang w:val="es-ES"/>
        </w:rPr>
        <w:t>,</w:t>
      </w:r>
      <w:r>
        <w:rPr>
          <w:rFonts w:cs="Arial"/>
        </w:rPr>
        <w:t xml:space="preserve"> de conformidad con el </w:t>
      </w:r>
      <w:r w:rsidRPr="0044777B">
        <w:rPr>
          <w:rFonts w:cs="Arial"/>
        </w:rPr>
        <w:t>Anexo 19 de la Metodología</w:t>
      </w:r>
      <w:r>
        <w:rPr>
          <w:rFonts w:cs="Arial"/>
        </w:rPr>
        <w:t xml:space="preserve">. </w:t>
      </w:r>
    </w:p>
    <w:p w14:paraId="6111CD78" w14:textId="65DBE38C" w:rsidR="003A448A" w:rsidRPr="00FC32A0" w:rsidRDefault="003A448A" w:rsidP="003A448A">
      <w:pPr>
        <w:adjustRightInd w:val="0"/>
        <w:ind w:right="23"/>
        <w:rPr>
          <w:bCs/>
          <w:lang w:val="es-ES_tradnl"/>
        </w:rPr>
      </w:pPr>
      <w:r w:rsidRPr="00FC32A0">
        <w:rPr>
          <w:rFonts w:cs="Arial"/>
        </w:rPr>
        <w:t xml:space="preserve">Las demandas de volumen </w:t>
      </w:r>
      <w:r w:rsidRPr="00FC32A0">
        <w:rPr>
          <w:rFonts w:cs="Arial"/>
          <w:spacing w:val="-3"/>
        </w:rPr>
        <w:t xml:space="preserve">con corte a diciembre </w:t>
      </w:r>
      <w:r w:rsidRPr="00FD0AC4">
        <w:rPr>
          <w:rFonts w:cs="Arial"/>
          <w:spacing w:val="-3"/>
        </w:rPr>
        <w:t>31 de 2019</w:t>
      </w:r>
      <w:r w:rsidRPr="00FC32A0">
        <w:rPr>
          <w:rFonts w:cs="Arial"/>
          <w:spacing w:val="-3"/>
        </w:rPr>
        <w:t xml:space="preserve"> </w:t>
      </w:r>
      <w:r w:rsidRPr="00FC32A0">
        <w:rPr>
          <w:rFonts w:cs="Arial"/>
        </w:rPr>
        <w:t xml:space="preserve">utilizadas para el respectivo cálculo </w:t>
      </w:r>
      <w:r w:rsidRPr="00FC32A0">
        <w:rPr>
          <w:bCs/>
          <w:lang w:val="es-ES_tradnl"/>
        </w:rPr>
        <w:t xml:space="preserve">se presentan y analizan en el </w:t>
      </w:r>
      <w:r w:rsidRPr="00FC32A0">
        <w:rPr>
          <w:lang w:val="es-ES_tradnl"/>
        </w:rPr>
        <w:t xml:space="preserve">Documento </w:t>
      </w:r>
      <w:r w:rsidR="00B16FF4" w:rsidRPr="00FD0AC4">
        <w:rPr>
          <w:lang w:val="es-ES_tradnl"/>
        </w:rPr>
        <w:t xml:space="preserve">CREG </w:t>
      </w:r>
      <w:r w:rsidR="0042019F">
        <w:rPr>
          <w:lang w:val="es-ES_tradnl"/>
        </w:rPr>
        <w:t>902 088</w:t>
      </w:r>
      <w:r w:rsidR="00B16FF4" w:rsidRPr="00FD0AC4">
        <w:rPr>
          <w:lang w:val="es-ES_tradnl"/>
        </w:rPr>
        <w:t xml:space="preserve"> de 202</w:t>
      </w:r>
      <w:r w:rsidR="00FD0AC4">
        <w:rPr>
          <w:lang w:val="es-ES_tradnl"/>
        </w:rPr>
        <w:t>4</w:t>
      </w:r>
      <w:r w:rsidR="00B16FF4" w:rsidRPr="00F903A4">
        <w:rPr>
          <w:lang w:val="es-ES_tradnl"/>
        </w:rPr>
        <w:t xml:space="preserve"> </w:t>
      </w:r>
      <w:r w:rsidRPr="00FC32A0">
        <w:rPr>
          <w:lang w:val="es-ES_tradnl"/>
        </w:rPr>
        <w:t>que soporta y hace parte integral de la presente Resolución.</w:t>
      </w:r>
    </w:p>
    <w:p w14:paraId="632088A0" w14:textId="77777777" w:rsidR="00443B64" w:rsidRPr="00560D29" w:rsidRDefault="00BB3726" w:rsidP="00443B64">
      <w:pPr>
        <w:widowControl w:val="0"/>
        <w:adjustRightInd w:val="0"/>
        <w:ind w:right="20"/>
        <w:rPr>
          <w:rFonts w:cs="Arial"/>
        </w:rPr>
      </w:pPr>
      <w:r w:rsidRPr="00B83813">
        <w:rPr>
          <w:rFonts w:cs="Arial"/>
        </w:rPr>
        <w:t xml:space="preserve"> </w:t>
      </w:r>
    </w:p>
    <w:p w14:paraId="72264853" w14:textId="77777777" w:rsidR="00443B64" w:rsidRDefault="00443B64" w:rsidP="00443B64">
      <w:pPr>
        <w:widowControl w:val="0"/>
        <w:tabs>
          <w:tab w:val="left" w:pos="-720"/>
        </w:tabs>
        <w:suppressAutoHyphens/>
        <w:adjustRightInd w:val="0"/>
        <w:ind w:right="20"/>
        <w:rPr>
          <w:rFonts w:cs="Arial"/>
          <w:spacing w:val="-3"/>
        </w:rPr>
      </w:pPr>
    </w:p>
    <w:p w14:paraId="6118308C" w14:textId="77777777" w:rsidR="00FD0AC4" w:rsidRDefault="00FD0AC4" w:rsidP="00443B64">
      <w:pPr>
        <w:widowControl w:val="0"/>
        <w:tabs>
          <w:tab w:val="left" w:pos="-720"/>
        </w:tabs>
        <w:suppressAutoHyphens/>
        <w:adjustRightInd w:val="0"/>
        <w:ind w:right="20"/>
        <w:rPr>
          <w:rFonts w:cs="Arial"/>
          <w:spacing w:val="-3"/>
        </w:rPr>
      </w:pPr>
    </w:p>
    <w:p w14:paraId="64292F42" w14:textId="77777777" w:rsidR="00FD0AC4" w:rsidRDefault="00FD0AC4" w:rsidP="00443B64">
      <w:pPr>
        <w:widowControl w:val="0"/>
        <w:tabs>
          <w:tab w:val="left" w:pos="-720"/>
        </w:tabs>
        <w:suppressAutoHyphens/>
        <w:adjustRightInd w:val="0"/>
        <w:ind w:right="20"/>
        <w:rPr>
          <w:rFonts w:cs="Arial"/>
          <w:spacing w:val="-3"/>
        </w:rPr>
      </w:pPr>
    </w:p>
    <w:p w14:paraId="706029C4" w14:textId="77777777" w:rsidR="00FD0AC4" w:rsidRPr="00560D29" w:rsidRDefault="00FD0AC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443B64" w:rsidRPr="00560D29" w14:paraId="108CF0C1" w14:textId="77777777" w:rsidTr="00C85BB1">
        <w:tc>
          <w:tcPr>
            <w:tcW w:w="4962" w:type="dxa"/>
          </w:tcPr>
          <w:p w14:paraId="41B18F10" w14:textId="77777777" w:rsidR="00443B64" w:rsidRPr="00E35B70" w:rsidRDefault="00443B64" w:rsidP="00C85BB1">
            <w:pPr>
              <w:widowControl w:val="0"/>
              <w:spacing w:before="0" w:after="0" w:line="259" w:lineRule="auto"/>
              <w:jc w:val="center"/>
            </w:pPr>
            <w:r w:rsidRPr="00E35B70">
              <w:rPr>
                <w:rFonts w:cs="Arial"/>
                <w:b/>
                <w:bCs/>
              </w:rPr>
              <w:t>OMAR ANDRÉS CAMACHO MORALES</w:t>
            </w:r>
          </w:p>
        </w:tc>
        <w:tc>
          <w:tcPr>
            <w:tcW w:w="4679" w:type="dxa"/>
          </w:tcPr>
          <w:p w14:paraId="53CA3CD7" w14:textId="2DB21865" w:rsidR="00443B64" w:rsidRPr="00E35B70" w:rsidRDefault="00184756" w:rsidP="00C85BB1">
            <w:pPr>
              <w:widowControl w:val="0"/>
              <w:adjustRightInd w:val="0"/>
              <w:spacing w:before="0" w:after="0"/>
              <w:jc w:val="center"/>
              <w:rPr>
                <w:rFonts w:cs="Arial"/>
                <w:bCs/>
              </w:rPr>
            </w:pPr>
            <w:r>
              <w:rPr>
                <w:rFonts w:cs="Arial"/>
                <w:b/>
              </w:rPr>
              <w:t>ANTONIO JIMÉNEZ RIVERA</w:t>
            </w:r>
          </w:p>
        </w:tc>
      </w:tr>
      <w:tr w:rsidR="00443B64" w:rsidRPr="00560D29" w14:paraId="379508E3" w14:textId="77777777" w:rsidTr="00C85BB1">
        <w:tc>
          <w:tcPr>
            <w:tcW w:w="4962" w:type="dxa"/>
          </w:tcPr>
          <w:p w14:paraId="09FCDE21" w14:textId="77777777" w:rsidR="00443B64" w:rsidRPr="00C85BB1" w:rsidRDefault="00443B64" w:rsidP="00C85BB1">
            <w:pPr>
              <w:widowControl w:val="0"/>
              <w:adjustRightInd w:val="0"/>
              <w:spacing w:before="0" w:after="0"/>
              <w:jc w:val="center"/>
              <w:rPr>
                <w:rFonts w:cs="Arial"/>
              </w:rPr>
            </w:pPr>
            <w:r w:rsidRPr="00C85BB1">
              <w:t xml:space="preserve"> Ministro de Minas y Energía</w:t>
            </w:r>
          </w:p>
          <w:p w14:paraId="44E24C70" w14:textId="77777777" w:rsidR="00443B64" w:rsidRPr="00C85BB1" w:rsidRDefault="00443B64" w:rsidP="00C85BB1">
            <w:pPr>
              <w:widowControl w:val="0"/>
              <w:adjustRightInd w:val="0"/>
              <w:spacing w:before="0" w:after="0"/>
              <w:jc w:val="center"/>
            </w:pPr>
            <w:r w:rsidRPr="00C85BB1">
              <w:t>Presidente</w:t>
            </w:r>
          </w:p>
        </w:tc>
        <w:tc>
          <w:tcPr>
            <w:tcW w:w="4679" w:type="dxa"/>
          </w:tcPr>
          <w:p w14:paraId="389B4439" w14:textId="77777777" w:rsidR="00443B64" w:rsidRPr="00E35B70" w:rsidRDefault="00443B64" w:rsidP="00C85BB1">
            <w:pPr>
              <w:widowControl w:val="0"/>
              <w:adjustRightInd w:val="0"/>
              <w:spacing w:before="0" w:after="0"/>
              <w:jc w:val="center"/>
              <w:rPr>
                <w:rFonts w:cs="Arial"/>
                <w:bCs/>
              </w:rPr>
            </w:pPr>
            <w:r w:rsidRPr="00E35B70">
              <w:rPr>
                <w:rFonts w:cs="Arial"/>
                <w:spacing w:val="-3"/>
              </w:rPr>
              <w:t xml:space="preserve">Director Ejecutivo </w:t>
            </w:r>
          </w:p>
        </w:tc>
      </w:tr>
      <w:tr w:rsidR="00443B64" w:rsidRPr="00560D29" w14:paraId="015A9BF6" w14:textId="77777777" w:rsidTr="00C85BB1">
        <w:tc>
          <w:tcPr>
            <w:tcW w:w="4962" w:type="dxa"/>
          </w:tcPr>
          <w:p w14:paraId="6B82BF8F" w14:textId="77777777" w:rsidR="00443B64" w:rsidRPr="00DC63AA" w:rsidRDefault="00443B64" w:rsidP="00C85BB1">
            <w:pPr>
              <w:widowControl w:val="0"/>
              <w:adjustRightInd w:val="0"/>
              <w:jc w:val="center"/>
              <w:rPr>
                <w:sz w:val="22"/>
                <w:szCs w:val="22"/>
                <w:highlight w:val="green"/>
              </w:rPr>
            </w:pPr>
          </w:p>
        </w:tc>
        <w:tc>
          <w:tcPr>
            <w:tcW w:w="4679" w:type="dxa"/>
          </w:tcPr>
          <w:p w14:paraId="11FBBBA6" w14:textId="77777777" w:rsidR="00443B64" w:rsidRPr="00560D29" w:rsidRDefault="00443B64" w:rsidP="00C85BB1">
            <w:pPr>
              <w:widowControl w:val="0"/>
              <w:adjustRightInd w:val="0"/>
              <w:jc w:val="center"/>
              <w:rPr>
                <w:rFonts w:cs="Arial"/>
                <w:bCs/>
              </w:rPr>
            </w:pPr>
          </w:p>
        </w:tc>
      </w:tr>
    </w:tbl>
    <w:p w14:paraId="19D4C51C" w14:textId="0C1DD8E1" w:rsidR="00BB3726" w:rsidRDefault="00BB3726" w:rsidP="00443B64">
      <w:pPr>
        <w:widowControl w:val="0"/>
        <w:tabs>
          <w:tab w:val="left" w:pos="-720"/>
        </w:tabs>
        <w:suppressAutoHyphens/>
        <w:adjustRightInd w:val="0"/>
        <w:ind w:right="20"/>
        <w:rPr>
          <w:rFonts w:cs="Arial"/>
          <w:b/>
          <w:bCs/>
          <w:color w:val="FF0000"/>
          <w:spacing w:val="-3"/>
        </w:rPr>
      </w:pPr>
    </w:p>
    <w:p w14:paraId="129A7048" w14:textId="77777777" w:rsidR="00BB3726" w:rsidRDefault="00BB3726" w:rsidP="00BB3726">
      <w:pPr>
        <w:widowControl w:val="0"/>
        <w:tabs>
          <w:tab w:val="left" w:pos="-720"/>
        </w:tabs>
        <w:suppressAutoHyphens/>
        <w:adjustRightInd w:val="0"/>
        <w:ind w:right="20"/>
        <w:jc w:val="center"/>
        <w:rPr>
          <w:rFonts w:cs="Arial"/>
          <w:b/>
          <w:bCs/>
          <w:spacing w:val="-3"/>
        </w:rPr>
      </w:pPr>
    </w:p>
    <w:p w14:paraId="49D23AF8" w14:textId="77777777" w:rsidR="00BB3726" w:rsidRPr="0049071D" w:rsidRDefault="00BB3726" w:rsidP="00BB3726">
      <w:pPr>
        <w:widowControl w:val="0"/>
        <w:tabs>
          <w:tab w:val="left" w:pos="-720"/>
        </w:tabs>
        <w:suppressAutoHyphens/>
        <w:adjustRightInd w:val="0"/>
        <w:ind w:right="20"/>
        <w:jc w:val="center"/>
        <w:rPr>
          <w:rFonts w:cs="Arial"/>
          <w:b/>
          <w:bCs/>
          <w:color w:val="FF0000"/>
          <w:spacing w:val="-3"/>
        </w:rPr>
      </w:pPr>
    </w:p>
    <w:p w14:paraId="212D1A81" w14:textId="77777777" w:rsidR="00BB3726" w:rsidRDefault="00BB3726" w:rsidP="00BB3726">
      <w:pPr>
        <w:widowControl w:val="0"/>
        <w:tabs>
          <w:tab w:val="left" w:pos="-720"/>
        </w:tabs>
        <w:suppressAutoHyphens/>
        <w:adjustRightInd w:val="0"/>
        <w:ind w:right="20"/>
        <w:rPr>
          <w:rFonts w:cs="Arial"/>
          <w:spacing w:val="-3"/>
        </w:rPr>
      </w:pPr>
    </w:p>
    <w:p w14:paraId="5A5E9B9B" w14:textId="77777777" w:rsidR="00BB3726" w:rsidRPr="005039CA" w:rsidRDefault="00BB3726" w:rsidP="00BB3726">
      <w:pPr>
        <w:widowControl w:val="0"/>
        <w:tabs>
          <w:tab w:val="left" w:pos="-720"/>
        </w:tabs>
        <w:suppressAutoHyphens/>
        <w:adjustRightInd w:val="0"/>
        <w:ind w:right="20"/>
        <w:rPr>
          <w:rFonts w:cs="Arial"/>
          <w:spacing w:val="-3"/>
        </w:rPr>
      </w:pPr>
    </w:p>
    <w:p w14:paraId="4639B2FF" w14:textId="77777777" w:rsidR="00B83813" w:rsidRPr="005039CA" w:rsidRDefault="00B83813" w:rsidP="00BB3726">
      <w:pPr>
        <w:widowControl w:val="0"/>
        <w:tabs>
          <w:tab w:val="left" w:pos="-720"/>
        </w:tabs>
        <w:suppressAutoHyphens/>
        <w:adjustRightInd w:val="0"/>
        <w:ind w:right="20"/>
        <w:jc w:val="center"/>
        <w:rPr>
          <w:rFonts w:cs="Arial"/>
          <w:spacing w:val="-3"/>
        </w:rPr>
      </w:pPr>
    </w:p>
    <w:sectPr w:rsidR="00B83813" w:rsidRPr="005039CA" w:rsidSect="006517F7">
      <w:headerReference w:type="default" r:id="rId13"/>
      <w:headerReference w:type="first" r:id="rId14"/>
      <w:type w:val="continuous"/>
      <w:pgSz w:w="12242" w:h="18722" w:code="123"/>
      <w:pgMar w:top="2268" w:right="1185"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0573" w14:textId="77777777" w:rsidR="007476D6" w:rsidRDefault="007476D6">
      <w:r>
        <w:separator/>
      </w:r>
    </w:p>
    <w:p w14:paraId="2C99F1B5" w14:textId="77777777" w:rsidR="007476D6" w:rsidRDefault="007476D6"/>
    <w:p w14:paraId="28DA79EF" w14:textId="77777777" w:rsidR="007476D6" w:rsidRDefault="007476D6" w:rsidP="00C851C0"/>
  </w:endnote>
  <w:endnote w:type="continuationSeparator" w:id="0">
    <w:p w14:paraId="55B28AB2" w14:textId="77777777" w:rsidR="007476D6" w:rsidRDefault="007476D6">
      <w:r>
        <w:continuationSeparator/>
      </w:r>
    </w:p>
    <w:p w14:paraId="3D7FAA4D" w14:textId="77777777" w:rsidR="007476D6" w:rsidRDefault="007476D6"/>
    <w:p w14:paraId="65B52B6E" w14:textId="77777777" w:rsidR="007476D6" w:rsidRDefault="007476D6" w:rsidP="00C851C0"/>
  </w:endnote>
  <w:endnote w:type="continuationNotice" w:id="1">
    <w:p w14:paraId="02CAD2FD" w14:textId="77777777" w:rsidR="007476D6" w:rsidRDefault="007476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3278B" w14:textId="77777777" w:rsidR="007476D6" w:rsidRDefault="007476D6">
      <w:r>
        <w:separator/>
      </w:r>
    </w:p>
    <w:p w14:paraId="5C20D2BD" w14:textId="77777777" w:rsidR="007476D6" w:rsidRDefault="007476D6"/>
    <w:p w14:paraId="7241954B" w14:textId="77777777" w:rsidR="007476D6" w:rsidRDefault="007476D6" w:rsidP="00C851C0"/>
  </w:footnote>
  <w:footnote w:type="continuationSeparator" w:id="0">
    <w:p w14:paraId="54431883" w14:textId="77777777" w:rsidR="007476D6" w:rsidRDefault="007476D6">
      <w:r>
        <w:continuationSeparator/>
      </w:r>
    </w:p>
    <w:p w14:paraId="2D102F4F" w14:textId="77777777" w:rsidR="007476D6" w:rsidRDefault="007476D6"/>
    <w:p w14:paraId="60F3BBBE" w14:textId="77777777" w:rsidR="007476D6" w:rsidRDefault="007476D6" w:rsidP="00C851C0"/>
  </w:footnote>
  <w:footnote w:type="continuationNotice" w:id="1">
    <w:p w14:paraId="35F0F199" w14:textId="77777777" w:rsidR="007476D6" w:rsidRDefault="007476D6">
      <w:pPr>
        <w:spacing w:before="0" w:after="0"/>
      </w:pPr>
    </w:p>
  </w:footnote>
  <w:footnote w:id="2">
    <w:p w14:paraId="7BB17FB8" w14:textId="503D8E51" w:rsidR="00982CC0" w:rsidRPr="005F1237" w:rsidRDefault="00982CC0" w:rsidP="005F1237">
      <w:pPr>
        <w:pStyle w:val="Textonotapie"/>
        <w:spacing w:before="0" w:after="0"/>
        <w:rPr>
          <w:rFonts w:ascii="Bookman Old Style" w:hAnsi="Bookman Old Style"/>
          <w:sz w:val="18"/>
          <w:szCs w:val="18"/>
        </w:rPr>
      </w:pPr>
      <w:r w:rsidRPr="005F1237">
        <w:rPr>
          <w:rStyle w:val="Refdenotaalpie"/>
          <w:rFonts w:ascii="Bookman Old Style" w:hAnsi="Bookman Old Style"/>
          <w:sz w:val="18"/>
          <w:szCs w:val="18"/>
        </w:rPr>
        <w:footnoteRef/>
      </w:r>
      <w:r w:rsidRPr="005F1237">
        <w:rPr>
          <w:rFonts w:ascii="Bookman Old Style" w:hAnsi="Bookman Old Style"/>
          <w:sz w:val="18"/>
          <w:szCs w:val="18"/>
        </w:rPr>
        <w:t xml:space="preserve"> </w:t>
      </w:r>
      <w:r w:rsidRPr="005F123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3">
    <w:p w14:paraId="2DE98B79" w14:textId="7218F979" w:rsidR="00386C1B" w:rsidRDefault="00386C1B" w:rsidP="005F1237">
      <w:pPr>
        <w:pStyle w:val="Textonotapie"/>
        <w:spacing w:before="0" w:after="0"/>
      </w:pPr>
      <w:r w:rsidRPr="005F1237">
        <w:rPr>
          <w:rStyle w:val="Refdenotaalpie"/>
          <w:rFonts w:ascii="Bookman Old Style" w:hAnsi="Bookman Old Style"/>
          <w:sz w:val="18"/>
          <w:szCs w:val="18"/>
        </w:rPr>
        <w:footnoteRef/>
      </w:r>
      <w:r w:rsidRPr="005F1237">
        <w:rPr>
          <w:rFonts w:ascii="Bookman Old Style" w:hAnsi="Bookman Old Style"/>
          <w:sz w:val="18"/>
          <w:szCs w:val="18"/>
        </w:rPr>
        <w:t xml:space="preserve"> En adelante, se us</w:t>
      </w:r>
      <w:r w:rsidR="004470C8" w:rsidRPr="005F1237">
        <w:rPr>
          <w:rFonts w:ascii="Bookman Old Style" w:hAnsi="Bookman Old Style"/>
          <w:sz w:val="18"/>
          <w:szCs w:val="18"/>
        </w:rPr>
        <w:t>ará el término “la Metodología” para hacer referencia a la Metodología de Distribución.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4637" w14:textId="6AE04F6B" w:rsidR="009626D1" w:rsidRPr="002560C5" w:rsidRDefault="009626D1" w:rsidP="002560C5">
    <w:pPr>
      <w:pStyle w:val="Ttulo1"/>
      <w:numPr>
        <w:ilvl w:val="0"/>
        <w:numId w:val="0"/>
      </w:numPr>
      <w:ind w:right="6"/>
      <w:jc w:val="left"/>
      <w:rPr>
        <w:rFonts w:cs="Arial"/>
        <w:b w:val="0"/>
        <w:sz w:val="22"/>
        <w:szCs w:val="22"/>
      </w:rPr>
    </w:pPr>
    <w:r w:rsidRPr="002560C5">
      <w:rPr>
        <w:rFonts w:cs="Arial"/>
        <w:b w:val="0"/>
        <w:sz w:val="22"/>
        <w:szCs w:val="22"/>
      </w:rPr>
      <w:t xml:space="preserve">RESOLUCIÓN No.  </w:t>
    </w:r>
    <w:r w:rsidR="0042019F">
      <w:rPr>
        <w:rFonts w:cs="Arial"/>
        <w:b w:val="0"/>
        <w:sz w:val="22"/>
        <w:szCs w:val="22"/>
      </w:rPr>
      <w:t xml:space="preserve">  </w:t>
    </w:r>
    <w:r w:rsidR="0042019F" w:rsidRPr="0042019F">
      <w:rPr>
        <w:rFonts w:cs="Arial"/>
        <w:bCs/>
        <w:sz w:val="22"/>
        <w:szCs w:val="22"/>
        <w:u w:val="single"/>
      </w:rPr>
      <w:t>502 11</w:t>
    </w:r>
    <w:r w:rsidR="0042019F">
      <w:rPr>
        <w:rFonts w:cs="Arial"/>
        <w:bCs/>
        <w:sz w:val="22"/>
        <w:szCs w:val="22"/>
        <w:u w:val="single"/>
      </w:rPr>
      <w:t>3</w:t>
    </w:r>
    <w:r w:rsidR="0042019F" w:rsidRPr="0042019F">
      <w:rPr>
        <w:rFonts w:cs="Arial"/>
        <w:b w:val="0"/>
        <w:sz w:val="22"/>
        <w:szCs w:val="22"/>
      </w:rPr>
      <w:t xml:space="preserve"> </w:t>
    </w:r>
    <w:r w:rsidR="0042019F">
      <w:rPr>
        <w:rFonts w:cs="Arial"/>
        <w:b w:val="0"/>
        <w:sz w:val="22"/>
        <w:szCs w:val="22"/>
      </w:rPr>
      <w:t xml:space="preserve">     </w:t>
    </w:r>
    <w:r w:rsidRPr="002560C5">
      <w:rPr>
        <w:rFonts w:cs="Arial"/>
        <w:b w:val="0"/>
        <w:sz w:val="22"/>
        <w:szCs w:val="22"/>
      </w:rPr>
      <w:t xml:space="preserve">DE </w:t>
    </w:r>
    <w:r w:rsidR="009C5367">
      <w:rPr>
        <w:rFonts w:cs="Arial"/>
        <w:b w:val="0"/>
        <w:sz w:val="22"/>
        <w:szCs w:val="22"/>
      </w:rPr>
      <w:t xml:space="preserve"> </w:t>
    </w:r>
    <w:r w:rsidR="0042019F" w:rsidRPr="0042019F">
      <w:rPr>
        <w:bCs/>
        <w:szCs w:val="24"/>
        <w:u w:val="single"/>
      </w:rPr>
      <w:t>14 NOV.2024</w:t>
    </w:r>
    <w:r w:rsidRPr="002560C5">
      <w:rPr>
        <w:rFonts w:cs="Arial"/>
        <w:b w:val="0"/>
        <w:sz w:val="22"/>
        <w:szCs w:val="22"/>
      </w:rPr>
      <w:tab/>
      <w:t xml:space="preserve">HOJA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1D6C93">
      <w:rPr>
        <w:rFonts w:cs="Arial"/>
        <w:b w:val="0"/>
        <w:noProof/>
        <w:sz w:val="22"/>
        <w:szCs w:val="22"/>
      </w:rPr>
      <w:t>7</w:t>
    </w:r>
    <w:r w:rsidRPr="002560C5">
      <w:rPr>
        <w:rFonts w:cs="Arial"/>
        <w:b w:val="0"/>
        <w:sz w:val="22"/>
        <w:szCs w:val="22"/>
      </w:rPr>
      <w:fldChar w:fldCharType="end"/>
    </w:r>
    <w:r w:rsidRPr="002560C5">
      <w:rPr>
        <w:rFonts w:cs="Arial"/>
        <w:b w:val="0"/>
        <w:sz w:val="22"/>
        <w:szCs w:val="22"/>
      </w:rPr>
      <w:t>/</w:t>
    </w:r>
    <w:fldSimple w:instr="NUMPAGES  \* MERGEFORMAT">
      <w:r w:rsidR="001D6C93" w:rsidRPr="001D6C93">
        <w:rPr>
          <w:rFonts w:cs="Arial"/>
          <w:b w:val="0"/>
          <w:noProof/>
          <w:sz w:val="22"/>
          <w:szCs w:val="22"/>
        </w:rPr>
        <w:t>7</w:t>
      </w:r>
    </w:fldSimple>
  </w:p>
  <w:p w14:paraId="240BB015" w14:textId="77777777" w:rsidR="009626D1" w:rsidRDefault="009626D1"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0" locked="0" layoutInCell="1" allowOverlap="1" wp14:anchorId="4EBB9635" wp14:editId="0321DA7B">
              <wp:simplePos x="0" y="0"/>
              <wp:positionH relativeFrom="column">
                <wp:posOffset>-130810</wp:posOffset>
              </wp:positionH>
              <wp:positionV relativeFrom="paragraph">
                <wp:posOffset>127838</wp:posOffset>
              </wp:positionV>
              <wp:extent cx="6267450" cy="9944100"/>
              <wp:effectExtent l="12700" t="12700" r="19050" b="1270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4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2AF7B" id="Rectangle 1" o:spid="_x0000_s1026" style="position:absolute;margin-left:-10.3pt;margin-top:10.05pt;width:493.5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" filled="f" strokeweight="1.5pt"/>
          </w:pict>
        </mc:Fallback>
      </mc:AlternateContent>
    </w:r>
  </w:p>
  <w:p w14:paraId="118434A7" w14:textId="3A072FEE" w:rsidR="00BE5618" w:rsidRPr="00BF6403" w:rsidRDefault="00BE5618" w:rsidP="00C9054F">
    <w:pPr>
      <w:widowControl w:val="0"/>
      <w:adjustRightInd w:val="0"/>
      <w:spacing w:before="0" w:after="0"/>
      <w:ind w:right="23"/>
      <w:rPr>
        <w:rFonts w:cs="Arial"/>
        <w:i/>
        <w:iCs/>
        <w:sz w:val="22"/>
        <w:szCs w:val="22"/>
      </w:rPr>
    </w:pPr>
    <w:r w:rsidRPr="008C1215">
      <w:rPr>
        <w:rFonts w:cs="Arial"/>
        <w:i/>
        <w:iCs/>
        <w:sz w:val="22"/>
        <w:szCs w:val="22"/>
      </w:rPr>
      <w:t xml:space="preserve">Por la cual se aprueban el Mercado Relevante de Distribución conformado por </w:t>
    </w:r>
    <w:r w:rsidR="00F43F97" w:rsidRPr="008C1215">
      <w:rPr>
        <w:rFonts w:cs="Arial"/>
        <w:i/>
        <w:iCs/>
        <w:sz w:val="22"/>
        <w:szCs w:val="22"/>
      </w:rPr>
      <w:t xml:space="preserve">el municipio de </w:t>
    </w:r>
    <w:r w:rsidR="00167AA6">
      <w:rPr>
        <w:rFonts w:cs="Arial"/>
        <w:i/>
        <w:iCs/>
        <w:sz w:val="22"/>
        <w:szCs w:val="22"/>
      </w:rPr>
      <w:t>Toca</w:t>
    </w:r>
    <w:r w:rsidR="00F43F97" w:rsidRPr="008C1215">
      <w:rPr>
        <w:rFonts w:cs="Arial"/>
        <w:i/>
        <w:iCs/>
        <w:sz w:val="22"/>
        <w:szCs w:val="22"/>
      </w:rPr>
      <w:t xml:space="preserve"> en el departamento de Boyac</w:t>
    </w:r>
    <w:r w:rsidR="00F43F97" w:rsidRPr="00184756">
      <w:rPr>
        <w:rFonts w:cs="Arial"/>
        <w:i/>
        <w:iCs/>
        <w:sz w:val="22"/>
        <w:szCs w:val="22"/>
      </w:rPr>
      <w:t>á</w:t>
    </w:r>
    <w:r w:rsidRPr="008C1215">
      <w:rPr>
        <w:rFonts w:cs="Arial"/>
        <w:i/>
        <w:iCs/>
        <w:sz w:val="22"/>
        <w:szCs w:val="22"/>
      </w:rPr>
      <w:t xml:space="preserve">, y el cargo de distribución por uso del sistema de distribución de </w:t>
    </w:r>
    <w:r w:rsidR="007573D9">
      <w:rPr>
        <w:rFonts w:cs="Arial"/>
        <w:i/>
        <w:iCs/>
        <w:sz w:val="22"/>
        <w:szCs w:val="22"/>
      </w:rPr>
      <w:t>Gas Licuado de Petróleo</w:t>
    </w:r>
    <w:r w:rsidR="00A27D98">
      <w:rPr>
        <w:rFonts w:cs="Arial"/>
        <w:i/>
        <w:iCs/>
        <w:sz w:val="22"/>
        <w:szCs w:val="22"/>
      </w:rPr>
      <w:t xml:space="preserve"> (GLP)</w:t>
    </w:r>
    <w:r w:rsidRPr="008C1215">
      <w:rPr>
        <w:rFonts w:cs="Arial"/>
        <w:i/>
        <w:iCs/>
        <w:sz w:val="22"/>
        <w:szCs w:val="22"/>
      </w:rPr>
      <w:t xml:space="preserve"> por redes de tubería para el mismo.</w:t>
    </w:r>
  </w:p>
  <w:p w14:paraId="2A579615" w14:textId="5BB021E9" w:rsidR="001F69DD" w:rsidRPr="00514676" w:rsidRDefault="001F69DD" w:rsidP="001F69DD">
    <w:pPr>
      <w:pBdr>
        <w:bottom w:val="single" w:sz="4" w:space="0" w:color="auto"/>
      </w:pBdr>
      <w:rPr>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051A" w14:textId="77777777" w:rsidR="009626D1" w:rsidRDefault="009626D1" w:rsidP="000B7990">
    <w:pPr>
      <w:pStyle w:val="Encabezado"/>
      <w:jc w:val="center"/>
      <w:rPr>
        <w:rFonts w:ascii="Arial" w:hAnsi="Arial" w:cs="Arial"/>
        <w:spacing w:val="20"/>
        <w:sz w:val="20"/>
      </w:rPr>
    </w:pPr>
    <w:r>
      <w:rPr>
        <w:rFonts w:ascii="Arial" w:hAnsi="Arial" w:cs="Arial"/>
        <w:spacing w:val="20"/>
        <w:sz w:val="20"/>
      </w:rPr>
      <w:t>República de Colombia</w:t>
    </w:r>
  </w:p>
  <w:p w14:paraId="21809934" w14:textId="77777777" w:rsidR="009626D1" w:rsidRDefault="009626D1">
    <w:pPr>
      <w:pStyle w:val="Encabezado"/>
      <w:jc w:val="center"/>
      <w:rPr>
        <w:rFonts w:ascii="Arial" w:hAnsi="Arial" w:cs="Arial"/>
        <w:spacing w:val="20"/>
        <w:sz w:val="20"/>
      </w:rPr>
    </w:pPr>
  </w:p>
  <w:p w14:paraId="5D8222CD" w14:textId="77777777" w:rsidR="009626D1" w:rsidRDefault="009626D1"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F2EC1C1" wp14:editId="7FCBEC3D">
              <wp:simplePos x="0" y="0"/>
              <wp:positionH relativeFrom="column">
                <wp:posOffset>-213360</wp:posOffset>
              </wp:positionH>
              <wp:positionV relativeFrom="paragraph">
                <wp:posOffset>265223</wp:posOffset>
              </wp:positionV>
              <wp:extent cx="6343650" cy="9839325"/>
              <wp:effectExtent l="9525" t="12065" r="952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2CC7" id="Rectangle 2" o:spid="_x0000_s1026" style="position:absolute;margin-left:-16.8pt;margin-top:20.9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CE55E8"/>
    <w:multiLevelType w:val="hybridMultilevel"/>
    <w:tmpl w:val="3716E3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FDDC4C"/>
    <w:multiLevelType w:val="hybridMultilevel"/>
    <w:tmpl w:val="6B566A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98A5E5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6"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81651B7"/>
    <w:multiLevelType w:val="multilevel"/>
    <w:tmpl w:val="3078D80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720" w:hanging="720"/>
      </w:pPr>
      <w:rPr>
        <w:rFonts w:hint="default"/>
        <w:b/>
        <w:i w:val="0"/>
        <w:color w:val="auto"/>
      </w:rPr>
    </w:lvl>
    <w:lvl w:ilvl="3">
      <w:start w:val="1"/>
      <w:numFmt w:val="decimal"/>
      <w:isLgl/>
      <w:lvlText w:val="%1.%2.%3.%4."/>
      <w:lvlJc w:val="left"/>
      <w:pPr>
        <w:ind w:left="4483" w:hanging="1080"/>
      </w:pPr>
      <w:rPr>
        <w:rFonts w:ascii="Arial" w:hAnsi="Arial" w:cs="Arial"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B5A7A"/>
    <w:multiLevelType w:val="hybridMultilevel"/>
    <w:tmpl w:val="D3B66758"/>
    <w:lvl w:ilvl="0" w:tplc="04DCE8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A3E0B2D"/>
    <w:multiLevelType w:val="hybridMultilevel"/>
    <w:tmpl w:val="FC0ACC0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0CBB0465"/>
    <w:multiLevelType w:val="hybridMultilevel"/>
    <w:tmpl w:val="42345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524676"/>
    <w:multiLevelType w:val="hybridMultilevel"/>
    <w:tmpl w:val="7F28C03E"/>
    <w:lvl w:ilvl="0" w:tplc="6BD8AF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C156DD"/>
    <w:multiLevelType w:val="hybridMultilevel"/>
    <w:tmpl w:val="3FF4DB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7DE657E"/>
    <w:multiLevelType w:val="multilevel"/>
    <w:tmpl w:val="98C416E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75B8D"/>
    <w:multiLevelType w:val="hybridMultilevel"/>
    <w:tmpl w:val="2DA2E5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8" w15:restartNumberingAfterBreak="0">
    <w:nsid w:val="1FB638A1"/>
    <w:multiLevelType w:val="hybridMultilevel"/>
    <w:tmpl w:val="1EDC48CA"/>
    <w:lvl w:ilvl="0" w:tplc="F828BCB0">
      <w:start w:val="1"/>
      <w:numFmt w:val="lowerRoman"/>
      <w:lvlText w:val="%1)"/>
      <w:lvlJc w:val="left"/>
      <w:pPr>
        <w:ind w:left="2271" w:hanging="720"/>
      </w:pPr>
      <w:rPr>
        <w:rFonts w:ascii="Bookman Old Style" w:eastAsia="Times New Roman" w:hAnsi="Bookman Old Style" w:cs="Arial"/>
      </w:rPr>
    </w:lvl>
    <w:lvl w:ilvl="1" w:tplc="240A0019" w:tentative="1">
      <w:start w:val="1"/>
      <w:numFmt w:val="lowerLetter"/>
      <w:lvlText w:val="%2."/>
      <w:lvlJc w:val="left"/>
      <w:pPr>
        <w:ind w:left="2631" w:hanging="360"/>
      </w:pPr>
    </w:lvl>
    <w:lvl w:ilvl="2" w:tplc="240A001B" w:tentative="1">
      <w:start w:val="1"/>
      <w:numFmt w:val="lowerRoman"/>
      <w:lvlText w:val="%3."/>
      <w:lvlJc w:val="right"/>
      <w:pPr>
        <w:ind w:left="3351" w:hanging="180"/>
      </w:pPr>
    </w:lvl>
    <w:lvl w:ilvl="3" w:tplc="240A000F" w:tentative="1">
      <w:start w:val="1"/>
      <w:numFmt w:val="decimal"/>
      <w:lvlText w:val="%4."/>
      <w:lvlJc w:val="left"/>
      <w:pPr>
        <w:ind w:left="4071" w:hanging="360"/>
      </w:pPr>
    </w:lvl>
    <w:lvl w:ilvl="4" w:tplc="240A0019" w:tentative="1">
      <w:start w:val="1"/>
      <w:numFmt w:val="lowerLetter"/>
      <w:lvlText w:val="%5."/>
      <w:lvlJc w:val="left"/>
      <w:pPr>
        <w:ind w:left="4791" w:hanging="360"/>
      </w:pPr>
    </w:lvl>
    <w:lvl w:ilvl="5" w:tplc="240A001B" w:tentative="1">
      <w:start w:val="1"/>
      <w:numFmt w:val="lowerRoman"/>
      <w:lvlText w:val="%6."/>
      <w:lvlJc w:val="right"/>
      <w:pPr>
        <w:ind w:left="5511" w:hanging="180"/>
      </w:pPr>
    </w:lvl>
    <w:lvl w:ilvl="6" w:tplc="240A000F" w:tentative="1">
      <w:start w:val="1"/>
      <w:numFmt w:val="decimal"/>
      <w:lvlText w:val="%7."/>
      <w:lvlJc w:val="left"/>
      <w:pPr>
        <w:ind w:left="6231" w:hanging="360"/>
      </w:pPr>
    </w:lvl>
    <w:lvl w:ilvl="7" w:tplc="240A0019" w:tentative="1">
      <w:start w:val="1"/>
      <w:numFmt w:val="lowerLetter"/>
      <w:lvlText w:val="%8."/>
      <w:lvlJc w:val="left"/>
      <w:pPr>
        <w:ind w:left="6951" w:hanging="360"/>
      </w:pPr>
    </w:lvl>
    <w:lvl w:ilvl="8" w:tplc="240A001B" w:tentative="1">
      <w:start w:val="1"/>
      <w:numFmt w:val="lowerRoman"/>
      <w:lvlText w:val="%9."/>
      <w:lvlJc w:val="right"/>
      <w:pPr>
        <w:ind w:left="7671" w:hanging="180"/>
      </w:pPr>
    </w:lvl>
  </w:abstractNum>
  <w:abstractNum w:abstractNumId="19" w15:restartNumberingAfterBreak="0">
    <w:nsid w:val="206C0402"/>
    <w:multiLevelType w:val="hybridMultilevel"/>
    <w:tmpl w:val="9AC4B5E2"/>
    <w:lvl w:ilvl="0" w:tplc="0EAAD7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10A343F"/>
    <w:multiLevelType w:val="hybridMultilevel"/>
    <w:tmpl w:val="C7D02B7A"/>
    <w:lvl w:ilvl="0" w:tplc="5AAAC4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2D322FE"/>
    <w:multiLevelType w:val="hybridMultilevel"/>
    <w:tmpl w:val="6B18D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3484A00"/>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A2C02FD"/>
    <w:multiLevelType w:val="hybridMultilevel"/>
    <w:tmpl w:val="8C40F25C"/>
    <w:lvl w:ilvl="0" w:tplc="3F10D628">
      <w:start w:val="1"/>
      <w:numFmt w:val="decimal"/>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BE07460"/>
    <w:multiLevelType w:val="hybridMultilevel"/>
    <w:tmpl w:val="799CC4AC"/>
    <w:lvl w:ilvl="0" w:tplc="9D647DE2">
      <w:start w:val="1"/>
      <w:numFmt w:val="decimal"/>
      <w:lvlText w:val="%1."/>
      <w:lvlJc w:val="left"/>
      <w:pPr>
        <w:ind w:left="1080" w:hanging="360"/>
      </w:pPr>
      <w:rPr>
        <w:rFonts w:ascii="Arial" w:hAnsi="Arial" w:cs="Arial" w:hint="default"/>
        <w:i/>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6"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9DD0752"/>
    <w:multiLevelType w:val="hybridMultilevel"/>
    <w:tmpl w:val="0F82335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9" w15:restartNumberingAfterBreak="0">
    <w:nsid w:val="40A12AF4"/>
    <w:multiLevelType w:val="hybridMultilevel"/>
    <w:tmpl w:val="0F56B786"/>
    <w:lvl w:ilvl="0" w:tplc="0EE01C1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1F770BA"/>
    <w:multiLevelType w:val="hybridMultilevel"/>
    <w:tmpl w:val="11F2C8E0"/>
    <w:lvl w:ilvl="0" w:tplc="FD320B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3D5012F"/>
    <w:multiLevelType w:val="hybridMultilevel"/>
    <w:tmpl w:val="84E26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94775BA"/>
    <w:multiLevelType w:val="hybridMultilevel"/>
    <w:tmpl w:val="3FF4D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614E91"/>
    <w:multiLevelType w:val="multilevel"/>
    <w:tmpl w:val="E9F0465E"/>
    <w:lvl w:ilvl="0">
      <w:start w:val="1"/>
      <w:numFmt w:val="decimal"/>
      <w:pStyle w:val="Ttuloprincipal"/>
      <w:lvlText w:val="%1."/>
      <w:lvlJc w:val="left"/>
      <w:pPr>
        <w:ind w:left="720" w:hanging="360"/>
      </w:pPr>
      <w:rPr>
        <w:rFonts w:hint="default"/>
      </w:rPr>
    </w:lvl>
    <w:lvl w:ilvl="1">
      <w:start w:val="1"/>
      <w:numFmt w:val="decimal"/>
      <w:pStyle w:val="SubttuloNivel1"/>
      <w:isLgl/>
      <w:lvlText w:val="%1.%2."/>
      <w:lvlJc w:val="left"/>
      <w:pPr>
        <w:ind w:left="1080" w:hanging="720"/>
      </w:pPr>
      <w:rPr>
        <w:rFonts w:hint="default"/>
      </w:rPr>
    </w:lvl>
    <w:lvl w:ilvl="2">
      <w:start w:val="1"/>
      <w:numFmt w:val="decimal"/>
      <w:pStyle w:val="SubttuloNivel2"/>
      <w:isLgl/>
      <w:lvlText w:val="%1.%2.%3."/>
      <w:lvlJc w:val="left"/>
      <w:pPr>
        <w:ind w:left="1080" w:hanging="720"/>
      </w:pPr>
      <w:rPr>
        <w:rFonts w:hint="default"/>
      </w:rPr>
    </w:lvl>
    <w:lvl w:ilvl="3">
      <w:start w:val="1"/>
      <w:numFmt w:val="decimal"/>
      <w:pStyle w:val="SubttuloNivel3"/>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F471EEB"/>
    <w:multiLevelType w:val="multilevel"/>
    <w:tmpl w:val="7F48610C"/>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2D4574D"/>
    <w:multiLevelType w:val="hybridMultilevel"/>
    <w:tmpl w:val="BFBE577E"/>
    <w:lvl w:ilvl="0" w:tplc="D09A4034">
      <w:start w:val="1"/>
      <w:numFmt w:val="bullet"/>
      <w:lvlText w:val="•"/>
      <w:lvlJc w:val="left"/>
      <w:pPr>
        <w:tabs>
          <w:tab w:val="num" w:pos="720"/>
        </w:tabs>
        <w:ind w:left="720" w:hanging="360"/>
      </w:pPr>
      <w:rPr>
        <w:rFonts w:ascii="Arial" w:hAnsi="Arial" w:hint="default"/>
      </w:rPr>
    </w:lvl>
    <w:lvl w:ilvl="1" w:tplc="8FD2EC2A" w:tentative="1">
      <w:start w:val="1"/>
      <w:numFmt w:val="bullet"/>
      <w:lvlText w:val="•"/>
      <w:lvlJc w:val="left"/>
      <w:pPr>
        <w:tabs>
          <w:tab w:val="num" w:pos="1440"/>
        </w:tabs>
        <w:ind w:left="1440" w:hanging="360"/>
      </w:pPr>
      <w:rPr>
        <w:rFonts w:ascii="Arial" w:hAnsi="Arial" w:hint="default"/>
      </w:rPr>
    </w:lvl>
    <w:lvl w:ilvl="2" w:tplc="B16C2578" w:tentative="1">
      <w:start w:val="1"/>
      <w:numFmt w:val="bullet"/>
      <w:lvlText w:val="•"/>
      <w:lvlJc w:val="left"/>
      <w:pPr>
        <w:tabs>
          <w:tab w:val="num" w:pos="2160"/>
        </w:tabs>
        <w:ind w:left="2160" w:hanging="360"/>
      </w:pPr>
      <w:rPr>
        <w:rFonts w:ascii="Arial" w:hAnsi="Arial" w:hint="default"/>
      </w:rPr>
    </w:lvl>
    <w:lvl w:ilvl="3" w:tplc="B6CA196E" w:tentative="1">
      <w:start w:val="1"/>
      <w:numFmt w:val="bullet"/>
      <w:lvlText w:val="•"/>
      <w:lvlJc w:val="left"/>
      <w:pPr>
        <w:tabs>
          <w:tab w:val="num" w:pos="2880"/>
        </w:tabs>
        <w:ind w:left="2880" w:hanging="360"/>
      </w:pPr>
      <w:rPr>
        <w:rFonts w:ascii="Arial" w:hAnsi="Arial" w:hint="default"/>
      </w:rPr>
    </w:lvl>
    <w:lvl w:ilvl="4" w:tplc="F510F92C" w:tentative="1">
      <w:start w:val="1"/>
      <w:numFmt w:val="bullet"/>
      <w:lvlText w:val="•"/>
      <w:lvlJc w:val="left"/>
      <w:pPr>
        <w:tabs>
          <w:tab w:val="num" w:pos="3600"/>
        </w:tabs>
        <w:ind w:left="3600" w:hanging="360"/>
      </w:pPr>
      <w:rPr>
        <w:rFonts w:ascii="Arial" w:hAnsi="Arial" w:hint="default"/>
      </w:rPr>
    </w:lvl>
    <w:lvl w:ilvl="5" w:tplc="C97C34BA" w:tentative="1">
      <w:start w:val="1"/>
      <w:numFmt w:val="bullet"/>
      <w:lvlText w:val="•"/>
      <w:lvlJc w:val="left"/>
      <w:pPr>
        <w:tabs>
          <w:tab w:val="num" w:pos="4320"/>
        </w:tabs>
        <w:ind w:left="4320" w:hanging="360"/>
      </w:pPr>
      <w:rPr>
        <w:rFonts w:ascii="Arial" w:hAnsi="Arial" w:hint="default"/>
      </w:rPr>
    </w:lvl>
    <w:lvl w:ilvl="6" w:tplc="241C8B30" w:tentative="1">
      <w:start w:val="1"/>
      <w:numFmt w:val="bullet"/>
      <w:lvlText w:val="•"/>
      <w:lvlJc w:val="left"/>
      <w:pPr>
        <w:tabs>
          <w:tab w:val="num" w:pos="5040"/>
        </w:tabs>
        <w:ind w:left="5040" w:hanging="360"/>
      </w:pPr>
      <w:rPr>
        <w:rFonts w:ascii="Arial" w:hAnsi="Arial" w:hint="default"/>
      </w:rPr>
    </w:lvl>
    <w:lvl w:ilvl="7" w:tplc="49F00E7C" w:tentative="1">
      <w:start w:val="1"/>
      <w:numFmt w:val="bullet"/>
      <w:lvlText w:val="•"/>
      <w:lvlJc w:val="left"/>
      <w:pPr>
        <w:tabs>
          <w:tab w:val="num" w:pos="5760"/>
        </w:tabs>
        <w:ind w:left="5760" w:hanging="360"/>
      </w:pPr>
      <w:rPr>
        <w:rFonts w:ascii="Arial" w:hAnsi="Arial" w:hint="default"/>
      </w:rPr>
    </w:lvl>
    <w:lvl w:ilvl="8" w:tplc="E6EEE28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6E30EDC"/>
    <w:multiLevelType w:val="multilevel"/>
    <w:tmpl w:val="AFE42C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7" w15:restartNumberingAfterBreak="0">
    <w:nsid w:val="5C975F67"/>
    <w:multiLevelType w:val="multilevel"/>
    <w:tmpl w:val="3078D80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720" w:hanging="720"/>
      </w:pPr>
      <w:rPr>
        <w:rFonts w:hint="default"/>
        <w:b/>
        <w:i w:val="0"/>
        <w:color w:val="auto"/>
      </w:rPr>
    </w:lvl>
    <w:lvl w:ilvl="3">
      <w:start w:val="1"/>
      <w:numFmt w:val="decimal"/>
      <w:isLgl/>
      <w:lvlText w:val="%1.%2.%3.%4."/>
      <w:lvlJc w:val="left"/>
      <w:pPr>
        <w:ind w:left="4483" w:hanging="1080"/>
      </w:pPr>
      <w:rPr>
        <w:rFonts w:ascii="Arial" w:hAnsi="Arial" w:cs="Arial"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1CF7DC8"/>
    <w:multiLevelType w:val="hybridMultilevel"/>
    <w:tmpl w:val="68C48380"/>
    <w:lvl w:ilvl="0" w:tplc="FDBE0F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2D70E0F"/>
    <w:multiLevelType w:val="hybridMultilevel"/>
    <w:tmpl w:val="1056FBB4"/>
    <w:lvl w:ilvl="0" w:tplc="2618C8CE">
      <w:start w:val="1"/>
      <w:numFmt w:val="low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655225"/>
    <w:multiLevelType w:val="multilevel"/>
    <w:tmpl w:val="F8906A62"/>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B94399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A11117"/>
    <w:multiLevelType w:val="multilevel"/>
    <w:tmpl w:val="27B8102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86977550">
    <w:abstractNumId w:val="6"/>
  </w:num>
  <w:num w:numId="2" w16cid:durableId="1274628936">
    <w:abstractNumId w:val="25"/>
  </w:num>
  <w:num w:numId="3" w16cid:durableId="2142770390">
    <w:abstractNumId w:val="38"/>
  </w:num>
  <w:num w:numId="4" w16cid:durableId="1863786976">
    <w:abstractNumId w:val="34"/>
  </w:num>
  <w:num w:numId="5" w16cid:durableId="749816150">
    <w:abstractNumId w:val="42"/>
  </w:num>
  <w:num w:numId="6" w16cid:durableId="80176233">
    <w:abstractNumId w:val="26"/>
  </w:num>
  <w:num w:numId="7" w16cid:durableId="1190142706">
    <w:abstractNumId w:val="43"/>
  </w:num>
  <w:num w:numId="8" w16cid:durableId="1766413602">
    <w:abstractNumId w:val="33"/>
  </w:num>
  <w:num w:numId="9" w16cid:durableId="265230726">
    <w:abstractNumId w:val="11"/>
  </w:num>
  <w:num w:numId="10" w16cid:durableId="1244529294">
    <w:abstractNumId w:val="3"/>
  </w:num>
  <w:num w:numId="11" w16cid:durableId="780613431">
    <w:abstractNumId w:val="30"/>
  </w:num>
  <w:num w:numId="12" w16cid:durableId="2081902718">
    <w:abstractNumId w:val="20"/>
  </w:num>
  <w:num w:numId="13" w16cid:durableId="1613785879">
    <w:abstractNumId w:val="18"/>
  </w:num>
  <w:num w:numId="14" w16cid:durableId="866411484">
    <w:abstractNumId w:val="4"/>
  </w:num>
  <w:num w:numId="15" w16cid:durableId="990792062">
    <w:abstractNumId w:val="2"/>
  </w:num>
  <w:num w:numId="16" w16cid:durableId="758480080">
    <w:abstractNumId w:val="15"/>
  </w:num>
  <w:num w:numId="17" w16cid:durableId="381562660">
    <w:abstractNumId w:val="8"/>
  </w:num>
  <w:num w:numId="18" w16cid:durableId="1026129817">
    <w:abstractNumId w:val="29"/>
  </w:num>
  <w:num w:numId="19" w16cid:durableId="1703096142">
    <w:abstractNumId w:val="44"/>
  </w:num>
  <w:num w:numId="20" w16cid:durableId="54474007">
    <w:abstractNumId w:val="24"/>
  </w:num>
  <w:num w:numId="21" w16cid:durableId="1591698073">
    <w:abstractNumId w:val="21"/>
  </w:num>
  <w:num w:numId="22" w16cid:durableId="665137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685446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9577316">
    <w:abstractNumId w:val="10"/>
  </w:num>
  <w:num w:numId="25" w16cid:durableId="1308047005">
    <w:abstractNumId w:val="37"/>
  </w:num>
  <w:num w:numId="26" w16cid:durableId="1934705878">
    <w:abstractNumId w:val="45"/>
  </w:num>
  <w:num w:numId="27" w16cid:durableId="173807780">
    <w:abstractNumId w:val="22"/>
  </w:num>
  <w:num w:numId="28" w16cid:durableId="204562398">
    <w:abstractNumId w:val="0"/>
  </w:num>
  <w:num w:numId="29" w16cid:durableId="104542690">
    <w:abstractNumId w:val="1"/>
  </w:num>
  <w:num w:numId="30" w16cid:durableId="1934125698">
    <w:abstractNumId w:val="36"/>
  </w:num>
  <w:num w:numId="31" w16cid:durableId="1138303529">
    <w:abstractNumId w:val="13"/>
  </w:num>
  <w:num w:numId="32" w16cid:durableId="701708894">
    <w:abstractNumId w:val="32"/>
  </w:num>
  <w:num w:numId="33" w16cid:durableId="2058700293">
    <w:abstractNumId w:val="19"/>
  </w:num>
  <w:num w:numId="34" w16cid:durableId="1637685129">
    <w:abstractNumId w:val="23"/>
  </w:num>
  <w:num w:numId="35" w16cid:durableId="2113282485">
    <w:abstractNumId w:val="7"/>
  </w:num>
  <w:num w:numId="36" w16cid:durableId="935867087">
    <w:abstractNumId w:val="40"/>
  </w:num>
  <w:num w:numId="37" w16cid:durableId="808285669">
    <w:abstractNumId w:val="9"/>
  </w:num>
  <w:num w:numId="38" w16cid:durableId="1869827733">
    <w:abstractNumId w:val="35"/>
  </w:num>
  <w:num w:numId="39" w16cid:durableId="1517769552">
    <w:abstractNumId w:val="14"/>
  </w:num>
  <w:num w:numId="40" w16cid:durableId="1771198309">
    <w:abstractNumId w:val="42"/>
  </w:num>
  <w:num w:numId="41" w16cid:durableId="1053700478">
    <w:abstractNumId w:val="39"/>
  </w:num>
  <w:num w:numId="42" w16cid:durableId="658122592">
    <w:abstractNumId w:val="31"/>
  </w:num>
  <w:num w:numId="43" w16cid:durableId="1415785645">
    <w:abstractNumId w:val="12"/>
  </w:num>
  <w:num w:numId="44" w16cid:durableId="215050090">
    <w:abstractNumId w:val="16"/>
  </w:num>
  <w:num w:numId="45" w16cid:durableId="1471091928">
    <w:abstractNumId w:val="46"/>
  </w:num>
  <w:num w:numId="46" w16cid:durableId="302382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14A8"/>
    <w:rsid w:val="0000191D"/>
    <w:rsid w:val="0000215F"/>
    <w:rsid w:val="00003049"/>
    <w:rsid w:val="00004CB6"/>
    <w:rsid w:val="00004DE2"/>
    <w:rsid w:val="00005326"/>
    <w:rsid w:val="000056FB"/>
    <w:rsid w:val="00006585"/>
    <w:rsid w:val="00006AE2"/>
    <w:rsid w:val="00006EF5"/>
    <w:rsid w:val="000076A1"/>
    <w:rsid w:val="00011754"/>
    <w:rsid w:val="0001209B"/>
    <w:rsid w:val="00012259"/>
    <w:rsid w:val="00012E48"/>
    <w:rsid w:val="0001368F"/>
    <w:rsid w:val="00013ADD"/>
    <w:rsid w:val="00015F4C"/>
    <w:rsid w:val="000162C9"/>
    <w:rsid w:val="00016727"/>
    <w:rsid w:val="0001678F"/>
    <w:rsid w:val="00016B85"/>
    <w:rsid w:val="00017396"/>
    <w:rsid w:val="000203BE"/>
    <w:rsid w:val="0002117B"/>
    <w:rsid w:val="00021BBC"/>
    <w:rsid w:val="00022832"/>
    <w:rsid w:val="000235CE"/>
    <w:rsid w:val="00023841"/>
    <w:rsid w:val="00024EEB"/>
    <w:rsid w:val="00025383"/>
    <w:rsid w:val="00025D05"/>
    <w:rsid w:val="000268D6"/>
    <w:rsid w:val="00027C0A"/>
    <w:rsid w:val="00027C0E"/>
    <w:rsid w:val="0003241A"/>
    <w:rsid w:val="0003242C"/>
    <w:rsid w:val="00032C8E"/>
    <w:rsid w:val="00034669"/>
    <w:rsid w:val="00034F65"/>
    <w:rsid w:val="0003547A"/>
    <w:rsid w:val="0003568E"/>
    <w:rsid w:val="000356FD"/>
    <w:rsid w:val="000361EE"/>
    <w:rsid w:val="000367C2"/>
    <w:rsid w:val="0003695A"/>
    <w:rsid w:val="00036AB0"/>
    <w:rsid w:val="00040250"/>
    <w:rsid w:val="000414DE"/>
    <w:rsid w:val="000416D8"/>
    <w:rsid w:val="00042A98"/>
    <w:rsid w:val="000432E2"/>
    <w:rsid w:val="000446EC"/>
    <w:rsid w:val="00044FF2"/>
    <w:rsid w:val="00045094"/>
    <w:rsid w:val="00045D3D"/>
    <w:rsid w:val="000461B5"/>
    <w:rsid w:val="00047256"/>
    <w:rsid w:val="00047494"/>
    <w:rsid w:val="0004796B"/>
    <w:rsid w:val="00050AC3"/>
    <w:rsid w:val="00051600"/>
    <w:rsid w:val="0005171B"/>
    <w:rsid w:val="00051D1F"/>
    <w:rsid w:val="00053BE6"/>
    <w:rsid w:val="00055984"/>
    <w:rsid w:val="00056D68"/>
    <w:rsid w:val="00056ECE"/>
    <w:rsid w:val="0005705F"/>
    <w:rsid w:val="0005740C"/>
    <w:rsid w:val="000610C1"/>
    <w:rsid w:val="00061220"/>
    <w:rsid w:val="0006317D"/>
    <w:rsid w:val="00063454"/>
    <w:rsid w:val="00063657"/>
    <w:rsid w:val="000643B9"/>
    <w:rsid w:val="00064A7C"/>
    <w:rsid w:val="00070DE6"/>
    <w:rsid w:val="000725A9"/>
    <w:rsid w:val="0007409E"/>
    <w:rsid w:val="00075EF9"/>
    <w:rsid w:val="00076680"/>
    <w:rsid w:val="000767DD"/>
    <w:rsid w:val="00076A1D"/>
    <w:rsid w:val="0007714A"/>
    <w:rsid w:val="000771FB"/>
    <w:rsid w:val="0008073E"/>
    <w:rsid w:val="0008115D"/>
    <w:rsid w:val="000821D9"/>
    <w:rsid w:val="00082B34"/>
    <w:rsid w:val="00082FE9"/>
    <w:rsid w:val="000831AC"/>
    <w:rsid w:val="000837A5"/>
    <w:rsid w:val="00083AA8"/>
    <w:rsid w:val="00084F74"/>
    <w:rsid w:val="000857D1"/>
    <w:rsid w:val="00085B88"/>
    <w:rsid w:val="00087189"/>
    <w:rsid w:val="0008751B"/>
    <w:rsid w:val="0008776A"/>
    <w:rsid w:val="00090534"/>
    <w:rsid w:val="00090FD5"/>
    <w:rsid w:val="0009104E"/>
    <w:rsid w:val="0009196C"/>
    <w:rsid w:val="00091CDB"/>
    <w:rsid w:val="00093013"/>
    <w:rsid w:val="000949C5"/>
    <w:rsid w:val="0009547E"/>
    <w:rsid w:val="00095EA2"/>
    <w:rsid w:val="00096494"/>
    <w:rsid w:val="000974B0"/>
    <w:rsid w:val="00097FE3"/>
    <w:rsid w:val="000A1319"/>
    <w:rsid w:val="000A19AC"/>
    <w:rsid w:val="000A38CC"/>
    <w:rsid w:val="000A3F4C"/>
    <w:rsid w:val="000A69FC"/>
    <w:rsid w:val="000A6D04"/>
    <w:rsid w:val="000A6F0B"/>
    <w:rsid w:val="000B0A4F"/>
    <w:rsid w:val="000B1B85"/>
    <w:rsid w:val="000B2EC9"/>
    <w:rsid w:val="000B3197"/>
    <w:rsid w:val="000B3454"/>
    <w:rsid w:val="000B3688"/>
    <w:rsid w:val="000B5FA0"/>
    <w:rsid w:val="000B637A"/>
    <w:rsid w:val="000B65BD"/>
    <w:rsid w:val="000B6686"/>
    <w:rsid w:val="000B7990"/>
    <w:rsid w:val="000C06AF"/>
    <w:rsid w:val="000C0D35"/>
    <w:rsid w:val="000C1545"/>
    <w:rsid w:val="000C1951"/>
    <w:rsid w:val="000C1DE0"/>
    <w:rsid w:val="000C266A"/>
    <w:rsid w:val="000C5DF4"/>
    <w:rsid w:val="000C64D6"/>
    <w:rsid w:val="000C6881"/>
    <w:rsid w:val="000C743D"/>
    <w:rsid w:val="000C784A"/>
    <w:rsid w:val="000D1E36"/>
    <w:rsid w:val="000D26F8"/>
    <w:rsid w:val="000D2A00"/>
    <w:rsid w:val="000D36AF"/>
    <w:rsid w:val="000D3791"/>
    <w:rsid w:val="000D3884"/>
    <w:rsid w:val="000D3FC2"/>
    <w:rsid w:val="000D4CEC"/>
    <w:rsid w:val="000D5201"/>
    <w:rsid w:val="000D5C79"/>
    <w:rsid w:val="000D6236"/>
    <w:rsid w:val="000D69A2"/>
    <w:rsid w:val="000E022D"/>
    <w:rsid w:val="000E0372"/>
    <w:rsid w:val="000E2A42"/>
    <w:rsid w:val="000E3753"/>
    <w:rsid w:val="000E3D26"/>
    <w:rsid w:val="000E3DCB"/>
    <w:rsid w:val="000F30B5"/>
    <w:rsid w:val="000F3A75"/>
    <w:rsid w:val="000F4463"/>
    <w:rsid w:val="000F47C4"/>
    <w:rsid w:val="000F4A7E"/>
    <w:rsid w:val="000F5090"/>
    <w:rsid w:val="000F5392"/>
    <w:rsid w:val="000F563E"/>
    <w:rsid w:val="000F68AA"/>
    <w:rsid w:val="000F7AE9"/>
    <w:rsid w:val="000F7C81"/>
    <w:rsid w:val="001002A6"/>
    <w:rsid w:val="0010087D"/>
    <w:rsid w:val="0010101F"/>
    <w:rsid w:val="0010130B"/>
    <w:rsid w:val="00101B28"/>
    <w:rsid w:val="00101F35"/>
    <w:rsid w:val="0010333D"/>
    <w:rsid w:val="0010460F"/>
    <w:rsid w:val="00105E02"/>
    <w:rsid w:val="00105EE9"/>
    <w:rsid w:val="00106027"/>
    <w:rsid w:val="0010658E"/>
    <w:rsid w:val="001065EB"/>
    <w:rsid w:val="00106654"/>
    <w:rsid w:val="001067D3"/>
    <w:rsid w:val="00107204"/>
    <w:rsid w:val="00110039"/>
    <w:rsid w:val="001106AF"/>
    <w:rsid w:val="00110BC1"/>
    <w:rsid w:val="001129C7"/>
    <w:rsid w:val="00112F10"/>
    <w:rsid w:val="00112F16"/>
    <w:rsid w:val="00114577"/>
    <w:rsid w:val="001147FF"/>
    <w:rsid w:val="001177E6"/>
    <w:rsid w:val="00120607"/>
    <w:rsid w:val="00120C17"/>
    <w:rsid w:val="00121726"/>
    <w:rsid w:val="00121F61"/>
    <w:rsid w:val="00122332"/>
    <w:rsid w:val="00123DEC"/>
    <w:rsid w:val="00123F7F"/>
    <w:rsid w:val="001244DA"/>
    <w:rsid w:val="00124B61"/>
    <w:rsid w:val="00125839"/>
    <w:rsid w:val="00126646"/>
    <w:rsid w:val="00126B7F"/>
    <w:rsid w:val="0012783F"/>
    <w:rsid w:val="00130276"/>
    <w:rsid w:val="001304F3"/>
    <w:rsid w:val="00130765"/>
    <w:rsid w:val="00130D85"/>
    <w:rsid w:val="00131B90"/>
    <w:rsid w:val="00132ED1"/>
    <w:rsid w:val="00132FE3"/>
    <w:rsid w:val="001333FC"/>
    <w:rsid w:val="001334A2"/>
    <w:rsid w:val="0013384D"/>
    <w:rsid w:val="00133B55"/>
    <w:rsid w:val="00133EC9"/>
    <w:rsid w:val="00134734"/>
    <w:rsid w:val="0013526C"/>
    <w:rsid w:val="00135C1F"/>
    <w:rsid w:val="001364D2"/>
    <w:rsid w:val="00136F57"/>
    <w:rsid w:val="001371C5"/>
    <w:rsid w:val="001405C6"/>
    <w:rsid w:val="0014064C"/>
    <w:rsid w:val="0014075A"/>
    <w:rsid w:val="00141013"/>
    <w:rsid w:val="00142021"/>
    <w:rsid w:val="0014208F"/>
    <w:rsid w:val="0014220A"/>
    <w:rsid w:val="0014256F"/>
    <w:rsid w:val="001435A1"/>
    <w:rsid w:val="0014363D"/>
    <w:rsid w:val="00143982"/>
    <w:rsid w:val="00144390"/>
    <w:rsid w:val="00144393"/>
    <w:rsid w:val="00144681"/>
    <w:rsid w:val="00145736"/>
    <w:rsid w:val="001459D6"/>
    <w:rsid w:val="001478B5"/>
    <w:rsid w:val="00147EB2"/>
    <w:rsid w:val="00151697"/>
    <w:rsid w:val="00151A0F"/>
    <w:rsid w:val="0015228B"/>
    <w:rsid w:val="00152D9A"/>
    <w:rsid w:val="00152E0C"/>
    <w:rsid w:val="0015338C"/>
    <w:rsid w:val="001541F3"/>
    <w:rsid w:val="00154D0C"/>
    <w:rsid w:val="00155CCF"/>
    <w:rsid w:val="0015609D"/>
    <w:rsid w:val="001560A7"/>
    <w:rsid w:val="001569DF"/>
    <w:rsid w:val="00156A07"/>
    <w:rsid w:val="0015730F"/>
    <w:rsid w:val="001573AF"/>
    <w:rsid w:val="00157B49"/>
    <w:rsid w:val="00160BCF"/>
    <w:rsid w:val="00161084"/>
    <w:rsid w:val="001610E0"/>
    <w:rsid w:val="00162072"/>
    <w:rsid w:val="00162547"/>
    <w:rsid w:val="00162BBB"/>
    <w:rsid w:val="00164E00"/>
    <w:rsid w:val="00166AA9"/>
    <w:rsid w:val="00166B53"/>
    <w:rsid w:val="00167AA6"/>
    <w:rsid w:val="00167D90"/>
    <w:rsid w:val="0017099E"/>
    <w:rsid w:val="001710F9"/>
    <w:rsid w:val="00171B59"/>
    <w:rsid w:val="00175906"/>
    <w:rsid w:val="001762DD"/>
    <w:rsid w:val="00177652"/>
    <w:rsid w:val="00177850"/>
    <w:rsid w:val="001778BC"/>
    <w:rsid w:val="00177D48"/>
    <w:rsid w:val="001804A0"/>
    <w:rsid w:val="0018241F"/>
    <w:rsid w:val="001827DF"/>
    <w:rsid w:val="00184170"/>
    <w:rsid w:val="00184756"/>
    <w:rsid w:val="00184AA0"/>
    <w:rsid w:val="0018525B"/>
    <w:rsid w:val="001852D0"/>
    <w:rsid w:val="00185CF9"/>
    <w:rsid w:val="00185F79"/>
    <w:rsid w:val="001876F9"/>
    <w:rsid w:val="00190C2D"/>
    <w:rsid w:val="00190F0B"/>
    <w:rsid w:val="00191ED7"/>
    <w:rsid w:val="00192CBF"/>
    <w:rsid w:val="00192FF1"/>
    <w:rsid w:val="00194581"/>
    <w:rsid w:val="00194947"/>
    <w:rsid w:val="001949D2"/>
    <w:rsid w:val="00194C52"/>
    <w:rsid w:val="00195DD8"/>
    <w:rsid w:val="0019667F"/>
    <w:rsid w:val="00196D8C"/>
    <w:rsid w:val="00196F32"/>
    <w:rsid w:val="0019784F"/>
    <w:rsid w:val="00197E5A"/>
    <w:rsid w:val="00197F32"/>
    <w:rsid w:val="001A1422"/>
    <w:rsid w:val="001A17AF"/>
    <w:rsid w:val="001A19DD"/>
    <w:rsid w:val="001A2001"/>
    <w:rsid w:val="001A2B6E"/>
    <w:rsid w:val="001A3643"/>
    <w:rsid w:val="001A39D5"/>
    <w:rsid w:val="001A44FC"/>
    <w:rsid w:val="001A5F1B"/>
    <w:rsid w:val="001A6488"/>
    <w:rsid w:val="001A7613"/>
    <w:rsid w:val="001B0371"/>
    <w:rsid w:val="001B03F7"/>
    <w:rsid w:val="001B05A4"/>
    <w:rsid w:val="001B17F4"/>
    <w:rsid w:val="001B1C22"/>
    <w:rsid w:val="001B21E3"/>
    <w:rsid w:val="001B34C6"/>
    <w:rsid w:val="001B3CEE"/>
    <w:rsid w:val="001B5D37"/>
    <w:rsid w:val="001C0293"/>
    <w:rsid w:val="001C0C42"/>
    <w:rsid w:val="001C2018"/>
    <w:rsid w:val="001C2E56"/>
    <w:rsid w:val="001C36F4"/>
    <w:rsid w:val="001C3877"/>
    <w:rsid w:val="001C46FB"/>
    <w:rsid w:val="001C4A3C"/>
    <w:rsid w:val="001C6995"/>
    <w:rsid w:val="001D0772"/>
    <w:rsid w:val="001D0BDC"/>
    <w:rsid w:val="001D1769"/>
    <w:rsid w:val="001D31E0"/>
    <w:rsid w:val="001D3333"/>
    <w:rsid w:val="001D516B"/>
    <w:rsid w:val="001D5C85"/>
    <w:rsid w:val="001D6478"/>
    <w:rsid w:val="001D68E3"/>
    <w:rsid w:val="001D6A26"/>
    <w:rsid w:val="001D6C93"/>
    <w:rsid w:val="001D7832"/>
    <w:rsid w:val="001E0433"/>
    <w:rsid w:val="001E26B9"/>
    <w:rsid w:val="001E3911"/>
    <w:rsid w:val="001E485E"/>
    <w:rsid w:val="001E67EC"/>
    <w:rsid w:val="001E692F"/>
    <w:rsid w:val="001F10A7"/>
    <w:rsid w:val="001F18F9"/>
    <w:rsid w:val="001F2C5B"/>
    <w:rsid w:val="001F2FD8"/>
    <w:rsid w:val="001F4256"/>
    <w:rsid w:val="001F4B95"/>
    <w:rsid w:val="001F5AFE"/>
    <w:rsid w:val="001F6302"/>
    <w:rsid w:val="001F69DD"/>
    <w:rsid w:val="001F6AA2"/>
    <w:rsid w:val="001F780F"/>
    <w:rsid w:val="002001AC"/>
    <w:rsid w:val="002012D8"/>
    <w:rsid w:val="002015A0"/>
    <w:rsid w:val="00201B66"/>
    <w:rsid w:val="002020F9"/>
    <w:rsid w:val="002038CE"/>
    <w:rsid w:val="002039D6"/>
    <w:rsid w:val="00204D82"/>
    <w:rsid w:val="00204EB1"/>
    <w:rsid w:val="0020533E"/>
    <w:rsid w:val="00206407"/>
    <w:rsid w:val="00207D99"/>
    <w:rsid w:val="00210DC1"/>
    <w:rsid w:val="0021157A"/>
    <w:rsid w:val="00211D34"/>
    <w:rsid w:val="0021278D"/>
    <w:rsid w:val="0021297B"/>
    <w:rsid w:val="00212A1E"/>
    <w:rsid w:val="002133FA"/>
    <w:rsid w:val="002141FF"/>
    <w:rsid w:val="00214328"/>
    <w:rsid w:val="00214D2C"/>
    <w:rsid w:val="00214F04"/>
    <w:rsid w:val="00215938"/>
    <w:rsid w:val="0021669A"/>
    <w:rsid w:val="00216B61"/>
    <w:rsid w:val="00217D47"/>
    <w:rsid w:val="00221054"/>
    <w:rsid w:val="00221277"/>
    <w:rsid w:val="00222830"/>
    <w:rsid w:val="00223E50"/>
    <w:rsid w:val="0022483E"/>
    <w:rsid w:val="00224FC9"/>
    <w:rsid w:val="00225D27"/>
    <w:rsid w:val="00227061"/>
    <w:rsid w:val="00227E1E"/>
    <w:rsid w:val="00232EFC"/>
    <w:rsid w:val="0023338E"/>
    <w:rsid w:val="0023349F"/>
    <w:rsid w:val="00233E72"/>
    <w:rsid w:val="0023444D"/>
    <w:rsid w:val="002352B9"/>
    <w:rsid w:val="0023598E"/>
    <w:rsid w:val="0023621E"/>
    <w:rsid w:val="002367F5"/>
    <w:rsid w:val="00237EDC"/>
    <w:rsid w:val="00240570"/>
    <w:rsid w:val="00240640"/>
    <w:rsid w:val="00240E66"/>
    <w:rsid w:val="00240EDB"/>
    <w:rsid w:val="002426F8"/>
    <w:rsid w:val="00242A95"/>
    <w:rsid w:val="00242F2B"/>
    <w:rsid w:val="00243488"/>
    <w:rsid w:val="002436B9"/>
    <w:rsid w:val="00243A0A"/>
    <w:rsid w:val="002444FF"/>
    <w:rsid w:val="00244EF8"/>
    <w:rsid w:val="00245E5D"/>
    <w:rsid w:val="00246470"/>
    <w:rsid w:val="002469B4"/>
    <w:rsid w:val="00246F8A"/>
    <w:rsid w:val="002471D0"/>
    <w:rsid w:val="00250E32"/>
    <w:rsid w:val="00252203"/>
    <w:rsid w:val="00253410"/>
    <w:rsid w:val="002537CE"/>
    <w:rsid w:val="0025525F"/>
    <w:rsid w:val="00255960"/>
    <w:rsid w:val="00255FEF"/>
    <w:rsid w:val="002560C5"/>
    <w:rsid w:val="00256DBC"/>
    <w:rsid w:val="00256E05"/>
    <w:rsid w:val="00256EA4"/>
    <w:rsid w:val="002571C8"/>
    <w:rsid w:val="002578B3"/>
    <w:rsid w:val="002579DC"/>
    <w:rsid w:val="00257A41"/>
    <w:rsid w:val="002603B0"/>
    <w:rsid w:val="00260906"/>
    <w:rsid w:val="002610E8"/>
    <w:rsid w:val="00261CF7"/>
    <w:rsid w:val="00262248"/>
    <w:rsid w:val="0026244C"/>
    <w:rsid w:val="0026282C"/>
    <w:rsid w:val="00262BBD"/>
    <w:rsid w:val="002631B1"/>
    <w:rsid w:val="00263693"/>
    <w:rsid w:val="00264F14"/>
    <w:rsid w:val="0026521A"/>
    <w:rsid w:val="002652BF"/>
    <w:rsid w:val="002654BA"/>
    <w:rsid w:val="002657E2"/>
    <w:rsid w:val="00266CD6"/>
    <w:rsid w:val="0026713C"/>
    <w:rsid w:val="002673AC"/>
    <w:rsid w:val="00270C4A"/>
    <w:rsid w:val="0027278C"/>
    <w:rsid w:val="00272914"/>
    <w:rsid w:val="00273484"/>
    <w:rsid w:val="002739BD"/>
    <w:rsid w:val="002743F9"/>
    <w:rsid w:val="00274C95"/>
    <w:rsid w:val="00275DAB"/>
    <w:rsid w:val="00275EE1"/>
    <w:rsid w:val="00275EF4"/>
    <w:rsid w:val="00276059"/>
    <w:rsid w:val="00277200"/>
    <w:rsid w:val="00280976"/>
    <w:rsid w:val="00280F65"/>
    <w:rsid w:val="002821BE"/>
    <w:rsid w:val="002832A6"/>
    <w:rsid w:val="002836E2"/>
    <w:rsid w:val="0028662C"/>
    <w:rsid w:val="002903C0"/>
    <w:rsid w:val="002903D1"/>
    <w:rsid w:val="00291726"/>
    <w:rsid w:val="002922A7"/>
    <w:rsid w:val="00292FE9"/>
    <w:rsid w:val="00293516"/>
    <w:rsid w:val="00293EF8"/>
    <w:rsid w:val="002946F5"/>
    <w:rsid w:val="002947D8"/>
    <w:rsid w:val="00294D12"/>
    <w:rsid w:val="00295857"/>
    <w:rsid w:val="00295ACD"/>
    <w:rsid w:val="0029698E"/>
    <w:rsid w:val="00296EDA"/>
    <w:rsid w:val="002A07A7"/>
    <w:rsid w:val="002A228B"/>
    <w:rsid w:val="002A361D"/>
    <w:rsid w:val="002A51EF"/>
    <w:rsid w:val="002A5596"/>
    <w:rsid w:val="002A5CDA"/>
    <w:rsid w:val="002A782A"/>
    <w:rsid w:val="002A7D62"/>
    <w:rsid w:val="002B11E2"/>
    <w:rsid w:val="002B24B8"/>
    <w:rsid w:val="002B4912"/>
    <w:rsid w:val="002B5E3C"/>
    <w:rsid w:val="002B71B1"/>
    <w:rsid w:val="002B7383"/>
    <w:rsid w:val="002C01FA"/>
    <w:rsid w:val="002C0573"/>
    <w:rsid w:val="002C09BF"/>
    <w:rsid w:val="002C3488"/>
    <w:rsid w:val="002C5612"/>
    <w:rsid w:val="002C6A5F"/>
    <w:rsid w:val="002C7252"/>
    <w:rsid w:val="002C745F"/>
    <w:rsid w:val="002D1549"/>
    <w:rsid w:val="002D25D1"/>
    <w:rsid w:val="002D37C8"/>
    <w:rsid w:val="002D3AE9"/>
    <w:rsid w:val="002D3C18"/>
    <w:rsid w:val="002D3CE7"/>
    <w:rsid w:val="002D4510"/>
    <w:rsid w:val="002D5495"/>
    <w:rsid w:val="002D6A23"/>
    <w:rsid w:val="002D74C5"/>
    <w:rsid w:val="002D7D6C"/>
    <w:rsid w:val="002E02B6"/>
    <w:rsid w:val="002E09F5"/>
    <w:rsid w:val="002E1770"/>
    <w:rsid w:val="002E1AF2"/>
    <w:rsid w:val="002E1F65"/>
    <w:rsid w:val="002E264E"/>
    <w:rsid w:val="002E2C23"/>
    <w:rsid w:val="002E34AC"/>
    <w:rsid w:val="002E4587"/>
    <w:rsid w:val="002E60F0"/>
    <w:rsid w:val="002E635C"/>
    <w:rsid w:val="002E6846"/>
    <w:rsid w:val="002E7997"/>
    <w:rsid w:val="002F026E"/>
    <w:rsid w:val="002F0734"/>
    <w:rsid w:val="002F0E7C"/>
    <w:rsid w:val="002F1B83"/>
    <w:rsid w:val="002F1C64"/>
    <w:rsid w:val="002F22EB"/>
    <w:rsid w:val="002F3712"/>
    <w:rsid w:val="002F46E7"/>
    <w:rsid w:val="002F56A5"/>
    <w:rsid w:val="002F582A"/>
    <w:rsid w:val="002F72DB"/>
    <w:rsid w:val="002F75C0"/>
    <w:rsid w:val="002F7B19"/>
    <w:rsid w:val="00300812"/>
    <w:rsid w:val="003008A1"/>
    <w:rsid w:val="00301A50"/>
    <w:rsid w:val="003027C1"/>
    <w:rsid w:val="00302EFB"/>
    <w:rsid w:val="00303298"/>
    <w:rsid w:val="0030336F"/>
    <w:rsid w:val="0030397A"/>
    <w:rsid w:val="003040BE"/>
    <w:rsid w:val="003044E2"/>
    <w:rsid w:val="0030641B"/>
    <w:rsid w:val="00307E9C"/>
    <w:rsid w:val="00307F8B"/>
    <w:rsid w:val="00307F96"/>
    <w:rsid w:val="003101DA"/>
    <w:rsid w:val="003111C3"/>
    <w:rsid w:val="003113E1"/>
    <w:rsid w:val="00312443"/>
    <w:rsid w:val="0031299C"/>
    <w:rsid w:val="00312DDD"/>
    <w:rsid w:val="00313B84"/>
    <w:rsid w:val="00314757"/>
    <w:rsid w:val="00314A03"/>
    <w:rsid w:val="00315689"/>
    <w:rsid w:val="00315CD0"/>
    <w:rsid w:val="003163BC"/>
    <w:rsid w:val="00317410"/>
    <w:rsid w:val="003209C4"/>
    <w:rsid w:val="003211CE"/>
    <w:rsid w:val="0032190A"/>
    <w:rsid w:val="00321B6E"/>
    <w:rsid w:val="00324B4A"/>
    <w:rsid w:val="003268CA"/>
    <w:rsid w:val="0032714E"/>
    <w:rsid w:val="00327412"/>
    <w:rsid w:val="00327443"/>
    <w:rsid w:val="00330E17"/>
    <w:rsid w:val="003315FD"/>
    <w:rsid w:val="00331C8C"/>
    <w:rsid w:val="00332FB5"/>
    <w:rsid w:val="003343C8"/>
    <w:rsid w:val="003343FE"/>
    <w:rsid w:val="003344C3"/>
    <w:rsid w:val="0033564E"/>
    <w:rsid w:val="00335EAC"/>
    <w:rsid w:val="0033715F"/>
    <w:rsid w:val="003373A2"/>
    <w:rsid w:val="003374C1"/>
    <w:rsid w:val="00337C12"/>
    <w:rsid w:val="00337C84"/>
    <w:rsid w:val="00337D13"/>
    <w:rsid w:val="00340016"/>
    <w:rsid w:val="003409CE"/>
    <w:rsid w:val="00341BAE"/>
    <w:rsid w:val="00344568"/>
    <w:rsid w:val="00344FA8"/>
    <w:rsid w:val="00345275"/>
    <w:rsid w:val="003471C9"/>
    <w:rsid w:val="003473A2"/>
    <w:rsid w:val="00350A8C"/>
    <w:rsid w:val="00350DE4"/>
    <w:rsid w:val="00351E6B"/>
    <w:rsid w:val="00352899"/>
    <w:rsid w:val="00352C2F"/>
    <w:rsid w:val="0035403A"/>
    <w:rsid w:val="00354C84"/>
    <w:rsid w:val="0035517A"/>
    <w:rsid w:val="003559A2"/>
    <w:rsid w:val="00357761"/>
    <w:rsid w:val="003615B9"/>
    <w:rsid w:val="003619C3"/>
    <w:rsid w:val="00361EF5"/>
    <w:rsid w:val="0036394B"/>
    <w:rsid w:val="003648F1"/>
    <w:rsid w:val="00365502"/>
    <w:rsid w:val="00366AC7"/>
    <w:rsid w:val="00366DB6"/>
    <w:rsid w:val="003671B0"/>
    <w:rsid w:val="0036724C"/>
    <w:rsid w:val="00367599"/>
    <w:rsid w:val="0036763F"/>
    <w:rsid w:val="00370325"/>
    <w:rsid w:val="003706AD"/>
    <w:rsid w:val="003709B5"/>
    <w:rsid w:val="0037156B"/>
    <w:rsid w:val="003735E3"/>
    <w:rsid w:val="003736D1"/>
    <w:rsid w:val="003742B8"/>
    <w:rsid w:val="00374855"/>
    <w:rsid w:val="0037566A"/>
    <w:rsid w:val="003759C2"/>
    <w:rsid w:val="00375E58"/>
    <w:rsid w:val="00376056"/>
    <w:rsid w:val="0037710B"/>
    <w:rsid w:val="003776D4"/>
    <w:rsid w:val="00377FCD"/>
    <w:rsid w:val="0038015F"/>
    <w:rsid w:val="00380F32"/>
    <w:rsid w:val="00381AAD"/>
    <w:rsid w:val="003828E4"/>
    <w:rsid w:val="00382D36"/>
    <w:rsid w:val="00383AB4"/>
    <w:rsid w:val="0038528E"/>
    <w:rsid w:val="00385339"/>
    <w:rsid w:val="00385A73"/>
    <w:rsid w:val="00386A9A"/>
    <w:rsid w:val="00386C1B"/>
    <w:rsid w:val="00387C27"/>
    <w:rsid w:val="00387C2A"/>
    <w:rsid w:val="0039127D"/>
    <w:rsid w:val="0039155D"/>
    <w:rsid w:val="0039172F"/>
    <w:rsid w:val="00391D92"/>
    <w:rsid w:val="00391FE9"/>
    <w:rsid w:val="003923CF"/>
    <w:rsid w:val="0039240B"/>
    <w:rsid w:val="00393F9F"/>
    <w:rsid w:val="00396389"/>
    <w:rsid w:val="00396461"/>
    <w:rsid w:val="0039666B"/>
    <w:rsid w:val="00397365"/>
    <w:rsid w:val="003974F7"/>
    <w:rsid w:val="00397DA6"/>
    <w:rsid w:val="003A0389"/>
    <w:rsid w:val="003A09A2"/>
    <w:rsid w:val="003A1451"/>
    <w:rsid w:val="003A1A65"/>
    <w:rsid w:val="003A2CCC"/>
    <w:rsid w:val="003A31F6"/>
    <w:rsid w:val="003A389E"/>
    <w:rsid w:val="003A3A6C"/>
    <w:rsid w:val="003A3AC5"/>
    <w:rsid w:val="003A3E98"/>
    <w:rsid w:val="003A448A"/>
    <w:rsid w:val="003A4D67"/>
    <w:rsid w:val="003A65FC"/>
    <w:rsid w:val="003A6FE1"/>
    <w:rsid w:val="003A6FF8"/>
    <w:rsid w:val="003B0831"/>
    <w:rsid w:val="003B1627"/>
    <w:rsid w:val="003B1CB5"/>
    <w:rsid w:val="003B2B05"/>
    <w:rsid w:val="003B2C98"/>
    <w:rsid w:val="003B3EF0"/>
    <w:rsid w:val="003B4485"/>
    <w:rsid w:val="003B47F2"/>
    <w:rsid w:val="003B534A"/>
    <w:rsid w:val="003B79D4"/>
    <w:rsid w:val="003B7AE8"/>
    <w:rsid w:val="003B7D11"/>
    <w:rsid w:val="003C0402"/>
    <w:rsid w:val="003C0474"/>
    <w:rsid w:val="003C156A"/>
    <w:rsid w:val="003C242C"/>
    <w:rsid w:val="003C25BF"/>
    <w:rsid w:val="003C3447"/>
    <w:rsid w:val="003C4072"/>
    <w:rsid w:val="003C4447"/>
    <w:rsid w:val="003C4C99"/>
    <w:rsid w:val="003D0607"/>
    <w:rsid w:val="003D076C"/>
    <w:rsid w:val="003D1367"/>
    <w:rsid w:val="003D160E"/>
    <w:rsid w:val="003D1FD8"/>
    <w:rsid w:val="003D2290"/>
    <w:rsid w:val="003D34F9"/>
    <w:rsid w:val="003D38E3"/>
    <w:rsid w:val="003D5A9A"/>
    <w:rsid w:val="003D5BAD"/>
    <w:rsid w:val="003D6335"/>
    <w:rsid w:val="003D71C8"/>
    <w:rsid w:val="003D7344"/>
    <w:rsid w:val="003E01CE"/>
    <w:rsid w:val="003E0745"/>
    <w:rsid w:val="003E120C"/>
    <w:rsid w:val="003E13A2"/>
    <w:rsid w:val="003E1942"/>
    <w:rsid w:val="003E1B31"/>
    <w:rsid w:val="003E3442"/>
    <w:rsid w:val="003E3F5D"/>
    <w:rsid w:val="003E5626"/>
    <w:rsid w:val="003E59A0"/>
    <w:rsid w:val="003E7112"/>
    <w:rsid w:val="003E7817"/>
    <w:rsid w:val="003E78B5"/>
    <w:rsid w:val="003F1778"/>
    <w:rsid w:val="003F2484"/>
    <w:rsid w:val="003F38E4"/>
    <w:rsid w:val="003F39CA"/>
    <w:rsid w:val="003F479C"/>
    <w:rsid w:val="003F54A4"/>
    <w:rsid w:val="003F5BAF"/>
    <w:rsid w:val="003F70F2"/>
    <w:rsid w:val="003F77E3"/>
    <w:rsid w:val="003F7F77"/>
    <w:rsid w:val="00400A3D"/>
    <w:rsid w:val="00400C64"/>
    <w:rsid w:val="0040199C"/>
    <w:rsid w:val="00402C03"/>
    <w:rsid w:val="00402FDC"/>
    <w:rsid w:val="00405029"/>
    <w:rsid w:val="00405528"/>
    <w:rsid w:val="0040781C"/>
    <w:rsid w:val="00407A25"/>
    <w:rsid w:val="00410552"/>
    <w:rsid w:val="004105B7"/>
    <w:rsid w:val="00410BE2"/>
    <w:rsid w:val="00411161"/>
    <w:rsid w:val="004135D1"/>
    <w:rsid w:val="004138A0"/>
    <w:rsid w:val="004151D9"/>
    <w:rsid w:val="0041597A"/>
    <w:rsid w:val="00415BAB"/>
    <w:rsid w:val="00415ED2"/>
    <w:rsid w:val="00416340"/>
    <w:rsid w:val="00417EB8"/>
    <w:rsid w:val="0042019F"/>
    <w:rsid w:val="0042052C"/>
    <w:rsid w:val="0042068C"/>
    <w:rsid w:val="00420BE7"/>
    <w:rsid w:val="00420D0A"/>
    <w:rsid w:val="004220DF"/>
    <w:rsid w:val="00423679"/>
    <w:rsid w:val="004237FF"/>
    <w:rsid w:val="004255DF"/>
    <w:rsid w:val="0042584B"/>
    <w:rsid w:val="00425A70"/>
    <w:rsid w:val="00425E93"/>
    <w:rsid w:val="00425F7D"/>
    <w:rsid w:val="00426B5B"/>
    <w:rsid w:val="004272FF"/>
    <w:rsid w:val="00427B62"/>
    <w:rsid w:val="00430BB8"/>
    <w:rsid w:val="004319C8"/>
    <w:rsid w:val="00432822"/>
    <w:rsid w:val="004338A8"/>
    <w:rsid w:val="0043447B"/>
    <w:rsid w:val="00435FA6"/>
    <w:rsid w:val="0044040E"/>
    <w:rsid w:val="00440840"/>
    <w:rsid w:val="00440DC7"/>
    <w:rsid w:val="00441A77"/>
    <w:rsid w:val="00441C8E"/>
    <w:rsid w:val="00441FD9"/>
    <w:rsid w:val="004429D9"/>
    <w:rsid w:val="0044318E"/>
    <w:rsid w:val="00443B35"/>
    <w:rsid w:val="00443B64"/>
    <w:rsid w:val="004442A4"/>
    <w:rsid w:val="00445166"/>
    <w:rsid w:val="004455DB"/>
    <w:rsid w:val="00446813"/>
    <w:rsid w:val="00446BEE"/>
    <w:rsid w:val="00446C55"/>
    <w:rsid w:val="004470C8"/>
    <w:rsid w:val="0045009B"/>
    <w:rsid w:val="004508F2"/>
    <w:rsid w:val="00450A9D"/>
    <w:rsid w:val="00451303"/>
    <w:rsid w:val="004513BB"/>
    <w:rsid w:val="0045178C"/>
    <w:rsid w:val="00452577"/>
    <w:rsid w:val="004526AC"/>
    <w:rsid w:val="00454385"/>
    <w:rsid w:val="0045463B"/>
    <w:rsid w:val="004550B2"/>
    <w:rsid w:val="00455DAE"/>
    <w:rsid w:val="00455E26"/>
    <w:rsid w:val="00456622"/>
    <w:rsid w:val="004607D2"/>
    <w:rsid w:val="00460F83"/>
    <w:rsid w:val="00461628"/>
    <w:rsid w:val="00461D9A"/>
    <w:rsid w:val="00462259"/>
    <w:rsid w:val="00462F32"/>
    <w:rsid w:val="00465256"/>
    <w:rsid w:val="00466988"/>
    <w:rsid w:val="00466B11"/>
    <w:rsid w:val="0047092D"/>
    <w:rsid w:val="0047122B"/>
    <w:rsid w:val="00472125"/>
    <w:rsid w:val="00473B7A"/>
    <w:rsid w:val="00474922"/>
    <w:rsid w:val="00476345"/>
    <w:rsid w:val="00476C04"/>
    <w:rsid w:val="004771D9"/>
    <w:rsid w:val="00481F5D"/>
    <w:rsid w:val="0048216C"/>
    <w:rsid w:val="004823B0"/>
    <w:rsid w:val="00482D44"/>
    <w:rsid w:val="004834F5"/>
    <w:rsid w:val="004836D4"/>
    <w:rsid w:val="00483AAD"/>
    <w:rsid w:val="00483D96"/>
    <w:rsid w:val="004847E3"/>
    <w:rsid w:val="00485CA3"/>
    <w:rsid w:val="004903F0"/>
    <w:rsid w:val="00490CC9"/>
    <w:rsid w:val="00492C4A"/>
    <w:rsid w:val="00493CCA"/>
    <w:rsid w:val="004950AF"/>
    <w:rsid w:val="00495EFD"/>
    <w:rsid w:val="004960E9"/>
    <w:rsid w:val="00496885"/>
    <w:rsid w:val="00496F3C"/>
    <w:rsid w:val="00497384"/>
    <w:rsid w:val="00497DC9"/>
    <w:rsid w:val="004A0AE3"/>
    <w:rsid w:val="004A2E88"/>
    <w:rsid w:val="004A3564"/>
    <w:rsid w:val="004A5305"/>
    <w:rsid w:val="004A6144"/>
    <w:rsid w:val="004A6C4A"/>
    <w:rsid w:val="004A6D92"/>
    <w:rsid w:val="004A6FC5"/>
    <w:rsid w:val="004B132B"/>
    <w:rsid w:val="004B13C6"/>
    <w:rsid w:val="004B1BEA"/>
    <w:rsid w:val="004B41C9"/>
    <w:rsid w:val="004B4E68"/>
    <w:rsid w:val="004B6511"/>
    <w:rsid w:val="004B672E"/>
    <w:rsid w:val="004B7FAF"/>
    <w:rsid w:val="004C0257"/>
    <w:rsid w:val="004C0564"/>
    <w:rsid w:val="004C05BC"/>
    <w:rsid w:val="004C2055"/>
    <w:rsid w:val="004C2DAC"/>
    <w:rsid w:val="004C3282"/>
    <w:rsid w:val="004C3448"/>
    <w:rsid w:val="004C3698"/>
    <w:rsid w:val="004C3BA0"/>
    <w:rsid w:val="004C687E"/>
    <w:rsid w:val="004D040D"/>
    <w:rsid w:val="004D0CA1"/>
    <w:rsid w:val="004D10A5"/>
    <w:rsid w:val="004D182B"/>
    <w:rsid w:val="004D24A5"/>
    <w:rsid w:val="004D4B8C"/>
    <w:rsid w:val="004D5A3A"/>
    <w:rsid w:val="004D6BC4"/>
    <w:rsid w:val="004D6C3E"/>
    <w:rsid w:val="004D72B2"/>
    <w:rsid w:val="004D7634"/>
    <w:rsid w:val="004E1214"/>
    <w:rsid w:val="004E196A"/>
    <w:rsid w:val="004E1B34"/>
    <w:rsid w:val="004E3E19"/>
    <w:rsid w:val="004E410F"/>
    <w:rsid w:val="004E55D4"/>
    <w:rsid w:val="004E5EAA"/>
    <w:rsid w:val="004E5FC1"/>
    <w:rsid w:val="004E611A"/>
    <w:rsid w:val="004E64FB"/>
    <w:rsid w:val="004E650C"/>
    <w:rsid w:val="004E672C"/>
    <w:rsid w:val="004E7A10"/>
    <w:rsid w:val="004F0852"/>
    <w:rsid w:val="004F165C"/>
    <w:rsid w:val="004F177E"/>
    <w:rsid w:val="004F17CA"/>
    <w:rsid w:val="004F3806"/>
    <w:rsid w:val="004F395D"/>
    <w:rsid w:val="004F3AC2"/>
    <w:rsid w:val="004F3BEE"/>
    <w:rsid w:val="004F3DF8"/>
    <w:rsid w:val="004F4603"/>
    <w:rsid w:val="004F485D"/>
    <w:rsid w:val="004F4EE8"/>
    <w:rsid w:val="004F5F72"/>
    <w:rsid w:val="004F6360"/>
    <w:rsid w:val="004F6460"/>
    <w:rsid w:val="005010CF"/>
    <w:rsid w:val="00502000"/>
    <w:rsid w:val="00502E42"/>
    <w:rsid w:val="005044C6"/>
    <w:rsid w:val="00506AFF"/>
    <w:rsid w:val="00506E54"/>
    <w:rsid w:val="00507DC6"/>
    <w:rsid w:val="0051288E"/>
    <w:rsid w:val="00513D79"/>
    <w:rsid w:val="00514676"/>
    <w:rsid w:val="005152CB"/>
    <w:rsid w:val="00515D56"/>
    <w:rsid w:val="0051635B"/>
    <w:rsid w:val="00517400"/>
    <w:rsid w:val="00517666"/>
    <w:rsid w:val="00520C93"/>
    <w:rsid w:val="00520E38"/>
    <w:rsid w:val="00521271"/>
    <w:rsid w:val="0052144F"/>
    <w:rsid w:val="00521979"/>
    <w:rsid w:val="00523A96"/>
    <w:rsid w:val="00525389"/>
    <w:rsid w:val="00525697"/>
    <w:rsid w:val="00525AEE"/>
    <w:rsid w:val="00526A6A"/>
    <w:rsid w:val="00526B4B"/>
    <w:rsid w:val="00526C8C"/>
    <w:rsid w:val="0052720E"/>
    <w:rsid w:val="0052725A"/>
    <w:rsid w:val="00527726"/>
    <w:rsid w:val="005277CC"/>
    <w:rsid w:val="005300D3"/>
    <w:rsid w:val="0053058C"/>
    <w:rsid w:val="00530C16"/>
    <w:rsid w:val="00531373"/>
    <w:rsid w:val="00531ECD"/>
    <w:rsid w:val="00533D10"/>
    <w:rsid w:val="0053520D"/>
    <w:rsid w:val="00536925"/>
    <w:rsid w:val="0054109E"/>
    <w:rsid w:val="005429D9"/>
    <w:rsid w:val="00542A10"/>
    <w:rsid w:val="00543038"/>
    <w:rsid w:val="00543B0C"/>
    <w:rsid w:val="00544D11"/>
    <w:rsid w:val="00544F82"/>
    <w:rsid w:val="00545DA9"/>
    <w:rsid w:val="005460E7"/>
    <w:rsid w:val="00546568"/>
    <w:rsid w:val="005469BA"/>
    <w:rsid w:val="00546CD5"/>
    <w:rsid w:val="00546E19"/>
    <w:rsid w:val="005509D2"/>
    <w:rsid w:val="00551C12"/>
    <w:rsid w:val="00554C96"/>
    <w:rsid w:val="00555BA6"/>
    <w:rsid w:val="00555F0E"/>
    <w:rsid w:val="00557262"/>
    <w:rsid w:val="0055791F"/>
    <w:rsid w:val="00560A68"/>
    <w:rsid w:val="00561E36"/>
    <w:rsid w:val="005624BA"/>
    <w:rsid w:val="005628C1"/>
    <w:rsid w:val="00562F8F"/>
    <w:rsid w:val="00563071"/>
    <w:rsid w:val="00563E79"/>
    <w:rsid w:val="0056428B"/>
    <w:rsid w:val="00564B67"/>
    <w:rsid w:val="00564B8B"/>
    <w:rsid w:val="00564EDF"/>
    <w:rsid w:val="0056570C"/>
    <w:rsid w:val="00566685"/>
    <w:rsid w:val="005673AC"/>
    <w:rsid w:val="005673E8"/>
    <w:rsid w:val="0056742D"/>
    <w:rsid w:val="00570CC7"/>
    <w:rsid w:val="005711C9"/>
    <w:rsid w:val="005711EC"/>
    <w:rsid w:val="005714A3"/>
    <w:rsid w:val="00571C46"/>
    <w:rsid w:val="00571D26"/>
    <w:rsid w:val="00571F71"/>
    <w:rsid w:val="00574008"/>
    <w:rsid w:val="00574580"/>
    <w:rsid w:val="005750F5"/>
    <w:rsid w:val="00581197"/>
    <w:rsid w:val="00581939"/>
    <w:rsid w:val="00582EA2"/>
    <w:rsid w:val="005843A4"/>
    <w:rsid w:val="00585649"/>
    <w:rsid w:val="00585CF8"/>
    <w:rsid w:val="00585E21"/>
    <w:rsid w:val="00585EEC"/>
    <w:rsid w:val="0058688B"/>
    <w:rsid w:val="00586CF2"/>
    <w:rsid w:val="00590FA3"/>
    <w:rsid w:val="005912D1"/>
    <w:rsid w:val="0059145D"/>
    <w:rsid w:val="005919BE"/>
    <w:rsid w:val="00592A56"/>
    <w:rsid w:val="00593C4F"/>
    <w:rsid w:val="00593E72"/>
    <w:rsid w:val="005942D6"/>
    <w:rsid w:val="005943AA"/>
    <w:rsid w:val="005946A8"/>
    <w:rsid w:val="00595129"/>
    <w:rsid w:val="0059537B"/>
    <w:rsid w:val="005953C5"/>
    <w:rsid w:val="005971A1"/>
    <w:rsid w:val="00597337"/>
    <w:rsid w:val="00597CB5"/>
    <w:rsid w:val="005A01FB"/>
    <w:rsid w:val="005A0A5F"/>
    <w:rsid w:val="005A0E0C"/>
    <w:rsid w:val="005A1789"/>
    <w:rsid w:val="005A1A32"/>
    <w:rsid w:val="005A35ED"/>
    <w:rsid w:val="005A3E1C"/>
    <w:rsid w:val="005A4407"/>
    <w:rsid w:val="005A59EF"/>
    <w:rsid w:val="005A5B7A"/>
    <w:rsid w:val="005A5B8B"/>
    <w:rsid w:val="005A648D"/>
    <w:rsid w:val="005A6C72"/>
    <w:rsid w:val="005B02D7"/>
    <w:rsid w:val="005B1C7E"/>
    <w:rsid w:val="005B2098"/>
    <w:rsid w:val="005B2A34"/>
    <w:rsid w:val="005B2B32"/>
    <w:rsid w:val="005B3AE8"/>
    <w:rsid w:val="005B498A"/>
    <w:rsid w:val="005B6CB3"/>
    <w:rsid w:val="005B6E70"/>
    <w:rsid w:val="005B7C48"/>
    <w:rsid w:val="005C00E9"/>
    <w:rsid w:val="005C0433"/>
    <w:rsid w:val="005C0DA9"/>
    <w:rsid w:val="005C1C67"/>
    <w:rsid w:val="005C2146"/>
    <w:rsid w:val="005C3800"/>
    <w:rsid w:val="005C3BAA"/>
    <w:rsid w:val="005C488F"/>
    <w:rsid w:val="005C4FAF"/>
    <w:rsid w:val="005C51B8"/>
    <w:rsid w:val="005C54F5"/>
    <w:rsid w:val="005C6976"/>
    <w:rsid w:val="005C7781"/>
    <w:rsid w:val="005D0A73"/>
    <w:rsid w:val="005D14E7"/>
    <w:rsid w:val="005D1BB4"/>
    <w:rsid w:val="005D1C05"/>
    <w:rsid w:val="005D1DE8"/>
    <w:rsid w:val="005D3384"/>
    <w:rsid w:val="005D352F"/>
    <w:rsid w:val="005D38E3"/>
    <w:rsid w:val="005D3C0F"/>
    <w:rsid w:val="005D4E25"/>
    <w:rsid w:val="005D533D"/>
    <w:rsid w:val="005D5BC6"/>
    <w:rsid w:val="005E12F4"/>
    <w:rsid w:val="005E243E"/>
    <w:rsid w:val="005E2B6B"/>
    <w:rsid w:val="005E2B7C"/>
    <w:rsid w:val="005E30D3"/>
    <w:rsid w:val="005E34C5"/>
    <w:rsid w:val="005E3BDC"/>
    <w:rsid w:val="005E4914"/>
    <w:rsid w:val="005E583D"/>
    <w:rsid w:val="005E5904"/>
    <w:rsid w:val="005E75B2"/>
    <w:rsid w:val="005F01F1"/>
    <w:rsid w:val="005F1237"/>
    <w:rsid w:val="005F3416"/>
    <w:rsid w:val="005F39CA"/>
    <w:rsid w:val="005F526D"/>
    <w:rsid w:val="005F5843"/>
    <w:rsid w:val="005F6F41"/>
    <w:rsid w:val="005F7013"/>
    <w:rsid w:val="00601D90"/>
    <w:rsid w:val="00601DDF"/>
    <w:rsid w:val="006023E3"/>
    <w:rsid w:val="00602BBE"/>
    <w:rsid w:val="0060547F"/>
    <w:rsid w:val="006058CC"/>
    <w:rsid w:val="00605DA0"/>
    <w:rsid w:val="006066AD"/>
    <w:rsid w:val="00606A9B"/>
    <w:rsid w:val="00606CBF"/>
    <w:rsid w:val="00607A41"/>
    <w:rsid w:val="00610A14"/>
    <w:rsid w:val="00610A21"/>
    <w:rsid w:val="0061112B"/>
    <w:rsid w:val="00611B5C"/>
    <w:rsid w:val="00612443"/>
    <w:rsid w:val="00613B65"/>
    <w:rsid w:val="00614138"/>
    <w:rsid w:val="00614509"/>
    <w:rsid w:val="00614A3C"/>
    <w:rsid w:val="0061581B"/>
    <w:rsid w:val="006166B9"/>
    <w:rsid w:val="00616B17"/>
    <w:rsid w:val="00617F1A"/>
    <w:rsid w:val="00620164"/>
    <w:rsid w:val="006203E4"/>
    <w:rsid w:val="00623032"/>
    <w:rsid w:val="006236DF"/>
    <w:rsid w:val="00623ED8"/>
    <w:rsid w:val="006254CE"/>
    <w:rsid w:val="006254F7"/>
    <w:rsid w:val="00625D9F"/>
    <w:rsid w:val="00625DC6"/>
    <w:rsid w:val="0062630C"/>
    <w:rsid w:val="006263B4"/>
    <w:rsid w:val="0062729D"/>
    <w:rsid w:val="00627335"/>
    <w:rsid w:val="00630370"/>
    <w:rsid w:val="0063093D"/>
    <w:rsid w:val="00630F78"/>
    <w:rsid w:val="00631A88"/>
    <w:rsid w:val="00631BE9"/>
    <w:rsid w:val="006327E7"/>
    <w:rsid w:val="00632871"/>
    <w:rsid w:val="00635B22"/>
    <w:rsid w:val="00635EDB"/>
    <w:rsid w:val="00636835"/>
    <w:rsid w:val="00636CCE"/>
    <w:rsid w:val="00637F1B"/>
    <w:rsid w:val="00640309"/>
    <w:rsid w:val="00641554"/>
    <w:rsid w:val="00642D9C"/>
    <w:rsid w:val="0064343E"/>
    <w:rsid w:val="0064391D"/>
    <w:rsid w:val="00643978"/>
    <w:rsid w:val="006445D7"/>
    <w:rsid w:val="00644E86"/>
    <w:rsid w:val="00645BF9"/>
    <w:rsid w:val="00646443"/>
    <w:rsid w:val="00646756"/>
    <w:rsid w:val="00646C8D"/>
    <w:rsid w:val="006508AB"/>
    <w:rsid w:val="00650D7D"/>
    <w:rsid w:val="00651154"/>
    <w:rsid w:val="006516F4"/>
    <w:rsid w:val="006517F7"/>
    <w:rsid w:val="00651821"/>
    <w:rsid w:val="00651BBF"/>
    <w:rsid w:val="00651C8E"/>
    <w:rsid w:val="00652846"/>
    <w:rsid w:val="006528E5"/>
    <w:rsid w:val="00652E5F"/>
    <w:rsid w:val="00654384"/>
    <w:rsid w:val="00655859"/>
    <w:rsid w:val="006622B2"/>
    <w:rsid w:val="00662F35"/>
    <w:rsid w:val="00665C94"/>
    <w:rsid w:val="00666A1D"/>
    <w:rsid w:val="006675CD"/>
    <w:rsid w:val="00667AD5"/>
    <w:rsid w:val="0067238D"/>
    <w:rsid w:val="006740B2"/>
    <w:rsid w:val="00674313"/>
    <w:rsid w:val="006747D5"/>
    <w:rsid w:val="00675985"/>
    <w:rsid w:val="00675A19"/>
    <w:rsid w:val="00676A88"/>
    <w:rsid w:val="0067715B"/>
    <w:rsid w:val="00677E6A"/>
    <w:rsid w:val="00680A26"/>
    <w:rsid w:val="00680BFA"/>
    <w:rsid w:val="00683D40"/>
    <w:rsid w:val="00683EB3"/>
    <w:rsid w:val="00684844"/>
    <w:rsid w:val="00684B02"/>
    <w:rsid w:val="00684BB2"/>
    <w:rsid w:val="00684CEA"/>
    <w:rsid w:val="00684D9B"/>
    <w:rsid w:val="0068510A"/>
    <w:rsid w:val="00685BCB"/>
    <w:rsid w:val="00687582"/>
    <w:rsid w:val="00687E0D"/>
    <w:rsid w:val="00687FA4"/>
    <w:rsid w:val="00690CEF"/>
    <w:rsid w:val="006915B3"/>
    <w:rsid w:val="00691851"/>
    <w:rsid w:val="0069245B"/>
    <w:rsid w:val="00694073"/>
    <w:rsid w:val="00694E6C"/>
    <w:rsid w:val="00697556"/>
    <w:rsid w:val="00697963"/>
    <w:rsid w:val="006979A4"/>
    <w:rsid w:val="00697EA1"/>
    <w:rsid w:val="006A0051"/>
    <w:rsid w:val="006A1C09"/>
    <w:rsid w:val="006A1CA8"/>
    <w:rsid w:val="006A1EB6"/>
    <w:rsid w:val="006A2EDF"/>
    <w:rsid w:val="006A2F6C"/>
    <w:rsid w:val="006A616B"/>
    <w:rsid w:val="006A6809"/>
    <w:rsid w:val="006A72C7"/>
    <w:rsid w:val="006B001F"/>
    <w:rsid w:val="006B1FDF"/>
    <w:rsid w:val="006B29D4"/>
    <w:rsid w:val="006B4081"/>
    <w:rsid w:val="006B4647"/>
    <w:rsid w:val="006B4B99"/>
    <w:rsid w:val="006B4C2B"/>
    <w:rsid w:val="006B4C39"/>
    <w:rsid w:val="006B5DFE"/>
    <w:rsid w:val="006B6139"/>
    <w:rsid w:val="006B6194"/>
    <w:rsid w:val="006B661E"/>
    <w:rsid w:val="006B6D47"/>
    <w:rsid w:val="006B7078"/>
    <w:rsid w:val="006B719A"/>
    <w:rsid w:val="006C072C"/>
    <w:rsid w:val="006C0798"/>
    <w:rsid w:val="006C13C5"/>
    <w:rsid w:val="006C1FD7"/>
    <w:rsid w:val="006C31FE"/>
    <w:rsid w:val="006C3E16"/>
    <w:rsid w:val="006C4912"/>
    <w:rsid w:val="006C5AFE"/>
    <w:rsid w:val="006C5FA8"/>
    <w:rsid w:val="006C6017"/>
    <w:rsid w:val="006C728D"/>
    <w:rsid w:val="006C7715"/>
    <w:rsid w:val="006C7AF6"/>
    <w:rsid w:val="006D2747"/>
    <w:rsid w:val="006D30B1"/>
    <w:rsid w:val="006D3BB2"/>
    <w:rsid w:val="006D4C44"/>
    <w:rsid w:val="006D5E04"/>
    <w:rsid w:val="006D5E27"/>
    <w:rsid w:val="006D6310"/>
    <w:rsid w:val="006D7C76"/>
    <w:rsid w:val="006E033E"/>
    <w:rsid w:val="006E04B2"/>
    <w:rsid w:val="006E0A54"/>
    <w:rsid w:val="006E113C"/>
    <w:rsid w:val="006E155D"/>
    <w:rsid w:val="006E1EEA"/>
    <w:rsid w:val="006E4298"/>
    <w:rsid w:val="006E4C15"/>
    <w:rsid w:val="006E5FC3"/>
    <w:rsid w:val="006E7B4C"/>
    <w:rsid w:val="006F075D"/>
    <w:rsid w:val="006F268E"/>
    <w:rsid w:val="006F2EC8"/>
    <w:rsid w:val="006F33A3"/>
    <w:rsid w:val="006F3970"/>
    <w:rsid w:val="006F40C2"/>
    <w:rsid w:val="006F4824"/>
    <w:rsid w:val="006F4B4F"/>
    <w:rsid w:val="006F56D0"/>
    <w:rsid w:val="006F5E13"/>
    <w:rsid w:val="006F6D95"/>
    <w:rsid w:val="006F7B62"/>
    <w:rsid w:val="006F7CFE"/>
    <w:rsid w:val="00702937"/>
    <w:rsid w:val="00702989"/>
    <w:rsid w:val="007039F7"/>
    <w:rsid w:val="00703A70"/>
    <w:rsid w:val="00704DA8"/>
    <w:rsid w:val="00705F85"/>
    <w:rsid w:val="00706F13"/>
    <w:rsid w:val="007072E8"/>
    <w:rsid w:val="007076FB"/>
    <w:rsid w:val="00710413"/>
    <w:rsid w:val="00710FF1"/>
    <w:rsid w:val="007125BB"/>
    <w:rsid w:val="007125FC"/>
    <w:rsid w:val="007126E8"/>
    <w:rsid w:val="007127EF"/>
    <w:rsid w:val="007134B4"/>
    <w:rsid w:val="00714586"/>
    <w:rsid w:val="00714A31"/>
    <w:rsid w:val="00714AD4"/>
    <w:rsid w:val="00715237"/>
    <w:rsid w:val="0071618D"/>
    <w:rsid w:val="007161E3"/>
    <w:rsid w:val="00717294"/>
    <w:rsid w:val="00720192"/>
    <w:rsid w:val="0072116F"/>
    <w:rsid w:val="00721534"/>
    <w:rsid w:val="00721571"/>
    <w:rsid w:val="00721A52"/>
    <w:rsid w:val="00721D5B"/>
    <w:rsid w:val="00722B3D"/>
    <w:rsid w:val="00723CF0"/>
    <w:rsid w:val="0072463D"/>
    <w:rsid w:val="00724792"/>
    <w:rsid w:val="00724A10"/>
    <w:rsid w:val="00724B63"/>
    <w:rsid w:val="00724C58"/>
    <w:rsid w:val="00724DEF"/>
    <w:rsid w:val="007254A4"/>
    <w:rsid w:val="0072552A"/>
    <w:rsid w:val="00725FA4"/>
    <w:rsid w:val="00726548"/>
    <w:rsid w:val="00727B2C"/>
    <w:rsid w:val="00731FF0"/>
    <w:rsid w:val="00732AC4"/>
    <w:rsid w:val="00732E0B"/>
    <w:rsid w:val="00732FDC"/>
    <w:rsid w:val="00733492"/>
    <w:rsid w:val="00733DD7"/>
    <w:rsid w:val="007340CC"/>
    <w:rsid w:val="00734187"/>
    <w:rsid w:val="00734C73"/>
    <w:rsid w:val="00736BDC"/>
    <w:rsid w:val="00737BF5"/>
    <w:rsid w:val="00740446"/>
    <w:rsid w:val="007423C4"/>
    <w:rsid w:val="00742B4B"/>
    <w:rsid w:val="007435B1"/>
    <w:rsid w:val="007438A9"/>
    <w:rsid w:val="00743E7F"/>
    <w:rsid w:val="0074491E"/>
    <w:rsid w:val="00744B69"/>
    <w:rsid w:val="00745C85"/>
    <w:rsid w:val="007476D6"/>
    <w:rsid w:val="0075091F"/>
    <w:rsid w:val="007511E4"/>
    <w:rsid w:val="00751832"/>
    <w:rsid w:val="00751CAA"/>
    <w:rsid w:val="00752E84"/>
    <w:rsid w:val="00753C36"/>
    <w:rsid w:val="0075578E"/>
    <w:rsid w:val="007573D9"/>
    <w:rsid w:val="00757CC6"/>
    <w:rsid w:val="007601EE"/>
    <w:rsid w:val="007602F3"/>
    <w:rsid w:val="0076163F"/>
    <w:rsid w:val="00761B07"/>
    <w:rsid w:val="00762220"/>
    <w:rsid w:val="0076247A"/>
    <w:rsid w:val="00762FB0"/>
    <w:rsid w:val="00763175"/>
    <w:rsid w:val="00763381"/>
    <w:rsid w:val="00763599"/>
    <w:rsid w:val="00763621"/>
    <w:rsid w:val="00763B5F"/>
    <w:rsid w:val="00767391"/>
    <w:rsid w:val="007705CD"/>
    <w:rsid w:val="007725D7"/>
    <w:rsid w:val="00774ABE"/>
    <w:rsid w:val="00775964"/>
    <w:rsid w:val="0077621A"/>
    <w:rsid w:val="0077639F"/>
    <w:rsid w:val="007765FE"/>
    <w:rsid w:val="007766B3"/>
    <w:rsid w:val="00776E58"/>
    <w:rsid w:val="00777163"/>
    <w:rsid w:val="00780B90"/>
    <w:rsid w:val="00781E1A"/>
    <w:rsid w:val="00783FEE"/>
    <w:rsid w:val="007855C4"/>
    <w:rsid w:val="00785678"/>
    <w:rsid w:val="00786622"/>
    <w:rsid w:val="00787E5A"/>
    <w:rsid w:val="00787EB1"/>
    <w:rsid w:val="00790375"/>
    <w:rsid w:val="007910E8"/>
    <w:rsid w:val="007910F2"/>
    <w:rsid w:val="007928B7"/>
    <w:rsid w:val="007932E1"/>
    <w:rsid w:val="00793C5D"/>
    <w:rsid w:val="00794E2E"/>
    <w:rsid w:val="00795373"/>
    <w:rsid w:val="00795BFB"/>
    <w:rsid w:val="007960C3"/>
    <w:rsid w:val="00797706"/>
    <w:rsid w:val="00797C63"/>
    <w:rsid w:val="007A02DE"/>
    <w:rsid w:val="007A060C"/>
    <w:rsid w:val="007A1185"/>
    <w:rsid w:val="007A3597"/>
    <w:rsid w:val="007A50D4"/>
    <w:rsid w:val="007A5E57"/>
    <w:rsid w:val="007A76E1"/>
    <w:rsid w:val="007A78D2"/>
    <w:rsid w:val="007B03A1"/>
    <w:rsid w:val="007B0666"/>
    <w:rsid w:val="007B0FAC"/>
    <w:rsid w:val="007B100F"/>
    <w:rsid w:val="007B124C"/>
    <w:rsid w:val="007B1592"/>
    <w:rsid w:val="007B1CF5"/>
    <w:rsid w:val="007B2760"/>
    <w:rsid w:val="007B2899"/>
    <w:rsid w:val="007B4E8B"/>
    <w:rsid w:val="007B53E9"/>
    <w:rsid w:val="007B564B"/>
    <w:rsid w:val="007B59FA"/>
    <w:rsid w:val="007B5CF2"/>
    <w:rsid w:val="007B606B"/>
    <w:rsid w:val="007B71EE"/>
    <w:rsid w:val="007B77CE"/>
    <w:rsid w:val="007C0309"/>
    <w:rsid w:val="007C127E"/>
    <w:rsid w:val="007C1B10"/>
    <w:rsid w:val="007C1BE1"/>
    <w:rsid w:val="007C2260"/>
    <w:rsid w:val="007C2407"/>
    <w:rsid w:val="007C3B18"/>
    <w:rsid w:val="007C4BEC"/>
    <w:rsid w:val="007C585E"/>
    <w:rsid w:val="007C5B24"/>
    <w:rsid w:val="007C5F2D"/>
    <w:rsid w:val="007C68AA"/>
    <w:rsid w:val="007C79E3"/>
    <w:rsid w:val="007D0032"/>
    <w:rsid w:val="007D0492"/>
    <w:rsid w:val="007D18DF"/>
    <w:rsid w:val="007D49D7"/>
    <w:rsid w:val="007D69D2"/>
    <w:rsid w:val="007D6B92"/>
    <w:rsid w:val="007D710E"/>
    <w:rsid w:val="007D7459"/>
    <w:rsid w:val="007E09A4"/>
    <w:rsid w:val="007E0BFA"/>
    <w:rsid w:val="007E1112"/>
    <w:rsid w:val="007E1812"/>
    <w:rsid w:val="007E38FA"/>
    <w:rsid w:val="007E3963"/>
    <w:rsid w:val="007E3D47"/>
    <w:rsid w:val="007E4A8E"/>
    <w:rsid w:val="007E5792"/>
    <w:rsid w:val="007E5B81"/>
    <w:rsid w:val="007E66B1"/>
    <w:rsid w:val="007E71A4"/>
    <w:rsid w:val="007E75F4"/>
    <w:rsid w:val="007E7A97"/>
    <w:rsid w:val="007F1280"/>
    <w:rsid w:val="007F18CF"/>
    <w:rsid w:val="007F6527"/>
    <w:rsid w:val="007F6C99"/>
    <w:rsid w:val="007F76F4"/>
    <w:rsid w:val="007F7C1B"/>
    <w:rsid w:val="00800D21"/>
    <w:rsid w:val="00801F33"/>
    <w:rsid w:val="00802E44"/>
    <w:rsid w:val="00803071"/>
    <w:rsid w:val="0080321C"/>
    <w:rsid w:val="0080401E"/>
    <w:rsid w:val="00804020"/>
    <w:rsid w:val="0080404C"/>
    <w:rsid w:val="0080413E"/>
    <w:rsid w:val="008043BB"/>
    <w:rsid w:val="00804D2E"/>
    <w:rsid w:val="00805A4F"/>
    <w:rsid w:val="00806C01"/>
    <w:rsid w:val="008108FD"/>
    <w:rsid w:val="00810A93"/>
    <w:rsid w:val="00810E01"/>
    <w:rsid w:val="00810F59"/>
    <w:rsid w:val="00811D3E"/>
    <w:rsid w:val="00812431"/>
    <w:rsid w:val="00812BAE"/>
    <w:rsid w:val="00812BB1"/>
    <w:rsid w:val="00813E05"/>
    <w:rsid w:val="008148CC"/>
    <w:rsid w:val="0081535E"/>
    <w:rsid w:val="008167FC"/>
    <w:rsid w:val="00816837"/>
    <w:rsid w:val="00817302"/>
    <w:rsid w:val="00817632"/>
    <w:rsid w:val="00817731"/>
    <w:rsid w:val="00817B89"/>
    <w:rsid w:val="00820C62"/>
    <w:rsid w:val="008211A4"/>
    <w:rsid w:val="00821986"/>
    <w:rsid w:val="00822366"/>
    <w:rsid w:val="00822961"/>
    <w:rsid w:val="0082311D"/>
    <w:rsid w:val="008237CA"/>
    <w:rsid w:val="00823CA6"/>
    <w:rsid w:val="008251BC"/>
    <w:rsid w:val="00825C0C"/>
    <w:rsid w:val="00826668"/>
    <w:rsid w:val="00826E96"/>
    <w:rsid w:val="008276D9"/>
    <w:rsid w:val="00827AA3"/>
    <w:rsid w:val="0083007A"/>
    <w:rsid w:val="00830FF0"/>
    <w:rsid w:val="0083140E"/>
    <w:rsid w:val="008318F6"/>
    <w:rsid w:val="00831A7D"/>
    <w:rsid w:val="00831B30"/>
    <w:rsid w:val="008339A7"/>
    <w:rsid w:val="00833DA4"/>
    <w:rsid w:val="008342F3"/>
    <w:rsid w:val="00834EFB"/>
    <w:rsid w:val="00837AD4"/>
    <w:rsid w:val="00840179"/>
    <w:rsid w:val="00840EA5"/>
    <w:rsid w:val="00841D53"/>
    <w:rsid w:val="00841D80"/>
    <w:rsid w:val="00842049"/>
    <w:rsid w:val="00842644"/>
    <w:rsid w:val="00842EE8"/>
    <w:rsid w:val="008433A6"/>
    <w:rsid w:val="00843DAD"/>
    <w:rsid w:val="0084467C"/>
    <w:rsid w:val="00844A3D"/>
    <w:rsid w:val="00845891"/>
    <w:rsid w:val="00845BAD"/>
    <w:rsid w:val="0084693A"/>
    <w:rsid w:val="00850A36"/>
    <w:rsid w:val="008511DC"/>
    <w:rsid w:val="008512B1"/>
    <w:rsid w:val="008528E7"/>
    <w:rsid w:val="00853640"/>
    <w:rsid w:val="00853FAC"/>
    <w:rsid w:val="00854203"/>
    <w:rsid w:val="00855C40"/>
    <w:rsid w:val="0085640E"/>
    <w:rsid w:val="008567D4"/>
    <w:rsid w:val="00856C7E"/>
    <w:rsid w:val="00861829"/>
    <w:rsid w:val="008625B3"/>
    <w:rsid w:val="00862E48"/>
    <w:rsid w:val="0086357B"/>
    <w:rsid w:val="00863809"/>
    <w:rsid w:val="00863A37"/>
    <w:rsid w:val="00863AB8"/>
    <w:rsid w:val="00864C35"/>
    <w:rsid w:val="00864F48"/>
    <w:rsid w:val="00865239"/>
    <w:rsid w:val="00865362"/>
    <w:rsid w:val="0086640C"/>
    <w:rsid w:val="00866CF3"/>
    <w:rsid w:val="00867B1A"/>
    <w:rsid w:val="00870417"/>
    <w:rsid w:val="0087143B"/>
    <w:rsid w:val="00873150"/>
    <w:rsid w:val="008733B5"/>
    <w:rsid w:val="00873A38"/>
    <w:rsid w:val="00873FF9"/>
    <w:rsid w:val="00874329"/>
    <w:rsid w:val="00874613"/>
    <w:rsid w:val="00875A02"/>
    <w:rsid w:val="00875B5E"/>
    <w:rsid w:val="00876557"/>
    <w:rsid w:val="0087657D"/>
    <w:rsid w:val="0087722D"/>
    <w:rsid w:val="008807D5"/>
    <w:rsid w:val="00880832"/>
    <w:rsid w:val="0088172D"/>
    <w:rsid w:val="00881A25"/>
    <w:rsid w:val="0088369F"/>
    <w:rsid w:val="008836A4"/>
    <w:rsid w:val="00883A88"/>
    <w:rsid w:val="00884D80"/>
    <w:rsid w:val="00886D19"/>
    <w:rsid w:val="00886EE1"/>
    <w:rsid w:val="0088727D"/>
    <w:rsid w:val="00887F31"/>
    <w:rsid w:val="008902C7"/>
    <w:rsid w:val="00892F2C"/>
    <w:rsid w:val="0089340F"/>
    <w:rsid w:val="00893E73"/>
    <w:rsid w:val="008944D2"/>
    <w:rsid w:val="00894859"/>
    <w:rsid w:val="00894B89"/>
    <w:rsid w:val="008951CD"/>
    <w:rsid w:val="00895326"/>
    <w:rsid w:val="00896F62"/>
    <w:rsid w:val="008971C1"/>
    <w:rsid w:val="00897C27"/>
    <w:rsid w:val="00897C75"/>
    <w:rsid w:val="008A0F70"/>
    <w:rsid w:val="008A1221"/>
    <w:rsid w:val="008A1461"/>
    <w:rsid w:val="008A1E0D"/>
    <w:rsid w:val="008A1EDB"/>
    <w:rsid w:val="008A2565"/>
    <w:rsid w:val="008A4148"/>
    <w:rsid w:val="008A4BD9"/>
    <w:rsid w:val="008A5444"/>
    <w:rsid w:val="008A56AF"/>
    <w:rsid w:val="008A6101"/>
    <w:rsid w:val="008A66C8"/>
    <w:rsid w:val="008A6BE9"/>
    <w:rsid w:val="008A7669"/>
    <w:rsid w:val="008B1869"/>
    <w:rsid w:val="008B21A6"/>
    <w:rsid w:val="008B24A7"/>
    <w:rsid w:val="008B2CEF"/>
    <w:rsid w:val="008B2EAF"/>
    <w:rsid w:val="008B327D"/>
    <w:rsid w:val="008B3AEF"/>
    <w:rsid w:val="008B502D"/>
    <w:rsid w:val="008B61E5"/>
    <w:rsid w:val="008B6760"/>
    <w:rsid w:val="008B6CFD"/>
    <w:rsid w:val="008B7E48"/>
    <w:rsid w:val="008C1097"/>
    <w:rsid w:val="008C1130"/>
    <w:rsid w:val="008C1215"/>
    <w:rsid w:val="008C1914"/>
    <w:rsid w:val="008C25BD"/>
    <w:rsid w:val="008C3591"/>
    <w:rsid w:val="008C54CC"/>
    <w:rsid w:val="008C5969"/>
    <w:rsid w:val="008C6406"/>
    <w:rsid w:val="008C6D97"/>
    <w:rsid w:val="008C6DB0"/>
    <w:rsid w:val="008C71E7"/>
    <w:rsid w:val="008C729C"/>
    <w:rsid w:val="008C7A64"/>
    <w:rsid w:val="008D0647"/>
    <w:rsid w:val="008D09B9"/>
    <w:rsid w:val="008D13D1"/>
    <w:rsid w:val="008D18E6"/>
    <w:rsid w:val="008D1DC5"/>
    <w:rsid w:val="008D2C6D"/>
    <w:rsid w:val="008D2D56"/>
    <w:rsid w:val="008D3144"/>
    <w:rsid w:val="008D6D03"/>
    <w:rsid w:val="008D6D5D"/>
    <w:rsid w:val="008D7274"/>
    <w:rsid w:val="008D755F"/>
    <w:rsid w:val="008D7A9B"/>
    <w:rsid w:val="008E0060"/>
    <w:rsid w:val="008E09BB"/>
    <w:rsid w:val="008E0F2A"/>
    <w:rsid w:val="008E121C"/>
    <w:rsid w:val="008E1DAF"/>
    <w:rsid w:val="008E1E53"/>
    <w:rsid w:val="008E2B63"/>
    <w:rsid w:val="008E4655"/>
    <w:rsid w:val="008E4F4C"/>
    <w:rsid w:val="008E57B9"/>
    <w:rsid w:val="008E59D1"/>
    <w:rsid w:val="008E6687"/>
    <w:rsid w:val="008E6ADC"/>
    <w:rsid w:val="008E6D31"/>
    <w:rsid w:val="008E7091"/>
    <w:rsid w:val="008E76AC"/>
    <w:rsid w:val="008E76D4"/>
    <w:rsid w:val="008F03AC"/>
    <w:rsid w:val="008F0D84"/>
    <w:rsid w:val="008F1EB1"/>
    <w:rsid w:val="008F1FDC"/>
    <w:rsid w:val="008F21F6"/>
    <w:rsid w:val="008F24E4"/>
    <w:rsid w:val="008F282A"/>
    <w:rsid w:val="008F2EAE"/>
    <w:rsid w:val="008F2EB0"/>
    <w:rsid w:val="008F44D5"/>
    <w:rsid w:val="008F4CE8"/>
    <w:rsid w:val="008F57D5"/>
    <w:rsid w:val="008F6E08"/>
    <w:rsid w:val="008F6FA2"/>
    <w:rsid w:val="008F72E0"/>
    <w:rsid w:val="008F748B"/>
    <w:rsid w:val="00900D5E"/>
    <w:rsid w:val="00900E75"/>
    <w:rsid w:val="00901457"/>
    <w:rsid w:val="00901827"/>
    <w:rsid w:val="00901DFC"/>
    <w:rsid w:val="009026F4"/>
    <w:rsid w:val="00902EDA"/>
    <w:rsid w:val="00902F64"/>
    <w:rsid w:val="00903386"/>
    <w:rsid w:val="009049C5"/>
    <w:rsid w:val="00904A12"/>
    <w:rsid w:val="00904AF0"/>
    <w:rsid w:val="00906A2D"/>
    <w:rsid w:val="00907626"/>
    <w:rsid w:val="00907B43"/>
    <w:rsid w:val="009113F1"/>
    <w:rsid w:val="00911F4D"/>
    <w:rsid w:val="009127AF"/>
    <w:rsid w:val="0091359D"/>
    <w:rsid w:val="00914F06"/>
    <w:rsid w:val="00915552"/>
    <w:rsid w:val="00915E86"/>
    <w:rsid w:val="0091624B"/>
    <w:rsid w:val="009165DC"/>
    <w:rsid w:val="00917201"/>
    <w:rsid w:val="00917367"/>
    <w:rsid w:val="00917770"/>
    <w:rsid w:val="00920663"/>
    <w:rsid w:val="00920EDF"/>
    <w:rsid w:val="009212EB"/>
    <w:rsid w:val="00923B14"/>
    <w:rsid w:val="00924E2E"/>
    <w:rsid w:val="00925993"/>
    <w:rsid w:val="00926475"/>
    <w:rsid w:val="00927126"/>
    <w:rsid w:val="00930023"/>
    <w:rsid w:val="00930543"/>
    <w:rsid w:val="0093100D"/>
    <w:rsid w:val="00931419"/>
    <w:rsid w:val="0093152F"/>
    <w:rsid w:val="00931ADD"/>
    <w:rsid w:val="00931E01"/>
    <w:rsid w:val="009327E7"/>
    <w:rsid w:val="0093297A"/>
    <w:rsid w:val="00932B77"/>
    <w:rsid w:val="0093367F"/>
    <w:rsid w:val="00933DF7"/>
    <w:rsid w:val="00935218"/>
    <w:rsid w:val="00935985"/>
    <w:rsid w:val="00935D7C"/>
    <w:rsid w:val="00935EA3"/>
    <w:rsid w:val="00936488"/>
    <w:rsid w:val="009364F2"/>
    <w:rsid w:val="0094015D"/>
    <w:rsid w:val="00940CBE"/>
    <w:rsid w:val="0094147E"/>
    <w:rsid w:val="00942327"/>
    <w:rsid w:val="009427D5"/>
    <w:rsid w:val="0094299F"/>
    <w:rsid w:val="00942C56"/>
    <w:rsid w:val="00943CA7"/>
    <w:rsid w:val="00944E53"/>
    <w:rsid w:val="0094513B"/>
    <w:rsid w:val="00946AC1"/>
    <w:rsid w:val="009502CC"/>
    <w:rsid w:val="00950BFC"/>
    <w:rsid w:val="0095183F"/>
    <w:rsid w:val="00951925"/>
    <w:rsid w:val="00951F79"/>
    <w:rsid w:val="009529A6"/>
    <w:rsid w:val="00954120"/>
    <w:rsid w:val="00954404"/>
    <w:rsid w:val="00954952"/>
    <w:rsid w:val="00954C36"/>
    <w:rsid w:val="00954EB1"/>
    <w:rsid w:val="00955866"/>
    <w:rsid w:val="00955F64"/>
    <w:rsid w:val="00955FC2"/>
    <w:rsid w:val="00957503"/>
    <w:rsid w:val="00961EAC"/>
    <w:rsid w:val="009626D1"/>
    <w:rsid w:val="0096279C"/>
    <w:rsid w:val="0096342A"/>
    <w:rsid w:val="00964650"/>
    <w:rsid w:val="00964BE8"/>
    <w:rsid w:val="00965DB0"/>
    <w:rsid w:val="00965EAF"/>
    <w:rsid w:val="00966F1D"/>
    <w:rsid w:val="00967498"/>
    <w:rsid w:val="009703FA"/>
    <w:rsid w:val="00970A73"/>
    <w:rsid w:val="009711EC"/>
    <w:rsid w:val="00971250"/>
    <w:rsid w:val="00971302"/>
    <w:rsid w:val="00971CC1"/>
    <w:rsid w:val="00973186"/>
    <w:rsid w:val="009733BB"/>
    <w:rsid w:val="0097499D"/>
    <w:rsid w:val="00974AB5"/>
    <w:rsid w:val="00974B58"/>
    <w:rsid w:val="00975624"/>
    <w:rsid w:val="009756B1"/>
    <w:rsid w:val="0097592C"/>
    <w:rsid w:val="00976EC7"/>
    <w:rsid w:val="00976FD7"/>
    <w:rsid w:val="009809CB"/>
    <w:rsid w:val="00981F30"/>
    <w:rsid w:val="009820D7"/>
    <w:rsid w:val="009825E7"/>
    <w:rsid w:val="00982701"/>
    <w:rsid w:val="009827FB"/>
    <w:rsid w:val="0098286E"/>
    <w:rsid w:val="00982A7B"/>
    <w:rsid w:val="00982CC0"/>
    <w:rsid w:val="00982FE1"/>
    <w:rsid w:val="00983049"/>
    <w:rsid w:val="00983511"/>
    <w:rsid w:val="00983E49"/>
    <w:rsid w:val="00983FB3"/>
    <w:rsid w:val="009843A8"/>
    <w:rsid w:val="009844C9"/>
    <w:rsid w:val="009851BF"/>
    <w:rsid w:val="009851CD"/>
    <w:rsid w:val="00985EBE"/>
    <w:rsid w:val="00986A5E"/>
    <w:rsid w:val="00986A71"/>
    <w:rsid w:val="0098706D"/>
    <w:rsid w:val="0098764A"/>
    <w:rsid w:val="009903FC"/>
    <w:rsid w:val="00991B54"/>
    <w:rsid w:val="009923B4"/>
    <w:rsid w:val="00992F46"/>
    <w:rsid w:val="009935FB"/>
    <w:rsid w:val="00993AA9"/>
    <w:rsid w:val="00993DED"/>
    <w:rsid w:val="0099448D"/>
    <w:rsid w:val="00996E66"/>
    <w:rsid w:val="009971F5"/>
    <w:rsid w:val="00997985"/>
    <w:rsid w:val="00997E69"/>
    <w:rsid w:val="009A0187"/>
    <w:rsid w:val="009A0252"/>
    <w:rsid w:val="009A0748"/>
    <w:rsid w:val="009A0953"/>
    <w:rsid w:val="009A1CD3"/>
    <w:rsid w:val="009A235E"/>
    <w:rsid w:val="009A3039"/>
    <w:rsid w:val="009A3DAA"/>
    <w:rsid w:val="009A4D1C"/>
    <w:rsid w:val="009A4F41"/>
    <w:rsid w:val="009A565E"/>
    <w:rsid w:val="009A615F"/>
    <w:rsid w:val="009B03D7"/>
    <w:rsid w:val="009B079A"/>
    <w:rsid w:val="009B1328"/>
    <w:rsid w:val="009B2C67"/>
    <w:rsid w:val="009B303D"/>
    <w:rsid w:val="009B31B2"/>
    <w:rsid w:val="009B45B2"/>
    <w:rsid w:val="009B4BFA"/>
    <w:rsid w:val="009B4C2E"/>
    <w:rsid w:val="009B4F8D"/>
    <w:rsid w:val="009B5748"/>
    <w:rsid w:val="009B5752"/>
    <w:rsid w:val="009B57F5"/>
    <w:rsid w:val="009C112F"/>
    <w:rsid w:val="009C15AD"/>
    <w:rsid w:val="009C167B"/>
    <w:rsid w:val="009C17D3"/>
    <w:rsid w:val="009C1933"/>
    <w:rsid w:val="009C2AF0"/>
    <w:rsid w:val="009C3DB8"/>
    <w:rsid w:val="009C422B"/>
    <w:rsid w:val="009C5367"/>
    <w:rsid w:val="009C5A6E"/>
    <w:rsid w:val="009C5ED5"/>
    <w:rsid w:val="009C6FF8"/>
    <w:rsid w:val="009C71DA"/>
    <w:rsid w:val="009C72BA"/>
    <w:rsid w:val="009C7500"/>
    <w:rsid w:val="009C7987"/>
    <w:rsid w:val="009C7F29"/>
    <w:rsid w:val="009D139C"/>
    <w:rsid w:val="009D191F"/>
    <w:rsid w:val="009D21C4"/>
    <w:rsid w:val="009D2A09"/>
    <w:rsid w:val="009D4626"/>
    <w:rsid w:val="009D52C8"/>
    <w:rsid w:val="009D5565"/>
    <w:rsid w:val="009D74AD"/>
    <w:rsid w:val="009D75F9"/>
    <w:rsid w:val="009E06C2"/>
    <w:rsid w:val="009E0994"/>
    <w:rsid w:val="009E1320"/>
    <w:rsid w:val="009E1B36"/>
    <w:rsid w:val="009E1EB8"/>
    <w:rsid w:val="009E3023"/>
    <w:rsid w:val="009E3D1C"/>
    <w:rsid w:val="009E4EFC"/>
    <w:rsid w:val="009E5113"/>
    <w:rsid w:val="009E5521"/>
    <w:rsid w:val="009E569D"/>
    <w:rsid w:val="009E5968"/>
    <w:rsid w:val="009E5A80"/>
    <w:rsid w:val="009E5BC5"/>
    <w:rsid w:val="009E7922"/>
    <w:rsid w:val="009F021A"/>
    <w:rsid w:val="009F0489"/>
    <w:rsid w:val="009F0D75"/>
    <w:rsid w:val="009F15BD"/>
    <w:rsid w:val="009F198E"/>
    <w:rsid w:val="009F252B"/>
    <w:rsid w:val="009F3D0E"/>
    <w:rsid w:val="009F457C"/>
    <w:rsid w:val="009F47F4"/>
    <w:rsid w:val="009F496E"/>
    <w:rsid w:val="009F4A54"/>
    <w:rsid w:val="009F4BEC"/>
    <w:rsid w:val="009F4F37"/>
    <w:rsid w:val="009F553B"/>
    <w:rsid w:val="009F5874"/>
    <w:rsid w:val="009F59FE"/>
    <w:rsid w:val="009F6BAD"/>
    <w:rsid w:val="009F6C94"/>
    <w:rsid w:val="009F6D13"/>
    <w:rsid w:val="009F6F58"/>
    <w:rsid w:val="00A00622"/>
    <w:rsid w:val="00A03470"/>
    <w:rsid w:val="00A041D4"/>
    <w:rsid w:val="00A045AB"/>
    <w:rsid w:val="00A04D18"/>
    <w:rsid w:val="00A0515F"/>
    <w:rsid w:val="00A061FC"/>
    <w:rsid w:val="00A06C25"/>
    <w:rsid w:val="00A0708C"/>
    <w:rsid w:val="00A07643"/>
    <w:rsid w:val="00A07B20"/>
    <w:rsid w:val="00A07D24"/>
    <w:rsid w:val="00A10393"/>
    <w:rsid w:val="00A10857"/>
    <w:rsid w:val="00A11576"/>
    <w:rsid w:val="00A12211"/>
    <w:rsid w:val="00A122C5"/>
    <w:rsid w:val="00A131E8"/>
    <w:rsid w:val="00A134EC"/>
    <w:rsid w:val="00A144D4"/>
    <w:rsid w:val="00A159FA"/>
    <w:rsid w:val="00A1772B"/>
    <w:rsid w:val="00A17F89"/>
    <w:rsid w:val="00A2050C"/>
    <w:rsid w:val="00A2261B"/>
    <w:rsid w:val="00A23DA6"/>
    <w:rsid w:val="00A23E49"/>
    <w:rsid w:val="00A240CB"/>
    <w:rsid w:val="00A242DE"/>
    <w:rsid w:val="00A24CB4"/>
    <w:rsid w:val="00A258BE"/>
    <w:rsid w:val="00A25FD7"/>
    <w:rsid w:val="00A26DEA"/>
    <w:rsid w:val="00A27BE4"/>
    <w:rsid w:val="00A27D98"/>
    <w:rsid w:val="00A31837"/>
    <w:rsid w:val="00A32621"/>
    <w:rsid w:val="00A32F81"/>
    <w:rsid w:val="00A34CB5"/>
    <w:rsid w:val="00A366F9"/>
    <w:rsid w:val="00A36B25"/>
    <w:rsid w:val="00A36C14"/>
    <w:rsid w:val="00A3773C"/>
    <w:rsid w:val="00A404D0"/>
    <w:rsid w:val="00A40669"/>
    <w:rsid w:val="00A40880"/>
    <w:rsid w:val="00A411C4"/>
    <w:rsid w:val="00A41A77"/>
    <w:rsid w:val="00A43020"/>
    <w:rsid w:val="00A43041"/>
    <w:rsid w:val="00A43AFF"/>
    <w:rsid w:val="00A440CB"/>
    <w:rsid w:val="00A44FF2"/>
    <w:rsid w:val="00A454E3"/>
    <w:rsid w:val="00A46303"/>
    <w:rsid w:val="00A473CD"/>
    <w:rsid w:val="00A50DBD"/>
    <w:rsid w:val="00A50F78"/>
    <w:rsid w:val="00A50FFA"/>
    <w:rsid w:val="00A51419"/>
    <w:rsid w:val="00A515A7"/>
    <w:rsid w:val="00A51DA4"/>
    <w:rsid w:val="00A52D39"/>
    <w:rsid w:val="00A532D3"/>
    <w:rsid w:val="00A537A1"/>
    <w:rsid w:val="00A5392B"/>
    <w:rsid w:val="00A571BF"/>
    <w:rsid w:val="00A57EB7"/>
    <w:rsid w:val="00A60C76"/>
    <w:rsid w:val="00A60F91"/>
    <w:rsid w:val="00A619C0"/>
    <w:rsid w:val="00A62082"/>
    <w:rsid w:val="00A62CF6"/>
    <w:rsid w:val="00A639D8"/>
    <w:rsid w:val="00A63D09"/>
    <w:rsid w:val="00A6411B"/>
    <w:rsid w:val="00A645DF"/>
    <w:rsid w:val="00A648A5"/>
    <w:rsid w:val="00A6492A"/>
    <w:rsid w:val="00A660E9"/>
    <w:rsid w:val="00A66313"/>
    <w:rsid w:val="00A6780C"/>
    <w:rsid w:val="00A67C13"/>
    <w:rsid w:val="00A7103F"/>
    <w:rsid w:val="00A722BC"/>
    <w:rsid w:val="00A731C3"/>
    <w:rsid w:val="00A74AD1"/>
    <w:rsid w:val="00A765A9"/>
    <w:rsid w:val="00A7793A"/>
    <w:rsid w:val="00A80C05"/>
    <w:rsid w:val="00A80C7B"/>
    <w:rsid w:val="00A82091"/>
    <w:rsid w:val="00A827B5"/>
    <w:rsid w:val="00A83B99"/>
    <w:rsid w:val="00A83EE1"/>
    <w:rsid w:val="00A8497A"/>
    <w:rsid w:val="00A85C52"/>
    <w:rsid w:val="00A85CAE"/>
    <w:rsid w:val="00A85D9F"/>
    <w:rsid w:val="00A85F79"/>
    <w:rsid w:val="00A86AB5"/>
    <w:rsid w:val="00A9056B"/>
    <w:rsid w:val="00A90902"/>
    <w:rsid w:val="00A90A5A"/>
    <w:rsid w:val="00A95099"/>
    <w:rsid w:val="00A956C0"/>
    <w:rsid w:val="00A96250"/>
    <w:rsid w:val="00AA0287"/>
    <w:rsid w:val="00AA0E18"/>
    <w:rsid w:val="00AA0F34"/>
    <w:rsid w:val="00AA0FA8"/>
    <w:rsid w:val="00AA2290"/>
    <w:rsid w:val="00AA2722"/>
    <w:rsid w:val="00AA35B8"/>
    <w:rsid w:val="00AA4A0F"/>
    <w:rsid w:val="00AA4CC7"/>
    <w:rsid w:val="00AA535A"/>
    <w:rsid w:val="00AA583A"/>
    <w:rsid w:val="00AA5E8E"/>
    <w:rsid w:val="00AA7048"/>
    <w:rsid w:val="00AA77A0"/>
    <w:rsid w:val="00AA77BA"/>
    <w:rsid w:val="00AB0281"/>
    <w:rsid w:val="00AB0EB1"/>
    <w:rsid w:val="00AB163A"/>
    <w:rsid w:val="00AB1AF2"/>
    <w:rsid w:val="00AB225B"/>
    <w:rsid w:val="00AB2801"/>
    <w:rsid w:val="00AB2BAD"/>
    <w:rsid w:val="00AB46ED"/>
    <w:rsid w:val="00AB51EC"/>
    <w:rsid w:val="00AB566F"/>
    <w:rsid w:val="00AB5F42"/>
    <w:rsid w:val="00AB604C"/>
    <w:rsid w:val="00AB6816"/>
    <w:rsid w:val="00AB6CA7"/>
    <w:rsid w:val="00AB6D57"/>
    <w:rsid w:val="00AB6DD5"/>
    <w:rsid w:val="00AC0BD4"/>
    <w:rsid w:val="00AC27FB"/>
    <w:rsid w:val="00AC3B82"/>
    <w:rsid w:val="00AC3EF0"/>
    <w:rsid w:val="00AC422F"/>
    <w:rsid w:val="00AC45AE"/>
    <w:rsid w:val="00AC5E9C"/>
    <w:rsid w:val="00AC66D2"/>
    <w:rsid w:val="00AC6CB4"/>
    <w:rsid w:val="00AC7044"/>
    <w:rsid w:val="00AD01DE"/>
    <w:rsid w:val="00AD01E4"/>
    <w:rsid w:val="00AD0858"/>
    <w:rsid w:val="00AD17E6"/>
    <w:rsid w:val="00AD498E"/>
    <w:rsid w:val="00AD4D6E"/>
    <w:rsid w:val="00AD53F9"/>
    <w:rsid w:val="00AD7D38"/>
    <w:rsid w:val="00AD7D7C"/>
    <w:rsid w:val="00AE02E3"/>
    <w:rsid w:val="00AE0677"/>
    <w:rsid w:val="00AE0CCB"/>
    <w:rsid w:val="00AE0F26"/>
    <w:rsid w:val="00AE0FC6"/>
    <w:rsid w:val="00AE1231"/>
    <w:rsid w:val="00AE168C"/>
    <w:rsid w:val="00AE2B11"/>
    <w:rsid w:val="00AE39AB"/>
    <w:rsid w:val="00AE41E5"/>
    <w:rsid w:val="00AE5145"/>
    <w:rsid w:val="00AE72E1"/>
    <w:rsid w:val="00AE7340"/>
    <w:rsid w:val="00AF0BB5"/>
    <w:rsid w:val="00AF0C52"/>
    <w:rsid w:val="00AF1BBD"/>
    <w:rsid w:val="00AF1D1B"/>
    <w:rsid w:val="00AF246E"/>
    <w:rsid w:val="00AF29D5"/>
    <w:rsid w:val="00AF2C5B"/>
    <w:rsid w:val="00AF45AF"/>
    <w:rsid w:val="00AF53F4"/>
    <w:rsid w:val="00AF5C7F"/>
    <w:rsid w:val="00AF7068"/>
    <w:rsid w:val="00AF794B"/>
    <w:rsid w:val="00AF7E9D"/>
    <w:rsid w:val="00B00296"/>
    <w:rsid w:val="00B00CAC"/>
    <w:rsid w:val="00B02A8B"/>
    <w:rsid w:val="00B03620"/>
    <w:rsid w:val="00B038E7"/>
    <w:rsid w:val="00B0445B"/>
    <w:rsid w:val="00B04948"/>
    <w:rsid w:val="00B04D38"/>
    <w:rsid w:val="00B052C2"/>
    <w:rsid w:val="00B0546B"/>
    <w:rsid w:val="00B06FFE"/>
    <w:rsid w:val="00B077F9"/>
    <w:rsid w:val="00B0780D"/>
    <w:rsid w:val="00B07BBF"/>
    <w:rsid w:val="00B10207"/>
    <w:rsid w:val="00B10E97"/>
    <w:rsid w:val="00B11041"/>
    <w:rsid w:val="00B119BF"/>
    <w:rsid w:val="00B11EAF"/>
    <w:rsid w:val="00B12416"/>
    <w:rsid w:val="00B13275"/>
    <w:rsid w:val="00B13288"/>
    <w:rsid w:val="00B141E7"/>
    <w:rsid w:val="00B15349"/>
    <w:rsid w:val="00B15543"/>
    <w:rsid w:val="00B1555F"/>
    <w:rsid w:val="00B15732"/>
    <w:rsid w:val="00B16417"/>
    <w:rsid w:val="00B16B69"/>
    <w:rsid w:val="00B16F02"/>
    <w:rsid w:val="00B16FF4"/>
    <w:rsid w:val="00B171A2"/>
    <w:rsid w:val="00B2008B"/>
    <w:rsid w:val="00B22C00"/>
    <w:rsid w:val="00B23869"/>
    <w:rsid w:val="00B2435A"/>
    <w:rsid w:val="00B249C2"/>
    <w:rsid w:val="00B25B86"/>
    <w:rsid w:val="00B260AD"/>
    <w:rsid w:val="00B26197"/>
    <w:rsid w:val="00B26280"/>
    <w:rsid w:val="00B265A1"/>
    <w:rsid w:val="00B27200"/>
    <w:rsid w:val="00B3194B"/>
    <w:rsid w:val="00B31D3C"/>
    <w:rsid w:val="00B3344F"/>
    <w:rsid w:val="00B33B32"/>
    <w:rsid w:val="00B3466A"/>
    <w:rsid w:val="00B351B4"/>
    <w:rsid w:val="00B351FA"/>
    <w:rsid w:val="00B35960"/>
    <w:rsid w:val="00B40D0D"/>
    <w:rsid w:val="00B41DF4"/>
    <w:rsid w:val="00B4232B"/>
    <w:rsid w:val="00B42917"/>
    <w:rsid w:val="00B42993"/>
    <w:rsid w:val="00B43325"/>
    <w:rsid w:val="00B43898"/>
    <w:rsid w:val="00B46BCA"/>
    <w:rsid w:val="00B47528"/>
    <w:rsid w:val="00B478AA"/>
    <w:rsid w:val="00B47F4C"/>
    <w:rsid w:val="00B50A0A"/>
    <w:rsid w:val="00B51E65"/>
    <w:rsid w:val="00B52415"/>
    <w:rsid w:val="00B53749"/>
    <w:rsid w:val="00B554FE"/>
    <w:rsid w:val="00B55692"/>
    <w:rsid w:val="00B557E5"/>
    <w:rsid w:val="00B55A2C"/>
    <w:rsid w:val="00B56028"/>
    <w:rsid w:val="00B565C7"/>
    <w:rsid w:val="00B5711A"/>
    <w:rsid w:val="00B57D8C"/>
    <w:rsid w:val="00B600A4"/>
    <w:rsid w:val="00B600F0"/>
    <w:rsid w:val="00B600FD"/>
    <w:rsid w:val="00B61D64"/>
    <w:rsid w:val="00B63549"/>
    <w:rsid w:val="00B63E7E"/>
    <w:rsid w:val="00B64F3D"/>
    <w:rsid w:val="00B65989"/>
    <w:rsid w:val="00B65F61"/>
    <w:rsid w:val="00B662BA"/>
    <w:rsid w:val="00B665CD"/>
    <w:rsid w:val="00B7042B"/>
    <w:rsid w:val="00B710D7"/>
    <w:rsid w:val="00B72E5C"/>
    <w:rsid w:val="00B72EE6"/>
    <w:rsid w:val="00B74044"/>
    <w:rsid w:val="00B743A1"/>
    <w:rsid w:val="00B744B8"/>
    <w:rsid w:val="00B75663"/>
    <w:rsid w:val="00B760D6"/>
    <w:rsid w:val="00B76A1F"/>
    <w:rsid w:val="00B77482"/>
    <w:rsid w:val="00B77CD0"/>
    <w:rsid w:val="00B80168"/>
    <w:rsid w:val="00B80937"/>
    <w:rsid w:val="00B80A4C"/>
    <w:rsid w:val="00B80A53"/>
    <w:rsid w:val="00B8131D"/>
    <w:rsid w:val="00B81FA5"/>
    <w:rsid w:val="00B825C2"/>
    <w:rsid w:val="00B82619"/>
    <w:rsid w:val="00B82839"/>
    <w:rsid w:val="00B82883"/>
    <w:rsid w:val="00B828E1"/>
    <w:rsid w:val="00B82DE0"/>
    <w:rsid w:val="00B83813"/>
    <w:rsid w:val="00B83AC5"/>
    <w:rsid w:val="00B84993"/>
    <w:rsid w:val="00B84C00"/>
    <w:rsid w:val="00B85325"/>
    <w:rsid w:val="00B85425"/>
    <w:rsid w:val="00B85FD4"/>
    <w:rsid w:val="00B87806"/>
    <w:rsid w:val="00B87935"/>
    <w:rsid w:val="00B87B22"/>
    <w:rsid w:val="00B87EC9"/>
    <w:rsid w:val="00B91F5D"/>
    <w:rsid w:val="00B926E6"/>
    <w:rsid w:val="00B93096"/>
    <w:rsid w:val="00B93640"/>
    <w:rsid w:val="00B93FF5"/>
    <w:rsid w:val="00B94441"/>
    <w:rsid w:val="00B94C9E"/>
    <w:rsid w:val="00B94D33"/>
    <w:rsid w:val="00B96BF6"/>
    <w:rsid w:val="00B96C5C"/>
    <w:rsid w:val="00BA070B"/>
    <w:rsid w:val="00BA13ED"/>
    <w:rsid w:val="00BA15CB"/>
    <w:rsid w:val="00BA2E21"/>
    <w:rsid w:val="00BA3864"/>
    <w:rsid w:val="00BA3F95"/>
    <w:rsid w:val="00BA4149"/>
    <w:rsid w:val="00BA41AF"/>
    <w:rsid w:val="00BA4427"/>
    <w:rsid w:val="00BA4B06"/>
    <w:rsid w:val="00BA5137"/>
    <w:rsid w:val="00BA7C07"/>
    <w:rsid w:val="00BB03E9"/>
    <w:rsid w:val="00BB2604"/>
    <w:rsid w:val="00BB3726"/>
    <w:rsid w:val="00BB4867"/>
    <w:rsid w:val="00BB6133"/>
    <w:rsid w:val="00BB6691"/>
    <w:rsid w:val="00BB751A"/>
    <w:rsid w:val="00BC1525"/>
    <w:rsid w:val="00BC1B33"/>
    <w:rsid w:val="00BC1DB9"/>
    <w:rsid w:val="00BC22E5"/>
    <w:rsid w:val="00BC24A1"/>
    <w:rsid w:val="00BC302E"/>
    <w:rsid w:val="00BC38FD"/>
    <w:rsid w:val="00BC3C53"/>
    <w:rsid w:val="00BC3F6A"/>
    <w:rsid w:val="00BC4C9E"/>
    <w:rsid w:val="00BC4F40"/>
    <w:rsid w:val="00BC5A27"/>
    <w:rsid w:val="00BC5BEC"/>
    <w:rsid w:val="00BC5F2E"/>
    <w:rsid w:val="00BC7F3B"/>
    <w:rsid w:val="00BD1FC6"/>
    <w:rsid w:val="00BD28F0"/>
    <w:rsid w:val="00BD30D2"/>
    <w:rsid w:val="00BD3EB5"/>
    <w:rsid w:val="00BD4409"/>
    <w:rsid w:val="00BD4774"/>
    <w:rsid w:val="00BD5DC7"/>
    <w:rsid w:val="00BD6191"/>
    <w:rsid w:val="00BD6D05"/>
    <w:rsid w:val="00BD7269"/>
    <w:rsid w:val="00BD72C1"/>
    <w:rsid w:val="00BE064B"/>
    <w:rsid w:val="00BE2586"/>
    <w:rsid w:val="00BE267D"/>
    <w:rsid w:val="00BE479B"/>
    <w:rsid w:val="00BE4A70"/>
    <w:rsid w:val="00BE511F"/>
    <w:rsid w:val="00BE52B5"/>
    <w:rsid w:val="00BE5618"/>
    <w:rsid w:val="00BE6240"/>
    <w:rsid w:val="00BE6451"/>
    <w:rsid w:val="00BE67F5"/>
    <w:rsid w:val="00BE6D1B"/>
    <w:rsid w:val="00BE6FCB"/>
    <w:rsid w:val="00BE7273"/>
    <w:rsid w:val="00BF0AD0"/>
    <w:rsid w:val="00BF233C"/>
    <w:rsid w:val="00BF3650"/>
    <w:rsid w:val="00BF39C8"/>
    <w:rsid w:val="00BF4204"/>
    <w:rsid w:val="00BF4A8F"/>
    <w:rsid w:val="00BF5A0E"/>
    <w:rsid w:val="00BF6403"/>
    <w:rsid w:val="00BF6966"/>
    <w:rsid w:val="00BF69C9"/>
    <w:rsid w:val="00BF6CC6"/>
    <w:rsid w:val="00BF737C"/>
    <w:rsid w:val="00BF7F5D"/>
    <w:rsid w:val="00C0025E"/>
    <w:rsid w:val="00C01488"/>
    <w:rsid w:val="00C01510"/>
    <w:rsid w:val="00C01DF8"/>
    <w:rsid w:val="00C02231"/>
    <w:rsid w:val="00C02BA1"/>
    <w:rsid w:val="00C02D7C"/>
    <w:rsid w:val="00C030AB"/>
    <w:rsid w:val="00C034CB"/>
    <w:rsid w:val="00C03D13"/>
    <w:rsid w:val="00C0509B"/>
    <w:rsid w:val="00C051A8"/>
    <w:rsid w:val="00C054BC"/>
    <w:rsid w:val="00C059D0"/>
    <w:rsid w:val="00C06692"/>
    <w:rsid w:val="00C06851"/>
    <w:rsid w:val="00C06D16"/>
    <w:rsid w:val="00C06E3B"/>
    <w:rsid w:val="00C077E7"/>
    <w:rsid w:val="00C07859"/>
    <w:rsid w:val="00C07866"/>
    <w:rsid w:val="00C07D28"/>
    <w:rsid w:val="00C10035"/>
    <w:rsid w:val="00C10433"/>
    <w:rsid w:val="00C1142D"/>
    <w:rsid w:val="00C11B7D"/>
    <w:rsid w:val="00C11F53"/>
    <w:rsid w:val="00C11F87"/>
    <w:rsid w:val="00C12F3B"/>
    <w:rsid w:val="00C14033"/>
    <w:rsid w:val="00C142CE"/>
    <w:rsid w:val="00C158D4"/>
    <w:rsid w:val="00C16FA6"/>
    <w:rsid w:val="00C170C2"/>
    <w:rsid w:val="00C17547"/>
    <w:rsid w:val="00C17897"/>
    <w:rsid w:val="00C202E9"/>
    <w:rsid w:val="00C2199B"/>
    <w:rsid w:val="00C21A7C"/>
    <w:rsid w:val="00C21AAB"/>
    <w:rsid w:val="00C22ACF"/>
    <w:rsid w:val="00C23D5E"/>
    <w:rsid w:val="00C24D55"/>
    <w:rsid w:val="00C2737C"/>
    <w:rsid w:val="00C273C7"/>
    <w:rsid w:val="00C30324"/>
    <w:rsid w:val="00C30D93"/>
    <w:rsid w:val="00C312D2"/>
    <w:rsid w:val="00C3136D"/>
    <w:rsid w:val="00C32B95"/>
    <w:rsid w:val="00C32CD4"/>
    <w:rsid w:val="00C357DB"/>
    <w:rsid w:val="00C35ABF"/>
    <w:rsid w:val="00C362A6"/>
    <w:rsid w:val="00C367C9"/>
    <w:rsid w:val="00C36AE6"/>
    <w:rsid w:val="00C36D3F"/>
    <w:rsid w:val="00C37944"/>
    <w:rsid w:val="00C40052"/>
    <w:rsid w:val="00C409D5"/>
    <w:rsid w:val="00C40B14"/>
    <w:rsid w:val="00C415E0"/>
    <w:rsid w:val="00C435C3"/>
    <w:rsid w:val="00C43FAE"/>
    <w:rsid w:val="00C4460E"/>
    <w:rsid w:val="00C44B9B"/>
    <w:rsid w:val="00C44CC9"/>
    <w:rsid w:val="00C44E5F"/>
    <w:rsid w:val="00C45C8B"/>
    <w:rsid w:val="00C46B05"/>
    <w:rsid w:val="00C4722C"/>
    <w:rsid w:val="00C50334"/>
    <w:rsid w:val="00C51595"/>
    <w:rsid w:val="00C51958"/>
    <w:rsid w:val="00C51B7C"/>
    <w:rsid w:val="00C52727"/>
    <w:rsid w:val="00C53216"/>
    <w:rsid w:val="00C57DD2"/>
    <w:rsid w:val="00C60C51"/>
    <w:rsid w:val="00C61B63"/>
    <w:rsid w:val="00C61D99"/>
    <w:rsid w:val="00C622D4"/>
    <w:rsid w:val="00C6234B"/>
    <w:rsid w:val="00C624E5"/>
    <w:rsid w:val="00C63C92"/>
    <w:rsid w:val="00C63EAE"/>
    <w:rsid w:val="00C641D6"/>
    <w:rsid w:val="00C656EE"/>
    <w:rsid w:val="00C66370"/>
    <w:rsid w:val="00C666E7"/>
    <w:rsid w:val="00C66CC6"/>
    <w:rsid w:val="00C67B57"/>
    <w:rsid w:val="00C707BF"/>
    <w:rsid w:val="00C70E01"/>
    <w:rsid w:val="00C71203"/>
    <w:rsid w:val="00C71A99"/>
    <w:rsid w:val="00C73121"/>
    <w:rsid w:val="00C73200"/>
    <w:rsid w:val="00C73260"/>
    <w:rsid w:val="00C74B5F"/>
    <w:rsid w:val="00C74D4C"/>
    <w:rsid w:val="00C7540C"/>
    <w:rsid w:val="00C7629F"/>
    <w:rsid w:val="00C766F0"/>
    <w:rsid w:val="00C771BE"/>
    <w:rsid w:val="00C7794E"/>
    <w:rsid w:val="00C806C3"/>
    <w:rsid w:val="00C823AC"/>
    <w:rsid w:val="00C82D05"/>
    <w:rsid w:val="00C83796"/>
    <w:rsid w:val="00C838B8"/>
    <w:rsid w:val="00C84382"/>
    <w:rsid w:val="00C851C0"/>
    <w:rsid w:val="00C856E8"/>
    <w:rsid w:val="00C85990"/>
    <w:rsid w:val="00C8661B"/>
    <w:rsid w:val="00C87F56"/>
    <w:rsid w:val="00C9054F"/>
    <w:rsid w:val="00C91E23"/>
    <w:rsid w:val="00C9259E"/>
    <w:rsid w:val="00C928A4"/>
    <w:rsid w:val="00C939C5"/>
    <w:rsid w:val="00C93C63"/>
    <w:rsid w:val="00C94696"/>
    <w:rsid w:val="00C95040"/>
    <w:rsid w:val="00C9528B"/>
    <w:rsid w:val="00C95C54"/>
    <w:rsid w:val="00C968D1"/>
    <w:rsid w:val="00C96974"/>
    <w:rsid w:val="00C97080"/>
    <w:rsid w:val="00C97581"/>
    <w:rsid w:val="00C979BF"/>
    <w:rsid w:val="00CA03C8"/>
    <w:rsid w:val="00CA0630"/>
    <w:rsid w:val="00CA0B0D"/>
    <w:rsid w:val="00CA0C77"/>
    <w:rsid w:val="00CA0DFD"/>
    <w:rsid w:val="00CA139A"/>
    <w:rsid w:val="00CA19FA"/>
    <w:rsid w:val="00CA2899"/>
    <w:rsid w:val="00CA301C"/>
    <w:rsid w:val="00CA3A3D"/>
    <w:rsid w:val="00CA3A92"/>
    <w:rsid w:val="00CA3AA6"/>
    <w:rsid w:val="00CA3EF3"/>
    <w:rsid w:val="00CA4880"/>
    <w:rsid w:val="00CA4D1C"/>
    <w:rsid w:val="00CA51FC"/>
    <w:rsid w:val="00CA555C"/>
    <w:rsid w:val="00CA76D9"/>
    <w:rsid w:val="00CA77FB"/>
    <w:rsid w:val="00CA793D"/>
    <w:rsid w:val="00CA7942"/>
    <w:rsid w:val="00CB026C"/>
    <w:rsid w:val="00CB0C67"/>
    <w:rsid w:val="00CB2858"/>
    <w:rsid w:val="00CB2886"/>
    <w:rsid w:val="00CB3293"/>
    <w:rsid w:val="00CB379B"/>
    <w:rsid w:val="00CB3918"/>
    <w:rsid w:val="00CB3BF4"/>
    <w:rsid w:val="00CB4074"/>
    <w:rsid w:val="00CB423F"/>
    <w:rsid w:val="00CB454A"/>
    <w:rsid w:val="00CB4ED0"/>
    <w:rsid w:val="00CB4F88"/>
    <w:rsid w:val="00CB5DD0"/>
    <w:rsid w:val="00CB5E5C"/>
    <w:rsid w:val="00CC0493"/>
    <w:rsid w:val="00CC06BA"/>
    <w:rsid w:val="00CC1802"/>
    <w:rsid w:val="00CC250B"/>
    <w:rsid w:val="00CC269A"/>
    <w:rsid w:val="00CC4AD9"/>
    <w:rsid w:val="00CC51D4"/>
    <w:rsid w:val="00CC564F"/>
    <w:rsid w:val="00CC5BF3"/>
    <w:rsid w:val="00CC6327"/>
    <w:rsid w:val="00CC65DA"/>
    <w:rsid w:val="00CC6BEC"/>
    <w:rsid w:val="00CC6C62"/>
    <w:rsid w:val="00CC7349"/>
    <w:rsid w:val="00CC7A67"/>
    <w:rsid w:val="00CD1043"/>
    <w:rsid w:val="00CD13F3"/>
    <w:rsid w:val="00CD14B9"/>
    <w:rsid w:val="00CD1962"/>
    <w:rsid w:val="00CD334C"/>
    <w:rsid w:val="00CD34CC"/>
    <w:rsid w:val="00CD46B3"/>
    <w:rsid w:val="00CD52DB"/>
    <w:rsid w:val="00CD692C"/>
    <w:rsid w:val="00CD6C8C"/>
    <w:rsid w:val="00CD6E4F"/>
    <w:rsid w:val="00CD75CC"/>
    <w:rsid w:val="00CE11CC"/>
    <w:rsid w:val="00CE18A4"/>
    <w:rsid w:val="00CE28DB"/>
    <w:rsid w:val="00CE2AA7"/>
    <w:rsid w:val="00CE2B49"/>
    <w:rsid w:val="00CE31D4"/>
    <w:rsid w:val="00CE336B"/>
    <w:rsid w:val="00CE39B1"/>
    <w:rsid w:val="00CE4916"/>
    <w:rsid w:val="00CE5AA0"/>
    <w:rsid w:val="00CE7B36"/>
    <w:rsid w:val="00CF0103"/>
    <w:rsid w:val="00CF174F"/>
    <w:rsid w:val="00CF18FA"/>
    <w:rsid w:val="00CF21B9"/>
    <w:rsid w:val="00CF2A2D"/>
    <w:rsid w:val="00CF4036"/>
    <w:rsid w:val="00CF4D6E"/>
    <w:rsid w:val="00CF637A"/>
    <w:rsid w:val="00CF6BF9"/>
    <w:rsid w:val="00D00748"/>
    <w:rsid w:val="00D02A5C"/>
    <w:rsid w:val="00D03006"/>
    <w:rsid w:val="00D03800"/>
    <w:rsid w:val="00D0389D"/>
    <w:rsid w:val="00D065D3"/>
    <w:rsid w:val="00D06A26"/>
    <w:rsid w:val="00D10DD2"/>
    <w:rsid w:val="00D11C4B"/>
    <w:rsid w:val="00D12AEC"/>
    <w:rsid w:val="00D13799"/>
    <w:rsid w:val="00D14142"/>
    <w:rsid w:val="00D14C94"/>
    <w:rsid w:val="00D15166"/>
    <w:rsid w:val="00D17195"/>
    <w:rsid w:val="00D2087A"/>
    <w:rsid w:val="00D20C48"/>
    <w:rsid w:val="00D215E1"/>
    <w:rsid w:val="00D21652"/>
    <w:rsid w:val="00D21DF3"/>
    <w:rsid w:val="00D231C8"/>
    <w:rsid w:val="00D234FD"/>
    <w:rsid w:val="00D23E0E"/>
    <w:rsid w:val="00D252FD"/>
    <w:rsid w:val="00D256FA"/>
    <w:rsid w:val="00D26224"/>
    <w:rsid w:val="00D26B2B"/>
    <w:rsid w:val="00D26D63"/>
    <w:rsid w:val="00D2748F"/>
    <w:rsid w:val="00D27672"/>
    <w:rsid w:val="00D27F49"/>
    <w:rsid w:val="00D311DF"/>
    <w:rsid w:val="00D31C4A"/>
    <w:rsid w:val="00D32D99"/>
    <w:rsid w:val="00D32F94"/>
    <w:rsid w:val="00D3327A"/>
    <w:rsid w:val="00D3421B"/>
    <w:rsid w:val="00D342A6"/>
    <w:rsid w:val="00D343C4"/>
    <w:rsid w:val="00D34440"/>
    <w:rsid w:val="00D3458A"/>
    <w:rsid w:val="00D35A33"/>
    <w:rsid w:val="00D35B35"/>
    <w:rsid w:val="00D3636B"/>
    <w:rsid w:val="00D36A6A"/>
    <w:rsid w:val="00D37634"/>
    <w:rsid w:val="00D37F02"/>
    <w:rsid w:val="00D400F9"/>
    <w:rsid w:val="00D41024"/>
    <w:rsid w:val="00D428AA"/>
    <w:rsid w:val="00D43004"/>
    <w:rsid w:val="00D443BE"/>
    <w:rsid w:val="00D456CF"/>
    <w:rsid w:val="00D45CA6"/>
    <w:rsid w:val="00D464BF"/>
    <w:rsid w:val="00D46635"/>
    <w:rsid w:val="00D51D2F"/>
    <w:rsid w:val="00D52B10"/>
    <w:rsid w:val="00D52BDB"/>
    <w:rsid w:val="00D5356B"/>
    <w:rsid w:val="00D53D9A"/>
    <w:rsid w:val="00D53E26"/>
    <w:rsid w:val="00D54ECE"/>
    <w:rsid w:val="00D553D3"/>
    <w:rsid w:val="00D557EE"/>
    <w:rsid w:val="00D56881"/>
    <w:rsid w:val="00D57074"/>
    <w:rsid w:val="00D60EE3"/>
    <w:rsid w:val="00D60EE7"/>
    <w:rsid w:val="00D61510"/>
    <w:rsid w:val="00D618AD"/>
    <w:rsid w:val="00D62F75"/>
    <w:rsid w:val="00D630BE"/>
    <w:rsid w:val="00D6322D"/>
    <w:rsid w:val="00D65742"/>
    <w:rsid w:val="00D65EBE"/>
    <w:rsid w:val="00D67BAB"/>
    <w:rsid w:val="00D70E31"/>
    <w:rsid w:val="00D711B2"/>
    <w:rsid w:val="00D717A8"/>
    <w:rsid w:val="00D72DA3"/>
    <w:rsid w:val="00D73501"/>
    <w:rsid w:val="00D7454A"/>
    <w:rsid w:val="00D755F8"/>
    <w:rsid w:val="00D76752"/>
    <w:rsid w:val="00D76C08"/>
    <w:rsid w:val="00D76EBB"/>
    <w:rsid w:val="00D77688"/>
    <w:rsid w:val="00D77EFB"/>
    <w:rsid w:val="00D82509"/>
    <w:rsid w:val="00D829B1"/>
    <w:rsid w:val="00D8328B"/>
    <w:rsid w:val="00D8377A"/>
    <w:rsid w:val="00D83F72"/>
    <w:rsid w:val="00D841FF"/>
    <w:rsid w:val="00D84D15"/>
    <w:rsid w:val="00D85297"/>
    <w:rsid w:val="00D85B77"/>
    <w:rsid w:val="00D85C90"/>
    <w:rsid w:val="00D86190"/>
    <w:rsid w:val="00D863AA"/>
    <w:rsid w:val="00D86E13"/>
    <w:rsid w:val="00D86ED4"/>
    <w:rsid w:val="00D87054"/>
    <w:rsid w:val="00D87308"/>
    <w:rsid w:val="00D87709"/>
    <w:rsid w:val="00D9080F"/>
    <w:rsid w:val="00D90B8D"/>
    <w:rsid w:val="00D94CCE"/>
    <w:rsid w:val="00D95055"/>
    <w:rsid w:val="00D95AA4"/>
    <w:rsid w:val="00D96392"/>
    <w:rsid w:val="00D96C9A"/>
    <w:rsid w:val="00D9702E"/>
    <w:rsid w:val="00D97059"/>
    <w:rsid w:val="00D979E4"/>
    <w:rsid w:val="00DA0339"/>
    <w:rsid w:val="00DA036D"/>
    <w:rsid w:val="00DA14AF"/>
    <w:rsid w:val="00DA573D"/>
    <w:rsid w:val="00DA61BD"/>
    <w:rsid w:val="00DA62CC"/>
    <w:rsid w:val="00DA653F"/>
    <w:rsid w:val="00DA6B4D"/>
    <w:rsid w:val="00DA6EF0"/>
    <w:rsid w:val="00DA78EC"/>
    <w:rsid w:val="00DA7B18"/>
    <w:rsid w:val="00DB020A"/>
    <w:rsid w:val="00DB182C"/>
    <w:rsid w:val="00DB2582"/>
    <w:rsid w:val="00DB319C"/>
    <w:rsid w:val="00DB390F"/>
    <w:rsid w:val="00DB3DFC"/>
    <w:rsid w:val="00DB4BA3"/>
    <w:rsid w:val="00DB5402"/>
    <w:rsid w:val="00DB5B17"/>
    <w:rsid w:val="00DB62A2"/>
    <w:rsid w:val="00DC02C0"/>
    <w:rsid w:val="00DC0F46"/>
    <w:rsid w:val="00DC1187"/>
    <w:rsid w:val="00DC1AB9"/>
    <w:rsid w:val="00DC22D8"/>
    <w:rsid w:val="00DC29B8"/>
    <w:rsid w:val="00DC2DB9"/>
    <w:rsid w:val="00DC30E6"/>
    <w:rsid w:val="00DC32A6"/>
    <w:rsid w:val="00DC32A9"/>
    <w:rsid w:val="00DC3445"/>
    <w:rsid w:val="00DC3BD1"/>
    <w:rsid w:val="00DC4047"/>
    <w:rsid w:val="00DC4361"/>
    <w:rsid w:val="00DC4BB6"/>
    <w:rsid w:val="00DC5B99"/>
    <w:rsid w:val="00DC61DA"/>
    <w:rsid w:val="00DC756E"/>
    <w:rsid w:val="00DC7B09"/>
    <w:rsid w:val="00DD096C"/>
    <w:rsid w:val="00DD0A45"/>
    <w:rsid w:val="00DD0CC1"/>
    <w:rsid w:val="00DD236B"/>
    <w:rsid w:val="00DD3302"/>
    <w:rsid w:val="00DD3943"/>
    <w:rsid w:val="00DD4F0E"/>
    <w:rsid w:val="00DD54ED"/>
    <w:rsid w:val="00DD5F22"/>
    <w:rsid w:val="00DD6056"/>
    <w:rsid w:val="00DD763B"/>
    <w:rsid w:val="00DE0C49"/>
    <w:rsid w:val="00DE1D45"/>
    <w:rsid w:val="00DE2E0B"/>
    <w:rsid w:val="00DE4ACD"/>
    <w:rsid w:val="00DE742C"/>
    <w:rsid w:val="00DE74ED"/>
    <w:rsid w:val="00DE7B7E"/>
    <w:rsid w:val="00DF0BF0"/>
    <w:rsid w:val="00DF1CB4"/>
    <w:rsid w:val="00DF3A2F"/>
    <w:rsid w:val="00DF3B73"/>
    <w:rsid w:val="00DF3CA2"/>
    <w:rsid w:val="00DF5747"/>
    <w:rsid w:val="00DF5B29"/>
    <w:rsid w:val="00DF6A7B"/>
    <w:rsid w:val="00DF71DC"/>
    <w:rsid w:val="00DF753B"/>
    <w:rsid w:val="00DF7651"/>
    <w:rsid w:val="00DF78A4"/>
    <w:rsid w:val="00DF7E9D"/>
    <w:rsid w:val="00E002F6"/>
    <w:rsid w:val="00E00D70"/>
    <w:rsid w:val="00E01375"/>
    <w:rsid w:val="00E01463"/>
    <w:rsid w:val="00E01A6B"/>
    <w:rsid w:val="00E02991"/>
    <w:rsid w:val="00E03B99"/>
    <w:rsid w:val="00E03D08"/>
    <w:rsid w:val="00E04198"/>
    <w:rsid w:val="00E04F2F"/>
    <w:rsid w:val="00E052C8"/>
    <w:rsid w:val="00E05E0A"/>
    <w:rsid w:val="00E060BE"/>
    <w:rsid w:val="00E06186"/>
    <w:rsid w:val="00E062E2"/>
    <w:rsid w:val="00E06714"/>
    <w:rsid w:val="00E06AF3"/>
    <w:rsid w:val="00E10452"/>
    <w:rsid w:val="00E10E29"/>
    <w:rsid w:val="00E12F10"/>
    <w:rsid w:val="00E13DEC"/>
    <w:rsid w:val="00E14109"/>
    <w:rsid w:val="00E14A4B"/>
    <w:rsid w:val="00E16AAC"/>
    <w:rsid w:val="00E205B3"/>
    <w:rsid w:val="00E210E1"/>
    <w:rsid w:val="00E23594"/>
    <w:rsid w:val="00E24857"/>
    <w:rsid w:val="00E24EB2"/>
    <w:rsid w:val="00E25479"/>
    <w:rsid w:val="00E26F95"/>
    <w:rsid w:val="00E272BB"/>
    <w:rsid w:val="00E27608"/>
    <w:rsid w:val="00E3092E"/>
    <w:rsid w:val="00E32583"/>
    <w:rsid w:val="00E336C6"/>
    <w:rsid w:val="00E3419F"/>
    <w:rsid w:val="00E348B6"/>
    <w:rsid w:val="00E35DA7"/>
    <w:rsid w:val="00E36456"/>
    <w:rsid w:val="00E3651B"/>
    <w:rsid w:val="00E379D9"/>
    <w:rsid w:val="00E40697"/>
    <w:rsid w:val="00E40B05"/>
    <w:rsid w:val="00E4302C"/>
    <w:rsid w:val="00E442C8"/>
    <w:rsid w:val="00E44594"/>
    <w:rsid w:val="00E44D6B"/>
    <w:rsid w:val="00E44DD0"/>
    <w:rsid w:val="00E452BD"/>
    <w:rsid w:val="00E45320"/>
    <w:rsid w:val="00E45AAF"/>
    <w:rsid w:val="00E474A8"/>
    <w:rsid w:val="00E475A8"/>
    <w:rsid w:val="00E47A98"/>
    <w:rsid w:val="00E503E5"/>
    <w:rsid w:val="00E512DA"/>
    <w:rsid w:val="00E521C9"/>
    <w:rsid w:val="00E52877"/>
    <w:rsid w:val="00E534CF"/>
    <w:rsid w:val="00E538D3"/>
    <w:rsid w:val="00E53AEE"/>
    <w:rsid w:val="00E54E39"/>
    <w:rsid w:val="00E553F7"/>
    <w:rsid w:val="00E56D4F"/>
    <w:rsid w:val="00E57794"/>
    <w:rsid w:val="00E57D43"/>
    <w:rsid w:val="00E57DB1"/>
    <w:rsid w:val="00E60527"/>
    <w:rsid w:val="00E609EA"/>
    <w:rsid w:val="00E61918"/>
    <w:rsid w:val="00E620FD"/>
    <w:rsid w:val="00E622D2"/>
    <w:rsid w:val="00E6437E"/>
    <w:rsid w:val="00E65533"/>
    <w:rsid w:val="00E66479"/>
    <w:rsid w:val="00E66A24"/>
    <w:rsid w:val="00E66EF8"/>
    <w:rsid w:val="00E6757C"/>
    <w:rsid w:val="00E67795"/>
    <w:rsid w:val="00E6786F"/>
    <w:rsid w:val="00E70525"/>
    <w:rsid w:val="00E71517"/>
    <w:rsid w:val="00E716FE"/>
    <w:rsid w:val="00E72226"/>
    <w:rsid w:val="00E73CF4"/>
    <w:rsid w:val="00E74A12"/>
    <w:rsid w:val="00E75719"/>
    <w:rsid w:val="00E75922"/>
    <w:rsid w:val="00E75CF3"/>
    <w:rsid w:val="00E76552"/>
    <w:rsid w:val="00E76737"/>
    <w:rsid w:val="00E77C52"/>
    <w:rsid w:val="00E80039"/>
    <w:rsid w:val="00E80AA0"/>
    <w:rsid w:val="00E81720"/>
    <w:rsid w:val="00E81AA5"/>
    <w:rsid w:val="00E81CB4"/>
    <w:rsid w:val="00E82A33"/>
    <w:rsid w:val="00E835B3"/>
    <w:rsid w:val="00E8393E"/>
    <w:rsid w:val="00E83DD8"/>
    <w:rsid w:val="00E83F58"/>
    <w:rsid w:val="00E8585B"/>
    <w:rsid w:val="00E86C55"/>
    <w:rsid w:val="00E87CCE"/>
    <w:rsid w:val="00E87F41"/>
    <w:rsid w:val="00E90E21"/>
    <w:rsid w:val="00E91BE1"/>
    <w:rsid w:val="00E92880"/>
    <w:rsid w:val="00E9330F"/>
    <w:rsid w:val="00E93726"/>
    <w:rsid w:val="00E938C9"/>
    <w:rsid w:val="00E93C65"/>
    <w:rsid w:val="00E969E7"/>
    <w:rsid w:val="00E96AF1"/>
    <w:rsid w:val="00E96B1E"/>
    <w:rsid w:val="00E97083"/>
    <w:rsid w:val="00E973B0"/>
    <w:rsid w:val="00EA08DE"/>
    <w:rsid w:val="00EA0BE1"/>
    <w:rsid w:val="00EA20BE"/>
    <w:rsid w:val="00EA2B0F"/>
    <w:rsid w:val="00EA396E"/>
    <w:rsid w:val="00EA3F15"/>
    <w:rsid w:val="00EA458E"/>
    <w:rsid w:val="00EA4C7E"/>
    <w:rsid w:val="00EA69C9"/>
    <w:rsid w:val="00EA76CA"/>
    <w:rsid w:val="00EA7847"/>
    <w:rsid w:val="00EA7BB7"/>
    <w:rsid w:val="00EB06E0"/>
    <w:rsid w:val="00EB0927"/>
    <w:rsid w:val="00EB0EB7"/>
    <w:rsid w:val="00EB16F4"/>
    <w:rsid w:val="00EB1C76"/>
    <w:rsid w:val="00EB28E6"/>
    <w:rsid w:val="00EB29E1"/>
    <w:rsid w:val="00EB2AD3"/>
    <w:rsid w:val="00EB2F92"/>
    <w:rsid w:val="00EB3407"/>
    <w:rsid w:val="00EB352A"/>
    <w:rsid w:val="00EB3D1E"/>
    <w:rsid w:val="00EB432F"/>
    <w:rsid w:val="00EB47E5"/>
    <w:rsid w:val="00EB4C2F"/>
    <w:rsid w:val="00EB5054"/>
    <w:rsid w:val="00EB5B27"/>
    <w:rsid w:val="00EB6A09"/>
    <w:rsid w:val="00EB7C99"/>
    <w:rsid w:val="00EB7ED8"/>
    <w:rsid w:val="00EC0085"/>
    <w:rsid w:val="00EC0F8B"/>
    <w:rsid w:val="00EC24EC"/>
    <w:rsid w:val="00EC35DD"/>
    <w:rsid w:val="00EC551E"/>
    <w:rsid w:val="00EC5748"/>
    <w:rsid w:val="00EC5A4B"/>
    <w:rsid w:val="00EC688C"/>
    <w:rsid w:val="00EC6FAA"/>
    <w:rsid w:val="00ED0150"/>
    <w:rsid w:val="00ED03F6"/>
    <w:rsid w:val="00ED0D19"/>
    <w:rsid w:val="00ED130C"/>
    <w:rsid w:val="00ED2AFF"/>
    <w:rsid w:val="00ED2C04"/>
    <w:rsid w:val="00ED4C94"/>
    <w:rsid w:val="00ED4E9D"/>
    <w:rsid w:val="00ED5D82"/>
    <w:rsid w:val="00ED5FF2"/>
    <w:rsid w:val="00ED66D5"/>
    <w:rsid w:val="00ED69DF"/>
    <w:rsid w:val="00ED6DE6"/>
    <w:rsid w:val="00ED7105"/>
    <w:rsid w:val="00ED7DB3"/>
    <w:rsid w:val="00EE1157"/>
    <w:rsid w:val="00EE14D6"/>
    <w:rsid w:val="00EE1951"/>
    <w:rsid w:val="00EE259D"/>
    <w:rsid w:val="00EE2E6E"/>
    <w:rsid w:val="00EE36B2"/>
    <w:rsid w:val="00EE3FCD"/>
    <w:rsid w:val="00EE4FE4"/>
    <w:rsid w:val="00EE4FE6"/>
    <w:rsid w:val="00EE5270"/>
    <w:rsid w:val="00EE5E86"/>
    <w:rsid w:val="00EE5FCC"/>
    <w:rsid w:val="00EE62C0"/>
    <w:rsid w:val="00EE64AA"/>
    <w:rsid w:val="00EE6E1A"/>
    <w:rsid w:val="00EE6F1A"/>
    <w:rsid w:val="00EE7543"/>
    <w:rsid w:val="00EE76C0"/>
    <w:rsid w:val="00EF0891"/>
    <w:rsid w:val="00EF1F8E"/>
    <w:rsid w:val="00EF29C1"/>
    <w:rsid w:val="00EF3279"/>
    <w:rsid w:val="00EF3A6E"/>
    <w:rsid w:val="00EF45C8"/>
    <w:rsid w:val="00EF5182"/>
    <w:rsid w:val="00EF5F5D"/>
    <w:rsid w:val="00EF6B3F"/>
    <w:rsid w:val="00F0030B"/>
    <w:rsid w:val="00F0035C"/>
    <w:rsid w:val="00F00B67"/>
    <w:rsid w:val="00F00C90"/>
    <w:rsid w:val="00F013FB"/>
    <w:rsid w:val="00F01EB4"/>
    <w:rsid w:val="00F0217C"/>
    <w:rsid w:val="00F02C0E"/>
    <w:rsid w:val="00F037D9"/>
    <w:rsid w:val="00F044B6"/>
    <w:rsid w:val="00F04810"/>
    <w:rsid w:val="00F04C88"/>
    <w:rsid w:val="00F04F0D"/>
    <w:rsid w:val="00F0759E"/>
    <w:rsid w:val="00F10A6C"/>
    <w:rsid w:val="00F11188"/>
    <w:rsid w:val="00F11CA9"/>
    <w:rsid w:val="00F13E43"/>
    <w:rsid w:val="00F1415A"/>
    <w:rsid w:val="00F16A43"/>
    <w:rsid w:val="00F16C24"/>
    <w:rsid w:val="00F178D8"/>
    <w:rsid w:val="00F17914"/>
    <w:rsid w:val="00F17B18"/>
    <w:rsid w:val="00F2047D"/>
    <w:rsid w:val="00F20942"/>
    <w:rsid w:val="00F213F7"/>
    <w:rsid w:val="00F2233D"/>
    <w:rsid w:val="00F224BD"/>
    <w:rsid w:val="00F231C2"/>
    <w:rsid w:val="00F2375C"/>
    <w:rsid w:val="00F246AE"/>
    <w:rsid w:val="00F26DE8"/>
    <w:rsid w:val="00F270E9"/>
    <w:rsid w:val="00F2718C"/>
    <w:rsid w:val="00F304FE"/>
    <w:rsid w:val="00F30572"/>
    <w:rsid w:val="00F3147E"/>
    <w:rsid w:val="00F31863"/>
    <w:rsid w:val="00F3199B"/>
    <w:rsid w:val="00F321D9"/>
    <w:rsid w:val="00F33778"/>
    <w:rsid w:val="00F35F07"/>
    <w:rsid w:val="00F36366"/>
    <w:rsid w:val="00F37A1B"/>
    <w:rsid w:val="00F40882"/>
    <w:rsid w:val="00F41A92"/>
    <w:rsid w:val="00F43BF7"/>
    <w:rsid w:val="00F43F97"/>
    <w:rsid w:val="00F44512"/>
    <w:rsid w:val="00F44BA4"/>
    <w:rsid w:val="00F452F1"/>
    <w:rsid w:val="00F46780"/>
    <w:rsid w:val="00F46F91"/>
    <w:rsid w:val="00F47265"/>
    <w:rsid w:val="00F50305"/>
    <w:rsid w:val="00F50741"/>
    <w:rsid w:val="00F50AC4"/>
    <w:rsid w:val="00F51218"/>
    <w:rsid w:val="00F51A86"/>
    <w:rsid w:val="00F51C53"/>
    <w:rsid w:val="00F52701"/>
    <w:rsid w:val="00F532BA"/>
    <w:rsid w:val="00F53332"/>
    <w:rsid w:val="00F54493"/>
    <w:rsid w:val="00F5566F"/>
    <w:rsid w:val="00F559EF"/>
    <w:rsid w:val="00F55A19"/>
    <w:rsid w:val="00F56125"/>
    <w:rsid w:val="00F57709"/>
    <w:rsid w:val="00F57CCB"/>
    <w:rsid w:val="00F61A16"/>
    <w:rsid w:val="00F61B69"/>
    <w:rsid w:val="00F6205E"/>
    <w:rsid w:val="00F62630"/>
    <w:rsid w:val="00F62A1B"/>
    <w:rsid w:val="00F62B3B"/>
    <w:rsid w:val="00F64373"/>
    <w:rsid w:val="00F67791"/>
    <w:rsid w:val="00F678DC"/>
    <w:rsid w:val="00F70043"/>
    <w:rsid w:val="00F70CB5"/>
    <w:rsid w:val="00F71EAD"/>
    <w:rsid w:val="00F72B25"/>
    <w:rsid w:val="00F73E95"/>
    <w:rsid w:val="00F74C38"/>
    <w:rsid w:val="00F75E4D"/>
    <w:rsid w:val="00F7677B"/>
    <w:rsid w:val="00F7693A"/>
    <w:rsid w:val="00F76BB6"/>
    <w:rsid w:val="00F76C1D"/>
    <w:rsid w:val="00F76CE1"/>
    <w:rsid w:val="00F7760D"/>
    <w:rsid w:val="00F77B04"/>
    <w:rsid w:val="00F77C21"/>
    <w:rsid w:val="00F77D2D"/>
    <w:rsid w:val="00F800C1"/>
    <w:rsid w:val="00F800EE"/>
    <w:rsid w:val="00F80317"/>
    <w:rsid w:val="00F8122E"/>
    <w:rsid w:val="00F81D61"/>
    <w:rsid w:val="00F821A3"/>
    <w:rsid w:val="00F84552"/>
    <w:rsid w:val="00F85EC6"/>
    <w:rsid w:val="00F86162"/>
    <w:rsid w:val="00F90DA8"/>
    <w:rsid w:val="00F91043"/>
    <w:rsid w:val="00F91C11"/>
    <w:rsid w:val="00F91E16"/>
    <w:rsid w:val="00F9246F"/>
    <w:rsid w:val="00F925C7"/>
    <w:rsid w:val="00F9309A"/>
    <w:rsid w:val="00F9314A"/>
    <w:rsid w:val="00F933F1"/>
    <w:rsid w:val="00F940B2"/>
    <w:rsid w:val="00F95A4D"/>
    <w:rsid w:val="00F95AF6"/>
    <w:rsid w:val="00F95D08"/>
    <w:rsid w:val="00F9742E"/>
    <w:rsid w:val="00FA1462"/>
    <w:rsid w:val="00FA1E11"/>
    <w:rsid w:val="00FA32BE"/>
    <w:rsid w:val="00FA35A6"/>
    <w:rsid w:val="00FA4175"/>
    <w:rsid w:val="00FA4486"/>
    <w:rsid w:val="00FA4491"/>
    <w:rsid w:val="00FA5BD7"/>
    <w:rsid w:val="00FA69B7"/>
    <w:rsid w:val="00FA75EC"/>
    <w:rsid w:val="00FB19C3"/>
    <w:rsid w:val="00FB19E8"/>
    <w:rsid w:val="00FB1DA9"/>
    <w:rsid w:val="00FB2208"/>
    <w:rsid w:val="00FB24A5"/>
    <w:rsid w:val="00FB2637"/>
    <w:rsid w:val="00FB2A38"/>
    <w:rsid w:val="00FB3927"/>
    <w:rsid w:val="00FB397E"/>
    <w:rsid w:val="00FB41DE"/>
    <w:rsid w:val="00FB4A0E"/>
    <w:rsid w:val="00FB4F5C"/>
    <w:rsid w:val="00FB5CA9"/>
    <w:rsid w:val="00FB5EC8"/>
    <w:rsid w:val="00FB61D1"/>
    <w:rsid w:val="00FB6C27"/>
    <w:rsid w:val="00FB7A02"/>
    <w:rsid w:val="00FB7AA4"/>
    <w:rsid w:val="00FC05DD"/>
    <w:rsid w:val="00FC2759"/>
    <w:rsid w:val="00FC4B39"/>
    <w:rsid w:val="00FC4BFD"/>
    <w:rsid w:val="00FC524D"/>
    <w:rsid w:val="00FC5798"/>
    <w:rsid w:val="00FC58EF"/>
    <w:rsid w:val="00FC5ADC"/>
    <w:rsid w:val="00FC5EF9"/>
    <w:rsid w:val="00FC64D4"/>
    <w:rsid w:val="00FC783B"/>
    <w:rsid w:val="00FD0AC4"/>
    <w:rsid w:val="00FD1049"/>
    <w:rsid w:val="00FD1785"/>
    <w:rsid w:val="00FD2553"/>
    <w:rsid w:val="00FD2EAF"/>
    <w:rsid w:val="00FD30C0"/>
    <w:rsid w:val="00FD33DF"/>
    <w:rsid w:val="00FD3CBE"/>
    <w:rsid w:val="00FD4165"/>
    <w:rsid w:val="00FD4E5B"/>
    <w:rsid w:val="00FD5E02"/>
    <w:rsid w:val="00FD5ECC"/>
    <w:rsid w:val="00FD6653"/>
    <w:rsid w:val="00FE0833"/>
    <w:rsid w:val="00FE0F03"/>
    <w:rsid w:val="00FE1BC3"/>
    <w:rsid w:val="00FE304A"/>
    <w:rsid w:val="00FE38A0"/>
    <w:rsid w:val="00FE39D7"/>
    <w:rsid w:val="00FE3D94"/>
    <w:rsid w:val="00FE4594"/>
    <w:rsid w:val="00FE460F"/>
    <w:rsid w:val="00FE4ECD"/>
    <w:rsid w:val="00FE522E"/>
    <w:rsid w:val="00FE54B6"/>
    <w:rsid w:val="00FE5949"/>
    <w:rsid w:val="00FE5989"/>
    <w:rsid w:val="00FE6205"/>
    <w:rsid w:val="00FE6D89"/>
    <w:rsid w:val="00FE70EF"/>
    <w:rsid w:val="00FE771C"/>
    <w:rsid w:val="00FE7EAA"/>
    <w:rsid w:val="00FF0A41"/>
    <w:rsid w:val="00FF29E7"/>
    <w:rsid w:val="00FF2A85"/>
    <w:rsid w:val="00FF2D46"/>
    <w:rsid w:val="00FF4017"/>
    <w:rsid w:val="00FF4689"/>
    <w:rsid w:val="00FF528F"/>
    <w:rsid w:val="00FF56F7"/>
    <w:rsid w:val="00FF7067"/>
    <w:rsid w:val="00FF75C5"/>
    <w:rsid w:val="00FF7A97"/>
    <w:rsid w:val="032DBD57"/>
    <w:rsid w:val="0418FB4C"/>
    <w:rsid w:val="18F28452"/>
    <w:rsid w:val="1AE12C7A"/>
    <w:rsid w:val="35A2025F"/>
    <w:rsid w:val="3AAFBA64"/>
    <w:rsid w:val="3E334281"/>
    <w:rsid w:val="41F59B6A"/>
    <w:rsid w:val="479E4A4E"/>
    <w:rsid w:val="4A243D81"/>
    <w:rsid w:val="4BC0918D"/>
    <w:rsid w:val="61855888"/>
    <w:rsid w:val="669638B6"/>
    <w:rsid w:val="69884B11"/>
    <w:rsid w:val="73ABB78D"/>
    <w:rsid w:val="778F167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3533F7"/>
  <w15:chartTrackingRefBased/>
  <w15:docId w15:val="{34D5B180-9DEB-4C3E-8E4A-32CAE36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9BB"/>
    <w:pPr>
      <w:spacing w:before="120" w:after="120"/>
      <w:jc w:val="both"/>
    </w:pPr>
    <w:rPr>
      <w:rFonts w:ascii="Bookman Old Style" w:hAnsi="Bookman Old Style"/>
      <w:sz w:val="24"/>
      <w:szCs w:val="24"/>
      <w:lang w:val="es-ES" w:eastAsia="es-ES"/>
    </w:rPr>
  </w:style>
  <w:style w:type="paragraph" w:styleId="Ttulo1">
    <w:name w:val="heading 1"/>
    <w:aliases w:val="ARTICULO"/>
    <w:basedOn w:val="Normal"/>
    <w:next w:val="Normal"/>
    <w:link w:val="Ttulo1Car"/>
    <w:qFormat/>
    <w:rsid w:val="00F74C38"/>
    <w:pPr>
      <w:keepNext/>
      <w:numPr>
        <w:numId w:val="2"/>
      </w:numPr>
      <w:jc w:val="center"/>
      <w:outlineLvl w:val="0"/>
    </w:pPr>
    <w:rPr>
      <w:b/>
      <w:szCs w:val="20"/>
      <w:lang w:val="es-CO"/>
    </w:rPr>
  </w:style>
  <w:style w:type="paragraph" w:styleId="Ttulo2">
    <w:name w:val="heading 2"/>
    <w:aliases w:val="Neg"/>
    <w:basedOn w:val="Normal"/>
    <w:next w:val="Normal"/>
    <w:link w:val="Ttulo2Car"/>
    <w:uiPriority w:val="9"/>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aliases w:val="Párrafo de lista1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unhideWhenUsed/>
    <w:rsid w:val="00006AE2"/>
    <w:pPr>
      <w:spacing w:line="480" w:lineRule="auto"/>
    </w:pPr>
  </w:style>
  <w:style w:type="character" w:customStyle="1" w:styleId="Textoindependiente2Car">
    <w:name w:val="Texto independiente 2 Car"/>
    <w:link w:val="Textoindependiente2"/>
    <w:uiPriority w:val="99"/>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595129"/>
    <w:pPr>
      <w:numPr>
        <w:numId w:val="3"/>
      </w:numPr>
      <w:jc w:val="center"/>
    </w:pPr>
    <w:rPr>
      <w:b/>
      <w:bCs/>
    </w:rPr>
  </w:style>
  <w:style w:type="character" w:customStyle="1" w:styleId="SubttuloCar">
    <w:name w:val="Subtítulo Car"/>
    <w:link w:val="Subttulo"/>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iPriority w:val="99"/>
    <w:unhideWhenUsed/>
    <w:rsid w:val="00E01463"/>
    <w:pPr>
      <w:ind w:left="283"/>
    </w:pPr>
  </w:style>
  <w:style w:type="character" w:customStyle="1" w:styleId="SangradetextonormalCar">
    <w:name w:val="Sangría de texto normal Car"/>
    <w:link w:val="Sangradetextonormal"/>
    <w:uiPriority w:val="99"/>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aliases w:val="Neg Car"/>
    <w:link w:val="Ttulo2"/>
    <w:uiPriority w:val="9"/>
    <w:rsid w:val="00595129"/>
    <w:rPr>
      <w:rFonts w:ascii="Calibri Light" w:hAnsi="Calibri Light"/>
      <w:b/>
      <w:bCs/>
      <w:i/>
      <w:iCs/>
      <w:sz w:val="28"/>
      <w:szCs w:val="28"/>
      <w:lang w:val="es-ES" w:eastAsia="es-ES"/>
    </w:rPr>
  </w:style>
  <w:style w:type="character" w:customStyle="1" w:styleId="Ttulo8Car">
    <w:name w:val="Título 8 Car"/>
    <w:link w:val="Ttulo8"/>
    <w:rsid w:val="00595129"/>
    <w:rPr>
      <w:rFonts w:ascii="Calibri" w:hAnsi="Calibri"/>
      <w:i/>
      <w:iCs/>
      <w:sz w:val="24"/>
      <w:szCs w:val="24"/>
      <w:lang w:val="es-ES" w:eastAsia="es-ES"/>
    </w:rPr>
  </w:style>
  <w:style w:type="character" w:customStyle="1" w:styleId="Ttulo9Car">
    <w:name w:val="Título 9 Car"/>
    <w:link w:val="Ttulo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242F2B"/>
    <w:rPr>
      <w:b/>
      <w:bCs/>
    </w:rPr>
  </w:style>
  <w:style w:type="character" w:customStyle="1" w:styleId="AsuntodelcomentarioCar">
    <w:name w:val="Asunto del comentario Car"/>
    <w:link w:val="Asuntodelcomentario"/>
    <w:uiPriority w:val="99"/>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qFormat/>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1610E0"/>
    <w:pPr>
      <w:keepNext/>
      <w:widowControl w:val="0"/>
      <w:adjustRightInd w:val="0"/>
      <w:spacing w:before="240" w:after="180"/>
      <w:jc w:val="center"/>
      <w:textAlignment w:val="baseline"/>
    </w:pPr>
    <w:rPr>
      <w:sz w:val="22"/>
      <w:szCs w:val="20"/>
    </w:rPr>
  </w:style>
  <w:style w:type="character" w:customStyle="1" w:styleId="DescripcinCar">
    <w:name w:val="Descripción Car"/>
    <w:link w:val="Descripcin"/>
    <w:uiPriority w:val="35"/>
    <w:rsid w:val="001610E0"/>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aliases w:val="ARTICULO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8B6CFD"/>
    <w:rPr>
      <w:rFonts w:ascii="Arial" w:hAnsi="Arial"/>
      <w:sz w:val="22"/>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nhideWhenUsed/>
    <w:rsid w:val="008B6CFD"/>
    <w:pPr>
      <w:spacing w:before="240" w:after="240"/>
      <w:ind w:left="566" w:hanging="283"/>
      <w:contextualSpacing/>
    </w:pPr>
  </w:style>
  <w:style w:type="paragraph" w:styleId="Lista3">
    <w:name w:val="List 3"/>
    <w:basedOn w:val="Normal"/>
    <w:unhideWhenUsed/>
    <w:rsid w:val="008B6CFD"/>
    <w:pPr>
      <w:spacing w:before="240" w:after="240"/>
      <w:ind w:left="849" w:hanging="283"/>
      <w:contextualSpacing/>
    </w:pPr>
  </w:style>
  <w:style w:type="paragraph" w:styleId="Continuarlista2">
    <w:name w:val="List Continue 2"/>
    <w:basedOn w:val="Normal"/>
    <w:unhideWhenUsed/>
    <w:rsid w:val="008B6CFD"/>
    <w:pPr>
      <w:spacing w:before="240"/>
      <w:ind w:left="566"/>
      <w:contextualSpacing/>
    </w:pPr>
  </w:style>
  <w:style w:type="paragraph" w:styleId="Continuarlista3">
    <w:name w:val="List Continue 3"/>
    <w:basedOn w:val="Normal"/>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paragraph" w:customStyle="1" w:styleId="paragraph">
    <w:name w:val="paragraph"/>
    <w:basedOn w:val="Normal"/>
    <w:rsid w:val="009903FC"/>
    <w:pPr>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9903FC"/>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763599"/>
    <w:rPr>
      <w:vertAlign w:val="superscript"/>
    </w:rPr>
  </w:style>
  <w:style w:type="table" w:customStyle="1" w:styleId="Tablaconcuadrcula1">
    <w:name w:val="Tabla con cuadrícula1"/>
    <w:basedOn w:val="Tablanormal"/>
    <w:next w:val="Tablaconcuadrcula"/>
    <w:uiPriority w:val="59"/>
    <w:rsid w:val="00763599"/>
    <w:rPr>
      <w:rFonts w:ascii="Cambria" w:eastAsia="MS Mincho" w:hAnsi="Cambria"/>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763599"/>
    <w:rPr>
      <w:rFonts w:ascii="Cambria" w:eastAsia="MS Mincho" w:hAnsi="Cambria"/>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763599"/>
    <w:pPr>
      <w:suppressAutoHyphens/>
      <w:overflowPunct w:val="0"/>
      <w:autoSpaceDE w:val="0"/>
      <w:spacing w:before="0" w:after="0"/>
      <w:textAlignment w:val="baseline"/>
    </w:pPr>
    <w:rPr>
      <w:b/>
      <w:szCs w:val="20"/>
      <w:lang w:val="es-ES_tradnl" w:eastAsia="ar-SA"/>
    </w:rPr>
  </w:style>
  <w:style w:type="paragraph" w:customStyle="1" w:styleId="SubttuloNivel1">
    <w:name w:val="Subtítulo Nivel 1"/>
    <w:basedOn w:val="Ttulo2"/>
    <w:link w:val="SubttuloNivel1Car"/>
    <w:qFormat/>
    <w:rsid w:val="00763599"/>
    <w:pPr>
      <w:numPr>
        <w:numId w:val="8"/>
      </w:numPr>
      <w:spacing w:before="360" w:after="240"/>
    </w:pPr>
    <w:rPr>
      <w:rFonts w:ascii="Bookman Old Style" w:hAnsi="Bookman Old Style"/>
      <w:i w:val="0"/>
      <w:iCs w:val="0"/>
      <w:sz w:val="24"/>
      <w:szCs w:val="24"/>
    </w:rPr>
  </w:style>
  <w:style w:type="paragraph" w:customStyle="1" w:styleId="SubttuloNivel2">
    <w:name w:val="Subtítulo Nivel 2"/>
    <w:basedOn w:val="Ttulo3"/>
    <w:link w:val="SubttuloNivel2Car"/>
    <w:qFormat/>
    <w:rsid w:val="00763599"/>
    <w:pPr>
      <w:numPr>
        <w:numId w:val="8"/>
      </w:numPr>
      <w:spacing w:before="240" w:after="240"/>
      <w:jc w:val="both"/>
    </w:pPr>
    <w:rPr>
      <w:rFonts w:ascii="Bookman Old Style" w:hAnsi="Bookman Old Style"/>
      <w:color w:val="auto"/>
      <w:szCs w:val="24"/>
      <w:lang w:eastAsia="x-none"/>
    </w:rPr>
  </w:style>
  <w:style w:type="character" w:customStyle="1" w:styleId="SubttuloNivel1Car">
    <w:name w:val="Subtítulo Nivel 1 Car"/>
    <w:link w:val="SubttuloNivel1"/>
    <w:rsid w:val="00763599"/>
    <w:rPr>
      <w:rFonts w:ascii="Bookman Old Style" w:hAnsi="Bookman Old Style"/>
      <w:b/>
      <w:bCs/>
      <w:sz w:val="24"/>
      <w:szCs w:val="24"/>
      <w:lang w:val="es-ES" w:eastAsia="es-ES"/>
    </w:rPr>
  </w:style>
  <w:style w:type="paragraph" w:customStyle="1" w:styleId="Ttuloprincipal">
    <w:name w:val="Título principal"/>
    <w:basedOn w:val="Ttulo1"/>
    <w:qFormat/>
    <w:rsid w:val="00763599"/>
    <w:pPr>
      <w:numPr>
        <w:numId w:val="8"/>
      </w:numPr>
      <w:spacing w:before="360" w:after="480"/>
      <w:jc w:val="both"/>
    </w:pPr>
    <w:rPr>
      <w:szCs w:val="24"/>
    </w:rPr>
  </w:style>
  <w:style w:type="character" w:customStyle="1" w:styleId="SubttuloNivel2Car">
    <w:name w:val="Subtítulo Nivel 2 Car"/>
    <w:link w:val="SubttuloNivel2"/>
    <w:rsid w:val="00763599"/>
    <w:rPr>
      <w:rFonts w:ascii="Bookman Old Style" w:hAnsi="Bookman Old Style"/>
      <w:b/>
      <w:snapToGrid w:val="0"/>
      <w:sz w:val="24"/>
      <w:szCs w:val="24"/>
      <w:lang w:val="es-ES_tradnl" w:eastAsia="x-none"/>
    </w:rPr>
  </w:style>
  <w:style w:type="paragraph" w:customStyle="1" w:styleId="Textonormal">
    <w:name w:val="Texto normal"/>
    <w:basedOn w:val="Normal"/>
    <w:link w:val="TextonormalCar"/>
    <w:qFormat/>
    <w:rsid w:val="00763599"/>
    <w:pPr>
      <w:tabs>
        <w:tab w:val="left" w:pos="0"/>
      </w:tabs>
      <w:suppressAutoHyphens/>
      <w:spacing w:before="240" w:after="240"/>
      <w:ind w:right="51"/>
    </w:pPr>
    <w:rPr>
      <w:spacing w:val="-3"/>
    </w:rPr>
  </w:style>
  <w:style w:type="paragraph" w:customStyle="1" w:styleId="SubttuloNivel3">
    <w:name w:val="Subtítulo Nivel 3"/>
    <w:basedOn w:val="Ttulo4"/>
    <w:qFormat/>
    <w:rsid w:val="00763599"/>
    <w:pPr>
      <w:numPr>
        <w:numId w:val="8"/>
      </w:numPr>
      <w:spacing w:before="240" w:after="240"/>
      <w:jc w:val="left"/>
    </w:pPr>
    <w:rPr>
      <w:rFonts w:ascii="Bookman Old Style" w:hAnsi="Bookman Old Style" w:cs="Times New Roman"/>
      <w:sz w:val="24"/>
      <w:szCs w:val="24"/>
      <w:lang w:eastAsia="x-none"/>
    </w:rPr>
  </w:style>
  <w:style w:type="character" w:customStyle="1" w:styleId="TextonormalCar">
    <w:name w:val="Texto normal Car"/>
    <w:link w:val="Textonormal"/>
    <w:rsid w:val="00763599"/>
    <w:rPr>
      <w:rFonts w:ascii="Bookman Old Style" w:hAnsi="Bookman Old Style"/>
      <w:spacing w:val="-3"/>
      <w:sz w:val="24"/>
      <w:szCs w:val="24"/>
      <w:lang w:val="es-ES" w:eastAsia="es-ES"/>
    </w:rPr>
  </w:style>
  <w:style w:type="character" w:customStyle="1" w:styleId="spelle">
    <w:name w:val="spelle"/>
    <w:rsid w:val="00763599"/>
  </w:style>
  <w:style w:type="paragraph" w:customStyle="1" w:styleId="pa23">
    <w:name w:val="pa23"/>
    <w:basedOn w:val="Normal"/>
    <w:rsid w:val="00763599"/>
    <w:pPr>
      <w:spacing w:before="100" w:beforeAutospacing="1" w:after="100" w:afterAutospacing="1"/>
      <w:jc w:val="left"/>
    </w:pPr>
    <w:rPr>
      <w:rFonts w:ascii="Times New Roman" w:hAnsi="Times New Roman"/>
      <w:lang w:val="es-CO" w:eastAsia="es-CO"/>
    </w:rPr>
  </w:style>
  <w:style w:type="character" w:customStyle="1" w:styleId="a11">
    <w:name w:val="a11"/>
    <w:rsid w:val="00763599"/>
  </w:style>
  <w:style w:type="paragraph" w:customStyle="1" w:styleId="pa36">
    <w:name w:val="pa36"/>
    <w:basedOn w:val="Normal"/>
    <w:rsid w:val="00763599"/>
    <w:pPr>
      <w:spacing w:before="100" w:beforeAutospacing="1" w:after="100" w:afterAutospacing="1"/>
      <w:jc w:val="left"/>
    </w:pPr>
    <w:rPr>
      <w:rFonts w:ascii="Times New Roman" w:hAnsi="Times New Roman"/>
      <w:lang w:val="es-CO" w:eastAsia="es-CO"/>
    </w:rPr>
  </w:style>
  <w:style w:type="paragraph" w:styleId="Listaconvietas2">
    <w:name w:val="List Bullet 2"/>
    <w:basedOn w:val="Normal"/>
    <w:autoRedefine/>
    <w:semiHidden/>
    <w:rsid w:val="00E379D9"/>
    <w:pPr>
      <w:numPr>
        <w:numId w:val="10"/>
      </w:numPr>
      <w:tabs>
        <w:tab w:val="clear" w:pos="643"/>
      </w:tabs>
      <w:spacing w:before="220" w:after="220"/>
      <w:ind w:left="720"/>
      <w:jc w:val="left"/>
    </w:pPr>
    <w:rPr>
      <w:rFonts w:ascii="Arial" w:hAnsi="Arial"/>
      <w:sz w:val="22"/>
      <w:szCs w:val="20"/>
      <w:lang w:val="es-CO"/>
    </w:rPr>
  </w:style>
  <w:style w:type="table" w:customStyle="1" w:styleId="TableGridCEPA1">
    <w:name w:val="Table Grid CEPA1"/>
    <w:basedOn w:val="Tablanormal"/>
    <w:next w:val="Tablaconcuadrcula"/>
    <w:uiPriority w:val="59"/>
    <w:rsid w:val="00EF6B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4">
    <w:name w:val="List Bullet 4"/>
    <w:basedOn w:val="Normal"/>
    <w:autoRedefine/>
    <w:semiHidden/>
    <w:rsid w:val="00D9702E"/>
    <w:pPr>
      <w:numPr>
        <w:numId w:val="15"/>
      </w:numPr>
      <w:spacing w:before="220" w:after="220"/>
      <w:jc w:val="left"/>
    </w:pPr>
    <w:rPr>
      <w:rFonts w:ascii="Arial" w:hAnsi="Arial"/>
      <w:sz w:val="22"/>
      <w:szCs w:val="20"/>
      <w:lang w:val="es-CO"/>
    </w:rPr>
  </w:style>
  <w:style w:type="paragraph" w:styleId="ndice4">
    <w:name w:val="index 4"/>
    <w:basedOn w:val="Normal"/>
    <w:next w:val="Normal"/>
    <w:autoRedefine/>
    <w:semiHidden/>
    <w:rsid w:val="00D9702E"/>
    <w:pPr>
      <w:spacing w:before="220" w:after="220"/>
      <w:ind w:left="960" w:hanging="240"/>
      <w:jc w:val="left"/>
    </w:pPr>
    <w:rPr>
      <w:rFonts w:ascii="Times New Roman" w:hAnsi="Times New Roman"/>
      <w:sz w:val="20"/>
      <w:szCs w:val="20"/>
      <w:lang w:val="es-CO"/>
    </w:rPr>
  </w:style>
  <w:style w:type="paragraph" w:styleId="ndice5">
    <w:name w:val="index 5"/>
    <w:basedOn w:val="Normal"/>
    <w:next w:val="Normal"/>
    <w:autoRedefine/>
    <w:semiHidden/>
    <w:rsid w:val="00D9702E"/>
    <w:pPr>
      <w:spacing w:before="220" w:after="220"/>
      <w:ind w:left="1200" w:hanging="240"/>
      <w:jc w:val="left"/>
    </w:pPr>
    <w:rPr>
      <w:rFonts w:ascii="Times New Roman" w:hAnsi="Times New Roman"/>
      <w:sz w:val="20"/>
      <w:szCs w:val="20"/>
      <w:lang w:val="es-CO"/>
    </w:rPr>
  </w:style>
  <w:style w:type="paragraph" w:styleId="ndice6">
    <w:name w:val="index 6"/>
    <w:basedOn w:val="Normal"/>
    <w:next w:val="Normal"/>
    <w:autoRedefine/>
    <w:semiHidden/>
    <w:rsid w:val="00D9702E"/>
    <w:pPr>
      <w:spacing w:before="220" w:after="220"/>
      <w:ind w:left="1440" w:hanging="240"/>
      <w:jc w:val="left"/>
    </w:pPr>
    <w:rPr>
      <w:rFonts w:ascii="Times New Roman" w:hAnsi="Times New Roman"/>
      <w:sz w:val="20"/>
      <w:szCs w:val="20"/>
      <w:lang w:val="es-CO"/>
    </w:rPr>
  </w:style>
  <w:style w:type="paragraph" w:styleId="ndice7">
    <w:name w:val="index 7"/>
    <w:basedOn w:val="Normal"/>
    <w:next w:val="Normal"/>
    <w:autoRedefine/>
    <w:semiHidden/>
    <w:rsid w:val="00D9702E"/>
    <w:pPr>
      <w:spacing w:before="220" w:after="220"/>
      <w:ind w:left="1680" w:hanging="240"/>
      <w:jc w:val="left"/>
    </w:pPr>
    <w:rPr>
      <w:rFonts w:ascii="Times New Roman" w:hAnsi="Times New Roman"/>
      <w:sz w:val="20"/>
      <w:szCs w:val="20"/>
      <w:lang w:val="es-CO"/>
    </w:rPr>
  </w:style>
  <w:style w:type="paragraph" w:styleId="ndice8">
    <w:name w:val="index 8"/>
    <w:basedOn w:val="Normal"/>
    <w:next w:val="Normal"/>
    <w:autoRedefine/>
    <w:semiHidden/>
    <w:rsid w:val="00D9702E"/>
    <w:pPr>
      <w:spacing w:before="220" w:after="220"/>
      <w:ind w:left="1920" w:hanging="240"/>
      <w:jc w:val="left"/>
    </w:pPr>
    <w:rPr>
      <w:rFonts w:ascii="Times New Roman" w:hAnsi="Times New Roman"/>
      <w:sz w:val="20"/>
      <w:szCs w:val="20"/>
      <w:lang w:val="es-CO"/>
    </w:rPr>
  </w:style>
  <w:style w:type="paragraph" w:styleId="ndice9">
    <w:name w:val="index 9"/>
    <w:basedOn w:val="Normal"/>
    <w:next w:val="Normal"/>
    <w:autoRedefine/>
    <w:semiHidden/>
    <w:rsid w:val="00D9702E"/>
    <w:pPr>
      <w:spacing w:before="220" w:after="220"/>
      <w:ind w:left="2160" w:hanging="240"/>
      <w:jc w:val="left"/>
    </w:pPr>
    <w:rPr>
      <w:rFonts w:ascii="Times New Roman" w:hAnsi="Times New Roman"/>
      <w:sz w:val="20"/>
      <w:szCs w:val="20"/>
      <w:lang w:val="es-CO"/>
    </w:rPr>
  </w:style>
  <w:style w:type="paragraph" w:customStyle="1" w:styleId="xl26">
    <w:name w:val="xl26"/>
    <w:basedOn w:val="Normal"/>
    <w:rsid w:val="00D9702E"/>
    <w:pPr>
      <w:spacing w:before="100" w:beforeAutospacing="1" w:after="100" w:afterAutospacing="1"/>
      <w:jc w:val="center"/>
    </w:pPr>
    <w:rPr>
      <w:rFonts w:ascii="Times New Roman" w:hAnsi="Times New Roman"/>
      <w:sz w:val="22"/>
    </w:rPr>
  </w:style>
  <w:style w:type="paragraph" w:customStyle="1" w:styleId="xl84">
    <w:name w:val="xl84"/>
    <w:basedOn w:val="Normal"/>
    <w:rsid w:val="00D9702E"/>
    <w:pPr>
      <w:pBdr>
        <w:bottom w:val="double" w:sz="6" w:space="0" w:color="auto"/>
        <w:right w:val="single" w:sz="4" w:space="0" w:color="auto"/>
      </w:pBdr>
      <w:spacing w:before="100" w:beforeAutospacing="1" w:after="100" w:afterAutospacing="1"/>
      <w:jc w:val="center"/>
    </w:pPr>
    <w:rPr>
      <w:rFonts w:ascii="Arial" w:hAnsi="Arial" w:cs="Arial"/>
      <w:color w:val="FF0000"/>
      <w:sz w:val="22"/>
    </w:rPr>
  </w:style>
  <w:style w:type="paragraph" w:styleId="Textonotaalfinal">
    <w:name w:val="endnote text"/>
    <w:basedOn w:val="Normal"/>
    <w:link w:val="TextonotaalfinalCar"/>
    <w:semiHidden/>
    <w:rsid w:val="00D9702E"/>
    <w:pPr>
      <w:spacing w:before="220" w:after="220"/>
      <w:jc w:val="left"/>
    </w:pPr>
    <w:rPr>
      <w:rFonts w:ascii="Times New Roman" w:hAnsi="Times New Roman"/>
      <w:sz w:val="20"/>
      <w:szCs w:val="20"/>
    </w:rPr>
  </w:style>
  <w:style w:type="character" w:customStyle="1" w:styleId="TextonotaalfinalCar">
    <w:name w:val="Texto nota al final Car"/>
    <w:basedOn w:val="Fuentedeprrafopredeter"/>
    <w:link w:val="Textonotaalfinal"/>
    <w:semiHidden/>
    <w:rsid w:val="00D9702E"/>
    <w:rPr>
      <w:lang w:val="es-ES" w:eastAsia="es-ES"/>
    </w:rPr>
  </w:style>
  <w:style w:type="paragraph" w:customStyle="1" w:styleId="xl25">
    <w:name w:val="xl25"/>
    <w:basedOn w:val="Normal"/>
    <w:rsid w:val="00D9702E"/>
    <w:pPr>
      <w:spacing w:before="100" w:beforeAutospacing="1" w:after="100" w:afterAutospacing="1"/>
      <w:jc w:val="left"/>
    </w:pPr>
    <w:rPr>
      <w:rFonts w:ascii="Arial" w:hAnsi="Arial" w:cs="Arial"/>
      <w:color w:val="FF0000"/>
      <w:sz w:val="22"/>
    </w:rPr>
  </w:style>
  <w:style w:type="paragraph" w:customStyle="1" w:styleId="xl24">
    <w:name w:val="xl24"/>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22"/>
    </w:rPr>
  </w:style>
  <w:style w:type="paragraph" w:customStyle="1" w:styleId="xl27">
    <w:name w:val="xl27"/>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28">
    <w:name w:val="xl28"/>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29">
    <w:name w:val="xl29"/>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30">
    <w:name w:val="xl30"/>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22"/>
    </w:rPr>
  </w:style>
  <w:style w:type="paragraph" w:customStyle="1" w:styleId="xl31">
    <w:name w:val="xl31"/>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sz w:val="22"/>
    </w:rPr>
  </w:style>
  <w:style w:type="paragraph" w:customStyle="1" w:styleId="xl32">
    <w:name w:val="xl32"/>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sz w:val="22"/>
    </w:rPr>
  </w:style>
  <w:style w:type="paragraph" w:customStyle="1" w:styleId="xl36">
    <w:name w:val="xl36"/>
    <w:basedOn w:val="Normal"/>
    <w:rsid w:val="00D9702E"/>
    <w:pPr>
      <w:pBdr>
        <w:bottom w:val="single" w:sz="4"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sz w:val="16"/>
      <w:szCs w:val="16"/>
    </w:rPr>
  </w:style>
  <w:style w:type="paragraph" w:customStyle="1" w:styleId="xl85">
    <w:name w:val="xl85"/>
    <w:basedOn w:val="Normal"/>
    <w:rsid w:val="00D9702E"/>
    <w:pP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86">
    <w:name w:val="xl86"/>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lang w:val="es-CO" w:eastAsia="es-CO"/>
    </w:rPr>
  </w:style>
  <w:style w:type="paragraph" w:customStyle="1" w:styleId="xl87">
    <w:name w:val="xl87"/>
    <w:basedOn w:val="Normal"/>
    <w:rsid w:val="00D9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88">
    <w:name w:val="xl88"/>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lang w:val="es-CO" w:eastAsia="es-CO"/>
    </w:rPr>
  </w:style>
  <w:style w:type="paragraph" w:customStyle="1" w:styleId="xl89">
    <w:name w:val="xl89"/>
    <w:basedOn w:val="Normal"/>
    <w:rsid w:val="00D9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90">
    <w:name w:val="xl90"/>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2"/>
      <w:lang w:val="es-CO" w:eastAsia="es-CO"/>
    </w:rPr>
  </w:style>
  <w:style w:type="paragraph" w:customStyle="1" w:styleId="xl91">
    <w:name w:val="xl91"/>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2"/>
      <w:lang w:val="es-CO" w:eastAsia="es-CO"/>
    </w:rPr>
  </w:style>
  <w:style w:type="paragraph" w:customStyle="1" w:styleId="xl92">
    <w:name w:val="xl92"/>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lang w:val="es-CO" w:eastAsia="es-CO"/>
    </w:rPr>
  </w:style>
  <w:style w:type="paragraph" w:customStyle="1" w:styleId="xl93">
    <w:name w:val="xl93"/>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lang w:val="es-CO" w:eastAsia="es-CO"/>
    </w:rPr>
  </w:style>
  <w:style w:type="table" w:customStyle="1" w:styleId="Tablaconcuadrcula8">
    <w:name w:val="Tabla con cuadrícula8"/>
    <w:basedOn w:val="Tablanormal"/>
    <w:next w:val="Tablaconcuadrcula"/>
    <w:uiPriority w:val="59"/>
    <w:rsid w:val="00D9702E"/>
    <w:rPr>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DocSoporte">
    <w:name w:val="Normal DocSoporte"/>
    <w:basedOn w:val="Normal"/>
    <w:link w:val="NormalDocSoporteCar"/>
    <w:qFormat/>
    <w:rsid w:val="00D9702E"/>
    <w:pPr>
      <w:widowControl w:val="0"/>
      <w:adjustRightInd w:val="0"/>
      <w:spacing w:before="200" w:after="200"/>
      <w:ind w:right="23"/>
    </w:pPr>
    <w:rPr>
      <w:rFonts w:ascii="Arial" w:hAnsi="Arial" w:cs="Arial"/>
      <w:sz w:val="22"/>
      <w:szCs w:val="22"/>
      <w:lang w:val="es-CO"/>
    </w:rPr>
  </w:style>
  <w:style w:type="character" w:customStyle="1" w:styleId="NormalDocSoporteCar">
    <w:name w:val="Normal DocSoporte Car"/>
    <w:link w:val="NormalDocSoporte"/>
    <w:rsid w:val="00D9702E"/>
    <w:rPr>
      <w:rFonts w:ascii="Arial" w:hAnsi="Arial" w:cs="Arial"/>
      <w:sz w:val="22"/>
      <w:szCs w:val="22"/>
      <w:lang w:eastAsia="es-ES"/>
    </w:rPr>
  </w:style>
  <w:style w:type="paragraph" w:customStyle="1" w:styleId="msonormal0">
    <w:name w:val="msonormal"/>
    <w:basedOn w:val="Normal"/>
    <w:rsid w:val="00D9702E"/>
    <w:pPr>
      <w:spacing w:before="100" w:beforeAutospacing="1" w:after="100" w:afterAutospacing="1"/>
      <w:jc w:val="left"/>
    </w:pPr>
    <w:rPr>
      <w:rFonts w:ascii="Times New Roman" w:hAnsi="Times New Roman"/>
      <w:lang w:val="es-CO" w:eastAsia="es-CO"/>
    </w:rPr>
  </w:style>
  <w:style w:type="paragraph" w:customStyle="1" w:styleId="font5">
    <w:name w:val="font5"/>
    <w:basedOn w:val="Normal"/>
    <w:rsid w:val="00D9702E"/>
    <w:pPr>
      <w:spacing w:before="100" w:beforeAutospacing="1" w:after="100" w:afterAutospacing="1"/>
      <w:jc w:val="left"/>
    </w:pPr>
    <w:rPr>
      <w:rFonts w:ascii="Tahoma" w:hAnsi="Tahoma" w:cs="Tahoma"/>
      <w:color w:val="000000"/>
      <w:sz w:val="18"/>
      <w:szCs w:val="18"/>
      <w:lang w:val="es-CO" w:eastAsia="es-CO"/>
    </w:rPr>
  </w:style>
  <w:style w:type="paragraph" w:customStyle="1" w:styleId="font6">
    <w:name w:val="font6"/>
    <w:basedOn w:val="Normal"/>
    <w:rsid w:val="00D9702E"/>
    <w:pPr>
      <w:spacing w:before="100" w:beforeAutospacing="1" w:after="100" w:afterAutospacing="1"/>
      <w:jc w:val="left"/>
    </w:pPr>
    <w:rPr>
      <w:rFonts w:ascii="Tahoma" w:hAnsi="Tahoma" w:cs="Tahoma"/>
      <w:b/>
      <w:bCs/>
      <w:color w:val="000000"/>
      <w:sz w:val="18"/>
      <w:szCs w:val="18"/>
      <w:lang w:val="es-CO" w:eastAsia="es-CO"/>
    </w:rPr>
  </w:style>
  <w:style w:type="paragraph" w:customStyle="1" w:styleId="xl19">
    <w:name w:val="xl19"/>
    <w:basedOn w:val="Normal"/>
    <w:rsid w:val="00D9702E"/>
    <w:pPr>
      <w:spacing w:before="100" w:beforeAutospacing="1" w:after="100" w:afterAutospacing="1"/>
      <w:jc w:val="left"/>
    </w:pPr>
    <w:rPr>
      <w:rFonts w:ascii="Times New Roman" w:hAnsi="Times New Roman"/>
      <w:sz w:val="16"/>
      <w:szCs w:val="16"/>
      <w:lang w:val="es-CO" w:eastAsia="es-CO"/>
    </w:rPr>
  </w:style>
  <w:style w:type="paragraph" w:customStyle="1" w:styleId="xl20">
    <w:name w:val="xl20"/>
    <w:basedOn w:val="Normal"/>
    <w:rsid w:val="00D9702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6"/>
      <w:szCs w:val="16"/>
      <w:lang w:val="es-CO" w:eastAsia="es-CO"/>
    </w:rPr>
  </w:style>
  <w:style w:type="paragraph" w:customStyle="1" w:styleId="xl21">
    <w:name w:val="xl21"/>
    <w:basedOn w:val="Normal"/>
    <w:rsid w:val="00D9702E"/>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s-CO" w:eastAsia="es-CO"/>
    </w:rPr>
  </w:style>
  <w:style w:type="paragraph" w:customStyle="1" w:styleId="xl22">
    <w:name w:val="xl22"/>
    <w:basedOn w:val="Normal"/>
    <w:rsid w:val="00D9702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lang w:val="es-CO" w:eastAsia="es-CO"/>
    </w:rPr>
  </w:style>
  <w:style w:type="paragraph" w:customStyle="1" w:styleId="xl23">
    <w:name w:val="xl23"/>
    <w:basedOn w:val="Normal"/>
    <w:rsid w:val="00D9702E"/>
    <w:pPr>
      <w:pBdr>
        <w:top w:val="single" w:sz="4" w:space="0" w:color="auto"/>
      </w:pBdr>
      <w:spacing w:before="100" w:beforeAutospacing="1" w:after="100" w:afterAutospacing="1"/>
      <w:jc w:val="left"/>
    </w:pPr>
    <w:rPr>
      <w:rFonts w:ascii="Times New Roman" w:hAnsi="Times New Roman"/>
      <w:lang w:val="es-CO" w:eastAsia="es-CO"/>
    </w:rPr>
  </w:style>
  <w:style w:type="paragraph" w:customStyle="1" w:styleId="xl33">
    <w:name w:val="xl33"/>
    <w:basedOn w:val="Normal"/>
    <w:rsid w:val="00D9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16"/>
      <w:szCs w:val="16"/>
      <w:lang w:val="es-CO" w:eastAsia="es-CO"/>
    </w:rPr>
  </w:style>
  <w:style w:type="paragraph" w:customStyle="1" w:styleId="TITULODOC1">
    <w:name w:val="TITULO DOC 1"/>
    <w:basedOn w:val="Ttulo1"/>
    <w:link w:val="TITULODOC1Car"/>
    <w:qFormat/>
    <w:rsid w:val="00D9702E"/>
    <w:pPr>
      <w:numPr>
        <w:numId w:val="0"/>
      </w:numPr>
      <w:spacing w:before="360" w:after="240"/>
      <w:jc w:val="left"/>
    </w:pPr>
    <w:rPr>
      <w:rFonts w:ascii="Arial" w:hAnsi="Arial" w:cs="Arial"/>
      <w:szCs w:val="24"/>
    </w:rPr>
  </w:style>
  <w:style w:type="paragraph" w:customStyle="1" w:styleId="TITULODOC2">
    <w:name w:val="TITULO DOC 2"/>
    <w:basedOn w:val="Ttulo2"/>
    <w:link w:val="TITULODOC2Car"/>
    <w:qFormat/>
    <w:rsid w:val="00D9702E"/>
    <w:pPr>
      <w:numPr>
        <w:ilvl w:val="0"/>
        <w:numId w:val="0"/>
      </w:numPr>
      <w:spacing w:before="220" w:after="220"/>
      <w:jc w:val="left"/>
    </w:pPr>
    <w:rPr>
      <w:rFonts w:ascii="Arial" w:hAnsi="Arial" w:cs="Arial"/>
      <w:bCs w:val="0"/>
      <w:i w:val="0"/>
      <w:iCs w:val="0"/>
      <w:sz w:val="22"/>
    </w:rPr>
  </w:style>
  <w:style w:type="character" w:customStyle="1" w:styleId="TITULODOC1Car">
    <w:name w:val="TITULO DOC 1 Car"/>
    <w:basedOn w:val="Ttulo1Car"/>
    <w:link w:val="TITULODOC1"/>
    <w:rsid w:val="00D9702E"/>
    <w:rPr>
      <w:rFonts w:ascii="Arial" w:hAnsi="Arial" w:cs="Arial"/>
      <w:b/>
      <w:sz w:val="24"/>
      <w:szCs w:val="24"/>
      <w:lang w:eastAsia="es-ES"/>
    </w:rPr>
  </w:style>
  <w:style w:type="paragraph" w:customStyle="1" w:styleId="TITULODOC3">
    <w:name w:val="TITULO DOC 3"/>
    <w:basedOn w:val="Ttulo3"/>
    <w:link w:val="TITULODOC3Car"/>
    <w:qFormat/>
    <w:rsid w:val="00D9702E"/>
    <w:pPr>
      <w:numPr>
        <w:ilvl w:val="0"/>
        <w:numId w:val="0"/>
      </w:numPr>
      <w:spacing w:before="220" w:after="220"/>
      <w:jc w:val="both"/>
    </w:pPr>
    <w:rPr>
      <w:rFonts w:ascii="Arial" w:hAnsi="Arial" w:cs="Arial"/>
      <w:snapToGrid/>
    </w:rPr>
  </w:style>
  <w:style w:type="character" w:customStyle="1" w:styleId="TITULODOC2Car">
    <w:name w:val="TITULO DOC 2 Car"/>
    <w:basedOn w:val="Ttulo2Car"/>
    <w:link w:val="TITULODOC2"/>
    <w:rsid w:val="00D9702E"/>
    <w:rPr>
      <w:rFonts w:ascii="Arial" w:hAnsi="Arial" w:cs="Arial"/>
      <w:b/>
      <w:bCs w:val="0"/>
      <w:i w:val="0"/>
      <w:iCs w:val="0"/>
      <w:sz w:val="22"/>
      <w:szCs w:val="28"/>
      <w:lang w:val="es-ES" w:eastAsia="es-ES"/>
    </w:rPr>
  </w:style>
  <w:style w:type="paragraph" w:customStyle="1" w:styleId="TITULODOC4">
    <w:name w:val="TITULO DOC 4"/>
    <w:basedOn w:val="Textoindependiente"/>
    <w:link w:val="TITULODOC4Car"/>
    <w:qFormat/>
    <w:rsid w:val="00D9702E"/>
    <w:pPr>
      <w:keepNext/>
      <w:spacing w:before="220" w:after="220"/>
      <w:jc w:val="both"/>
    </w:pPr>
    <w:rPr>
      <w:bCs w:val="0"/>
      <w:sz w:val="28"/>
      <w:lang w:val="x-none"/>
    </w:rPr>
  </w:style>
  <w:style w:type="character" w:customStyle="1" w:styleId="TITULODOC3Car">
    <w:name w:val="TITULO DOC 3 Car"/>
    <w:basedOn w:val="Ttulo3Car"/>
    <w:link w:val="TITULODOC3"/>
    <w:rsid w:val="00D9702E"/>
    <w:rPr>
      <w:rFonts w:ascii="Arial" w:hAnsi="Arial" w:cs="Arial"/>
      <w:b/>
      <w:snapToGrid/>
      <w:color w:val="000000"/>
      <w:sz w:val="24"/>
      <w:lang w:val="es-ES_tradnl" w:eastAsia="es-ES"/>
    </w:rPr>
  </w:style>
  <w:style w:type="character" w:customStyle="1" w:styleId="TITULODOC4Car">
    <w:name w:val="TITULO DOC 4 Car"/>
    <w:basedOn w:val="TextoindependienteCar"/>
    <w:link w:val="TITULODOC4"/>
    <w:rsid w:val="00D9702E"/>
    <w:rPr>
      <w:rFonts w:ascii="Arial" w:hAnsi="Arial" w:cs="Arial"/>
      <w:b/>
      <w:bCs w:val="0"/>
      <w:sz w:val="28"/>
      <w:szCs w:val="24"/>
      <w:lang w:val="x-none" w:eastAsia="es-ES"/>
    </w:rPr>
  </w:style>
  <w:style w:type="paragraph" w:customStyle="1" w:styleId="DocTtulo1">
    <w:name w:val="DocTítulo1"/>
    <w:basedOn w:val="Ttulo1"/>
    <w:link w:val="DocTtulo1Car"/>
    <w:qFormat/>
    <w:rsid w:val="00D9702E"/>
    <w:pPr>
      <w:numPr>
        <w:numId w:val="0"/>
      </w:numPr>
      <w:spacing w:before="360" w:after="240"/>
      <w:ind w:left="426" w:hanging="426"/>
      <w:jc w:val="left"/>
    </w:pPr>
    <w:rPr>
      <w:rFonts w:ascii="Arial" w:hAnsi="Arial" w:cs="Arial"/>
      <w:szCs w:val="24"/>
    </w:rPr>
  </w:style>
  <w:style w:type="paragraph" w:customStyle="1" w:styleId="DocTtulo2">
    <w:name w:val="DocTïtulo2"/>
    <w:basedOn w:val="Ttulo2"/>
    <w:link w:val="DocTtulo2Car"/>
    <w:qFormat/>
    <w:rsid w:val="00D9702E"/>
    <w:pPr>
      <w:numPr>
        <w:ilvl w:val="0"/>
        <w:numId w:val="0"/>
      </w:numPr>
      <w:spacing w:before="220" w:after="220"/>
      <w:ind w:left="567" w:hanging="567"/>
      <w:jc w:val="left"/>
    </w:pPr>
    <w:rPr>
      <w:rFonts w:ascii="Arial" w:hAnsi="Arial" w:cs="Arial"/>
      <w:bCs w:val="0"/>
      <w:i w:val="0"/>
      <w:iCs w:val="0"/>
      <w:sz w:val="22"/>
    </w:rPr>
  </w:style>
  <w:style w:type="character" w:customStyle="1" w:styleId="DocTtulo1Car">
    <w:name w:val="DocTítulo1 Car"/>
    <w:basedOn w:val="Ttulo1Car"/>
    <w:link w:val="DocTtulo1"/>
    <w:rsid w:val="00D9702E"/>
    <w:rPr>
      <w:rFonts w:ascii="Arial" w:hAnsi="Arial" w:cs="Arial"/>
      <w:b/>
      <w:sz w:val="24"/>
      <w:szCs w:val="24"/>
      <w:lang w:eastAsia="es-ES"/>
    </w:rPr>
  </w:style>
  <w:style w:type="paragraph" w:customStyle="1" w:styleId="DocTtulo3">
    <w:name w:val="DocTítulo3"/>
    <w:basedOn w:val="Ttulo3"/>
    <w:link w:val="DocTtulo3Car"/>
    <w:qFormat/>
    <w:rsid w:val="00D9702E"/>
    <w:pPr>
      <w:numPr>
        <w:ilvl w:val="0"/>
        <w:numId w:val="0"/>
      </w:numPr>
      <w:spacing w:before="220" w:after="220"/>
      <w:ind w:left="851" w:hanging="851"/>
      <w:jc w:val="both"/>
    </w:pPr>
    <w:rPr>
      <w:rFonts w:ascii="Arial" w:hAnsi="Arial" w:cs="Arial"/>
      <w:snapToGrid/>
    </w:rPr>
  </w:style>
  <w:style w:type="character" w:customStyle="1" w:styleId="DocTtulo2Car">
    <w:name w:val="DocTïtulo2 Car"/>
    <w:basedOn w:val="Ttulo2Car"/>
    <w:link w:val="DocTtulo2"/>
    <w:rsid w:val="00D9702E"/>
    <w:rPr>
      <w:rFonts w:ascii="Arial" w:hAnsi="Arial" w:cs="Arial"/>
      <w:b/>
      <w:bCs w:val="0"/>
      <w:i w:val="0"/>
      <w:iCs w:val="0"/>
      <w:sz w:val="22"/>
      <w:szCs w:val="28"/>
      <w:lang w:val="es-ES" w:eastAsia="es-ES"/>
    </w:rPr>
  </w:style>
  <w:style w:type="paragraph" w:customStyle="1" w:styleId="DocTtulo4">
    <w:name w:val="DocTítulo4"/>
    <w:basedOn w:val="Textoindependiente"/>
    <w:link w:val="DocTtulo4Car"/>
    <w:qFormat/>
    <w:rsid w:val="00D9702E"/>
    <w:pPr>
      <w:keepNext/>
      <w:spacing w:before="220" w:after="220"/>
      <w:ind w:left="851" w:hanging="851"/>
      <w:jc w:val="both"/>
    </w:pPr>
    <w:rPr>
      <w:bCs w:val="0"/>
      <w:sz w:val="28"/>
      <w:lang w:val="x-none"/>
    </w:rPr>
  </w:style>
  <w:style w:type="character" w:customStyle="1" w:styleId="DocTtulo3Car">
    <w:name w:val="DocTítulo3 Car"/>
    <w:basedOn w:val="Ttulo3Car"/>
    <w:link w:val="DocTtulo3"/>
    <w:rsid w:val="00D9702E"/>
    <w:rPr>
      <w:rFonts w:ascii="Arial" w:hAnsi="Arial" w:cs="Arial"/>
      <w:b/>
      <w:snapToGrid/>
      <w:color w:val="000000"/>
      <w:sz w:val="24"/>
      <w:lang w:val="es-ES_tradnl" w:eastAsia="es-ES"/>
    </w:rPr>
  </w:style>
  <w:style w:type="character" w:customStyle="1" w:styleId="DocTtulo4Car">
    <w:name w:val="DocTítulo4 Car"/>
    <w:basedOn w:val="TextoindependienteCar"/>
    <w:link w:val="DocTtulo4"/>
    <w:rsid w:val="00D9702E"/>
    <w:rPr>
      <w:rFonts w:ascii="Arial" w:hAnsi="Arial" w:cs="Arial"/>
      <w:b/>
      <w:bCs w:val="0"/>
      <w:sz w:val="28"/>
      <w:szCs w:val="24"/>
      <w:lang w:val="x-none" w:eastAsia="es-ES"/>
    </w:rPr>
  </w:style>
  <w:style w:type="paragraph" w:customStyle="1" w:styleId="Titulo1">
    <w:name w:val="Titulo 1"/>
    <w:basedOn w:val="Ttulo2"/>
    <w:rsid w:val="00D9702E"/>
    <w:pPr>
      <w:numPr>
        <w:ilvl w:val="0"/>
        <w:numId w:val="0"/>
      </w:numPr>
      <w:spacing w:before="220" w:after="220"/>
      <w:ind w:left="567" w:hanging="567"/>
    </w:pPr>
    <w:rPr>
      <w:rFonts w:ascii="Arial" w:hAnsi="Arial" w:cs="Arial"/>
      <w:bCs w:val="0"/>
      <w:i w:val="0"/>
      <w:iCs w:val="0"/>
      <w:sz w:val="22"/>
      <w:szCs w:val="22"/>
      <w:lang w:val="es-CO"/>
    </w:rPr>
  </w:style>
  <w:style w:type="paragraph" w:customStyle="1" w:styleId="NumeracinNivel1">
    <w:name w:val="Numeración Nivel 1"/>
    <w:basedOn w:val="Ttulo1"/>
    <w:qFormat/>
    <w:rsid w:val="00D9702E"/>
    <w:pPr>
      <w:numPr>
        <w:numId w:val="0"/>
      </w:numPr>
      <w:tabs>
        <w:tab w:val="num" w:pos="360"/>
      </w:tabs>
      <w:spacing w:before="360" w:after="240"/>
      <w:ind w:left="426" w:hanging="426"/>
      <w:jc w:val="left"/>
    </w:pPr>
    <w:rPr>
      <w:rFonts w:ascii="Arial" w:hAnsi="Arial" w:cs="Arial"/>
      <w:sz w:val="22"/>
      <w:szCs w:val="24"/>
    </w:rPr>
  </w:style>
  <w:style w:type="character" w:customStyle="1" w:styleId="NumeracinNivel2Car">
    <w:name w:val="Numeración Nivel 2 Car"/>
    <w:basedOn w:val="Fuentedeprrafopredeter"/>
    <w:link w:val="NumeracinNivel2"/>
    <w:locked/>
    <w:rsid w:val="00D9702E"/>
    <w:rPr>
      <w:rFonts w:ascii="Arial" w:hAnsi="Arial" w:cs="Arial"/>
      <w:b/>
      <w:lang w:eastAsia="es-ES"/>
    </w:rPr>
  </w:style>
  <w:style w:type="paragraph" w:customStyle="1" w:styleId="NumeracinNivel2">
    <w:name w:val="Numeración Nivel 2"/>
    <w:basedOn w:val="Titulo1"/>
    <w:link w:val="NumeracinNivel2Car"/>
    <w:qFormat/>
    <w:rsid w:val="00D9702E"/>
    <w:rPr>
      <w:sz w:val="20"/>
      <w:szCs w:val="20"/>
    </w:rPr>
  </w:style>
  <w:style w:type="paragraph" w:customStyle="1" w:styleId="NumeracinNivel3">
    <w:name w:val="Numeración Nivel 3"/>
    <w:basedOn w:val="Textoindependiente"/>
    <w:link w:val="NumeracinNivel3Car"/>
    <w:qFormat/>
    <w:rsid w:val="00D9702E"/>
    <w:pPr>
      <w:keepNext/>
      <w:tabs>
        <w:tab w:val="num" w:pos="360"/>
      </w:tabs>
      <w:spacing w:before="220" w:after="220"/>
      <w:ind w:left="851" w:hanging="851"/>
      <w:jc w:val="both"/>
    </w:pPr>
    <w:rPr>
      <w:bCs w:val="0"/>
      <w:iCs/>
      <w:sz w:val="28"/>
      <w:lang w:val="x-none"/>
    </w:rPr>
  </w:style>
  <w:style w:type="paragraph" w:customStyle="1" w:styleId="NumeracinNivel4">
    <w:name w:val="Numeración Nivel 4"/>
    <w:basedOn w:val="Textoindependiente"/>
    <w:qFormat/>
    <w:rsid w:val="00D9702E"/>
    <w:pPr>
      <w:keepNext/>
      <w:tabs>
        <w:tab w:val="num" w:pos="360"/>
      </w:tabs>
      <w:spacing w:before="220" w:after="220"/>
      <w:ind w:left="851" w:hanging="851"/>
      <w:jc w:val="both"/>
    </w:pPr>
    <w:rPr>
      <w:bCs w:val="0"/>
      <w:sz w:val="22"/>
      <w:szCs w:val="20"/>
      <w:lang w:val="es-CO"/>
    </w:rPr>
  </w:style>
  <w:style w:type="character" w:customStyle="1" w:styleId="NumeracinNivel3Car">
    <w:name w:val="Numeración Nivel 3 Car"/>
    <w:basedOn w:val="TextoindependienteCar"/>
    <w:link w:val="NumeracinNivel3"/>
    <w:rsid w:val="00D9702E"/>
    <w:rPr>
      <w:rFonts w:ascii="Arial" w:hAnsi="Arial" w:cs="Arial"/>
      <w:b/>
      <w:bCs w:val="0"/>
      <w:iCs/>
      <w:sz w:val="28"/>
      <w:szCs w:val="24"/>
      <w:lang w:val="x-none" w:eastAsia="es-ES"/>
    </w:rPr>
  </w:style>
  <w:style w:type="character" w:styleId="Mencinsinresolver">
    <w:name w:val="Unresolved Mention"/>
    <w:basedOn w:val="Fuentedeprrafopredeter"/>
    <w:uiPriority w:val="99"/>
    <w:semiHidden/>
    <w:unhideWhenUsed/>
    <w:rsid w:val="00D9702E"/>
    <w:rPr>
      <w:color w:val="605E5C"/>
      <w:shd w:val="clear" w:color="auto" w:fill="E1DFDD"/>
    </w:rPr>
  </w:style>
  <w:style w:type="character" w:customStyle="1" w:styleId="cf01">
    <w:name w:val="cf01"/>
    <w:basedOn w:val="Fuentedeprrafopredeter"/>
    <w:rsid w:val="006B001F"/>
    <w:rPr>
      <w:rFonts w:ascii="Segoe UI" w:hAnsi="Segoe UI" w:cs="Segoe UI" w:hint="default"/>
      <w:sz w:val="18"/>
      <w:szCs w:val="18"/>
    </w:rPr>
  </w:style>
  <w:style w:type="character" w:customStyle="1" w:styleId="cf11">
    <w:name w:val="cf11"/>
    <w:basedOn w:val="Fuentedeprrafopredeter"/>
    <w:rsid w:val="006B001F"/>
    <w:rPr>
      <w:rFonts w:ascii="Segoe UI" w:hAnsi="Segoe UI" w:cs="Segoe UI" w:hint="default"/>
      <w:sz w:val="18"/>
      <w:szCs w:val="18"/>
      <w:shd w:val="clear" w:color="auto" w:fill="FFFF00"/>
    </w:rPr>
  </w:style>
  <w:style w:type="character" w:customStyle="1" w:styleId="cf21">
    <w:name w:val="cf21"/>
    <w:basedOn w:val="Fuentedeprrafopredeter"/>
    <w:rsid w:val="006B001F"/>
    <w:rPr>
      <w:rFonts w:ascii="Segoe UI" w:hAnsi="Segoe UI" w:cs="Segoe UI" w:hint="default"/>
      <w:i/>
      <w:iCs/>
      <w:sz w:val="18"/>
      <w:szCs w:val="18"/>
      <w:shd w:val="clear" w:color="auto" w:fill="FFFF00"/>
    </w:rPr>
  </w:style>
  <w:style w:type="character" w:customStyle="1" w:styleId="cf31">
    <w:name w:val="cf31"/>
    <w:basedOn w:val="Fuentedeprrafopredeter"/>
    <w:rsid w:val="006B001F"/>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9988838">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701655">
      <w:bodyDiv w:val="1"/>
      <w:marLeft w:val="0"/>
      <w:marRight w:val="0"/>
      <w:marTop w:val="0"/>
      <w:marBottom w:val="0"/>
      <w:divBdr>
        <w:top w:val="none" w:sz="0" w:space="0" w:color="auto"/>
        <w:left w:val="none" w:sz="0" w:space="0" w:color="auto"/>
        <w:bottom w:val="none" w:sz="0" w:space="0" w:color="auto"/>
        <w:right w:val="none" w:sz="0" w:space="0" w:color="auto"/>
      </w:divBdr>
    </w:div>
    <w:div w:id="115872235">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350717">
      <w:bodyDiv w:val="1"/>
      <w:marLeft w:val="0"/>
      <w:marRight w:val="0"/>
      <w:marTop w:val="0"/>
      <w:marBottom w:val="0"/>
      <w:divBdr>
        <w:top w:val="none" w:sz="0" w:space="0" w:color="auto"/>
        <w:left w:val="none" w:sz="0" w:space="0" w:color="auto"/>
        <w:bottom w:val="none" w:sz="0" w:space="0" w:color="auto"/>
        <w:right w:val="none" w:sz="0" w:space="0" w:color="auto"/>
      </w:divBdr>
    </w:div>
    <w:div w:id="145123596">
      <w:bodyDiv w:val="1"/>
      <w:marLeft w:val="0"/>
      <w:marRight w:val="0"/>
      <w:marTop w:val="0"/>
      <w:marBottom w:val="0"/>
      <w:divBdr>
        <w:top w:val="none" w:sz="0" w:space="0" w:color="auto"/>
        <w:left w:val="none" w:sz="0" w:space="0" w:color="auto"/>
        <w:bottom w:val="none" w:sz="0" w:space="0" w:color="auto"/>
        <w:right w:val="none" w:sz="0" w:space="0" w:color="auto"/>
      </w:divBdr>
    </w:div>
    <w:div w:id="252320584">
      <w:bodyDiv w:val="1"/>
      <w:marLeft w:val="0"/>
      <w:marRight w:val="0"/>
      <w:marTop w:val="0"/>
      <w:marBottom w:val="0"/>
      <w:divBdr>
        <w:top w:val="none" w:sz="0" w:space="0" w:color="auto"/>
        <w:left w:val="none" w:sz="0" w:space="0" w:color="auto"/>
        <w:bottom w:val="none" w:sz="0" w:space="0" w:color="auto"/>
        <w:right w:val="none" w:sz="0" w:space="0" w:color="auto"/>
      </w:divBdr>
    </w:div>
    <w:div w:id="271594641">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88462458">
      <w:bodyDiv w:val="1"/>
      <w:marLeft w:val="0"/>
      <w:marRight w:val="0"/>
      <w:marTop w:val="0"/>
      <w:marBottom w:val="0"/>
      <w:divBdr>
        <w:top w:val="none" w:sz="0" w:space="0" w:color="auto"/>
        <w:left w:val="none" w:sz="0" w:space="0" w:color="auto"/>
        <w:bottom w:val="none" w:sz="0" w:space="0" w:color="auto"/>
        <w:right w:val="none" w:sz="0" w:space="0" w:color="auto"/>
      </w:divBdr>
    </w:div>
    <w:div w:id="398553983">
      <w:bodyDiv w:val="1"/>
      <w:marLeft w:val="0"/>
      <w:marRight w:val="0"/>
      <w:marTop w:val="0"/>
      <w:marBottom w:val="0"/>
      <w:divBdr>
        <w:top w:val="none" w:sz="0" w:space="0" w:color="auto"/>
        <w:left w:val="none" w:sz="0" w:space="0" w:color="auto"/>
        <w:bottom w:val="none" w:sz="0" w:space="0" w:color="auto"/>
        <w:right w:val="none" w:sz="0" w:space="0" w:color="auto"/>
      </w:divBdr>
    </w:div>
    <w:div w:id="407189839">
      <w:bodyDiv w:val="1"/>
      <w:marLeft w:val="0"/>
      <w:marRight w:val="0"/>
      <w:marTop w:val="0"/>
      <w:marBottom w:val="0"/>
      <w:divBdr>
        <w:top w:val="none" w:sz="0" w:space="0" w:color="auto"/>
        <w:left w:val="none" w:sz="0" w:space="0" w:color="auto"/>
        <w:bottom w:val="none" w:sz="0" w:space="0" w:color="auto"/>
        <w:right w:val="none" w:sz="0" w:space="0" w:color="auto"/>
      </w:divBdr>
    </w:div>
    <w:div w:id="431776851">
      <w:bodyDiv w:val="1"/>
      <w:marLeft w:val="0"/>
      <w:marRight w:val="0"/>
      <w:marTop w:val="0"/>
      <w:marBottom w:val="0"/>
      <w:divBdr>
        <w:top w:val="none" w:sz="0" w:space="0" w:color="auto"/>
        <w:left w:val="none" w:sz="0" w:space="0" w:color="auto"/>
        <w:bottom w:val="none" w:sz="0" w:space="0" w:color="auto"/>
        <w:right w:val="none" w:sz="0" w:space="0" w:color="auto"/>
      </w:divBdr>
    </w:div>
    <w:div w:id="434059716">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52332983">
      <w:bodyDiv w:val="1"/>
      <w:marLeft w:val="0"/>
      <w:marRight w:val="0"/>
      <w:marTop w:val="0"/>
      <w:marBottom w:val="0"/>
      <w:divBdr>
        <w:top w:val="none" w:sz="0" w:space="0" w:color="auto"/>
        <w:left w:val="none" w:sz="0" w:space="0" w:color="auto"/>
        <w:bottom w:val="none" w:sz="0" w:space="0" w:color="auto"/>
        <w:right w:val="none" w:sz="0" w:space="0" w:color="auto"/>
      </w:divBdr>
    </w:div>
    <w:div w:id="456141661">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533159710">
      <w:bodyDiv w:val="1"/>
      <w:marLeft w:val="0"/>
      <w:marRight w:val="0"/>
      <w:marTop w:val="0"/>
      <w:marBottom w:val="0"/>
      <w:divBdr>
        <w:top w:val="none" w:sz="0" w:space="0" w:color="auto"/>
        <w:left w:val="none" w:sz="0" w:space="0" w:color="auto"/>
        <w:bottom w:val="none" w:sz="0" w:space="0" w:color="auto"/>
        <w:right w:val="none" w:sz="0" w:space="0" w:color="auto"/>
      </w:divBdr>
    </w:div>
    <w:div w:id="534659825">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70184829">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693926006">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85386613">
      <w:bodyDiv w:val="1"/>
      <w:marLeft w:val="0"/>
      <w:marRight w:val="0"/>
      <w:marTop w:val="0"/>
      <w:marBottom w:val="0"/>
      <w:divBdr>
        <w:top w:val="none" w:sz="0" w:space="0" w:color="auto"/>
        <w:left w:val="none" w:sz="0" w:space="0" w:color="auto"/>
        <w:bottom w:val="none" w:sz="0" w:space="0" w:color="auto"/>
        <w:right w:val="none" w:sz="0" w:space="0" w:color="auto"/>
      </w:divBdr>
    </w:div>
    <w:div w:id="840973113">
      <w:bodyDiv w:val="1"/>
      <w:marLeft w:val="0"/>
      <w:marRight w:val="0"/>
      <w:marTop w:val="0"/>
      <w:marBottom w:val="0"/>
      <w:divBdr>
        <w:top w:val="none" w:sz="0" w:space="0" w:color="auto"/>
        <w:left w:val="none" w:sz="0" w:space="0" w:color="auto"/>
        <w:bottom w:val="none" w:sz="0" w:space="0" w:color="auto"/>
        <w:right w:val="none" w:sz="0" w:space="0" w:color="auto"/>
      </w:divBdr>
    </w:div>
    <w:div w:id="860171983">
      <w:bodyDiv w:val="1"/>
      <w:marLeft w:val="0"/>
      <w:marRight w:val="0"/>
      <w:marTop w:val="0"/>
      <w:marBottom w:val="0"/>
      <w:divBdr>
        <w:top w:val="none" w:sz="0" w:space="0" w:color="auto"/>
        <w:left w:val="none" w:sz="0" w:space="0" w:color="auto"/>
        <w:bottom w:val="none" w:sz="0" w:space="0" w:color="auto"/>
        <w:right w:val="none" w:sz="0" w:space="0" w:color="auto"/>
      </w:divBdr>
    </w:div>
    <w:div w:id="862667397">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5235771">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24461232">
      <w:bodyDiv w:val="1"/>
      <w:marLeft w:val="0"/>
      <w:marRight w:val="0"/>
      <w:marTop w:val="0"/>
      <w:marBottom w:val="0"/>
      <w:divBdr>
        <w:top w:val="none" w:sz="0" w:space="0" w:color="auto"/>
        <w:left w:val="none" w:sz="0" w:space="0" w:color="auto"/>
        <w:bottom w:val="none" w:sz="0" w:space="0" w:color="auto"/>
        <w:right w:val="none" w:sz="0" w:space="0" w:color="auto"/>
      </w:divBdr>
    </w:div>
    <w:div w:id="924610643">
      <w:bodyDiv w:val="1"/>
      <w:marLeft w:val="0"/>
      <w:marRight w:val="0"/>
      <w:marTop w:val="0"/>
      <w:marBottom w:val="0"/>
      <w:divBdr>
        <w:top w:val="none" w:sz="0" w:space="0" w:color="auto"/>
        <w:left w:val="none" w:sz="0" w:space="0" w:color="auto"/>
        <w:bottom w:val="none" w:sz="0" w:space="0" w:color="auto"/>
        <w:right w:val="none" w:sz="0" w:space="0" w:color="auto"/>
      </w:divBdr>
    </w:div>
    <w:div w:id="948003185">
      <w:bodyDiv w:val="1"/>
      <w:marLeft w:val="0"/>
      <w:marRight w:val="0"/>
      <w:marTop w:val="0"/>
      <w:marBottom w:val="0"/>
      <w:divBdr>
        <w:top w:val="none" w:sz="0" w:space="0" w:color="auto"/>
        <w:left w:val="none" w:sz="0" w:space="0" w:color="auto"/>
        <w:bottom w:val="none" w:sz="0" w:space="0" w:color="auto"/>
        <w:right w:val="none" w:sz="0" w:space="0" w:color="auto"/>
      </w:divBdr>
    </w:div>
    <w:div w:id="966397161">
      <w:bodyDiv w:val="1"/>
      <w:marLeft w:val="0"/>
      <w:marRight w:val="0"/>
      <w:marTop w:val="0"/>
      <w:marBottom w:val="0"/>
      <w:divBdr>
        <w:top w:val="none" w:sz="0" w:space="0" w:color="auto"/>
        <w:left w:val="none" w:sz="0" w:space="0" w:color="auto"/>
        <w:bottom w:val="none" w:sz="0" w:space="0" w:color="auto"/>
        <w:right w:val="none" w:sz="0" w:space="0" w:color="auto"/>
      </w:divBdr>
    </w:div>
    <w:div w:id="1010913969">
      <w:bodyDiv w:val="1"/>
      <w:marLeft w:val="0"/>
      <w:marRight w:val="0"/>
      <w:marTop w:val="0"/>
      <w:marBottom w:val="0"/>
      <w:divBdr>
        <w:top w:val="none" w:sz="0" w:space="0" w:color="auto"/>
        <w:left w:val="none" w:sz="0" w:space="0" w:color="auto"/>
        <w:bottom w:val="none" w:sz="0" w:space="0" w:color="auto"/>
        <w:right w:val="none" w:sz="0" w:space="0" w:color="auto"/>
      </w:divBdr>
      <w:divsChild>
        <w:div w:id="2034843584">
          <w:marLeft w:val="274"/>
          <w:marRight w:val="0"/>
          <w:marTop w:val="0"/>
          <w:marBottom w:val="0"/>
          <w:divBdr>
            <w:top w:val="none" w:sz="0" w:space="0" w:color="auto"/>
            <w:left w:val="none" w:sz="0" w:space="0" w:color="auto"/>
            <w:bottom w:val="none" w:sz="0" w:space="0" w:color="auto"/>
            <w:right w:val="none" w:sz="0" w:space="0" w:color="auto"/>
          </w:divBdr>
        </w:div>
        <w:div w:id="252208710">
          <w:marLeft w:val="274"/>
          <w:marRight w:val="0"/>
          <w:marTop w:val="0"/>
          <w:marBottom w:val="0"/>
          <w:divBdr>
            <w:top w:val="none" w:sz="0" w:space="0" w:color="auto"/>
            <w:left w:val="none" w:sz="0" w:space="0" w:color="auto"/>
            <w:bottom w:val="none" w:sz="0" w:space="0" w:color="auto"/>
            <w:right w:val="none" w:sz="0" w:space="0" w:color="auto"/>
          </w:divBdr>
        </w:div>
      </w:divsChild>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1560267">
      <w:bodyDiv w:val="1"/>
      <w:marLeft w:val="0"/>
      <w:marRight w:val="0"/>
      <w:marTop w:val="0"/>
      <w:marBottom w:val="0"/>
      <w:divBdr>
        <w:top w:val="none" w:sz="0" w:space="0" w:color="auto"/>
        <w:left w:val="none" w:sz="0" w:space="0" w:color="auto"/>
        <w:bottom w:val="none" w:sz="0" w:space="0" w:color="auto"/>
        <w:right w:val="none" w:sz="0" w:space="0" w:color="auto"/>
      </w:divBdr>
    </w:div>
    <w:div w:id="1079596342">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31825614">
      <w:bodyDiv w:val="1"/>
      <w:marLeft w:val="0"/>
      <w:marRight w:val="0"/>
      <w:marTop w:val="0"/>
      <w:marBottom w:val="0"/>
      <w:divBdr>
        <w:top w:val="none" w:sz="0" w:space="0" w:color="auto"/>
        <w:left w:val="none" w:sz="0" w:space="0" w:color="auto"/>
        <w:bottom w:val="none" w:sz="0" w:space="0" w:color="auto"/>
        <w:right w:val="none" w:sz="0" w:space="0" w:color="auto"/>
      </w:divBdr>
    </w:div>
    <w:div w:id="1188981521">
      <w:bodyDiv w:val="1"/>
      <w:marLeft w:val="0"/>
      <w:marRight w:val="0"/>
      <w:marTop w:val="0"/>
      <w:marBottom w:val="0"/>
      <w:divBdr>
        <w:top w:val="none" w:sz="0" w:space="0" w:color="auto"/>
        <w:left w:val="none" w:sz="0" w:space="0" w:color="auto"/>
        <w:bottom w:val="none" w:sz="0" w:space="0" w:color="auto"/>
        <w:right w:val="none" w:sz="0" w:space="0" w:color="auto"/>
      </w:divBdr>
    </w:div>
    <w:div w:id="1203713063">
      <w:bodyDiv w:val="1"/>
      <w:marLeft w:val="0"/>
      <w:marRight w:val="0"/>
      <w:marTop w:val="0"/>
      <w:marBottom w:val="0"/>
      <w:divBdr>
        <w:top w:val="none" w:sz="0" w:space="0" w:color="auto"/>
        <w:left w:val="none" w:sz="0" w:space="0" w:color="auto"/>
        <w:bottom w:val="none" w:sz="0" w:space="0" w:color="auto"/>
        <w:right w:val="none" w:sz="0" w:space="0" w:color="auto"/>
      </w:divBdr>
    </w:div>
    <w:div w:id="1227957709">
      <w:bodyDiv w:val="1"/>
      <w:marLeft w:val="0"/>
      <w:marRight w:val="0"/>
      <w:marTop w:val="0"/>
      <w:marBottom w:val="0"/>
      <w:divBdr>
        <w:top w:val="none" w:sz="0" w:space="0" w:color="auto"/>
        <w:left w:val="none" w:sz="0" w:space="0" w:color="auto"/>
        <w:bottom w:val="none" w:sz="0" w:space="0" w:color="auto"/>
        <w:right w:val="none" w:sz="0" w:space="0" w:color="auto"/>
      </w:divBdr>
    </w:div>
    <w:div w:id="1262184504">
      <w:bodyDiv w:val="1"/>
      <w:marLeft w:val="0"/>
      <w:marRight w:val="0"/>
      <w:marTop w:val="0"/>
      <w:marBottom w:val="0"/>
      <w:divBdr>
        <w:top w:val="none" w:sz="0" w:space="0" w:color="auto"/>
        <w:left w:val="none" w:sz="0" w:space="0" w:color="auto"/>
        <w:bottom w:val="none" w:sz="0" w:space="0" w:color="auto"/>
        <w:right w:val="none" w:sz="0" w:space="0" w:color="auto"/>
      </w:divBdr>
    </w:div>
    <w:div w:id="1294747202">
      <w:bodyDiv w:val="1"/>
      <w:marLeft w:val="0"/>
      <w:marRight w:val="0"/>
      <w:marTop w:val="0"/>
      <w:marBottom w:val="0"/>
      <w:divBdr>
        <w:top w:val="none" w:sz="0" w:space="0" w:color="auto"/>
        <w:left w:val="none" w:sz="0" w:space="0" w:color="auto"/>
        <w:bottom w:val="none" w:sz="0" w:space="0" w:color="auto"/>
        <w:right w:val="none" w:sz="0" w:space="0" w:color="auto"/>
      </w:divBdr>
    </w:div>
    <w:div w:id="1306201821">
      <w:bodyDiv w:val="1"/>
      <w:marLeft w:val="0"/>
      <w:marRight w:val="0"/>
      <w:marTop w:val="0"/>
      <w:marBottom w:val="0"/>
      <w:divBdr>
        <w:top w:val="none" w:sz="0" w:space="0" w:color="auto"/>
        <w:left w:val="none" w:sz="0" w:space="0" w:color="auto"/>
        <w:bottom w:val="none" w:sz="0" w:space="0" w:color="auto"/>
        <w:right w:val="none" w:sz="0" w:space="0" w:color="auto"/>
      </w:divBdr>
    </w:div>
    <w:div w:id="1330986833">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47460731">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506625980">
      <w:bodyDiv w:val="1"/>
      <w:marLeft w:val="0"/>
      <w:marRight w:val="0"/>
      <w:marTop w:val="0"/>
      <w:marBottom w:val="0"/>
      <w:divBdr>
        <w:top w:val="none" w:sz="0" w:space="0" w:color="auto"/>
        <w:left w:val="none" w:sz="0" w:space="0" w:color="auto"/>
        <w:bottom w:val="none" w:sz="0" w:space="0" w:color="auto"/>
        <w:right w:val="none" w:sz="0" w:space="0" w:color="auto"/>
      </w:divBdr>
    </w:div>
    <w:div w:id="1541167857">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01059731">
      <w:bodyDiv w:val="1"/>
      <w:marLeft w:val="0"/>
      <w:marRight w:val="0"/>
      <w:marTop w:val="0"/>
      <w:marBottom w:val="0"/>
      <w:divBdr>
        <w:top w:val="none" w:sz="0" w:space="0" w:color="auto"/>
        <w:left w:val="none" w:sz="0" w:space="0" w:color="auto"/>
        <w:bottom w:val="none" w:sz="0" w:space="0" w:color="auto"/>
        <w:right w:val="none" w:sz="0" w:space="0" w:color="auto"/>
      </w:divBdr>
    </w:div>
    <w:div w:id="1616058391">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28120441">
      <w:bodyDiv w:val="1"/>
      <w:marLeft w:val="0"/>
      <w:marRight w:val="0"/>
      <w:marTop w:val="0"/>
      <w:marBottom w:val="0"/>
      <w:divBdr>
        <w:top w:val="none" w:sz="0" w:space="0" w:color="auto"/>
        <w:left w:val="none" w:sz="0" w:space="0" w:color="auto"/>
        <w:bottom w:val="none" w:sz="0" w:space="0" w:color="auto"/>
        <w:right w:val="none" w:sz="0" w:space="0" w:color="auto"/>
      </w:divBdr>
    </w:div>
    <w:div w:id="1672875771">
      <w:bodyDiv w:val="1"/>
      <w:marLeft w:val="0"/>
      <w:marRight w:val="0"/>
      <w:marTop w:val="0"/>
      <w:marBottom w:val="0"/>
      <w:divBdr>
        <w:top w:val="none" w:sz="0" w:space="0" w:color="auto"/>
        <w:left w:val="none" w:sz="0" w:space="0" w:color="auto"/>
        <w:bottom w:val="none" w:sz="0" w:space="0" w:color="auto"/>
        <w:right w:val="none" w:sz="0" w:space="0" w:color="auto"/>
      </w:divBdr>
    </w:div>
    <w:div w:id="177952290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09474116">
      <w:bodyDiv w:val="1"/>
      <w:marLeft w:val="0"/>
      <w:marRight w:val="0"/>
      <w:marTop w:val="0"/>
      <w:marBottom w:val="0"/>
      <w:divBdr>
        <w:top w:val="none" w:sz="0" w:space="0" w:color="auto"/>
        <w:left w:val="none" w:sz="0" w:space="0" w:color="auto"/>
        <w:bottom w:val="none" w:sz="0" w:space="0" w:color="auto"/>
        <w:right w:val="none" w:sz="0" w:space="0" w:color="auto"/>
      </w:divBdr>
    </w:div>
    <w:div w:id="1812484205">
      <w:bodyDiv w:val="1"/>
      <w:marLeft w:val="0"/>
      <w:marRight w:val="0"/>
      <w:marTop w:val="0"/>
      <w:marBottom w:val="0"/>
      <w:divBdr>
        <w:top w:val="none" w:sz="0" w:space="0" w:color="auto"/>
        <w:left w:val="none" w:sz="0" w:space="0" w:color="auto"/>
        <w:bottom w:val="none" w:sz="0" w:space="0" w:color="auto"/>
        <w:right w:val="none" w:sz="0" w:space="0" w:color="auto"/>
      </w:divBdr>
    </w:div>
    <w:div w:id="1813981150">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58470695">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49046670">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16574323">
      <w:bodyDiv w:val="1"/>
      <w:marLeft w:val="0"/>
      <w:marRight w:val="0"/>
      <w:marTop w:val="0"/>
      <w:marBottom w:val="0"/>
      <w:divBdr>
        <w:top w:val="none" w:sz="0" w:space="0" w:color="auto"/>
        <w:left w:val="none" w:sz="0" w:space="0" w:color="auto"/>
        <w:bottom w:val="none" w:sz="0" w:space="0" w:color="auto"/>
        <w:right w:val="none" w:sz="0" w:space="0" w:color="auto"/>
      </w:divBdr>
    </w:div>
    <w:div w:id="2029793291">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85300548">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19525491">
      <w:bodyDiv w:val="1"/>
      <w:marLeft w:val="0"/>
      <w:marRight w:val="0"/>
      <w:marTop w:val="0"/>
      <w:marBottom w:val="0"/>
      <w:divBdr>
        <w:top w:val="none" w:sz="0" w:space="0" w:color="auto"/>
        <w:left w:val="none" w:sz="0" w:space="0" w:color="auto"/>
        <w:bottom w:val="none" w:sz="0" w:space="0" w:color="auto"/>
        <w:right w:val="none" w:sz="0" w:space="0" w:color="auto"/>
      </w:divBdr>
    </w:div>
    <w:div w:id="21261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F3CC9EE67E6FA4EAC551F264A852621" ma:contentTypeVersion="2" ma:contentTypeDescription="Crear nuevo documento." ma:contentTypeScope="" ma:versionID="e83911adc29f9262c119e4dc6981b8ce">
  <xsd:schema xmlns:xsd="http://www.w3.org/2001/XMLSchema" xmlns:xs="http://www.w3.org/2001/XMLSchema" xmlns:p="http://schemas.microsoft.com/office/2006/metadata/properties" xmlns:ns2="24e615c4-787a-4ead-93ef-c43dbbc1bf51" targetNamespace="http://schemas.microsoft.com/office/2006/metadata/properties" ma:root="true" ma:fieldsID="e2bcfeea28e6beca0215053eb4102b35" ns2:_="">
    <xsd:import namespace="24e615c4-787a-4ead-93ef-c43dbbc1bf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615c4-787a-4ead-93ef-c43dbbc1b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BB90F-1AB6-411B-B667-DBE2EFC715C5}">
  <ds:schemaRefs>
    <ds:schemaRef ds:uri="http://schemas.microsoft.com/sharepoint/v3/contenttype/forms"/>
  </ds:schemaRefs>
</ds:datastoreItem>
</file>

<file path=customXml/itemProps2.xml><?xml version="1.0" encoding="utf-8"?>
<ds:datastoreItem xmlns:ds="http://schemas.openxmlformats.org/officeDocument/2006/customXml" ds:itemID="{F3960D0D-8075-460F-B339-99E95C1BC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74589C-46CB-48FC-8412-82F031F6D939}">
  <ds:schemaRefs>
    <ds:schemaRef ds:uri="http://schemas.openxmlformats.org/officeDocument/2006/bibliography"/>
  </ds:schemaRefs>
</ds:datastoreItem>
</file>

<file path=customXml/itemProps4.xml><?xml version="1.0" encoding="utf-8"?>
<ds:datastoreItem xmlns:ds="http://schemas.openxmlformats.org/officeDocument/2006/customXml" ds:itemID="{CC17E667-2AE2-4A2B-B7EB-A70D6CE9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615c4-787a-4ead-93ef-c43dbbc1b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819</TotalTime>
  <Pages>12</Pages>
  <Words>3396</Words>
  <Characters>18679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58</cp:revision>
  <cp:lastPrinted>2022-07-26T15:44:00Z</cp:lastPrinted>
  <dcterms:created xsi:type="dcterms:W3CDTF">2024-08-14T20:11:00Z</dcterms:created>
  <dcterms:modified xsi:type="dcterms:W3CDTF">2024-12-06T19:50:00Z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0x0101000F3CC9EE67E6FA4EAC551F264A852621</vt:lpwstr>
  </property>
</Properties>
</file>