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D09A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mso-wrap-edited:f" fillcolor="#0c9">
            <v:imagedata r:id="rId10" o:title=""/>
          </v:shape>
          <o:OLEObject Type="Embed" ProgID="PBrush" ShapeID="_x0000_s2050" DrawAspect="Content" ObjectID="_1794375708"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488B3612" w14:textId="77777777" w:rsidR="00B84525" w:rsidRPr="00B75554" w:rsidRDefault="00B84525" w:rsidP="00B84525">
      <w:pPr>
        <w:pStyle w:val="Ttulo4"/>
        <w:tabs>
          <w:tab w:val="left" w:pos="0"/>
          <w:tab w:val="right" w:pos="9356"/>
        </w:tabs>
        <w:ind w:left="0"/>
        <w:rPr>
          <w:rFonts w:ascii="Bookman Old Style" w:hAnsi="Bookman Old Style"/>
          <w:b w:val="0"/>
          <w:bCs/>
          <w:noProof/>
          <w:sz w:val="24"/>
          <w:szCs w:val="24"/>
          <w:lang w:val="es-CO"/>
        </w:rPr>
      </w:pPr>
      <w:r w:rsidRPr="00B75554">
        <w:rPr>
          <w:rFonts w:ascii="Bookman Old Style" w:hAnsi="Bookman Old Style"/>
          <w:b w:val="0"/>
          <w:bCs/>
          <w:sz w:val="24"/>
          <w:szCs w:val="24"/>
          <w:lang w:val="es-CO"/>
        </w:rPr>
        <w:t>Ministerio de Minas y Energía</w:t>
      </w:r>
    </w:p>
    <w:p w14:paraId="1FA63997" w14:textId="77777777" w:rsidR="00B84525" w:rsidRPr="00B75554" w:rsidRDefault="00B84525" w:rsidP="00B84525">
      <w:pPr>
        <w:rPr>
          <w:lang w:val="es-CO"/>
        </w:rPr>
      </w:pPr>
    </w:p>
    <w:p w14:paraId="46FC22A8" w14:textId="77777777" w:rsidR="00B84525" w:rsidRPr="00B75554" w:rsidRDefault="00B84525" w:rsidP="00B84525">
      <w:pPr>
        <w:pStyle w:val="Ttulo3"/>
        <w:tabs>
          <w:tab w:val="left" w:pos="0"/>
          <w:tab w:val="right" w:pos="9356"/>
        </w:tabs>
        <w:ind w:left="0"/>
        <w:rPr>
          <w:rFonts w:ascii="Bookman Old Style" w:hAnsi="Bookman Old Style" w:cs="Arial"/>
          <w:spacing w:val="20"/>
          <w:szCs w:val="24"/>
          <w:lang w:val="es-CO"/>
        </w:rPr>
      </w:pPr>
      <w:r w:rsidRPr="00B75554">
        <w:rPr>
          <w:rFonts w:ascii="Bookman Old Style" w:hAnsi="Bookman Old Style" w:cs="Arial"/>
          <w:spacing w:val="20"/>
          <w:szCs w:val="24"/>
          <w:lang w:val="es-CO"/>
        </w:rPr>
        <w:t>COMISIÓN DE REGULACIÓN DE ENERGÍA Y GAS</w:t>
      </w:r>
    </w:p>
    <w:p w14:paraId="51CA67D6" w14:textId="77777777" w:rsidR="00B84525" w:rsidRPr="00B75554" w:rsidRDefault="00B84525" w:rsidP="00B84525">
      <w:pPr>
        <w:rPr>
          <w:lang w:val="es-CO"/>
        </w:rPr>
      </w:pPr>
    </w:p>
    <w:p w14:paraId="5CFE70A8" w14:textId="77777777" w:rsidR="00B84525" w:rsidRPr="00B75554" w:rsidRDefault="00B84525" w:rsidP="00B84525">
      <w:pPr>
        <w:rPr>
          <w:lang w:val="es-CO"/>
        </w:rPr>
      </w:pPr>
    </w:p>
    <w:p w14:paraId="2834B6CC" w14:textId="41A695E8" w:rsidR="00B84525" w:rsidRPr="00B75554" w:rsidRDefault="00B84525" w:rsidP="00B84525">
      <w:pPr>
        <w:pStyle w:val="Ttulo5"/>
        <w:tabs>
          <w:tab w:val="left" w:pos="0"/>
          <w:tab w:val="right" w:pos="9356"/>
        </w:tabs>
        <w:ind w:left="0"/>
        <w:rPr>
          <w:rFonts w:ascii="Bookman Old Style" w:hAnsi="Bookman Old Style"/>
          <w:sz w:val="24"/>
          <w:szCs w:val="24"/>
          <w:lang w:val="es-CO"/>
        </w:rPr>
      </w:pPr>
      <w:r w:rsidRPr="00B75554">
        <w:rPr>
          <w:rFonts w:ascii="Bookman Old Style" w:hAnsi="Bookman Old Style"/>
          <w:sz w:val="24"/>
          <w:szCs w:val="24"/>
          <w:lang w:val="es-CO"/>
        </w:rPr>
        <w:t xml:space="preserve">PROYECTO DE RESOLUCIÓN No. </w:t>
      </w:r>
      <w:r w:rsidR="00F06E4D" w:rsidRPr="00F06E4D">
        <w:rPr>
          <w:rFonts w:ascii="Bookman Old Style" w:hAnsi="Bookman Old Style"/>
          <w:sz w:val="32"/>
          <w:szCs w:val="32"/>
          <w:lang w:val="es-CO"/>
        </w:rPr>
        <w:t>704 002</w:t>
      </w:r>
      <w:r w:rsidRPr="00F06E4D">
        <w:rPr>
          <w:rFonts w:ascii="Bookman Old Style" w:hAnsi="Bookman Old Style"/>
          <w:sz w:val="32"/>
          <w:szCs w:val="32"/>
          <w:lang w:val="es-CO"/>
        </w:rPr>
        <w:t xml:space="preserve"> DE </w:t>
      </w:r>
      <w:r w:rsidRPr="00F06E4D">
        <w:rPr>
          <w:rFonts w:ascii="Bookman Old Style" w:hAnsi="Bookman Old Style"/>
          <w:sz w:val="32"/>
          <w:szCs w:val="32"/>
          <w:lang w:val="es-CO"/>
        </w:rPr>
        <w:fldChar w:fldCharType="begin"/>
      </w:r>
      <w:r w:rsidRPr="00F06E4D">
        <w:rPr>
          <w:rFonts w:ascii="Bookman Old Style" w:hAnsi="Bookman Old Style"/>
          <w:sz w:val="32"/>
          <w:szCs w:val="32"/>
          <w:lang w:val="es-CO"/>
        </w:rPr>
        <w:instrText xml:space="preserve"> MERGEFIELD  Anio  \* MERGEFORMAT </w:instrText>
      </w:r>
      <w:r w:rsidRPr="00F06E4D">
        <w:rPr>
          <w:rFonts w:ascii="Bookman Old Style" w:hAnsi="Bookman Old Style"/>
          <w:sz w:val="32"/>
          <w:szCs w:val="32"/>
          <w:lang w:val="es-CO"/>
        </w:rPr>
        <w:fldChar w:fldCharType="separate"/>
      </w:r>
      <w:r w:rsidRPr="00F06E4D">
        <w:rPr>
          <w:rFonts w:ascii="Bookman Old Style" w:hAnsi="Bookman Old Style"/>
          <w:noProof/>
          <w:sz w:val="32"/>
          <w:szCs w:val="32"/>
          <w:lang w:val="es-CO"/>
        </w:rPr>
        <w:t>2024</w:t>
      </w:r>
      <w:r w:rsidRPr="00F06E4D">
        <w:rPr>
          <w:rFonts w:ascii="Bookman Old Style" w:hAnsi="Bookman Old Style"/>
          <w:sz w:val="32"/>
          <w:szCs w:val="32"/>
          <w:lang w:val="es-CO"/>
        </w:rPr>
        <w:fldChar w:fldCharType="end"/>
      </w:r>
    </w:p>
    <w:p w14:paraId="09557AD1" w14:textId="77777777" w:rsidR="00B84525" w:rsidRPr="00B75554" w:rsidRDefault="00B84525" w:rsidP="00B84525">
      <w:pPr>
        <w:tabs>
          <w:tab w:val="left" w:pos="0"/>
          <w:tab w:val="right" w:pos="9356"/>
        </w:tabs>
        <w:ind w:left="0"/>
        <w:jc w:val="center"/>
        <w:rPr>
          <w:rFonts w:ascii="Bookman Old Style" w:hAnsi="Bookman Old Style" w:cs="Arial"/>
          <w:b/>
          <w:snapToGrid w:val="0"/>
          <w:color w:val="000000"/>
          <w:lang w:val="es-CO"/>
        </w:rPr>
      </w:pPr>
    </w:p>
    <w:p w14:paraId="2F555B13" w14:textId="537CFCB3" w:rsidR="00B84525" w:rsidRPr="00F06E4D" w:rsidRDefault="00B84525" w:rsidP="00B84525">
      <w:pPr>
        <w:pStyle w:val="Ttulo3"/>
        <w:tabs>
          <w:tab w:val="left" w:pos="0"/>
          <w:tab w:val="right" w:pos="9356"/>
        </w:tabs>
        <w:ind w:left="0"/>
        <w:rPr>
          <w:rFonts w:ascii="Bookman Old Style" w:hAnsi="Bookman Old Style"/>
          <w:bCs/>
          <w:szCs w:val="24"/>
          <w:lang w:val="es-CO"/>
        </w:rPr>
      </w:pPr>
      <w:r w:rsidRPr="00F06E4D">
        <w:rPr>
          <w:rFonts w:ascii="Bookman Old Style" w:hAnsi="Bookman Old Style"/>
          <w:bCs/>
          <w:szCs w:val="24"/>
          <w:lang w:val="es-CO"/>
        </w:rPr>
        <w:t>(</w:t>
      </w:r>
      <w:r w:rsidR="00F06E4D" w:rsidRPr="00F06E4D">
        <w:rPr>
          <w:rFonts w:ascii="Bookman Old Style" w:hAnsi="Bookman Old Style"/>
          <w:bCs/>
          <w:szCs w:val="24"/>
          <w:lang w:val="es-CO"/>
        </w:rPr>
        <w:t>14</w:t>
      </w:r>
      <w:r w:rsidRPr="00F06E4D">
        <w:rPr>
          <w:rFonts w:ascii="Bookman Old Style" w:hAnsi="Bookman Old Style"/>
          <w:bCs/>
          <w:szCs w:val="24"/>
          <w:lang w:val="es-CO"/>
        </w:rPr>
        <w:t xml:space="preserve"> NOV. 2024)</w:t>
      </w:r>
    </w:p>
    <w:p w14:paraId="7893B5C0" w14:textId="77777777" w:rsidR="00B84525" w:rsidRPr="00B75554" w:rsidRDefault="00B84525" w:rsidP="00B84525">
      <w:pPr>
        <w:spacing w:line="259" w:lineRule="auto"/>
        <w:ind w:left="142" w:right="142"/>
        <w:jc w:val="both"/>
        <w:rPr>
          <w:rFonts w:ascii="Bookman Old Style" w:hAnsi="Bookman Old Style"/>
          <w:lang w:val="es-CO"/>
        </w:rPr>
      </w:pPr>
    </w:p>
    <w:p w14:paraId="55B07C63" w14:textId="77777777" w:rsidR="00B84525" w:rsidRPr="00B75554" w:rsidRDefault="00B84525" w:rsidP="00B84525">
      <w:pPr>
        <w:spacing w:line="259" w:lineRule="auto"/>
        <w:ind w:left="0" w:right="142"/>
        <w:jc w:val="both"/>
        <w:rPr>
          <w:rFonts w:ascii="Bookman Old Style" w:hAnsi="Bookman Old Style"/>
          <w:lang w:val="es-CO"/>
        </w:rPr>
      </w:pPr>
      <w:r w:rsidRPr="00B75554">
        <w:rPr>
          <w:rFonts w:ascii="Bookman Old Style" w:hAnsi="Bookman Old Style"/>
          <w:lang w:val="es-CO"/>
        </w:rPr>
        <w:t xml:space="preserve">La Comisión de Regulación de Energía y Gas, en su </w:t>
      </w:r>
      <w:r>
        <w:rPr>
          <w:rFonts w:ascii="Bookman Old Style" w:hAnsi="Bookman Old Style"/>
          <w:lang w:val="es-CO"/>
        </w:rPr>
        <w:t>s</w:t>
      </w:r>
      <w:r w:rsidRPr="00B75554">
        <w:rPr>
          <w:rFonts w:ascii="Bookman Old Style" w:hAnsi="Bookman Old Style"/>
          <w:lang w:val="es-CO"/>
        </w:rPr>
        <w:t xml:space="preserve">esión No. </w:t>
      </w:r>
      <w:r>
        <w:rPr>
          <w:rFonts w:ascii="Bookman Old Style" w:hAnsi="Bookman Old Style"/>
          <w:lang w:val="es-CO"/>
        </w:rPr>
        <w:t>1356</w:t>
      </w:r>
      <w:r w:rsidRPr="00B75554">
        <w:rPr>
          <w:rFonts w:ascii="Bookman Old Style" w:hAnsi="Bookman Old Style"/>
          <w:lang w:val="es-CO"/>
        </w:rPr>
        <w:t xml:space="preserve"> del </w:t>
      </w:r>
      <w:r>
        <w:rPr>
          <w:rFonts w:ascii="Bookman Old Style" w:hAnsi="Bookman Old Style"/>
          <w:lang w:val="es-CO"/>
        </w:rPr>
        <w:t>14</w:t>
      </w:r>
      <w:r w:rsidRPr="00B75554">
        <w:rPr>
          <w:rFonts w:ascii="Bookman Old Style" w:hAnsi="Bookman Old Style"/>
          <w:lang w:val="es-CO"/>
        </w:rPr>
        <w:t xml:space="preserve"> de </w:t>
      </w:r>
      <w:r>
        <w:rPr>
          <w:rFonts w:ascii="Bookman Old Style" w:hAnsi="Bookman Old Style"/>
          <w:lang w:val="es-CO"/>
        </w:rPr>
        <w:t xml:space="preserve">noviembre </w:t>
      </w:r>
      <w:r w:rsidRPr="00B75554">
        <w:rPr>
          <w:rFonts w:ascii="Bookman Old Style" w:hAnsi="Bookman Old Style"/>
          <w:lang w:val="es-CO"/>
        </w:rPr>
        <w:t xml:space="preserve">de 2024, aprobó someter a consulta pública el presente proyecto de resolución </w:t>
      </w:r>
      <w:r>
        <w:rPr>
          <w:rFonts w:ascii="Bookman Old Style" w:hAnsi="Bookman Old Style"/>
          <w:lang w:val="es-CO"/>
        </w:rPr>
        <w:t xml:space="preserve">por diez </w:t>
      </w:r>
      <w:r w:rsidRPr="00C52F60">
        <w:rPr>
          <w:rFonts w:ascii="Bookman Old Style" w:hAnsi="Bookman Old Style"/>
          <w:lang w:val="es-CO"/>
        </w:rPr>
        <w:t>(</w:t>
      </w:r>
      <w:r>
        <w:rPr>
          <w:rFonts w:ascii="Bookman Old Style" w:hAnsi="Bookman Old Style"/>
          <w:lang w:val="es-CO"/>
        </w:rPr>
        <w:t>10</w:t>
      </w:r>
      <w:r w:rsidRPr="00C52F60">
        <w:rPr>
          <w:rFonts w:ascii="Bookman Old Style" w:hAnsi="Bookman Old Style"/>
          <w:lang w:val="es-CO"/>
        </w:rPr>
        <w:t>) días hábiles, contados a partir del día siguiente a su publicación en el portal web de la CREG.</w:t>
      </w:r>
    </w:p>
    <w:p w14:paraId="6EA0C2B2" w14:textId="77777777" w:rsidR="00B84525" w:rsidRPr="00B75554" w:rsidRDefault="00B84525" w:rsidP="00B84525">
      <w:pPr>
        <w:spacing w:line="259" w:lineRule="auto"/>
        <w:ind w:left="142" w:right="142"/>
        <w:jc w:val="both"/>
        <w:rPr>
          <w:rFonts w:ascii="Bookman Old Style" w:hAnsi="Bookman Old Style"/>
          <w:lang w:val="es-CO"/>
        </w:rPr>
      </w:pPr>
    </w:p>
    <w:p w14:paraId="285A139D" w14:textId="77777777" w:rsidR="00B84525" w:rsidRPr="00B75554" w:rsidRDefault="00B84525" w:rsidP="00B84525">
      <w:pPr>
        <w:spacing w:line="259" w:lineRule="auto"/>
        <w:ind w:left="0" w:right="142"/>
        <w:jc w:val="both"/>
        <w:rPr>
          <w:rFonts w:ascii="Bookman Old Style" w:hAnsi="Bookman Old Style"/>
          <w:lang w:val="es-CO"/>
        </w:rPr>
      </w:pPr>
      <w:r w:rsidRPr="00B75554">
        <w:rPr>
          <w:rFonts w:ascii="Bookman Old Style" w:hAnsi="Bookman Old Style"/>
          <w:lang w:val="es-CO"/>
        </w:rPr>
        <w:t>Se invita a los agentes regulados, usuarios, autoridades competentes y demás interesados, para que remitan sus observaciones o sugerencias sobre la propuesta, dentro del plazo establecido.</w:t>
      </w:r>
    </w:p>
    <w:p w14:paraId="22AF25B6" w14:textId="77777777" w:rsidR="00B84525" w:rsidRPr="00B75554" w:rsidRDefault="00B84525" w:rsidP="00B84525">
      <w:pPr>
        <w:spacing w:line="259" w:lineRule="auto"/>
        <w:ind w:left="142" w:right="142"/>
        <w:jc w:val="both"/>
        <w:rPr>
          <w:rFonts w:ascii="Bookman Old Style" w:hAnsi="Bookman Old Style"/>
          <w:lang w:val="es-CO"/>
        </w:rPr>
      </w:pPr>
    </w:p>
    <w:p w14:paraId="34466905" w14:textId="00F2F4C5" w:rsidR="00B84525" w:rsidRPr="00B75554" w:rsidRDefault="00B84525" w:rsidP="00B84525">
      <w:pPr>
        <w:spacing w:line="259" w:lineRule="auto"/>
        <w:ind w:left="0" w:right="142"/>
        <w:jc w:val="both"/>
        <w:rPr>
          <w:rFonts w:ascii="Bookman Old Style" w:hAnsi="Bookman Old Style"/>
          <w:lang w:val="es-CO"/>
        </w:rPr>
      </w:pPr>
      <w:r w:rsidRPr="00B75554">
        <w:rPr>
          <w:rFonts w:ascii="Bookman Old Style" w:hAnsi="Bookman Old Style"/>
          <w:lang w:val="es-CO"/>
        </w:rPr>
        <w:t xml:space="preserve">Los interesados podrán dirigir sus comentarios al director ejecutivo de la Comisión de Regulación de Energía y Gas, al correo electrónico </w:t>
      </w:r>
      <w:hyperlink r:id="rId12" w:history="1">
        <w:r w:rsidRPr="00B75554">
          <w:rPr>
            <w:rStyle w:val="Hipervnculo"/>
            <w:rFonts w:ascii="Bookman Old Style" w:hAnsi="Bookman Old Style"/>
            <w:lang w:val="es-CO"/>
          </w:rPr>
          <w:t>creg@creg.gov.co</w:t>
        </w:r>
      </w:hyperlink>
      <w:r w:rsidRPr="00B75554">
        <w:rPr>
          <w:rFonts w:ascii="Bookman Old Style" w:hAnsi="Bookman Old Style"/>
          <w:lang w:val="es-CO"/>
        </w:rPr>
        <w:t>, identificando el mensaje con el siguiente asunto: “</w:t>
      </w:r>
      <w:r w:rsidRPr="00B75554">
        <w:rPr>
          <w:rFonts w:ascii="Bookman Old Style" w:hAnsi="Bookman Old Style"/>
          <w:i/>
          <w:iCs/>
          <w:lang w:val="es-CO"/>
        </w:rPr>
        <w:t xml:space="preserve">Proyecto de resolución 704 </w:t>
      </w:r>
      <w:r w:rsidR="00F06E4D">
        <w:rPr>
          <w:rFonts w:ascii="Bookman Old Style" w:hAnsi="Bookman Old Style"/>
          <w:i/>
          <w:iCs/>
          <w:lang w:val="es-CO"/>
        </w:rPr>
        <w:t>002</w:t>
      </w:r>
      <w:r w:rsidRPr="00B75554">
        <w:rPr>
          <w:rFonts w:ascii="Bookman Old Style" w:hAnsi="Bookman Old Style"/>
          <w:i/>
          <w:iCs/>
          <w:lang w:val="es-CO"/>
        </w:rPr>
        <w:t xml:space="preserve"> de 2024 – Estructura de precios CL</w:t>
      </w:r>
      <w:r>
        <w:rPr>
          <w:rFonts w:ascii="Bookman Old Style" w:hAnsi="Bookman Old Style"/>
          <w:i/>
          <w:iCs/>
          <w:lang w:val="es-CO"/>
        </w:rPr>
        <w:t xml:space="preserve"> ZDF</w:t>
      </w:r>
      <w:r w:rsidRPr="00B75554">
        <w:rPr>
          <w:rFonts w:ascii="Bookman Old Style" w:hAnsi="Bookman Old Style"/>
          <w:lang w:val="es-CO"/>
        </w:rPr>
        <w:t>” en el formato adjunto “Comentarios_Estructura_Precios_CL</w:t>
      </w:r>
      <w:r>
        <w:rPr>
          <w:rFonts w:ascii="Bookman Old Style" w:hAnsi="Bookman Old Style"/>
          <w:lang w:val="es-CO"/>
        </w:rPr>
        <w:t>_</w:t>
      </w:r>
      <w:r w:rsidRPr="00B84525">
        <w:rPr>
          <w:rFonts w:ascii="Bookman Old Style" w:hAnsi="Bookman Old Style"/>
          <w:lang w:val="es-CO"/>
        </w:rPr>
        <w:t>ZDF</w:t>
      </w:r>
      <w:r w:rsidRPr="00B75554">
        <w:rPr>
          <w:rFonts w:ascii="Bookman Old Style" w:hAnsi="Bookman Old Style"/>
          <w:lang w:val="es-CO"/>
        </w:rPr>
        <w:t>.xlsx”.</w:t>
      </w:r>
    </w:p>
    <w:p w14:paraId="0C37BD9C" w14:textId="77777777" w:rsidR="00B84525" w:rsidRPr="00B75554" w:rsidRDefault="00B84525" w:rsidP="00B84525">
      <w:pPr>
        <w:spacing w:line="259" w:lineRule="auto"/>
        <w:ind w:left="142" w:right="142"/>
        <w:jc w:val="both"/>
        <w:rPr>
          <w:rFonts w:ascii="Bookman Old Style" w:hAnsi="Bookman Old Style"/>
          <w:lang w:val="es-CO"/>
        </w:rPr>
      </w:pPr>
    </w:p>
    <w:p w14:paraId="5171C683" w14:textId="77777777" w:rsidR="00B84525" w:rsidRDefault="00B84525" w:rsidP="00B84525">
      <w:pPr>
        <w:spacing w:line="259" w:lineRule="auto"/>
        <w:ind w:left="0" w:right="142"/>
        <w:jc w:val="both"/>
        <w:rPr>
          <w:rFonts w:ascii="Bookman Old Style" w:hAnsi="Bookman Old Style"/>
          <w:lang w:val="es-CO"/>
        </w:rPr>
      </w:pPr>
      <w:r w:rsidRPr="00B75554">
        <w:rPr>
          <w:rFonts w:ascii="Bookman Old Style" w:hAnsi="Bookman Old Style"/>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14D97C50" w14:textId="77777777" w:rsidR="00B84525" w:rsidRPr="00B75554" w:rsidRDefault="00B84525" w:rsidP="00B84525">
      <w:pPr>
        <w:spacing w:line="259" w:lineRule="auto"/>
        <w:ind w:left="0" w:right="142"/>
        <w:jc w:val="both"/>
        <w:rPr>
          <w:rFonts w:ascii="Bookman Old Style" w:hAnsi="Bookman Old Style"/>
          <w:lang w:val="es-CO"/>
        </w:rPr>
      </w:pPr>
    </w:p>
    <w:p w14:paraId="7682D20A" w14:textId="77777777" w:rsidR="00B84525" w:rsidRPr="00B75554" w:rsidRDefault="00B84525" w:rsidP="00B84525">
      <w:pPr>
        <w:rPr>
          <w:lang w:val="es-CO"/>
        </w:rPr>
      </w:pPr>
    </w:p>
    <w:p w14:paraId="13C0C6B1" w14:textId="77777777" w:rsidR="00B84525" w:rsidRPr="00B75554" w:rsidRDefault="00B84525" w:rsidP="00B84525">
      <w:pPr>
        <w:ind w:left="0"/>
        <w:jc w:val="center"/>
        <w:rPr>
          <w:rFonts w:ascii="Bookman Old Style" w:hAnsi="Bookman Old Style" w:cs="Arial"/>
          <w:b/>
          <w:color w:val="000000" w:themeColor="text1"/>
          <w:lang w:val="es-CO" w:eastAsia="es-CO"/>
        </w:rPr>
      </w:pPr>
      <w:r w:rsidRPr="00B75554">
        <w:rPr>
          <w:rFonts w:ascii="Bookman Old Style" w:hAnsi="Bookman Old Style" w:cs="Arial"/>
          <w:b/>
          <w:color w:val="000000" w:themeColor="text1"/>
          <w:lang w:val="es-CO" w:eastAsia="es-CO"/>
        </w:rPr>
        <w:t>PROYECTO DE RESOLUCIÓN</w:t>
      </w:r>
    </w:p>
    <w:p w14:paraId="65932DEB" w14:textId="77777777" w:rsidR="00B84525" w:rsidRPr="00B75554" w:rsidRDefault="00B84525" w:rsidP="00B84525">
      <w:pPr>
        <w:ind w:left="0"/>
        <w:rPr>
          <w:rFonts w:ascii="Bookman Old Style" w:hAnsi="Bookman Old Style"/>
          <w:bCs/>
          <w:lang w:val="es-CO"/>
        </w:rPr>
      </w:pPr>
    </w:p>
    <w:p w14:paraId="5A55845C" w14:textId="64B9A1DD" w:rsidR="00B84525" w:rsidRDefault="00B84525" w:rsidP="00B84525">
      <w:pPr>
        <w:ind w:left="0" w:right="51"/>
        <w:jc w:val="center"/>
        <w:rPr>
          <w:rFonts w:ascii="Bookman Old Style" w:hAnsi="Bookman Old Style"/>
          <w:lang w:val="es-CO"/>
        </w:rPr>
      </w:pPr>
      <w:r w:rsidRPr="00B75554">
        <w:rPr>
          <w:rFonts w:ascii="Bookman Old Style" w:hAnsi="Bookman Old Style"/>
          <w:lang w:val="es-CO"/>
        </w:rPr>
        <w:t xml:space="preserve">Por la cual se </w:t>
      </w:r>
      <w:r>
        <w:rPr>
          <w:rFonts w:ascii="Bookman Old Style" w:hAnsi="Bookman Old Style"/>
          <w:lang w:val="es-CO"/>
        </w:rPr>
        <w:t xml:space="preserve">reorganiza </w:t>
      </w:r>
      <w:r w:rsidRPr="00B75554">
        <w:rPr>
          <w:rFonts w:ascii="Bookman Old Style" w:hAnsi="Bookman Old Style"/>
          <w:lang w:val="es-CO"/>
        </w:rPr>
        <w:t>la estructura para la fijación de precios de la gasolina corriente motor, gasolina motor corriente oxigenada, ACPM y ACPM mezclado con biocombustible para uso en motores diésel</w:t>
      </w:r>
      <w:r>
        <w:rPr>
          <w:rFonts w:ascii="Bookman Old Style" w:hAnsi="Bookman Old Style"/>
          <w:lang w:val="es-CO"/>
        </w:rPr>
        <w:t xml:space="preserve"> en zonas de frontera</w:t>
      </w:r>
      <w:r w:rsidR="007B43E2">
        <w:rPr>
          <w:rFonts w:ascii="Bookman Old Style" w:hAnsi="Bookman Old Style"/>
          <w:lang w:val="es-CO"/>
        </w:rPr>
        <w:t xml:space="preserve"> </w:t>
      </w:r>
      <w:r w:rsidRPr="00B75554">
        <w:rPr>
          <w:rFonts w:ascii="Bookman Old Style" w:hAnsi="Bookman Old Style"/>
          <w:lang w:val="es-CO"/>
        </w:rPr>
        <w:t>y se dictan otras disposiciones.</w:t>
      </w:r>
    </w:p>
    <w:p w14:paraId="1DC39E28" w14:textId="77777777" w:rsidR="00B84525" w:rsidRPr="00B75554" w:rsidRDefault="00B84525" w:rsidP="00B84525">
      <w:pPr>
        <w:ind w:left="0" w:right="51"/>
        <w:jc w:val="center"/>
        <w:rPr>
          <w:rFonts w:ascii="Bookman Old Style" w:hAnsi="Bookman Old Style"/>
          <w:lang w:val="es-CO"/>
        </w:rPr>
      </w:pPr>
    </w:p>
    <w:p w14:paraId="74972B1C" w14:textId="77777777" w:rsidR="00B84525" w:rsidRPr="00B75554" w:rsidRDefault="00B84525" w:rsidP="00B84525">
      <w:pPr>
        <w:ind w:right="51"/>
        <w:rPr>
          <w:rFonts w:ascii="Bookman Old Style" w:hAnsi="Bookman Old Style"/>
          <w:lang w:val="es-CO"/>
        </w:rPr>
      </w:pPr>
    </w:p>
    <w:p w14:paraId="665DD56B" w14:textId="77777777" w:rsidR="00B84525" w:rsidRPr="00B75554" w:rsidRDefault="00B84525" w:rsidP="00B84525">
      <w:pPr>
        <w:ind w:left="0" w:right="51"/>
        <w:jc w:val="center"/>
        <w:rPr>
          <w:rFonts w:ascii="Bookman Old Style" w:hAnsi="Bookman Old Style"/>
          <w:b/>
          <w:lang w:val="es-CO"/>
        </w:rPr>
      </w:pPr>
      <w:r w:rsidRPr="00B75554">
        <w:rPr>
          <w:rFonts w:ascii="Bookman Old Style" w:hAnsi="Bookman Old Style"/>
          <w:b/>
          <w:lang w:val="es-CO"/>
        </w:rPr>
        <w:t>LA COMISIÓN DE REGULACIÓN DE ENERGÍA Y GAS</w:t>
      </w:r>
    </w:p>
    <w:p w14:paraId="38D15AA4" w14:textId="77777777" w:rsidR="00B84525" w:rsidRPr="00B75554" w:rsidRDefault="00B84525" w:rsidP="00B84525">
      <w:pPr>
        <w:ind w:left="0" w:right="51"/>
        <w:rPr>
          <w:rFonts w:ascii="Bookman Old Style" w:hAnsi="Bookman Old Style"/>
          <w:lang w:val="es-CO"/>
        </w:rPr>
      </w:pPr>
    </w:p>
    <w:p w14:paraId="528F0737" w14:textId="77777777" w:rsidR="00B84525" w:rsidRPr="00B75554" w:rsidRDefault="00B84525" w:rsidP="00B84525">
      <w:pPr>
        <w:ind w:left="0" w:right="51"/>
        <w:rPr>
          <w:rFonts w:ascii="Bookman Old Style" w:hAnsi="Bookman Old Style"/>
          <w:lang w:val="es-CO"/>
        </w:rPr>
      </w:pPr>
    </w:p>
    <w:p w14:paraId="5414A750" w14:textId="77777777" w:rsidR="00B84525" w:rsidRDefault="00B84525" w:rsidP="00B84525">
      <w:pPr>
        <w:ind w:left="0" w:right="51"/>
        <w:jc w:val="center"/>
        <w:rPr>
          <w:rFonts w:ascii="Bookman Old Style" w:hAnsi="Bookman Old Style" w:cs="Arial"/>
          <w:bCs/>
          <w:spacing w:val="-3"/>
          <w:lang w:val="es-CO"/>
        </w:rPr>
      </w:pPr>
      <w:r w:rsidRPr="00B75554">
        <w:rPr>
          <w:rFonts w:ascii="Bookman Old Style" w:hAnsi="Bookman Old Style" w:cs="Arial"/>
          <w:bCs/>
          <w:spacing w:val="-3"/>
          <w:lang w:val="es-CO"/>
        </w:rPr>
        <w:t>En ejercicio de sus atribuciones legales, en especial las conferidas por los Decretos 4130 de 2011, 1260 de 2013 y 1073 de 2015, y la Resolución 40193 de 2021, y,</w:t>
      </w:r>
    </w:p>
    <w:p w14:paraId="37639C34" w14:textId="77777777" w:rsidR="00B84525" w:rsidRPr="00B75554" w:rsidRDefault="00B84525" w:rsidP="00B84525">
      <w:pPr>
        <w:ind w:left="0" w:right="51"/>
        <w:jc w:val="center"/>
        <w:rPr>
          <w:rFonts w:ascii="Bookman Old Style" w:hAnsi="Bookman Old Style"/>
          <w:lang w:val="es-CO"/>
        </w:rPr>
      </w:pPr>
    </w:p>
    <w:p w14:paraId="19AE27AB" w14:textId="77777777" w:rsidR="00F06E4D" w:rsidRDefault="00F06E4D">
      <w:pPr>
        <w:ind w:left="0"/>
        <w:rPr>
          <w:rFonts w:ascii="Bookman Old Style" w:hAnsi="Bookman Old Style"/>
          <w:b/>
          <w:lang w:val="es-CO"/>
        </w:rPr>
      </w:pPr>
      <w:r>
        <w:rPr>
          <w:rFonts w:ascii="Bookman Old Style" w:hAnsi="Bookman Old Style"/>
          <w:b/>
          <w:lang w:val="es-CO"/>
        </w:rPr>
        <w:br w:type="page"/>
      </w:r>
    </w:p>
    <w:p w14:paraId="036C3F33" w14:textId="7527F9FC" w:rsidR="00B84525" w:rsidRDefault="00B84525" w:rsidP="00B84525">
      <w:pPr>
        <w:ind w:right="51"/>
        <w:jc w:val="center"/>
        <w:rPr>
          <w:rFonts w:ascii="Bookman Old Style" w:hAnsi="Bookman Old Style"/>
          <w:b/>
          <w:lang w:val="es-CO"/>
        </w:rPr>
      </w:pPr>
      <w:r w:rsidRPr="00B75554">
        <w:rPr>
          <w:rFonts w:ascii="Bookman Old Style" w:hAnsi="Bookman Old Style"/>
          <w:b/>
          <w:lang w:val="es-CO"/>
        </w:rPr>
        <w:lastRenderedPageBreak/>
        <w:t>CONSIDERANDO:</w:t>
      </w:r>
    </w:p>
    <w:p w14:paraId="6AC145DE" w14:textId="77777777" w:rsidR="00B84525" w:rsidRPr="00B75554" w:rsidRDefault="00B84525" w:rsidP="00B84525">
      <w:pPr>
        <w:ind w:right="51"/>
        <w:jc w:val="center"/>
        <w:rPr>
          <w:rFonts w:ascii="Bookman Old Style" w:hAnsi="Bookman Old Style"/>
          <w:b/>
          <w:lang w:val="es-CO"/>
        </w:rPr>
      </w:pPr>
    </w:p>
    <w:p w14:paraId="13A23449" w14:textId="77777777" w:rsidR="00B84525" w:rsidRPr="00B75554" w:rsidRDefault="00B84525" w:rsidP="00B84525">
      <w:pPr>
        <w:ind w:left="0"/>
        <w:jc w:val="both"/>
        <w:rPr>
          <w:rFonts w:ascii="Bookman Old Style" w:hAnsi="Bookman Old Style"/>
          <w:bCs/>
          <w:lang w:val="es-CO"/>
        </w:rPr>
      </w:pPr>
      <w:r>
        <w:rPr>
          <w:rFonts w:ascii="Bookman Old Style" w:hAnsi="Bookman Old Style"/>
          <w:bCs/>
          <w:lang w:val="es-CO"/>
        </w:rPr>
        <w:t>E</w:t>
      </w:r>
      <w:r w:rsidRPr="00B75554">
        <w:rPr>
          <w:rFonts w:ascii="Bookman Old Style" w:hAnsi="Bookman Old Style"/>
          <w:bCs/>
          <w:lang w:val="es-CO"/>
        </w:rPr>
        <w:t>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50BC97CE" w14:textId="77777777" w:rsidR="00B84525" w:rsidRPr="00B75554" w:rsidRDefault="00B84525" w:rsidP="00B84525">
      <w:pPr>
        <w:ind w:left="0"/>
        <w:jc w:val="both"/>
        <w:rPr>
          <w:rFonts w:ascii="Bookman Old Style" w:hAnsi="Bookman Old Style"/>
          <w:bCs/>
          <w:lang w:val="es-CO"/>
        </w:rPr>
      </w:pPr>
    </w:p>
    <w:p w14:paraId="6E189805" w14:textId="77777777" w:rsidR="00B84525" w:rsidRPr="00264F18" w:rsidRDefault="00B84525" w:rsidP="00B84525">
      <w:pPr>
        <w:ind w:left="0"/>
        <w:jc w:val="both"/>
        <w:rPr>
          <w:rFonts w:ascii="Bookman Old Style" w:hAnsi="Bookman Old Style"/>
          <w:bCs/>
          <w:lang w:val="es-CO"/>
        </w:rPr>
      </w:pPr>
      <w:r w:rsidRPr="00264F18">
        <w:rPr>
          <w:rFonts w:ascii="Bookman Old Style" w:hAnsi="Bookman Old Style"/>
          <w:bCs/>
          <w:lang w:val="es-CO"/>
        </w:rPr>
        <w:t xml:space="preserve">De acuerdo con lo dispuesto en el </w:t>
      </w:r>
      <w:r w:rsidRPr="00B75554">
        <w:rPr>
          <w:rFonts w:ascii="Bookman Old Style" w:hAnsi="Bookman Old Style"/>
          <w:bCs/>
          <w:lang w:val="es-CO"/>
        </w:rPr>
        <w:t>artículo 365 de la misma Carta Política</w:t>
      </w:r>
      <w:r>
        <w:rPr>
          <w:rFonts w:ascii="Bookman Old Style" w:hAnsi="Bookman Old Style"/>
          <w:bCs/>
          <w:lang w:val="es-CO"/>
        </w:rPr>
        <w:t xml:space="preserve"> de Colombia,</w:t>
      </w:r>
      <w:r w:rsidRPr="00B75554">
        <w:rPr>
          <w:rFonts w:ascii="Bookman Old Style" w:hAnsi="Bookman Old Style"/>
          <w:bCs/>
          <w:lang w:val="es-CO"/>
        </w:rPr>
        <w:t xml:space="preserve"> establece que los servicios </w:t>
      </w:r>
      <w:r>
        <w:rPr>
          <w:rFonts w:ascii="Bookman Old Style" w:hAnsi="Bookman Old Style"/>
          <w:bCs/>
          <w:lang w:val="es-CO"/>
        </w:rPr>
        <w:t>p</w:t>
      </w:r>
      <w:r w:rsidRPr="00B75554">
        <w:rPr>
          <w:rFonts w:ascii="Bookman Old Style" w:hAnsi="Bookman Old Style"/>
          <w:bCs/>
          <w:lang w:val="es-CO"/>
        </w:rPr>
        <w:t>úblicos son inherentes a la finalidad social del Estado y es deber de este, asegurar su prestación eficiente a todos los habitantes del territorio nacional.</w:t>
      </w:r>
      <w:r>
        <w:rPr>
          <w:rFonts w:ascii="Bookman Old Style" w:hAnsi="Bookman Old Style"/>
          <w:bCs/>
          <w:lang w:val="es-CO"/>
        </w:rPr>
        <w:t xml:space="preserve"> </w:t>
      </w:r>
      <w:r w:rsidRPr="00264F18">
        <w:rPr>
          <w:rFonts w:ascii="Bookman Old Style" w:hAnsi="Bookman Old Style"/>
          <w:bCs/>
          <w:lang w:val="es-CO"/>
        </w:rPr>
        <w:t>Así mismo se constituyó la facultad del Estado de mantener la regulación, el control y la vigilancia de los servicios públicos.</w:t>
      </w:r>
    </w:p>
    <w:p w14:paraId="408CDE05" w14:textId="77777777" w:rsidR="00B84525" w:rsidRPr="00B75554" w:rsidRDefault="00B84525" w:rsidP="00B84525">
      <w:pPr>
        <w:ind w:left="0"/>
        <w:jc w:val="both"/>
        <w:rPr>
          <w:rFonts w:ascii="Bookman Old Style" w:hAnsi="Bookman Old Style"/>
          <w:bCs/>
          <w:lang w:val="es-CO"/>
        </w:rPr>
      </w:pPr>
    </w:p>
    <w:p w14:paraId="772E365C" w14:textId="77777777" w:rsidR="00B84525" w:rsidRPr="004C49B0" w:rsidRDefault="00B84525" w:rsidP="00B84525">
      <w:pPr>
        <w:ind w:left="0"/>
        <w:jc w:val="both"/>
        <w:rPr>
          <w:rFonts w:ascii="Bookman Old Style" w:hAnsi="Bookman Old Style"/>
          <w:bCs/>
        </w:rPr>
      </w:pPr>
      <w:r>
        <w:rPr>
          <w:rFonts w:ascii="Bookman Old Style" w:hAnsi="Bookman Old Style"/>
          <w:bCs/>
        </w:rPr>
        <w:t>En virtud</w:t>
      </w:r>
      <w:r w:rsidRPr="004C49B0">
        <w:rPr>
          <w:rFonts w:ascii="Bookman Old Style" w:hAnsi="Bookman Old Style"/>
          <w:bCs/>
        </w:rPr>
        <w:t xml:space="preserve"> del artículo 212 del Decreto 1056 de 1953, Código de Petróleos, el transporte y la distribución del petróleo y sus derivados constituyen un servicio público, y las personas o entidades dedicadas a esa actividad deben ejercerlas de conformidad con los reglamentos que dicte el Gobierno en guarda de los intereses generales.</w:t>
      </w:r>
    </w:p>
    <w:p w14:paraId="42E871BD" w14:textId="77777777" w:rsidR="00B84525" w:rsidRDefault="00B84525" w:rsidP="00B84525">
      <w:pPr>
        <w:ind w:left="0"/>
        <w:jc w:val="both"/>
        <w:rPr>
          <w:rFonts w:ascii="Bookman Old Style" w:hAnsi="Bookman Old Style"/>
          <w:bCs/>
        </w:rPr>
      </w:pPr>
    </w:p>
    <w:p w14:paraId="6A60457C" w14:textId="77777777" w:rsidR="00B84525" w:rsidRPr="004C49B0" w:rsidRDefault="00B84525" w:rsidP="00B84525">
      <w:pPr>
        <w:ind w:left="0"/>
        <w:jc w:val="both"/>
        <w:rPr>
          <w:rFonts w:ascii="Bookman Old Style" w:hAnsi="Bookman Old Style"/>
          <w:bCs/>
        </w:rPr>
      </w:pPr>
      <w:r w:rsidRPr="00264F18">
        <w:rPr>
          <w:rFonts w:ascii="Bookman Old Style" w:hAnsi="Bookman Old Style"/>
          <w:bCs/>
        </w:rPr>
        <w:t>Conforme lo establecido en el artículo 1° de la Ley 39 de 1987, la distribución de combustibles líquidos derivados del petróleo es un servicio público que se prestará de acuerdo con la Ley. Así mismo, en el artículo 2° de la referida Ley definió como agentes de la cadena de distribución de combustibles líquidos derivados del petróleo, con la excepción del gas licuado de petróleo, al Refinador, Importador, Almacenador, Distribuidor Mayorista, Transportador, Distribuidor Minorista y Gran Consumidor.</w:t>
      </w:r>
    </w:p>
    <w:p w14:paraId="0A56A07C" w14:textId="77777777" w:rsidR="00B84525" w:rsidRDefault="00B84525" w:rsidP="00B84525">
      <w:pPr>
        <w:ind w:left="0"/>
        <w:jc w:val="both"/>
        <w:rPr>
          <w:rFonts w:ascii="Bookman Old Style" w:hAnsi="Bookman Old Style"/>
          <w:bCs/>
        </w:rPr>
      </w:pPr>
    </w:p>
    <w:p w14:paraId="385760E1" w14:textId="77777777" w:rsidR="00B84525" w:rsidRPr="001C3715" w:rsidRDefault="00B84525" w:rsidP="00B84525">
      <w:pPr>
        <w:ind w:left="0"/>
        <w:jc w:val="both"/>
        <w:rPr>
          <w:rFonts w:ascii="Bookman Old Style" w:hAnsi="Bookman Old Style"/>
          <w:bCs/>
        </w:rPr>
      </w:pPr>
      <w:r w:rsidRPr="001C3715">
        <w:rPr>
          <w:rFonts w:ascii="Bookman Old Style" w:hAnsi="Bookman Old Style"/>
          <w:bCs/>
        </w:rPr>
        <w:t>Según lo previsto en los artículos 1° y 4° de la Ley 26 de 1989, debido a la naturaleza del servicio público de la distribución de combustibles líquidos derivados de petróleo, fijado por la Ley 39 de 1987, el Gobierno podrá determinar horarios, precios, márgenes de comercialización, calidad, calibraciones, condiciones de seguridad, relaciones contractuales y demás condiciones que influyen en la mejor prestación de este servicio público.</w:t>
      </w:r>
    </w:p>
    <w:p w14:paraId="0B2C7B8C" w14:textId="77777777" w:rsidR="00B84525" w:rsidRPr="004C49B0" w:rsidRDefault="00B84525" w:rsidP="00B84525">
      <w:pPr>
        <w:ind w:left="0"/>
        <w:jc w:val="both"/>
        <w:rPr>
          <w:rFonts w:ascii="Bookman Old Style" w:hAnsi="Bookman Old Style"/>
          <w:bCs/>
        </w:rPr>
      </w:pPr>
    </w:p>
    <w:p w14:paraId="448C5B3D" w14:textId="77777777" w:rsidR="00B84525" w:rsidRPr="00B75554" w:rsidRDefault="00B84525" w:rsidP="00B84525">
      <w:pPr>
        <w:ind w:left="0"/>
        <w:jc w:val="both"/>
        <w:rPr>
          <w:rFonts w:ascii="Bookman Old Style" w:hAnsi="Bookman Old Style"/>
          <w:bCs/>
          <w:lang w:val="es-CO"/>
        </w:rPr>
      </w:pPr>
      <w:r>
        <w:rPr>
          <w:rFonts w:ascii="Bookman Old Style" w:hAnsi="Bookman Old Style"/>
          <w:bCs/>
        </w:rPr>
        <w:t xml:space="preserve">El Ministerio de Minas y Energía a través de las </w:t>
      </w:r>
      <w:r>
        <w:rPr>
          <w:rFonts w:ascii="Bookman Old Style" w:hAnsi="Bookman Old Style"/>
          <w:bCs/>
          <w:lang w:val="es-CO"/>
        </w:rPr>
        <w:t>R</w:t>
      </w:r>
      <w:r w:rsidRPr="00B75554">
        <w:rPr>
          <w:rFonts w:ascii="Bookman Old Style" w:hAnsi="Bookman Old Style"/>
          <w:bCs/>
          <w:lang w:val="es-CO"/>
        </w:rPr>
        <w:t>esoluciones</w:t>
      </w:r>
      <w:r>
        <w:rPr>
          <w:rFonts w:ascii="Bookman Old Style" w:hAnsi="Bookman Old Style"/>
          <w:bCs/>
          <w:lang w:val="es-CO"/>
        </w:rPr>
        <w:t xml:space="preserve"> </w:t>
      </w:r>
      <w:r w:rsidRPr="00B75554">
        <w:rPr>
          <w:rFonts w:ascii="Bookman Old Style" w:hAnsi="Bookman Old Style"/>
          <w:bCs/>
          <w:lang w:val="es-CO"/>
        </w:rPr>
        <w:t>82438 y 82439 de 1998, estableció la estructura de precios de la gasolina motor corriente y ACPM</w:t>
      </w:r>
      <w:r>
        <w:rPr>
          <w:rFonts w:ascii="Bookman Old Style" w:hAnsi="Bookman Old Style"/>
          <w:bCs/>
          <w:lang w:val="es-CO"/>
        </w:rPr>
        <w:t xml:space="preserve">. Posteriormente, mediante la </w:t>
      </w:r>
      <w:r>
        <w:rPr>
          <w:rFonts w:ascii="Bookman Old Style" w:hAnsi="Bookman Old Style"/>
        </w:rPr>
        <w:t xml:space="preserve">Resolución </w:t>
      </w:r>
      <w:r w:rsidRPr="00B75554">
        <w:rPr>
          <w:rFonts w:ascii="Bookman Old Style" w:hAnsi="Bookman Old Style"/>
          <w:bCs/>
          <w:lang w:val="es-CO"/>
        </w:rPr>
        <w:t>181088 de 2005, definió la estructura de precios de la gasolina motor corriente oxigenada</w:t>
      </w:r>
      <w:r>
        <w:rPr>
          <w:rFonts w:ascii="Bookman Old Style" w:hAnsi="Bookman Old Style"/>
          <w:bCs/>
          <w:lang w:val="es-CO"/>
        </w:rPr>
        <w:t xml:space="preserve"> y con la Resolución </w:t>
      </w:r>
      <w:r w:rsidRPr="00B75554">
        <w:rPr>
          <w:rFonts w:ascii="Bookman Old Style" w:hAnsi="Bookman Old Style"/>
          <w:bCs/>
          <w:lang w:val="es-CO"/>
        </w:rPr>
        <w:t>181780 del 2005</w:t>
      </w:r>
      <w:r>
        <w:rPr>
          <w:rFonts w:ascii="Bookman Old Style" w:hAnsi="Bookman Old Style"/>
          <w:bCs/>
          <w:lang w:val="es-CO"/>
        </w:rPr>
        <w:t>,</w:t>
      </w:r>
      <w:r w:rsidRPr="00B75554">
        <w:rPr>
          <w:rFonts w:ascii="Bookman Old Style" w:hAnsi="Bookman Old Style"/>
          <w:bCs/>
          <w:lang w:val="es-CO"/>
        </w:rPr>
        <w:t xml:space="preserve"> </w:t>
      </w:r>
      <w:r>
        <w:rPr>
          <w:rFonts w:ascii="Bookman Old Style" w:hAnsi="Bookman Old Style"/>
          <w:bCs/>
          <w:lang w:val="es-CO"/>
        </w:rPr>
        <w:t xml:space="preserve">precisó </w:t>
      </w:r>
      <w:r w:rsidRPr="00B75554">
        <w:rPr>
          <w:rFonts w:ascii="Bookman Old Style" w:hAnsi="Bookman Old Style"/>
          <w:bCs/>
          <w:lang w:val="es-CO"/>
        </w:rPr>
        <w:t>la estructura de precios del ACPM mezclado con el biocombustible para uso en motores diésel.</w:t>
      </w:r>
    </w:p>
    <w:p w14:paraId="57950189" w14:textId="77777777" w:rsidR="00B84525" w:rsidRDefault="00B84525" w:rsidP="00B84525">
      <w:pPr>
        <w:ind w:left="0"/>
        <w:jc w:val="both"/>
        <w:rPr>
          <w:rFonts w:ascii="Bookman Old Style" w:hAnsi="Bookman Old Style"/>
          <w:bCs/>
          <w:lang w:val="es-CO"/>
        </w:rPr>
      </w:pPr>
    </w:p>
    <w:p w14:paraId="0A68BE76"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 xml:space="preserve">Además, el Ministerio de Minas y Energía, mediante </w:t>
      </w:r>
      <w:r w:rsidRPr="0019696C">
        <w:rPr>
          <w:rFonts w:ascii="Bookman Old Style" w:hAnsi="Bookman Old Style"/>
          <w:bCs/>
          <w:lang w:val="es-CO"/>
        </w:rPr>
        <w:t xml:space="preserve">Resolución 181300 </w:t>
      </w:r>
      <w:r>
        <w:rPr>
          <w:rFonts w:ascii="Bookman Old Style" w:hAnsi="Bookman Old Style"/>
          <w:bCs/>
          <w:lang w:val="es-CO"/>
        </w:rPr>
        <w:t>de</w:t>
      </w:r>
      <w:r w:rsidRPr="0019696C">
        <w:rPr>
          <w:rFonts w:ascii="Bookman Old Style" w:hAnsi="Bookman Old Style"/>
          <w:bCs/>
          <w:lang w:val="es-CO"/>
        </w:rPr>
        <w:t xml:space="preserve"> 2007</w:t>
      </w:r>
      <w:r>
        <w:rPr>
          <w:rFonts w:ascii="Bookman Old Style" w:hAnsi="Bookman Old Style"/>
          <w:bCs/>
          <w:lang w:val="es-CO"/>
        </w:rPr>
        <w:t xml:space="preserve">, que </w:t>
      </w:r>
      <w:r w:rsidRPr="0019696C">
        <w:rPr>
          <w:rFonts w:ascii="Bookman Old Style" w:hAnsi="Bookman Old Style"/>
          <w:bCs/>
          <w:lang w:val="es-CO"/>
        </w:rPr>
        <w:t>modific</w:t>
      </w:r>
      <w:r>
        <w:rPr>
          <w:rFonts w:ascii="Bookman Old Style" w:hAnsi="Bookman Old Style"/>
          <w:bCs/>
          <w:lang w:val="es-CO"/>
        </w:rPr>
        <w:t xml:space="preserve">ó </w:t>
      </w:r>
      <w:r w:rsidRPr="0019696C">
        <w:rPr>
          <w:rFonts w:ascii="Bookman Old Style" w:hAnsi="Bookman Old Style"/>
          <w:bCs/>
          <w:lang w:val="es-CO"/>
        </w:rPr>
        <w:t xml:space="preserve">las Resoluciones 181701 de 2003 y 180230 de 2006 </w:t>
      </w:r>
      <w:r>
        <w:rPr>
          <w:rFonts w:ascii="Bookman Old Style" w:hAnsi="Bookman Old Style"/>
          <w:bCs/>
          <w:lang w:val="es-CO"/>
        </w:rPr>
        <w:t xml:space="preserve">y que </w:t>
      </w:r>
      <w:r w:rsidRPr="0019696C">
        <w:rPr>
          <w:rFonts w:ascii="Bookman Old Style" w:hAnsi="Bookman Old Style"/>
          <w:bCs/>
          <w:lang w:val="es-CO"/>
        </w:rPr>
        <w:t>modific</w:t>
      </w:r>
      <w:r>
        <w:rPr>
          <w:rFonts w:ascii="Bookman Old Style" w:hAnsi="Bookman Old Style"/>
          <w:bCs/>
          <w:lang w:val="es-CO"/>
        </w:rPr>
        <w:t xml:space="preserve">ó </w:t>
      </w:r>
      <w:r w:rsidRPr="0019696C">
        <w:rPr>
          <w:rFonts w:ascii="Bookman Old Style" w:hAnsi="Bookman Old Style"/>
          <w:bCs/>
          <w:lang w:val="es-CO"/>
        </w:rPr>
        <w:t>el artículo 1</w:t>
      </w:r>
      <w:r>
        <w:rPr>
          <w:rFonts w:ascii="Bookman Old Style" w:hAnsi="Bookman Old Style"/>
          <w:bCs/>
          <w:lang w:val="es-CO"/>
        </w:rPr>
        <w:t xml:space="preserve"> </w:t>
      </w:r>
      <w:r w:rsidRPr="0019696C">
        <w:rPr>
          <w:rFonts w:ascii="Bookman Old Style" w:hAnsi="Bookman Old Style"/>
          <w:bCs/>
          <w:lang w:val="es-CO"/>
        </w:rPr>
        <w:t>de la Resolución 18 0088 de 2003</w:t>
      </w:r>
      <w:r>
        <w:rPr>
          <w:rFonts w:ascii="Bookman Old Style" w:hAnsi="Bookman Old Style"/>
          <w:bCs/>
          <w:lang w:val="es-CO"/>
        </w:rPr>
        <w:t>, definió la tarifa equivalente para la entrega en muelle en la ciudad de Cartagena, Bolívar.</w:t>
      </w:r>
    </w:p>
    <w:p w14:paraId="261A22E3" w14:textId="77777777" w:rsidR="00326055" w:rsidRDefault="00326055" w:rsidP="00B84525">
      <w:pPr>
        <w:ind w:left="0"/>
        <w:jc w:val="both"/>
        <w:rPr>
          <w:rFonts w:ascii="Bookman Old Style" w:hAnsi="Bookman Old Style"/>
          <w:bCs/>
        </w:rPr>
      </w:pPr>
    </w:p>
    <w:p w14:paraId="6F5F789A" w14:textId="547EF8C3" w:rsidR="00B84525" w:rsidRPr="00264F18" w:rsidRDefault="00B84525" w:rsidP="00B84525">
      <w:pPr>
        <w:ind w:left="0"/>
        <w:jc w:val="both"/>
        <w:rPr>
          <w:rFonts w:ascii="Bookman Old Style" w:hAnsi="Bookman Old Style"/>
          <w:bCs/>
        </w:rPr>
      </w:pPr>
      <w:r w:rsidRPr="00264F18">
        <w:rPr>
          <w:rFonts w:ascii="Bookman Old Style" w:hAnsi="Bookman Old Style"/>
          <w:bCs/>
        </w:rPr>
        <w:t xml:space="preserve">Mediante el Decreto Ley 4130 de 2011, se reasignaron funciones del Ministerio de Minas y Energía a distintas entidades que conforman el sector de minas y energía entre las cuales le fueron asignadas a la Comisión de Regulación de Energía y Gas, CREG, la función de regular las actividades de refinación, </w:t>
      </w:r>
      <w:r w:rsidRPr="00264F18">
        <w:rPr>
          <w:rFonts w:ascii="Bookman Old Style" w:hAnsi="Bookman Old Style"/>
          <w:bCs/>
        </w:rPr>
        <w:lastRenderedPageBreak/>
        <w:t xml:space="preserve">importación, almacenamiento, distribución y transporte de combustibles líquidos derivados del petróleo. </w:t>
      </w:r>
    </w:p>
    <w:p w14:paraId="3CA28D94" w14:textId="77777777" w:rsidR="00B84525" w:rsidRPr="00264F18" w:rsidRDefault="00B84525" w:rsidP="00B84525">
      <w:pPr>
        <w:ind w:left="0"/>
        <w:jc w:val="both"/>
        <w:rPr>
          <w:rFonts w:ascii="Bookman Old Style" w:hAnsi="Bookman Old Style"/>
          <w:bCs/>
        </w:rPr>
      </w:pPr>
    </w:p>
    <w:p w14:paraId="431E3451" w14:textId="77777777" w:rsidR="00B84525" w:rsidRPr="00264F18" w:rsidRDefault="00B84525" w:rsidP="00B84525">
      <w:pPr>
        <w:ind w:left="0"/>
        <w:jc w:val="both"/>
        <w:rPr>
          <w:rFonts w:ascii="Bookman Old Style" w:hAnsi="Bookman Old Style"/>
          <w:bCs/>
        </w:rPr>
      </w:pPr>
      <w:r>
        <w:rPr>
          <w:rFonts w:ascii="Bookman Old Style" w:hAnsi="Bookman Old Style"/>
          <w:bCs/>
        </w:rPr>
        <w:t xml:space="preserve">A partir de las </w:t>
      </w:r>
      <w:r w:rsidRPr="00264F18">
        <w:rPr>
          <w:rFonts w:ascii="Bookman Old Style" w:hAnsi="Bookman Old Style"/>
          <w:bCs/>
        </w:rPr>
        <w:t>funciones reasignadas a la CREG, mediante el Decreto 1260 de 2013, artículo 4, literal b), se establecieron las funciones de expedir regulación económica referente a las actividades de refinación, importación, almacenamiento, distribución y transporte de combustibles líquidos derivados de hidrocarburos, tales como gasolina motor corriente, ACPM, Jet A1, diésel marino, avigas, gasolina extra, kerosene, entre otros, salvo fijar los precios para la gasolina motor corriente y ACPM.</w:t>
      </w:r>
    </w:p>
    <w:p w14:paraId="78C9E130" w14:textId="77777777" w:rsidR="00B84525" w:rsidRPr="000619F3" w:rsidRDefault="00B84525" w:rsidP="00B84525">
      <w:pPr>
        <w:ind w:left="0"/>
        <w:jc w:val="both"/>
        <w:rPr>
          <w:rFonts w:ascii="Bookman Old Style" w:hAnsi="Bookman Old Style"/>
        </w:rPr>
      </w:pPr>
    </w:p>
    <w:p w14:paraId="73D0DF80"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Según lo dispuesto en el a</w:t>
      </w:r>
      <w:r w:rsidRPr="00F2205C">
        <w:rPr>
          <w:rFonts w:ascii="Bookman Old Style" w:hAnsi="Bookman Old Style"/>
          <w:bCs/>
          <w:lang w:val="es-CO"/>
        </w:rPr>
        <w:t>rtículo 173 de la Ley 1607 de 2012</w:t>
      </w:r>
      <w:r>
        <w:rPr>
          <w:rFonts w:ascii="Bookman Old Style" w:hAnsi="Bookman Old Style"/>
          <w:bCs/>
          <w:lang w:val="es-CO"/>
        </w:rPr>
        <w:t xml:space="preserve">, </w:t>
      </w:r>
      <w:r w:rsidRPr="00993BFF">
        <w:rPr>
          <w:rFonts w:ascii="Bookman Old Style" w:hAnsi="Bookman Old Style"/>
          <w:bCs/>
          <w:lang w:val="es-CO"/>
        </w:rPr>
        <w:t>que modificó el</w:t>
      </w:r>
      <w:r>
        <w:rPr>
          <w:rFonts w:ascii="Bookman Old Style" w:hAnsi="Bookman Old Style"/>
          <w:bCs/>
          <w:lang w:val="es-CO"/>
        </w:rPr>
        <w:t xml:space="preserve"> a</w:t>
      </w:r>
      <w:r w:rsidRPr="00F2205C">
        <w:rPr>
          <w:rFonts w:ascii="Bookman Old Style" w:hAnsi="Bookman Old Style"/>
          <w:bCs/>
          <w:lang w:val="es-CO"/>
        </w:rPr>
        <w:t>rt</w:t>
      </w:r>
      <w:r>
        <w:rPr>
          <w:rFonts w:ascii="Bookman Old Style" w:hAnsi="Bookman Old Style"/>
          <w:bCs/>
          <w:lang w:val="es-CO"/>
        </w:rPr>
        <w:t>í</w:t>
      </w:r>
      <w:r w:rsidRPr="00F2205C">
        <w:rPr>
          <w:rFonts w:ascii="Bookman Old Style" w:hAnsi="Bookman Old Style"/>
          <w:bCs/>
          <w:lang w:val="es-CO"/>
        </w:rPr>
        <w:t>culo 9 de la Ley 1430 de 2010</w:t>
      </w:r>
      <w:r>
        <w:rPr>
          <w:rFonts w:ascii="Bookman Old Style" w:hAnsi="Bookman Old Style"/>
          <w:bCs/>
          <w:lang w:val="es-CO"/>
        </w:rPr>
        <w:t xml:space="preserve">, </w:t>
      </w:r>
      <w:r w:rsidRPr="00993BFF">
        <w:rPr>
          <w:rFonts w:ascii="Bookman Old Style" w:hAnsi="Bookman Old Style"/>
          <w:bCs/>
          <w:lang w:val="es-CO"/>
        </w:rPr>
        <w:t>que modificó el artículo 1 de la Ley 681 de 2001, que modificó el artículo 19 de la Ley 191 de 1995</w:t>
      </w:r>
      <w:r>
        <w:rPr>
          <w:rFonts w:ascii="Bookman Old Style" w:hAnsi="Bookman Old Style"/>
          <w:bCs/>
          <w:lang w:val="es-CO"/>
        </w:rPr>
        <w:t xml:space="preserve">, </w:t>
      </w:r>
      <w:r w:rsidRPr="00F2205C">
        <w:rPr>
          <w:rFonts w:ascii="Bookman Old Style" w:hAnsi="Bookman Old Style"/>
          <w:bCs/>
          <w:lang w:val="es-CO"/>
        </w:rPr>
        <w:t xml:space="preserve">el </w:t>
      </w:r>
      <w:r>
        <w:rPr>
          <w:rFonts w:ascii="Bookman Old Style" w:hAnsi="Bookman Old Style"/>
          <w:bCs/>
          <w:lang w:val="es-CO"/>
        </w:rPr>
        <w:t xml:space="preserve">Ministerio de Minas y Energía </w:t>
      </w:r>
      <w:r w:rsidRPr="00F2205C">
        <w:rPr>
          <w:rFonts w:ascii="Bookman Old Style" w:hAnsi="Bookman Old Style"/>
          <w:bCs/>
          <w:lang w:val="es-CO"/>
        </w:rPr>
        <w:t>tiene a su cargo la función de distribución de combustibles líquidos derivados del petróleo en zonas de frontera, los cuales estarán exentos del IVA, arancel e impuesto nacional a la gasolina y al ACPM</w:t>
      </w:r>
      <w:r>
        <w:rPr>
          <w:rFonts w:ascii="Bookman Old Style" w:hAnsi="Bookman Old Style"/>
          <w:bCs/>
          <w:lang w:val="es-CO"/>
        </w:rPr>
        <w:t>.</w:t>
      </w:r>
    </w:p>
    <w:p w14:paraId="2F1B3573" w14:textId="77777777" w:rsidR="00B84525" w:rsidRDefault="00B84525" w:rsidP="00B84525">
      <w:pPr>
        <w:ind w:left="0"/>
        <w:jc w:val="both"/>
        <w:rPr>
          <w:rFonts w:ascii="Bookman Old Style" w:hAnsi="Bookman Old Style"/>
          <w:bCs/>
          <w:lang w:val="es-CO"/>
        </w:rPr>
      </w:pPr>
    </w:p>
    <w:p w14:paraId="41DE51AC"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El citado Ministerio de Minas y Energía</w:t>
      </w:r>
      <w:r w:rsidRPr="0030543E">
        <w:rPr>
          <w:rFonts w:ascii="Bookman Old Style" w:hAnsi="Bookman Old Style"/>
          <w:bCs/>
          <w:lang w:val="es-CO"/>
        </w:rPr>
        <w:t xml:space="preserve"> mediante</w:t>
      </w:r>
      <w:r>
        <w:rPr>
          <w:rFonts w:ascii="Bookman Old Style" w:hAnsi="Bookman Old Style"/>
          <w:bCs/>
          <w:lang w:val="es-CO"/>
        </w:rPr>
        <w:t xml:space="preserve"> las Resoluciones 91773 de 2012, </w:t>
      </w:r>
      <w:r w:rsidRPr="0030543E">
        <w:rPr>
          <w:rFonts w:ascii="Bookman Old Style" w:hAnsi="Bookman Old Style"/>
          <w:bCs/>
          <w:lang w:val="es-CO"/>
        </w:rPr>
        <w:t>90308</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w:t>
      </w:r>
      <w:r w:rsidRPr="00222ED1">
        <w:rPr>
          <w:rFonts w:ascii="Bookman Old Style" w:hAnsi="Bookman Old Style"/>
          <w:bCs/>
          <w:lang w:val="es-CO"/>
        </w:rPr>
        <w:t xml:space="preserve"> </w:t>
      </w:r>
      <w:r w:rsidRPr="0030543E">
        <w:rPr>
          <w:rFonts w:ascii="Bookman Old Style" w:hAnsi="Bookman Old Style"/>
          <w:bCs/>
          <w:lang w:val="es-CO"/>
        </w:rPr>
        <w:t>90309</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90310</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9</w:t>
      </w:r>
      <w:r w:rsidRPr="0030543E">
        <w:rPr>
          <w:rFonts w:ascii="Bookman Old Style" w:hAnsi="Bookman Old Style"/>
          <w:bCs/>
          <w:lang w:val="es-CO"/>
        </w:rPr>
        <w:t>0311</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90423</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90424</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90425</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w:t>
      </w:r>
      <w:r w:rsidRPr="00CA4A0C">
        <w:rPr>
          <w:rFonts w:ascii="Bookman Old Style" w:hAnsi="Bookman Old Style"/>
          <w:bCs/>
          <w:lang w:val="es-CO"/>
        </w:rPr>
        <w:t xml:space="preserve"> </w:t>
      </w:r>
      <w:r w:rsidRPr="0030543E">
        <w:rPr>
          <w:rFonts w:ascii="Bookman Old Style" w:hAnsi="Bookman Old Style"/>
          <w:bCs/>
          <w:lang w:val="es-CO"/>
        </w:rPr>
        <w:t>41131</w:t>
      </w:r>
      <w:r>
        <w:rPr>
          <w:rFonts w:ascii="Bookman Old Style" w:hAnsi="Bookman Old Style"/>
          <w:bCs/>
          <w:lang w:val="es-CO"/>
        </w:rPr>
        <w:t xml:space="preserve"> de </w:t>
      </w:r>
      <w:r w:rsidRPr="0030543E">
        <w:rPr>
          <w:rFonts w:ascii="Bookman Old Style" w:hAnsi="Bookman Old Style"/>
          <w:bCs/>
          <w:lang w:val="es-CO"/>
        </w:rPr>
        <w:t>2015</w:t>
      </w:r>
      <w:r>
        <w:rPr>
          <w:rFonts w:ascii="Bookman Old Style" w:hAnsi="Bookman Old Style"/>
          <w:bCs/>
          <w:lang w:val="es-CO"/>
        </w:rPr>
        <w:t>,</w:t>
      </w:r>
      <w:r w:rsidRPr="00B00705">
        <w:rPr>
          <w:rFonts w:ascii="Bookman Old Style" w:hAnsi="Bookman Old Style"/>
          <w:bCs/>
          <w:lang w:val="es-CO"/>
        </w:rPr>
        <w:t xml:space="preserve"> </w:t>
      </w:r>
      <w:r w:rsidRPr="0030543E">
        <w:rPr>
          <w:rFonts w:ascii="Bookman Old Style" w:hAnsi="Bookman Old Style"/>
          <w:bCs/>
          <w:lang w:val="es-CO"/>
        </w:rPr>
        <w:t>40435</w:t>
      </w:r>
      <w:r>
        <w:rPr>
          <w:rFonts w:ascii="Bookman Old Style" w:hAnsi="Bookman Old Style"/>
          <w:bCs/>
          <w:lang w:val="es-CO"/>
        </w:rPr>
        <w:t xml:space="preserve"> de </w:t>
      </w:r>
      <w:r w:rsidRPr="0030543E">
        <w:rPr>
          <w:rFonts w:ascii="Bookman Old Style" w:hAnsi="Bookman Old Style"/>
          <w:bCs/>
          <w:lang w:val="es-CO"/>
        </w:rPr>
        <w:t>2016</w:t>
      </w:r>
      <w:r>
        <w:rPr>
          <w:rFonts w:ascii="Bookman Old Style" w:hAnsi="Bookman Old Style"/>
          <w:bCs/>
          <w:lang w:val="es-CO"/>
        </w:rPr>
        <w:t>, fijó las estructuras de precios de los departamentos de Cesar, Chocó, Putumayo, Vaupés,</w:t>
      </w:r>
      <w:r w:rsidRPr="00827189">
        <w:rPr>
          <w:rFonts w:ascii="Bookman Old Style" w:hAnsi="Bookman Old Style"/>
          <w:bCs/>
          <w:lang w:val="es-CO"/>
        </w:rPr>
        <w:t xml:space="preserve"> </w:t>
      </w:r>
      <w:r w:rsidRPr="0030543E">
        <w:rPr>
          <w:rFonts w:ascii="Bookman Old Style" w:hAnsi="Bookman Old Style"/>
          <w:bCs/>
          <w:lang w:val="es-CO"/>
        </w:rPr>
        <w:t>Arauca</w:t>
      </w:r>
      <w:r>
        <w:rPr>
          <w:rFonts w:ascii="Bookman Old Style" w:hAnsi="Bookman Old Style"/>
          <w:bCs/>
          <w:lang w:val="es-CO"/>
        </w:rPr>
        <w:t xml:space="preserve">, </w:t>
      </w:r>
      <w:r w:rsidRPr="0030543E">
        <w:rPr>
          <w:rFonts w:ascii="Bookman Old Style" w:hAnsi="Bookman Old Style"/>
          <w:bCs/>
          <w:lang w:val="es-CO"/>
        </w:rPr>
        <w:t>Boyacá</w:t>
      </w:r>
      <w:r>
        <w:rPr>
          <w:rFonts w:ascii="Bookman Old Style" w:hAnsi="Bookman Old Style"/>
          <w:bCs/>
          <w:lang w:val="es-CO"/>
        </w:rPr>
        <w:t xml:space="preserve">, </w:t>
      </w:r>
      <w:r w:rsidRPr="0030543E">
        <w:rPr>
          <w:rFonts w:ascii="Bookman Old Style" w:hAnsi="Bookman Old Style"/>
          <w:bCs/>
          <w:lang w:val="es-CO"/>
        </w:rPr>
        <w:t>Guainía</w:t>
      </w:r>
      <w:r>
        <w:rPr>
          <w:rFonts w:ascii="Bookman Old Style" w:hAnsi="Bookman Old Style"/>
          <w:bCs/>
          <w:lang w:val="es-CO"/>
        </w:rPr>
        <w:t>,</w:t>
      </w:r>
      <w:r w:rsidRPr="00827189">
        <w:rPr>
          <w:rFonts w:ascii="Bookman Old Style" w:hAnsi="Bookman Old Style"/>
          <w:bCs/>
          <w:lang w:val="es-CO"/>
        </w:rPr>
        <w:t xml:space="preserve"> </w:t>
      </w:r>
      <w:r w:rsidRPr="0030543E">
        <w:rPr>
          <w:rFonts w:ascii="Bookman Old Style" w:hAnsi="Bookman Old Style"/>
          <w:bCs/>
          <w:lang w:val="es-CO"/>
        </w:rPr>
        <w:t>Vichada</w:t>
      </w:r>
      <w:r>
        <w:rPr>
          <w:rFonts w:ascii="Bookman Old Style" w:hAnsi="Bookman Old Style"/>
          <w:bCs/>
          <w:lang w:val="es-CO"/>
        </w:rPr>
        <w:t xml:space="preserve">, </w:t>
      </w:r>
      <w:r w:rsidRPr="0030543E">
        <w:rPr>
          <w:rFonts w:ascii="Bookman Old Style" w:hAnsi="Bookman Old Style"/>
          <w:bCs/>
          <w:lang w:val="es-CO"/>
        </w:rPr>
        <w:t>Putumayo</w:t>
      </w:r>
      <w:r>
        <w:rPr>
          <w:rFonts w:ascii="Bookman Old Style" w:hAnsi="Bookman Old Style"/>
          <w:bCs/>
          <w:lang w:val="es-CO"/>
        </w:rPr>
        <w:t>,</w:t>
      </w:r>
      <w:r w:rsidRPr="00827189">
        <w:rPr>
          <w:rFonts w:ascii="Bookman Old Style" w:hAnsi="Bookman Old Style"/>
          <w:bCs/>
          <w:lang w:val="es-CO"/>
        </w:rPr>
        <w:t xml:space="preserve"> </w:t>
      </w:r>
      <w:r w:rsidRPr="0030543E">
        <w:rPr>
          <w:rFonts w:ascii="Bookman Old Style" w:hAnsi="Bookman Old Style"/>
          <w:bCs/>
          <w:lang w:val="es-CO"/>
        </w:rPr>
        <w:t>Nariño</w:t>
      </w:r>
      <w:r>
        <w:rPr>
          <w:rFonts w:ascii="Bookman Old Style" w:hAnsi="Bookman Old Style"/>
          <w:bCs/>
          <w:lang w:val="es-CO"/>
        </w:rPr>
        <w:t xml:space="preserve">, </w:t>
      </w:r>
      <w:r w:rsidRPr="00344983">
        <w:rPr>
          <w:rFonts w:ascii="Bookman Old Style" w:hAnsi="Bookman Old Style"/>
          <w:bCs/>
          <w:lang w:val="es-CO"/>
        </w:rPr>
        <w:t>Amazonas</w:t>
      </w:r>
      <w:r>
        <w:rPr>
          <w:rFonts w:ascii="Bookman Old Style" w:hAnsi="Bookman Old Style"/>
          <w:bCs/>
          <w:lang w:val="es-CO"/>
        </w:rPr>
        <w:t xml:space="preserve">, La </w:t>
      </w:r>
      <w:r w:rsidRPr="0030543E">
        <w:rPr>
          <w:rFonts w:ascii="Bookman Old Style" w:hAnsi="Bookman Old Style"/>
          <w:bCs/>
          <w:lang w:val="es-CO"/>
        </w:rPr>
        <w:t xml:space="preserve">Guajira </w:t>
      </w:r>
      <w:r>
        <w:rPr>
          <w:rFonts w:ascii="Bookman Old Style" w:hAnsi="Bookman Old Style"/>
          <w:bCs/>
          <w:lang w:val="es-CO"/>
        </w:rPr>
        <w:t xml:space="preserve">y </w:t>
      </w:r>
      <w:r w:rsidRPr="0030543E">
        <w:rPr>
          <w:rFonts w:ascii="Bookman Old Style" w:hAnsi="Bookman Old Style"/>
          <w:bCs/>
          <w:lang w:val="es-CO"/>
        </w:rPr>
        <w:t xml:space="preserve">Norte </w:t>
      </w:r>
      <w:r>
        <w:rPr>
          <w:rFonts w:ascii="Bookman Old Style" w:hAnsi="Bookman Old Style"/>
          <w:bCs/>
          <w:lang w:val="es-CO"/>
        </w:rPr>
        <w:t>d</w:t>
      </w:r>
      <w:r w:rsidRPr="0030543E">
        <w:rPr>
          <w:rFonts w:ascii="Bookman Old Style" w:hAnsi="Bookman Old Style"/>
          <w:bCs/>
          <w:lang w:val="es-CO"/>
        </w:rPr>
        <w:t>e Santander</w:t>
      </w:r>
      <w:r>
        <w:rPr>
          <w:rFonts w:ascii="Bookman Old Style" w:hAnsi="Bookman Old Style"/>
          <w:bCs/>
          <w:lang w:val="es-CO"/>
        </w:rPr>
        <w:t>, respectivamente.</w:t>
      </w:r>
    </w:p>
    <w:p w14:paraId="08F0059C" w14:textId="77777777" w:rsidR="00B84525" w:rsidRDefault="00B84525" w:rsidP="00B84525">
      <w:pPr>
        <w:ind w:left="0"/>
        <w:jc w:val="both"/>
        <w:rPr>
          <w:rFonts w:ascii="Bookman Old Style" w:hAnsi="Bookman Old Style"/>
          <w:bCs/>
          <w:lang w:val="es-CO"/>
        </w:rPr>
      </w:pPr>
    </w:p>
    <w:p w14:paraId="7B13E824"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C</w:t>
      </w:r>
      <w:r w:rsidRPr="00B75554">
        <w:rPr>
          <w:rFonts w:ascii="Bookman Old Style" w:hAnsi="Bookman Old Style"/>
          <w:bCs/>
          <w:lang w:val="es-CO"/>
        </w:rPr>
        <w:t>onform</w:t>
      </w:r>
      <w:r>
        <w:rPr>
          <w:rFonts w:ascii="Bookman Old Style" w:hAnsi="Bookman Old Style"/>
          <w:bCs/>
          <w:lang w:val="es-CO"/>
        </w:rPr>
        <w:t>e</w:t>
      </w:r>
      <w:r w:rsidRPr="00B75554">
        <w:rPr>
          <w:rFonts w:ascii="Bookman Old Style" w:hAnsi="Bookman Old Style"/>
          <w:bCs/>
          <w:lang w:val="es-CO"/>
        </w:rPr>
        <w:t xml:space="preserve"> lo establecido en el numeral 18 del artículo 2o del Decreto 381 de 2012, modificado por el artículo 1o del decreto 1617 de 2013, le corresponde al Ministerio de Minas y Energía establecer los parámetros y la metodología para definir el precio de referencia de la gasolina motor, diésel (ACPM), biocombustibles y mezclas de las anteriores.</w:t>
      </w:r>
    </w:p>
    <w:p w14:paraId="45BDAF4E" w14:textId="77777777" w:rsidR="00B84525" w:rsidRDefault="00B84525" w:rsidP="00B84525">
      <w:pPr>
        <w:ind w:left="0"/>
        <w:jc w:val="both"/>
        <w:rPr>
          <w:rFonts w:ascii="Bookman Old Style" w:hAnsi="Bookman Old Style"/>
          <w:bCs/>
          <w:lang w:val="es-CO"/>
        </w:rPr>
      </w:pPr>
    </w:p>
    <w:p w14:paraId="18FB117D" w14:textId="77777777" w:rsidR="00B84525" w:rsidRPr="00B15E54" w:rsidRDefault="00B84525" w:rsidP="00B84525">
      <w:pPr>
        <w:ind w:left="0"/>
        <w:jc w:val="both"/>
        <w:rPr>
          <w:rFonts w:ascii="Bookman Old Style" w:hAnsi="Bookman Old Style"/>
          <w:bCs/>
          <w:lang w:val="es-CO"/>
        </w:rPr>
      </w:pPr>
      <w:r>
        <w:rPr>
          <w:rFonts w:ascii="Bookman Old Style" w:hAnsi="Bookman Old Style"/>
          <w:bCs/>
          <w:lang w:val="es-CO"/>
        </w:rPr>
        <w:t>E</w:t>
      </w:r>
      <w:r w:rsidRPr="00B15E54">
        <w:rPr>
          <w:rFonts w:ascii="Bookman Old Style" w:hAnsi="Bookman Old Style"/>
          <w:bCs/>
          <w:lang w:val="es-CO"/>
        </w:rPr>
        <w:t>l artículo 2.3.4.1.16 del Decreto 1068 de 2015 estableció que el Ministerio de Minas y Energía fijará el ingreso al productor en zonas de frontera</w:t>
      </w:r>
      <w:r>
        <w:rPr>
          <w:rFonts w:ascii="Bookman Old Style" w:hAnsi="Bookman Old Style"/>
          <w:bCs/>
          <w:lang w:val="es-CO"/>
        </w:rPr>
        <w:t>.</w:t>
      </w:r>
    </w:p>
    <w:p w14:paraId="72DAAD31" w14:textId="77777777" w:rsidR="00B84525" w:rsidRDefault="00B84525" w:rsidP="00B84525">
      <w:pPr>
        <w:ind w:left="0"/>
        <w:jc w:val="both"/>
        <w:rPr>
          <w:rFonts w:ascii="Bookman Old Style" w:hAnsi="Bookman Old Style"/>
          <w:bCs/>
          <w:lang w:val="es-CO"/>
        </w:rPr>
      </w:pPr>
    </w:p>
    <w:p w14:paraId="4A332743"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 xml:space="preserve">En el Decreto 1073 de 2015, </w:t>
      </w:r>
      <w:r>
        <w:rPr>
          <w:rFonts w:ascii="Bookman Old Style" w:hAnsi="Bookman Old Style"/>
          <w:bCs/>
        </w:rPr>
        <w:t>p</w:t>
      </w:r>
      <w:r w:rsidRPr="00654732">
        <w:rPr>
          <w:rFonts w:ascii="Bookman Old Style" w:hAnsi="Bookman Old Style"/>
          <w:bCs/>
        </w:rPr>
        <w:t>ara efectos de las exenciones de los impuestos de arancel, IVA e Impuesto </w:t>
      </w:r>
      <w:r>
        <w:rPr>
          <w:rFonts w:ascii="Bookman Old Style" w:hAnsi="Bookman Old Style"/>
          <w:bCs/>
        </w:rPr>
        <w:t xml:space="preserve">Nacional, </w:t>
      </w:r>
      <w:r w:rsidRPr="008A06DD">
        <w:rPr>
          <w:rFonts w:ascii="Bookman Old Style" w:hAnsi="Bookman Old Style"/>
          <w:bCs/>
          <w:lang w:val="es-CO"/>
        </w:rPr>
        <w:t xml:space="preserve">se </w:t>
      </w:r>
      <w:r>
        <w:rPr>
          <w:rFonts w:ascii="Bookman Old Style" w:hAnsi="Bookman Old Style"/>
          <w:bCs/>
          <w:lang w:val="es-CO"/>
        </w:rPr>
        <w:t xml:space="preserve">reconoció un conjunto de municipios y corregimientos como Zona </w:t>
      </w:r>
      <w:r w:rsidRPr="008A06DD">
        <w:rPr>
          <w:rFonts w:ascii="Bookman Old Style" w:hAnsi="Bookman Old Style"/>
          <w:bCs/>
          <w:lang w:val="es-CO"/>
        </w:rPr>
        <w:t>de Frontera</w:t>
      </w:r>
      <w:r>
        <w:rPr>
          <w:rFonts w:ascii="Bookman Old Style" w:hAnsi="Bookman Old Style"/>
          <w:bCs/>
          <w:lang w:val="es-CO"/>
        </w:rPr>
        <w:t xml:space="preserve"> (en adelante, </w:t>
      </w:r>
      <w:r>
        <w:rPr>
          <w:rFonts w:ascii="Bookman Old Style" w:hAnsi="Bookman Old Style" w:cs="Arial"/>
          <w:iCs/>
          <w:lang w:val="es-CO"/>
        </w:rPr>
        <w:t>ZDF</w:t>
      </w:r>
      <w:r>
        <w:rPr>
          <w:rFonts w:ascii="Bookman Old Style" w:hAnsi="Bookman Old Style"/>
          <w:bCs/>
          <w:lang w:val="es-CO"/>
        </w:rPr>
        <w:t>).</w:t>
      </w:r>
    </w:p>
    <w:p w14:paraId="277615ED" w14:textId="77777777" w:rsidR="00B84525" w:rsidRDefault="00B84525" w:rsidP="00B84525">
      <w:pPr>
        <w:ind w:left="0"/>
        <w:jc w:val="both"/>
        <w:rPr>
          <w:rFonts w:ascii="Bookman Old Style" w:hAnsi="Bookman Old Style"/>
          <w:bCs/>
          <w:lang w:val="es-CO"/>
        </w:rPr>
      </w:pPr>
    </w:p>
    <w:p w14:paraId="7833DDBE"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 xml:space="preserve">Mediante la Resolución CREG 039 de 2015, se </w:t>
      </w:r>
      <w:r w:rsidRPr="00D91FBE">
        <w:rPr>
          <w:rFonts w:ascii="Bookman Old Style" w:hAnsi="Bookman Old Style"/>
          <w:bCs/>
        </w:rPr>
        <w:t>establec</w:t>
      </w:r>
      <w:r>
        <w:rPr>
          <w:rFonts w:ascii="Bookman Old Style" w:hAnsi="Bookman Old Style"/>
          <w:bCs/>
        </w:rPr>
        <w:t xml:space="preserve">ió </w:t>
      </w:r>
      <w:r w:rsidRPr="00D91FBE">
        <w:rPr>
          <w:rFonts w:ascii="Bookman Old Style" w:hAnsi="Bookman Old Style"/>
          <w:bCs/>
        </w:rPr>
        <w:t xml:space="preserve">la tarifa para el flete marítimo de transporte de </w:t>
      </w:r>
      <w:r>
        <w:rPr>
          <w:rFonts w:ascii="Bookman Old Style" w:hAnsi="Bookman Old Style"/>
          <w:bCs/>
        </w:rPr>
        <w:t>c</w:t>
      </w:r>
      <w:r w:rsidRPr="00D91FBE">
        <w:rPr>
          <w:rFonts w:ascii="Bookman Old Style" w:hAnsi="Bookman Old Style"/>
          <w:bCs/>
        </w:rPr>
        <w:t xml:space="preserve">ombustibles </w:t>
      </w:r>
      <w:r>
        <w:rPr>
          <w:rFonts w:ascii="Bookman Old Style" w:hAnsi="Bookman Old Style"/>
          <w:bCs/>
        </w:rPr>
        <w:t>l</w:t>
      </w:r>
      <w:r w:rsidRPr="00D91FBE">
        <w:rPr>
          <w:rFonts w:ascii="Bookman Old Style" w:hAnsi="Bookman Old Style"/>
          <w:bCs/>
        </w:rPr>
        <w:t>íquidos entre las ciudades de Cartagena y San Andrés Isla.</w:t>
      </w:r>
    </w:p>
    <w:p w14:paraId="78CEA826" w14:textId="77777777" w:rsidR="00B84525" w:rsidRPr="00B75554" w:rsidRDefault="00B84525" w:rsidP="00B84525">
      <w:pPr>
        <w:ind w:left="0"/>
        <w:jc w:val="both"/>
        <w:rPr>
          <w:rFonts w:ascii="Bookman Old Style" w:hAnsi="Bookman Old Style"/>
          <w:bCs/>
          <w:lang w:val="es-CO"/>
        </w:rPr>
      </w:pPr>
    </w:p>
    <w:p w14:paraId="2B15A9D3"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L</w:t>
      </w:r>
      <w:r w:rsidRPr="00B75554">
        <w:rPr>
          <w:rFonts w:ascii="Bookman Old Style" w:hAnsi="Bookman Old Style"/>
          <w:bCs/>
          <w:lang w:val="es-CO"/>
        </w:rPr>
        <w:t xml:space="preserve">a Resolución 41281 de 2016 </w:t>
      </w:r>
      <w:r>
        <w:rPr>
          <w:rFonts w:ascii="Bookman Old Style" w:hAnsi="Bookman Old Style"/>
          <w:bCs/>
          <w:lang w:val="es-CO"/>
        </w:rPr>
        <w:t>del Ministerio de Minas y Energía, derogó</w:t>
      </w:r>
      <w:r w:rsidRPr="00B75554">
        <w:rPr>
          <w:rFonts w:ascii="Bookman Old Style" w:hAnsi="Bookman Old Style"/>
          <w:bCs/>
          <w:lang w:val="es-CO"/>
        </w:rPr>
        <w:t>, entre otras, las Resoluciones 82438 de 1998, 82439 de 1998 y 90228 de 2013 y adoptó la estructura para la fijación de precios de la gasolina corriente motor, gasolina motor corriente oxigenada, ACPM y ACPM mezclado con biocombustible para uso en motores diésel a partir del 1 de enero de 2017</w:t>
      </w:r>
    </w:p>
    <w:p w14:paraId="031980DE" w14:textId="77777777" w:rsidR="00326055" w:rsidRDefault="00326055" w:rsidP="00B84525">
      <w:pPr>
        <w:ind w:left="0"/>
        <w:jc w:val="both"/>
        <w:rPr>
          <w:rFonts w:ascii="Bookman Old Style" w:hAnsi="Bookman Old Style"/>
          <w:bCs/>
          <w:lang w:val="es-CO"/>
        </w:rPr>
      </w:pPr>
    </w:p>
    <w:p w14:paraId="7920CC68" w14:textId="53B93455" w:rsidR="00B84525" w:rsidRPr="00B75554" w:rsidRDefault="00B84525" w:rsidP="00B84525">
      <w:pPr>
        <w:ind w:left="0"/>
        <w:jc w:val="both"/>
        <w:rPr>
          <w:rFonts w:ascii="Bookman Old Style" w:hAnsi="Bookman Old Style"/>
          <w:bCs/>
          <w:lang w:val="es-CO"/>
        </w:rPr>
      </w:pPr>
      <w:r>
        <w:rPr>
          <w:rFonts w:ascii="Bookman Old Style" w:hAnsi="Bookman Old Style"/>
          <w:bCs/>
          <w:lang w:val="es-CO"/>
        </w:rPr>
        <w:t xml:space="preserve">En </w:t>
      </w:r>
      <w:r w:rsidRPr="00B8362C">
        <w:rPr>
          <w:rFonts w:ascii="Bookman Old Style" w:hAnsi="Bookman Old Style"/>
          <w:bCs/>
          <w:lang w:val="es-CO"/>
        </w:rPr>
        <w:t>los artículos 221 y 222 de la Ley 1819 del 29 de diciembre de 2016</w:t>
      </w:r>
      <w:r>
        <w:rPr>
          <w:rFonts w:ascii="Bookman Old Style" w:hAnsi="Bookman Old Style"/>
          <w:bCs/>
          <w:lang w:val="es-CO"/>
        </w:rPr>
        <w:t xml:space="preserve">, se </w:t>
      </w:r>
      <w:r w:rsidRPr="00B75554">
        <w:rPr>
          <w:rFonts w:ascii="Bookman Old Style" w:hAnsi="Bookman Old Style"/>
          <w:bCs/>
          <w:lang w:val="es-CO"/>
        </w:rPr>
        <w:t>modificó apartes del Estatuto Tributario en referencia al impuesto a las ventas y en lo relacionado con los combustibles</w:t>
      </w:r>
      <w:r>
        <w:rPr>
          <w:rFonts w:ascii="Bookman Old Style" w:hAnsi="Bookman Old Style"/>
          <w:bCs/>
          <w:lang w:val="es-CO"/>
        </w:rPr>
        <w:t xml:space="preserve">. Entre ellos se </w:t>
      </w:r>
      <w:r w:rsidRPr="00B75554">
        <w:rPr>
          <w:rFonts w:ascii="Bookman Old Style" w:hAnsi="Bookman Old Style"/>
          <w:bCs/>
          <w:lang w:val="es-CO"/>
        </w:rPr>
        <w:t xml:space="preserve">estableció el tributo </w:t>
      </w:r>
      <w:r w:rsidRPr="00B75554">
        <w:rPr>
          <w:rFonts w:ascii="Bookman Old Style" w:hAnsi="Bookman Old Style"/>
          <w:bCs/>
          <w:lang w:val="es-CO"/>
        </w:rPr>
        <w:lastRenderedPageBreak/>
        <w:t>denominado Impuesto al Carbono</w:t>
      </w:r>
      <w:r>
        <w:rPr>
          <w:rFonts w:ascii="Bookman Old Style" w:hAnsi="Bookman Old Style"/>
          <w:bCs/>
          <w:lang w:val="es-CO"/>
        </w:rPr>
        <w:t xml:space="preserve">. En el parágrafo 7 del artículo 222 de la misma Ley, se definió como </w:t>
      </w:r>
      <w:r w:rsidRPr="00AA58A2">
        <w:rPr>
          <w:rFonts w:ascii="Bookman Old Style" w:hAnsi="Bookman Old Style"/>
          <w:bCs/>
        </w:rPr>
        <w:t>cero pesos ($0)</w:t>
      </w:r>
      <w:r>
        <w:rPr>
          <w:rFonts w:ascii="Bookman Old Style" w:hAnsi="Bookman Old Style"/>
          <w:bCs/>
        </w:rPr>
        <w:t xml:space="preserve"> el valor del Impuesto al Carbono, para algunos departamentos y municipios del país.</w:t>
      </w:r>
    </w:p>
    <w:p w14:paraId="7A4E99EE" w14:textId="77777777" w:rsidR="00B84525" w:rsidRPr="00B75554" w:rsidRDefault="00B84525" w:rsidP="00B84525">
      <w:pPr>
        <w:ind w:left="0"/>
        <w:jc w:val="both"/>
        <w:rPr>
          <w:rFonts w:ascii="Bookman Old Style" w:hAnsi="Bookman Old Style"/>
          <w:bCs/>
          <w:lang w:val="es-CO"/>
        </w:rPr>
      </w:pPr>
    </w:p>
    <w:p w14:paraId="34742BE2" w14:textId="77777777" w:rsidR="00B84525" w:rsidRPr="00264F18" w:rsidRDefault="00B84525" w:rsidP="00B84525">
      <w:pPr>
        <w:ind w:left="0"/>
        <w:jc w:val="both"/>
        <w:rPr>
          <w:rFonts w:ascii="Bookman Old Style" w:hAnsi="Bookman Old Style"/>
          <w:bCs/>
          <w:lang w:val="es-CO"/>
        </w:rPr>
      </w:pPr>
      <w:r>
        <w:rPr>
          <w:rFonts w:ascii="Bookman Old Style" w:hAnsi="Bookman Old Style"/>
          <w:bCs/>
          <w:lang w:val="es-CO"/>
        </w:rPr>
        <w:t>En l</w:t>
      </w:r>
      <w:r w:rsidRPr="00264F18">
        <w:rPr>
          <w:rFonts w:ascii="Bookman Old Style" w:hAnsi="Bookman Old Style"/>
          <w:bCs/>
          <w:lang w:val="es-CO"/>
        </w:rPr>
        <w:t xml:space="preserve">a Ley 1955 </w:t>
      </w:r>
      <w:r>
        <w:rPr>
          <w:rFonts w:ascii="Bookman Old Style" w:hAnsi="Bookman Old Style"/>
          <w:bCs/>
          <w:lang w:val="es-CO"/>
        </w:rPr>
        <w:t xml:space="preserve">de 2019, </w:t>
      </w:r>
      <w:r w:rsidRPr="00264F18">
        <w:rPr>
          <w:rFonts w:ascii="Bookman Old Style" w:hAnsi="Bookman Old Style"/>
          <w:bCs/>
          <w:lang w:val="es-CO"/>
        </w:rPr>
        <w:t>artículo 35</w:t>
      </w:r>
      <w:r>
        <w:rPr>
          <w:rFonts w:ascii="Bookman Old Style" w:hAnsi="Bookman Old Style"/>
          <w:bCs/>
          <w:lang w:val="es-CO"/>
        </w:rPr>
        <w:t>,</w:t>
      </w:r>
      <w:r w:rsidRPr="00264F18">
        <w:rPr>
          <w:rFonts w:ascii="Bookman Old Style" w:hAnsi="Bookman Old Style"/>
          <w:bCs/>
          <w:lang w:val="es-CO"/>
        </w:rPr>
        <w:t xml:space="preserve"> se otorgó al Ministerio de Minas y Energía y el Ministerio de Hacienda y Crédito, o a aquella entidad que estos delegasen, funciones en relación con el ingreso al productor de los combustibles líquidos y biocombustibles y las tarifas y márgenes asociados a la remuneración de toda la cadena de transporte, logística, comercialización y distribución de dichos combustibles. </w:t>
      </w:r>
    </w:p>
    <w:p w14:paraId="67C450A5" w14:textId="77777777" w:rsidR="00B84525" w:rsidRPr="00B75554" w:rsidRDefault="00B84525" w:rsidP="00B84525">
      <w:pPr>
        <w:ind w:left="0"/>
        <w:jc w:val="both"/>
        <w:rPr>
          <w:rFonts w:ascii="Bookman Old Style" w:hAnsi="Bookman Old Style"/>
          <w:bCs/>
          <w:lang w:val="es-CO"/>
        </w:rPr>
      </w:pPr>
    </w:p>
    <w:p w14:paraId="7156B815" w14:textId="77777777" w:rsidR="00B84525" w:rsidRPr="00B75554" w:rsidRDefault="00B84525" w:rsidP="00B84525">
      <w:pPr>
        <w:ind w:left="0"/>
        <w:jc w:val="both"/>
        <w:rPr>
          <w:rFonts w:ascii="Bookman Old Style" w:hAnsi="Bookman Old Style"/>
          <w:bCs/>
          <w:lang w:val="es-CO"/>
        </w:rPr>
      </w:pPr>
      <w:r>
        <w:rPr>
          <w:rFonts w:ascii="Bookman Old Style" w:hAnsi="Bookman Old Style"/>
          <w:bCs/>
          <w:lang w:val="es-CO"/>
        </w:rPr>
        <w:t>E</w:t>
      </w:r>
      <w:r w:rsidRPr="00B75554">
        <w:rPr>
          <w:rFonts w:ascii="Bookman Old Style" w:hAnsi="Bookman Old Style"/>
          <w:bCs/>
          <w:lang w:val="es-CO"/>
        </w:rPr>
        <w:t xml:space="preserve">l numeral 4 del artículo 74 de la </w:t>
      </w:r>
      <w:r>
        <w:rPr>
          <w:rFonts w:ascii="Bookman Old Style" w:hAnsi="Bookman Old Style"/>
          <w:bCs/>
          <w:lang w:val="es-CO"/>
        </w:rPr>
        <w:t xml:space="preserve">citada </w:t>
      </w:r>
      <w:r w:rsidRPr="00B75554">
        <w:rPr>
          <w:rFonts w:ascii="Bookman Old Style" w:hAnsi="Bookman Old Style"/>
          <w:bCs/>
          <w:lang w:val="es-CO"/>
        </w:rPr>
        <w:t>Ley 1955 de 2019 modificó el artículo 468-1 del Estatuto Tributario y señaló dentro de los bienes gravados el ingreso al productor en la venta de Gasolina y ACPM, entendiéndose por estos combustibles los definidos en el parágrafo 1 del artículo 167 de la Ley 1607 de 2012.</w:t>
      </w:r>
    </w:p>
    <w:p w14:paraId="26E0FE48" w14:textId="77777777" w:rsidR="00B84525" w:rsidRPr="00B75554" w:rsidRDefault="00B84525" w:rsidP="00B84525">
      <w:pPr>
        <w:ind w:left="0"/>
        <w:jc w:val="both"/>
        <w:rPr>
          <w:rFonts w:ascii="Bookman Old Style" w:hAnsi="Bookman Old Style"/>
          <w:bCs/>
          <w:lang w:val="es-CO"/>
        </w:rPr>
      </w:pPr>
    </w:p>
    <w:p w14:paraId="2087E55A"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 xml:space="preserve">El Ministerio de Minas y Energía a través de </w:t>
      </w:r>
      <w:r w:rsidRPr="00B75554">
        <w:rPr>
          <w:rFonts w:ascii="Bookman Old Style" w:hAnsi="Bookman Old Style"/>
          <w:bCs/>
          <w:lang w:val="es-CO"/>
        </w:rPr>
        <w:t>la Resolución 40147 de 2017 estableció el valor correspondiente a sobretasa a la gasolina motor corriente, extra y del ACPM, para el cálculo de la sobretasa a partir del 1 de marzo de 2017.</w:t>
      </w:r>
    </w:p>
    <w:p w14:paraId="18767554" w14:textId="77777777" w:rsidR="00B84525" w:rsidRPr="00B75554" w:rsidRDefault="00B84525" w:rsidP="00B84525">
      <w:pPr>
        <w:ind w:left="0"/>
        <w:jc w:val="both"/>
        <w:rPr>
          <w:rFonts w:ascii="Bookman Old Style" w:hAnsi="Bookman Old Style"/>
          <w:bCs/>
          <w:lang w:val="es-CO"/>
        </w:rPr>
      </w:pPr>
      <w:r>
        <w:rPr>
          <w:rFonts w:ascii="Bookman Old Style" w:hAnsi="Bookman Old Style"/>
          <w:bCs/>
          <w:lang w:val="es-CO"/>
        </w:rPr>
        <w:t>Así mismo, con</w:t>
      </w:r>
      <w:r w:rsidRPr="00B75554">
        <w:rPr>
          <w:rFonts w:ascii="Bookman Old Style" w:hAnsi="Bookman Old Style"/>
          <w:bCs/>
          <w:lang w:val="es-CO"/>
        </w:rPr>
        <w:t xml:space="preserve"> la Resolución 40079 de 2018 </w:t>
      </w:r>
      <w:r>
        <w:rPr>
          <w:rFonts w:ascii="Bookman Old Style" w:hAnsi="Bookman Old Style"/>
          <w:bCs/>
          <w:lang w:val="es-CO"/>
        </w:rPr>
        <w:t>precisó</w:t>
      </w:r>
      <w:r w:rsidRPr="00B75554">
        <w:rPr>
          <w:rFonts w:ascii="Bookman Old Style" w:hAnsi="Bookman Old Style"/>
          <w:bCs/>
          <w:lang w:val="es-CO"/>
        </w:rPr>
        <w:t xml:space="preserve"> los valores máximos a ser reconocidos en la estructura de precio de venta de la gasolina motor corriente oxigenada por concepto del transporte terrestre de alcohol carburante</w:t>
      </w:r>
      <w:r>
        <w:rPr>
          <w:rFonts w:ascii="Bookman Old Style" w:hAnsi="Bookman Old Style"/>
          <w:bCs/>
          <w:lang w:val="es-CO"/>
        </w:rPr>
        <w:t xml:space="preserve"> y</w:t>
      </w:r>
      <w:r w:rsidRPr="00B75554">
        <w:rPr>
          <w:rFonts w:ascii="Bookman Old Style" w:hAnsi="Bookman Old Style"/>
          <w:bCs/>
          <w:lang w:val="es-CO"/>
        </w:rPr>
        <w:t xml:space="preserve"> mediante la Resolución 40400 de 2019 estableció la metodología de referencia para el cálculo del valor del Ingreso al Productor del Biocombustible para uso en motores diésel.</w:t>
      </w:r>
    </w:p>
    <w:p w14:paraId="137FE3DF" w14:textId="77777777" w:rsidR="00B84525" w:rsidRPr="00B75554" w:rsidRDefault="00B84525" w:rsidP="00B84525">
      <w:pPr>
        <w:ind w:left="0"/>
        <w:jc w:val="both"/>
        <w:rPr>
          <w:rFonts w:ascii="Bookman Old Style" w:hAnsi="Bookman Old Style"/>
          <w:bCs/>
          <w:lang w:val="es-CO"/>
        </w:rPr>
      </w:pPr>
    </w:p>
    <w:p w14:paraId="2C559903" w14:textId="77777777" w:rsidR="00B84525" w:rsidRPr="00B75554" w:rsidRDefault="00B84525" w:rsidP="00B84525">
      <w:pPr>
        <w:ind w:left="0"/>
        <w:jc w:val="both"/>
        <w:rPr>
          <w:rFonts w:ascii="Bookman Old Style" w:hAnsi="Bookman Old Style"/>
          <w:bCs/>
          <w:lang w:val="es-CO"/>
        </w:rPr>
      </w:pPr>
      <w:r>
        <w:rPr>
          <w:rFonts w:ascii="Bookman Old Style" w:hAnsi="Bookman Old Style"/>
          <w:bCs/>
          <w:lang w:val="es-CO"/>
        </w:rPr>
        <w:t xml:space="preserve">A través de </w:t>
      </w:r>
      <w:r w:rsidRPr="00B75554">
        <w:rPr>
          <w:rFonts w:ascii="Bookman Old Style" w:hAnsi="Bookman Old Style"/>
          <w:bCs/>
          <w:lang w:val="es-CO"/>
        </w:rPr>
        <w:t xml:space="preserve">la Resolución 40112 de 2021 </w:t>
      </w:r>
      <w:r>
        <w:rPr>
          <w:rFonts w:ascii="Bookman Old Style" w:hAnsi="Bookman Old Style"/>
          <w:bCs/>
          <w:lang w:val="es-CO"/>
        </w:rPr>
        <w:t>el citado Ministerio de Minas y Energía</w:t>
      </w:r>
      <w:r w:rsidRPr="00B75554">
        <w:rPr>
          <w:rFonts w:ascii="Bookman Old Style" w:hAnsi="Bookman Old Style"/>
          <w:bCs/>
          <w:lang w:val="es-CO"/>
        </w:rPr>
        <w:t xml:space="preserve"> derogó la Resolución 41281 de 2016 y se adoptó una nueva estructura de precios para la gasolina motor, el </w:t>
      </w:r>
      <w:r>
        <w:rPr>
          <w:rFonts w:ascii="Bookman Old Style" w:hAnsi="Bookman Old Style"/>
          <w:bCs/>
          <w:lang w:val="es-CO"/>
        </w:rPr>
        <w:t>ACPM</w:t>
      </w:r>
      <w:r w:rsidRPr="00B75554">
        <w:rPr>
          <w:rFonts w:ascii="Bookman Old Style" w:hAnsi="Bookman Old Style"/>
          <w:bCs/>
          <w:lang w:val="es-CO"/>
        </w:rPr>
        <w:t xml:space="preserve">, la gasolina motor corriente oxigenada y el </w:t>
      </w:r>
      <w:r>
        <w:rPr>
          <w:rFonts w:ascii="Bookman Old Style" w:hAnsi="Bookman Old Style"/>
          <w:bCs/>
          <w:lang w:val="es-CO"/>
        </w:rPr>
        <w:t xml:space="preserve">ACPM </w:t>
      </w:r>
      <w:r w:rsidRPr="00B75554">
        <w:rPr>
          <w:rFonts w:ascii="Bookman Old Style" w:hAnsi="Bookman Old Style"/>
          <w:bCs/>
          <w:lang w:val="es-CO"/>
        </w:rPr>
        <w:t>mezclado con biocombustible.</w:t>
      </w:r>
    </w:p>
    <w:p w14:paraId="6ADBC800" w14:textId="77777777" w:rsidR="00B84525" w:rsidRPr="00B75554" w:rsidRDefault="00B84525" w:rsidP="00B84525">
      <w:pPr>
        <w:ind w:left="0"/>
        <w:jc w:val="both"/>
        <w:rPr>
          <w:rFonts w:ascii="Bookman Old Style" w:hAnsi="Bookman Old Style"/>
          <w:bCs/>
          <w:lang w:val="es-CO"/>
        </w:rPr>
      </w:pPr>
    </w:p>
    <w:p w14:paraId="0C94A5E2" w14:textId="77777777" w:rsidR="00B84525" w:rsidRPr="00B75554" w:rsidRDefault="00B84525" w:rsidP="00B84525">
      <w:pPr>
        <w:ind w:left="0"/>
        <w:jc w:val="both"/>
        <w:rPr>
          <w:rFonts w:ascii="Bookman Old Style" w:hAnsi="Bookman Old Style"/>
          <w:bCs/>
          <w:lang w:val="es-CO"/>
        </w:rPr>
      </w:pPr>
      <w:r>
        <w:rPr>
          <w:rFonts w:ascii="Bookman Old Style" w:hAnsi="Bookman Old Style"/>
          <w:bCs/>
          <w:lang w:val="es-CO"/>
        </w:rPr>
        <w:t xml:space="preserve">El Ministerio de Hacienda y Crédito Público y el Ministerio de Minas y Energía a través de la </w:t>
      </w:r>
      <w:r w:rsidRPr="00B75554">
        <w:rPr>
          <w:rFonts w:ascii="Bookman Old Style" w:hAnsi="Bookman Old Style"/>
          <w:bCs/>
          <w:lang w:val="es-CO"/>
        </w:rPr>
        <w:t>Resolución 40193 de</w:t>
      </w:r>
      <w:r>
        <w:rPr>
          <w:rFonts w:ascii="Bookman Old Style" w:hAnsi="Bookman Old Style"/>
          <w:bCs/>
          <w:lang w:val="es-CO"/>
        </w:rPr>
        <w:t>l</w:t>
      </w:r>
      <w:r w:rsidRPr="00B75554">
        <w:rPr>
          <w:rFonts w:ascii="Bookman Old Style" w:hAnsi="Bookman Old Style"/>
          <w:bCs/>
          <w:lang w:val="es-CO"/>
        </w:rPr>
        <w:t xml:space="preserve"> </w:t>
      </w:r>
      <w:r>
        <w:rPr>
          <w:rFonts w:ascii="Bookman Old Style" w:hAnsi="Bookman Old Style"/>
          <w:bCs/>
          <w:lang w:val="es-CO"/>
        </w:rPr>
        <w:t xml:space="preserve">21 de junio </w:t>
      </w:r>
      <w:r w:rsidRPr="00B75554">
        <w:rPr>
          <w:rFonts w:ascii="Bookman Old Style" w:hAnsi="Bookman Old Style"/>
          <w:bCs/>
          <w:lang w:val="es-CO"/>
        </w:rPr>
        <w:t xml:space="preserve">2021 delegaron </w:t>
      </w:r>
      <w:r>
        <w:rPr>
          <w:rFonts w:ascii="Bookman Old Style" w:hAnsi="Bookman Old Style"/>
          <w:bCs/>
          <w:lang w:val="es-CO"/>
        </w:rPr>
        <w:t>en</w:t>
      </w:r>
      <w:r w:rsidRPr="00B75554">
        <w:rPr>
          <w:rFonts w:ascii="Bookman Old Style" w:hAnsi="Bookman Old Style"/>
          <w:bCs/>
          <w:lang w:val="es-CO"/>
        </w:rPr>
        <w:t xml:space="preserve"> la CREG funciones de regulación económica respecto de la cadena de distribución de combustibles líquidos. En particular, en su artículo primero, menciona lo siguiente:</w:t>
      </w:r>
    </w:p>
    <w:p w14:paraId="3DAC8892" w14:textId="77777777" w:rsidR="00B84525" w:rsidRPr="00B75554" w:rsidRDefault="00B84525" w:rsidP="00B84525">
      <w:pPr>
        <w:ind w:left="0"/>
        <w:jc w:val="both"/>
        <w:rPr>
          <w:rFonts w:ascii="Bookman Old Style" w:hAnsi="Bookman Old Style"/>
          <w:bCs/>
          <w:lang w:val="es-CO"/>
        </w:rPr>
      </w:pPr>
    </w:p>
    <w:p w14:paraId="1F002F18" w14:textId="77777777" w:rsidR="00B84525" w:rsidRPr="00B75554" w:rsidRDefault="00B84525" w:rsidP="00B84525">
      <w:pPr>
        <w:ind w:left="708"/>
        <w:jc w:val="both"/>
        <w:rPr>
          <w:rFonts w:ascii="Bookman Old Style" w:hAnsi="Bookman Old Style"/>
          <w:bCs/>
          <w:i/>
          <w:iCs/>
          <w:lang w:val="es-CO"/>
        </w:rPr>
      </w:pPr>
      <w:r w:rsidRPr="00B75554">
        <w:rPr>
          <w:rFonts w:ascii="Bookman Old Style" w:hAnsi="Bookman Old Style"/>
          <w:bCs/>
          <w:lang w:val="es-CO"/>
        </w:rPr>
        <w:t>“</w:t>
      </w:r>
      <w:r w:rsidRPr="00B75554">
        <w:rPr>
          <w:rFonts w:ascii="Bookman Old Style" w:hAnsi="Bookman Old Style"/>
          <w:bCs/>
          <w:i/>
          <w:iCs/>
          <w:lang w:val="es-CO"/>
        </w:rPr>
        <w:t>Establecer las metodologías para la determinación de las tarifas y márgenes asociados a la remuneración de toda la cadena, esto es, transporte, logística, comercialización y distribución de los combustibles líquidos derivados del petróleo y de los biocombustibles destinados a la mezcla con dichos combustibles. Lo anterior, con excepción del ingreso al productor o importador de la Gasolina Motor Corriente, el ACPM-Diésel y los biocombustibles, tanto de origen nacional como importado, los cuales seguirán siendo fijados por los Ministerios de Minas y Energía y Hacienda y Crédito Público de manera conjunta.</w:t>
      </w:r>
    </w:p>
    <w:p w14:paraId="651B6E54" w14:textId="77777777" w:rsidR="00B84525" w:rsidRPr="00B75554" w:rsidRDefault="00B84525" w:rsidP="00B84525">
      <w:pPr>
        <w:ind w:left="708"/>
        <w:jc w:val="both"/>
        <w:rPr>
          <w:rFonts w:ascii="Bookman Old Style" w:hAnsi="Bookman Old Style"/>
          <w:bCs/>
          <w:i/>
          <w:iCs/>
          <w:lang w:val="es-CO"/>
        </w:rPr>
      </w:pPr>
    </w:p>
    <w:p w14:paraId="686478B6" w14:textId="77777777" w:rsidR="00B84525" w:rsidRPr="00B75554" w:rsidRDefault="00B84525" w:rsidP="00B84525">
      <w:pPr>
        <w:ind w:left="708"/>
        <w:jc w:val="both"/>
        <w:rPr>
          <w:rFonts w:ascii="Bookman Old Style" w:hAnsi="Bookman Old Style"/>
          <w:bCs/>
          <w:i/>
          <w:iCs/>
          <w:lang w:val="es-CO"/>
        </w:rPr>
      </w:pPr>
      <w:r w:rsidRPr="00B75554">
        <w:rPr>
          <w:rFonts w:ascii="Bookman Old Style" w:hAnsi="Bookman Old Style"/>
          <w:bCs/>
          <w:i/>
          <w:iCs/>
          <w:lang w:val="es-CO"/>
        </w:rPr>
        <w:t>Respecto a los productos señalados, las actividades y tarifas objeto de regulación son:</w:t>
      </w:r>
    </w:p>
    <w:p w14:paraId="7177C30B" w14:textId="77777777" w:rsidR="00B84525" w:rsidRPr="00B75554" w:rsidRDefault="00B84525" w:rsidP="00B84525">
      <w:pPr>
        <w:ind w:left="708"/>
        <w:jc w:val="both"/>
        <w:rPr>
          <w:rFonts w:ascii="Bookman Old Style" w:hAnsi="Bookman Old Style"/>
          <w:bCs/>
          <w:i/>
          <w:iCs/>
          <w:lang w:val="es-CO"/>
        </w:rPr>
      </w:pPr>
    </w:p>
    <w:p w14:paraId="1A82708A" w14:textId="77777777" w:rsidR="00B84525" w:rsidRPr="00B75554" w:rsidRDefault="00B84525" w:rsidP="00B84525">
      <w:pPr>
        <w:pStyle w:val="Prrafodelista"/>
        <w:numPr>
          <w:ilvl w:val="0"/>
          <w:numId w:val="25"/>
        </w:numPr>
        <w:ind w:left="1788"/>
        <w:jc w:val="both"/>
        <w:rPr>
          <w:rFonts w:ascii="Bookman Old Style" w:hAnsi="Bookman Old Style"/>
          <w:bCs/>
          <w:i/>
          <w:iCs/>
          <w:sz w:val="24"/>
          <w:szCs w:val="24"/>
        </w:rPr>
      </w:pPr>
      <w:r w:rsidRPr="00B75554">
        <w:rPr>
          <w:rFonts w:ascii="Bookman Old Style" w:hAnsi="Bookman Old Style"/>
          <w:bCs/>
          <w:i/>
          <w:iCs/>
          <w:sz w:val="24"/>
          <w:szCs w:val="24"/>
        </w:rPr>
        <w:lastRenderedPageBreak/>
        <w:t>(…)</w:t>
      </w:r>
    </w:p>
    <w:p w14:paraId="19241535" w14:textId="77777777" w:rsidR="00B84525" w:rsidRPr="00B75554" w:rsidRDefault="00B84525" w:rsidP="00B84525">
      <w:pPr>
        <w:ind w:left="708"/>
        <w:jc w:val="both"/>
        <w:rPr>
          <w:rFonts w:ascii="Bookman Old Style" w:hAnsi="Bookman Old Style"/>
          <w:bCs/>
          <w:i/>
          <w:iCs/>
          <w:lang w:val="es-CO"/>
        </w:rPr>
      </w:pPr>
    </w:p>
    <w:p w14:paraId="184E5924" w14:textId="77777777" w:rsidR="00B84525" w:rsidRPr="00B75554" w:rsidRDefault="00B84525" w:rsidP="00B84525">
      <w:pPr>
        <w:ind w:left="708"/>
        <w:jc w:val="both"/>
        <w:rPr>
          <w:rFonts w:ascii="Bookman Old Style" w:hAnsi="Bookman Old Style"/>
          <w:bCs/>
          <w:i/>
          <w:iCs/>
          <w:lang w:val="es-CO"/>
        </w:rPr>
      </w:pPr>
      <w:r w:rsidRPr="00B75554">
        <w:rPr>
          <w:rFonts w:ascii="Bookman Old Style" w:hAnsi="Bookman Old Style"/>
          <w:bCs/>
          <w:i/>
          <w:iCs/>
          <w:lang w:val="es-CO"/>
        </w:rPr>
        <w:t>(…) xii) Establecer otros elementos o actividades que estén relacionadas con el funcionamiento operativo o logístico de la cadena y que deban ser incorporadas en la estructura de precio de los combustibles y su remuneración.”</w:t>
      </w:r>
    </w:p>
    <w:p w14:paraId="10BE671D" w14:textId="77777777" w:rsidR="00B84525" w:rsidRDefault="00B84525" w:rsidP="00B84525">
      <w:pPr>
        <w:ind w:left="0"/>
        <w:jc w:val="both"/>
        <w:rPr>
          <w:rFonts w:ascii="Bookman Old Style" w:hAnsi="Bookman Old Style"/>
          <w:bCs/>
          <w:lang w:val="es-CO"/>
        </w:rPr>
      </w:pPr>
    </w:p>
    <w:p w14:paraId="73867D61" w14:textId="77777777" w:rsidR="00B84525" w:rsidRDefault="00B84525" w:rsidP="00B84525">
      <w:pPr>
        <w:ind w:left="0"/>
        <w:jc w:val="both"/>
        <w:rPr>
          <w:rFonts w:ascii="Bookman Old Style" w:hAnsi="Bookman Old Style"/>
        </w:rPr>
      </w:pPr>
      <w:r>
        <w:rPr>
          <w:rFonts w:ascii="Bookman Old Style" w:hAnsi="Bookman Old Style"/>
          <w:bCs/>
          <w:lang w:val="es-CO"/>
        </w:rPr>
        <w:t>A través de la Resolución</w:t>
      </w:r>
      <w:r>
        <w:rPr>
          <w:rFonts w:ascii="Bookman Old Style" w:hAnsi="Bookman Old Style"/>
        </w:rPr>
        <w:t xml:space="preserve"> </w:t>
      </w:r>
      <w:r w:rsidRPr="003B63E0">
        <w:rPr>
          <w:rFonts w:ascii="Bookman Old Style" w:hAnsi="Bookman Old Style"/>
        </w:rPr>
        <w:t xml:space="preserve">40224 </w:t>
      </w:r>
      <w:r>
        <w:rPr>
          <w:rFonts w:ascii="Bookman Old Style" w:hAnsi="Bookman Old Style"/>
        </w:rPr>
        <w:t xml:space="preserve">de 2022 el Ministerio de Minas y Energía, </w:t>
      </w:r>
      <w:r w:rsidRPr="00391769">
        <w:rPr>
          <w:rFonts w:ascii="Bookman Old Style" w:hAnsi="Bookman Old Style"/>
        </w:rPr>
        <w:t>expid</w:t>
      </w:r>
      <w:r>
        <w:rPr>
          <w:rFonts w:ascii="Bookman Old Style" w:hAnsi="Bookman Old Style"/>
        </w:rPr>
        <w:t xml:space="preserve">ió </w:t>
      </w:r>
      <w:r w:rsidRPr="00391769">
        <w:rPr>
          <w:rFonts w:ascii="Bookman Old Style" w:hAnsi="Bookman Old Style"/>
        </w:rPr>
        <w:t>el Plan de Continuidad de combustibles líquidos derivados del petróleo y GLP, y se adopta</w:t>
      </w:r>
      <w:r>
        <w:rPr>
          <w:rFonts w:ascii="Bookman Old Style" w:hAnsi="Bookman Old Style"/>
        </w:rPr>
        <w:t>ron</w:t>
      </w:r>
      <w:r w:rsidRPr="00391769">
        <w:rPr>
          <w:rFonts w:ascii="Bookman Old Style" w:hAnsi="Bookman Old Style"/>
        </w:rPr>
        <w:t xml:space="preserve"> unos proyectos con base en el Plan Indicativo de Abastecimiento de Combustibles Líquidos de la UPME.</w:t>
      </w:r>
    </w:p>
    <w:p w14:paraId="0984D4C6" w14:textId="77777777" w:rsidR="00B84525" w:rsidRDefault="00B84525" w:rsidP="00B84525">
      <w:pPr>
        <w:ind w:left="0"/>
        <w:jc w:val="both"/>
        <w:rPr>
          <w:rFonts w:ascii="Bookman Old Style" w:hAnsi="Bookman Old Style"/>
          <w:bCs/>
        </w:rPr>
      </w:pPr>
    </w:p>
    <w:p w14:paraId="47E35E03"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 xml:space="preserve">En el Decreto 931 de 2023, </w:t>
      </w:r>
      <w:r w:rsidRPr="008A06DD">
        <w:rPr>
          <w:rFonts w:ascii="Bookman Old Style" w:hAnsi="Bookman Old Style"/>
          <w:bCs/>
          <w:lang w:val="es-CO"/>
        </w:rPr>
        <w:t>se determin</w:t>
      </w:r>
      <w:r>
        <w:rPr>
          <w:rFonts w:ascii="Bookman Old Style" w:hAnsi="Bookman Old Style"/>
          <w:bCs/>
          <w:lang w:val="es-CO"/>
        </w:rPr>
        <w:t>aron</w:t>
      </w:r>
      <w:r w:rsidRPr="008A06DD">
        <w:rPr>
          <w:rFonts w:ascii="Bookman Old Style" w:hAnsi="Bookman Old Style"/>
          <w:bCs/>
          <w:lang w:val="es-CO"/>
        </w:rPr>
        <w:t xml:space="preserve"> las entidades territoriales del departamento Archipiélago de San Andrés, Providencia y Santa Catalina, dada su naturaleza especial constitucional, como Zona de Frontera y Unidad Especial de Desarrollo Fronterizo.</w:t>
      </w:r>
    </w:p>
    <w:p w14:paraId="789A67C3" w14:textId="77777777" w:rsidR="00B84525" w:rsidRDefault="00B84525" w:rsidP="00B84525">
      <w:pPr>
        <w:ind w:left="0"/>
        <w:jc w:val="both"/>
        <w:rPr>
          <w:rFonts w:ascii="Bookman Old Style" w:hAnsi="Bookman Old Style"/>
          <w:bCs/>
          <w:lang w:val="es-CO"/>
        </w:rPr>
      </w:pPr>
    </w:p>
    <w:p w14:paraId="568B9967"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M</w:t>
      </w:r>
      <w:r w:rsidRPr="00B15E54">
        <w:rPr>
          <w:rFonts w:ascii="Bookman Old Style" w:hAnsi="Bookman Old Style"/>
          <w:bCs/>
          <w:lang w:val="es-CO"/>
        </w:rPr>
        <w:t xml:space="preserve">ediante la Resolución 4 0352 del 29 de agosto de 2024 </w:t>
      </w:r>
      <w:r>
        <w:rPr>
          <w:rFonts w:ascii="Bookman Old Style" w:hAnsi="Bookman Old Style"/>
          <w:bCs/>
          <w:lang w:val="es-CO"/>
        </w:rPr>
        <w:t xml:space="preserve">proferida por el Ministerio de Hacienda y Crédito Público y el Ministerio de Minas y Energía </w:t>
      </w:r>
      <w:r w:rsidRPr="00B15E54">
        <w:rPr>
          <w:rFonts w:ascii="Bookman Old Style" w:hAnsi="Bookman Old Style"/>
          <w:bCs/>
          <w:lang w:val="es-CO"/>
        </w:rPr>
        <w:t>se establecieron las proporcionalidades para el cálculo del ingreso al productor de las estructuras de precios de la gasolina motor corriente y del ACPM que se distribuye en los municipios y departamentos reconocidos como zonas de frontera.</w:t>
      </w:r>
    </w:p>
    <w:p w14:paraId="4488DE1B" w14:textId="77777777" w:rsidR="00B84525" w:rsidRDefault="00B84525" w:rsidP="00B84525">
      <w:pPr>
        <w:ind w:left="0"/>
        <w:jc w:val="both"/>
        <w:rPr>
          <w:rFonts w:ascii="Bookman Old Style" w:hAnsi="Bookman Old Style"/>
          <w:bCs/>
          <w:lang w:val="es-CO"/>
        </w:rPr>
      </w:pPr>
    </w:p>
    <w:p w14:paraId="51BD9BE8" w14:textId="77777777" w:rsidR="00B84525" w:rsidRPr="00824B4F" w:rsidRDefault="00B84525" w:rsidP="00B84525">
      <w:pPr>
        <w:ind w:left="0"/>
        <w:jc w:val="both"/>
        <w:rPr>
          <w:rFonts w:ascii="Bookman Old Style" w:hAnsi="Bookman Old Style"/>
          <w:bCs/>
        </w:rPr>
      </w:pPr>
      <w:r w:rsidRPr="00824B4F">
        <w:rPr>
          <w:rFonts w:ascii="Bookman Old Style" w:hAnsi="Bookman Old Style"/>
          <w:bCs/>
        </w:rPr>
        <w:t>El artículo 2.2.1.1.2.2.8.5 del Decreto 1310 del 24 de octubre de 2024 proferido por el Ministerio de Minas y Energía, que adicionó la Subsección 2.8. a la Sección 2, del capítulo 1, del Título 1, de la Parte 2, del Libro 2 del Decreto 1073 de 2015, dispuso que “(…) Los proyectos de almacenamiento estratégico de combustibles líquidos y sus mezclas con biocombustibles, serán remunerados mediante el reconocimiento de cargos como parte del margen aplicable en la estructura de precios que defina la Comisión de Regulación de Energía y Gas – CREG (…)”.</w:t>
      </w:r>
    </w:p>
    <w:p w14:paraId="7212F4E9" w14:textId="77777777" w:rsidR="00B84525" w:rsidRDefault="00B84525" w:rsidP="00B84525">
      <w:pPr>
        <w:ind w:left="0"/>
        <w:jc w:val="both"/>
        <w:rPr>
          <w:rFonts w:ascii="Bookman Old Style" w:hAnsi="Bookman Old Style"/>
          <w:bCs/>
          <w:lang w:val="es-CO"/>
        </w:rPr>
      </w:pPr>
    </w:p>
    <w:p w14:paraId="5C4A827B"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 xml:space="preserve">A partir de los análisis desarrollados, se </w:t>
      </w:r>
      <w:r w:rsidRPr="00B75554">
        <w:rPr>
          <w:rFonts w:ascii="Bookman Old Style" w:hAnsi="Bookman Old Style"/>
          <w:bCs/>
          <w:lang w:val="es-CO"/>
        </w:rPr>
        <w:t xml:space="preserve">identificó la necesidad de </w:t>
      </w:r>
      <w:r>
        <w:rPr>
          <w:rFonts w:ascii="Bookman Old Style" w:hAnsi="Bookman Old Style"/>
          <w:bCs/>
          <w:lang w:val="es-CO"/>
        </w:rPr>
        <w:t>ajustar la</w:t>
      </w:r>
      <w:r w:rsidRPr="00EC7309">
        <w:rPr>
          <w:rFonts w:ascii="Bookman Old Style" w:hAnsi="Bookman Old Style"/>
          <w:bCs/>
          <w:lang w:val="es-CO"/>
        </w:rPr>
        <w:t xml:space="preserve"> estructura para la fijación de precios de la gasolina corriente motor, gasolina motor corriente oxigenada, ACPM y ACPM mezclado con biocombustible para uso en motores diésel </w:t>
      </w:r>
      <w:r>
        <w:rPr>
          <w:rFonts w:ascii="Bookman Old Style" w:hAnsi="Bookman Old Style"/>
          <w:bCs/>
          <w:lang w:val="es-CO"/>
        </w:rPr>
        <w:t>en zonas de frontera</w:t>
      </w:r>
      <w:r>
        <w:rPr>
          <w:rFonts w:ascii="Bookman Old Style" w:hAnsi="Bookman Old Style" w:cs="Arial"/>
          <w:iCs/>
          <w:lang w:val="es-CO"/>
        </w:rPr>
        <w:t xml:space="preserve">, buscando reflejar </w:t>
      </w:r>
      <w:r>
        <w:rPr>
          <w:rFonts w:ascii="Bookman Old Style" w:hAnsi="Bookman Old Style"/>
          <w:bCs/>
          <w:lang w:val="es-CO"/>
        </w:rPr>
        <w:t>los componentes que la integran y facilitar el ejercicio de control y vigilancia.</w:t>
      </w:r>
    </w:p>
    <w:p w14:paraId="317CA1FE" w14:textId="77777777" w:rsidR="00B84525" w:rsidRDefault="00B84525" w:rsidP="00B84525">
      <w:pPr>
        <w:ind w:left="0"/>
        <w:jc w:val="both"/>
        <w:rPr>
          <w:rFonts w:ascii="Bookman Old Style" w:hAnsi="Bookman Old Style"/>
          <w:bCs/>
          <w:lang w:val="es-CO"/>
        </w:rPr>
      </w:pPr>
    </w:p>
    <w:p w14:paraId="155F6A0A" w14:textId="77777777" w:rsidR="00B84525" w:rsidRDefault="00B84525" w:rsidP="00B84525">
      <w:pPr>
        <w:ind w:left="0"/>
        <w:jc w:val="both"/>
        <w:rPr>
          <w:rFonts w:ascii="Bookman Old Style" w:hAnsi="Bookman Old Style"/>
          <w:bCs/>
          <w:lang w:val="es-CO"/>
        </w:rPr>
      </w:pPr>
      <w:r>
        <w:rPr>
          <w:rFonts w:ascii="Bookman Old Style" w:hAnsi="Bookman Old Style"/>
          <w:bCs/>
          <w:lang w:val="es-CO"/>
        </w:rPr>
        <w:t>En consecuencia,</w:t>
      </w:r>
    </w:p>
    <w:p w14:paraId="0873B02B" w14:textId="77777777" w:rsidR="00B84525" w:rsidRPr="00B75554" w:rsidRDefault="00B84525" w:rsidP="00B84525">
      <w:pPr>
        <w:ind w:left="0"/>
        <w:rPr>
          <w:rFonts w:ascii="Bookman Old Style" w:hAnsi="Bookman Old Style"/>
          <w:lang w:val="es-CO"/>
        </w:rPr>
      </w:pPr>
    </w:p>
    <w:p w14:paraId="593A0D61" w14:textId="77777777" w:rsidR="00B84525" w:rsidRPr="00B75554" w:rsidRDefault="00B84525" w:rsidP="00B84525">
      <w:pPr>
        <w:suppressAutoHyphens/>
        <w:jc w:val="center"/>
        <w:rPr>
          <w:rFonts w:ascii="Bookman Old Style" w:hAnsi="Bookman Old Style"/>
          <w:b/>
          <w:spacing w:val="-3"/>
          <w:lang w:val="es-CO"/>
        </w:rPr>
      </w:pPr>
    </w:p>
    <w:p w14:paraId="23201F14" w14:textId="77777777" w:rsidR="00B84525" w:rsidRPr="00B75554" w:rsidRDefault="00B84525" w:rsidP="00B84525">
      <w:pPr>
        <w:suppressAutoHyphens/>
        <w:jc w:val="center"/>
        <w:rPr>
          <w:rFonts w:ascii="Bookman Old Style" w:hAnsi="Bookman Old Style"/>
          <w:spacing w:val="-3"/>
          <w:lang w:val="es-CO"/>
        </w:rPr>
      </w:pPr>
      <w:r w:rsidRPr="00B75554">
        <w:rPr>
          <w:rFonts w:ascii="Bookman Old Style" w:hAnsi="Bookman Old Style"/>
          <w:b/>
          <w:spacing w:val="-3"/>
          <w:lang w:val="es-CO"/>
        </w:rPr>
        <w:t>RESUELVE:</w:t>
      </w:r>
    </w:p>
    <w:p w14:paraId="2254F7C4" w14:textId="77777777" w:rsidR="00B84525" w:rsidRPr="00B75554" w:rsidRDefault="00B84525" w:rsidP="00B84525">
      <w:pPr>
        <w:jc w:val="center"/>
        <w:rPr>
          <w:rFonts w:ascii="Bookman Old Style" w:hAnsi="Bookman Old Style"/>
          <w:lang w:val="es-CO"/>
        </w:rPr>
      </w:pPr>
    </w:p>
    <w:p w14:paraId="30B1E834" w14:textId="77777777" w:rsidR="00B84525" w:rsidRPr="00B75554" w:rsidRDefault="00B84525" w:rsidP="00B84525">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1. </w:t>
      </w:r>
      <w:r>
        <w:rPr>
          <w:rFonts w:ascii="Bookman Old Style" w:hAnsi="Bookman Old Style" w:cs="Arial"/>
          <w:b/>
          <w:bCs/>
          <w:iCs/>
          <w:lang w:val="es-CO"/>
        </w:rPr>
        <w:t>OBJETO</w:t>
      </w:r>
      <w:r w:rsidRPr="00B75554">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La presente resolución tiene por objeto la reorganización de la estructura de precios vigente para los combustibles líquidos que se distribuyen en municipios y departamentos declarados como zonas de frontera.</w:t>
      </w:r>
    </w:p>
    <w:p w14:paraId="3425F01A" w14:textId="77777777" w:rsidR="00B84525" w:rsidRDefault="00B84525" w:rsidP="00B84525">
      <w:pPr>
        <w:ind w:left="0"/>
        <w:jc w:val="both"/>
        <w:rPr>
          <w:rFonts w:ascii="Bookman Old Style" w:hAnsi="Bookman Old Style" w:cs="Arial"/>
          <w:b/>
          <w:bCs/>
          <w:iCs/>
          <w:lang w:val="es-CO"/>
        </w:rPr>
      </w:pPr>
    </w:p>
    <w:p w14:paraId="2E78EDCA" w14:textId="77777777" w:rsidR="00B84525" w:rsidRDefault="00B84525" w:rsidP="00B84525">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w:t>
      </w:r>
      <w:r>
        <w:rPr>
          <w:rFonts w:ascii="Bookman Old Style" w:hAnsi="Bookman Old Style" w:cs="Arial"/>
          <w:b/>
          <w:bCs/>
          <w:iCs/>
          <w:lang w:val="es-CO"/>
        </w:rPr>
        <w:t>2</w:t>
      </w:r>
      <w:r w:rsidRPr="00B75554">
        <w:rPr>
          <w:rFonts w:ascii="Bookman Old Style" w:hAnsi="Bookman Old Style" w:cs="Arial"/>
          <w:b/>
          <w:bCs/>
          <w:iCs/>
          <w:lang w:val="es-CO"/>
        </w:rPr>
        <w:t xml:space="preserve">. </w:t>
      </w:r>
      <w:r>
        <w:rPr>
          <w:rFonts w:ascii="Bookman Old Style" w:hAnsi="Bookman Old Style" w:cs="Arial"/>
          <w:b/>
          <w:bCs/>
          <w:iCs/>
          <w:lang w:val="es-CO"/>
        </w:rPr>
        <w:t>ALCANCE</w:t>
      </w:r>
      <w:r w:rsidRPr="00B75554">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 xml:space="preserve">La presente resolución aplica para los agentes que pertenecen a la cadena de distribución de combustibles líquidos derivados del </w:t>
      </w:r>
      <w:r>
        <w:rPr>
          <w:rFonts w:ascii="Bookman Old Style" w:hAnsi="Bookman Old Style" w:cs="Arial"/>
          <w:iCs/>
          <w:lang w:val="es-CO"/>
        </w:rPr>
        <w:lastRenderedPageBreak/>
        <w:t>petróleo, excepto GLP, de conformidad con lo dispuesto en el Decreto 1073 de 2015, o aquel que lo modifique o sustituya.</w:t>
      </w:r>
    </w:p>
    <w:p w14:paraId="704717C6" w14:textId="77777777" w:rsidR="00B84525" w:rsidRDefault="00B84525" w:rsidP="00B84525">
      <w:pPr>
        <w:ind w:left="0"/>
        <w:jc w:val="both"/>
        <w:rPr>
          <w:rFonts w:ascii="Bookman Old Style" w:hAnsi="Bookman Old Style" w:cs="Arial"/>
          <w:b/>
          <w:bCs/>
          <w:iCs/>
          <w:lang w:val="es-CO"/>
        </w:rPr>
      </w:pPr>
    </w:p>
    <w:p w14:paraId="72680C60" w14:textId="4A6E3FC6" w:rsidR="00B84525" w:rsidRPr="00B75554" w:rsidRDefault="00B84525" w:rsidP="100D1D3C">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w:t>
      </w:r>
      <w:r>
        <w:rPr>
          <w:rFonts w:ascii="Bookman Old Style" w:hAnsi="Bookman Old Style" w:cs="Arial"/>
          <w:b/>
          <w:bCs/>
          <w:iCs/>
          <w:lang w:val="es-CO"/>
        </w:rPr>
        <w:t>3</w:t>
      </w:r>
      <w:r w:rsidRPr="00B75554">
        <w:rPr>
          <w:rFonts w:ascii="Bookman Old Style" w:hAnsi="Bookman Old Style" w:cs="Arial"/>
          <w:b/>
          <w:bCs/>
          <w:iCs/>
          <w:lang w:val="es-CO"/>
        </w:rPr>
        <w:t xml:space="preserve">. </w:t>
      </w:r>
      <w:r w:rsidRPr="00DE069C">
        <w:rPr>
          <w:rFonts w:ascii="Bookman Old Style" w:hAnsi="Bookman Old Style" w:cs="Arial"/>
          <w:b/>
          <w:bCs/>
          <w:iCs/>
          <w:lang w:val="es-CO"/>
        </w:rPr>
        <w:t>ESTRUCTURA DE PRECIOS</w:t>
      </w:r>
      <w:r w:rsidRPr="00B75554">
        <w:rPr>
          <w:rFonts w:ascii="Bookman Old Style" w:hAnsi="Bookman Old Style" w:cs="Arial"/>
          <w:b/>
          <w:bCs/>
          <w:iCs/>
          <w:lang w:val="es-CO"/>
        </w:rPr>
        <w:t>.</w:t>
      </w:r>
      <w:r w:rsidRPr="00B75554">
        <w:rPr>
          <w:rFonts w:ascii="Bookman Old Style" w:hAnsi="Bookman Old Style" w:cs="Arial"/>
          <w:iCs/>
          <w:lang w:val="es-CO"/>
        </w:rPr>
        <w:t xml:space="preserve"> La estructura de precios a que hace referencia esta resolución está integrada por los siguientes componentes:</w:t>
      </w:r>
    </w:p>
    <w:p w14:paraId="1A6814DD" w14:textId="77777777" w:rsidR="00B84525" w:rsidRPr="00B75554" w:rsidRDefault="00B84525" w:rsidP="00B84525">
      <w:pPr>
        <w:ind w:left="0"/>
        <w:jc w:val="both"/>
        <w:rPr>
          <w:rFonts w:ascii="Bookman Old Style" w:hAnsi="Bookman Old Style" w:cs="Arial"/>
          <w:iCs/>
          <w:lang w:val="es-CO"/>
        </w:rPr>
      </w:pPr>
    </w:p>
    <w:p w14:paraId="25F52739" w14:textId="77777777" w:rsidR="00B84525" w:rsidRDefault="00B84525" w:rsidP="00B84525">
      <w:pPr>
        <w:pStyle w:val="Prrafodelista"/>
        <w:numPr>
          <w:ilvl w:val="0"/>
          <w:numId w:val="27"/>
        </w:numPr>
        <w:ind w:left="426"/>
        <w:rPr>
          <w:rFonts w:ascii="Bookman Old Style" w:hAnsi="Bookman Old Style" w:cs="Arial"/>
          <w:iCs/>
          <w:sz w:val="24"/>
          <w:szCs w:val="24"/>
        </w:rPr>
      </w:pPr>
      <w:r w:rsidRPr="009A3AEF">
        <w:rPr>
          <w:rFonts w:ascii="Bookman Old Style" w:hAnsi="Bookman Old Style" w:cs="Arial"/>
          <w:iCs/>
          <w:sz w:val="24"/>
          <w:szCs w:val="24"/>
        </w:rPr>
        <w:t xml:space="preserve">Ingreso al </w:t>
      </w:r>
      <w:r>
        <w:rPr>
          <w:rFonts w:ascii="Bookman Old Style" w:hAnsi="Bookman Old Style" w:cs="Arial"/>
          <w:iCs/>
          <w:sz w:val="24"/>
          <w:szCs w:val="24"/>
        </w:rPr>
        <w:t>p</w:t>
      </w:r>
      <w:r w:rsidRPr="009A3AEF">
        <w:rPr>
          <w:rFonts w:ascii="Bookman Old Style" w:hAnsi="Bookman Old Style" w:cs="Arial"/>
          <w:iCs/>
          <w:sz w:val="24"/>
          <w:szCs w:val="24"/>
        </w:rPr>
        <w:t xml:space="preserve">roductor o </w:t>
      </w:r>
      <w:r>
        <w:rPr>
          <w:rFonts w:ascii="Bookman Old Style" w:hAnsi="Bookman Old Style" w:cs="Arial"/>
          <w:iCs/>
          <w:sz w:val="24"/>
          <w:szCs w:val="24"/>
        </w:rPr>
        <w:t>i</w:t>
      </w:r>
      <w:r w:rsidRPr="00EB77BF">
        <w:rPr>
          <w:rFonts w:ascii="Bookman Old Style" w:hAnsi="Bookman Old Style" w:cs="Arial"/>
          <w:iCs/>
          <w:sz w:val="24"/>
          <w:szCs w:val="24"/>
        </w:rPr>
        <w:t>mportador</w:t>
      </w:r>
      <w:r w:rsidRPr="009A3AEF">
        <w:rPr>
          <w:rFonts w:ascii="Bookman Old Style" w:hAnsi="Bookman Old Style" w:cs="Arial"/>
          <w:iCs/>
          <w:sz w:val="24"/>
          <w:szCs w:val="24"/>
        </w:rPr>
        <w:t xml:space="preserve"> de </w:t>
      </w:r>
      <w:r>
        <w:rPr>
          <w:rFonts w:ascii="Bookman Old Style" w:hAnsi="Bookman Old Style" w:cs="Arial"/>
          <w:iCs/>
          <w:sz w:val="24"/>
          <w:szCs w:val="24"/>
        </w:rPr>
        <w:t>c</w:t>
      </w:r>
      <w:r w:rsidRPr="009A3AEF">
        <w:rPr>
          <w:rFonts w:ascii="Bookman Old Style" w:hAnsi="Bookman Old Style" w:cs="Arial"/>
          <w:iCs/>
          <w:sz w:val="24"/>
          <w:szCs w:val="24"/>
        </w:rPr>
        <w:t xml:space="preserve">ombustibles </w:t>
      </w:r>
      <w:r>
        <w:rPr>
          <w:rFonts w:ascii="Bookman Old Style" w:hAnsi="Bookman Old Style" w:cs="Arial"/>
          <w:iCs/>
          <w:sz w:val="24"/>
          <w:szCs w:val="24"/>
        </w:rPr>
        <w:t>f</w:t>
      </w:r>
      <w:r w:rsidRPr="009A3AEF">
        <w:rPr>
          <w:rFonts w:ascii="Bookman Old Style" w:hAnsi="Bookman Old Style" w:cs="Arial"/>
          <w:iCs/>
          <w:sz w:val="24"/>
          <w:szCs w:val="24"/>
        </w:rPr>
        <w:t xml:space="preserve">ósiles y de los </w:t>
      </w:r>
      <w:r>
        <w:rPr>
          <w:rFonts w:ascii="Bookman Old Style" w:hAnsi="Bookman Old Style" w:cs="Arial"/>
          <w:iCs/>
          <w:sz w:val="24"/>
          <w:szCs w:val="24"/>
        </w:rPr>
        <w:t>b</w:t>
      </w:r>
      <w:r w:rsidRPr="009A3AEF">
        <w:rPr>
          <w:rFonts w:ascii="Bookman Old Style" w:hAnsi="Bookman Old Style" w:cs="Arial"/>
          <w:iCs/>
          <w:sz w:val="24"/>
          <w:szCs w:val="24"/>
        </w:rPr>
        <w:t>iocombustibles (</w:t>
      </w:r>
      <m:oMath>
        <m:r>
          <w:rPr>
            <w:rFonts w:ascii="Cambria Math" w:hAnsi="Cambria Math" w:cs="Arial"/>
          </w:rPr>
          <m:t>I</m:t>
        </m:r>
        <m:sSub>
          <m:sSubPr>
            <m:ctrlPr>
              <w:rPr>
                <w:rFonts w:ascii="Cambria Math" w:hAnsi="Cambria Math" w:cs="Arial"/>
                <w:i/>
                <w:iCs/>
              </w:rPr>
            </m:ctrlPr>
          </m:sSubPr>
          <m:e>
            <m:r>
              <w:rPr>
                <w:rFonts w:ascii="Cambria Math" w:hAnsi="Cambria Math" w:cs="Arial"/>
              </w:rPr>
              <m:t>P</m:t>
            </m:r>
          </m:e>
          <m:sub>
            <m:r>
              <w:rPr>
                <w:rFonts w:ascii="Cambria Math" w:hAnsi="Cambria Math" w:cs="Arial"/>
              </w:rPr>
              <m:t>mezcla</m:t>
            </m:r>
          </m:sub>
        </m:sSub>
      </m:oMath>
      <w:r w:rsidRPr="009A3AEF">
        <w:rPr>
          <w:rFonts w:ascii="Bookman Old Style" w:hAnsi="Bookman Old Style" w:cs="Arial"/>
          <w:iCs/>
          <w:sz w:val="24"/>
          <w:szCs w:val="24"/>
        </w:rPr>
        <w:t>),</w:t>
      </w:r>
    </w:p>
    <w:p w14:paraId="48EE6D61" w14:textId="77777777" w:rsidR="00B84525" w:rsidRPr="009A3AEF" w:rsidRDefault="00B84525" w:rsidP="00B84525">
      <w:pPr>
        <w:ind w:left="0"/>
        <w:jc w:val="both"/>
        <w:rPr>
          <w:rFonts w:ascii="Bookman Old Style" w:hAnsi="Bookman Old Style" w:cs="Arial"/>
          <w:iCs/>
        </w:rPr>
      </w:pPr>
    </w:p>
    <w:p w14:paraId="7DE6FA80" w14:textId="77777777" w:rsidR="00B84525" w:rsidRDefault="00B84525" w:rsidP="00B84525">
      <w:pPr>
        <w:pStyle w:val="Prrafodelista"/>
        <w:numPr>
          <w:ilvl w:val="0"/>
          <w:numId w:val="27"/>
        </w:numPr>
        <w:tabs>
          <w:tab w:val="left" w:pos="426"/>
        </w:tabs>
        <w:ind w:left="0" w:firstLine="0"/>
        <w:jc w:val="both"/>
        <w:rPr>
          <w:rFonts w:ascii="Bookman Old Style" w:hAnsi="Bookman Old Style" w:cs="Arial"/>
          <w:iCs/>
          <w:sz w:val="24"/>
          <w:szCs w:val="24"/>
        </w:rPr>
      </w:pPr>
      <w:r w:rsidRPr="009A3AEF">
        <w:rPr>
          <w:rFonts w:ascii="Bookman Old Style" w:hAnsi="Bookman Old Style" w:cs="Arial"/>
          <w:iCs/>
          <w:sz w:val="24"/>
          <w:szCs w:val="24"/>
        </w:rPr>
        <w:t>Transporte mayorista (</w:t>
      </w:r>
      <m:oMath>
        <m:r>
          <w:rPr>
            <w:rFonts w:ascii="Cambria Math" w:hAnsi="Cambria Math" w:cs="Arial"/>
            <w:sz w:val="24"/>
            <w:szCs w:val="24"/>
          </w:rPr>
          <m:t>Tmay</m:t>
        </m:r>
      </m:oMath>
      <w:r w:rsidRPr="009A3AEF">
        <w:rPr>
          <w:rFonts w:ascii="Bookman Old Style" w:hAnsi="Bookman Old Style" w:cs="Arial"/>
          <w:iCs/>
          <w:sz w:val="24"/>
          <w:szCs w:val="24"/>
        </w:rPr>
        <w:t>),</w:t>
      </w:r>
    </w:p>
    <w:p w14:paraId="2124FFA8" w14:textId="77777777" w:rsidR="00B84525" w:rsidRPr="002B4E21" w:rsidRDefault="00B84525" w:rsidP="00B84525">
      <w:pPr>
        <w:tabs>
          <w:tab w:val="left" w:pos="426"/>
        </w:tabs>
        <w:ind w:left="0"/>
        <w:rPr>
          <w:rFonts w:ascii="Bookman Old Style" w:hAnsi="Bookman Old Style" w:cs="Arial"/>
          <w:iCs/>
        </w:rPr>
      </w:pPr>
    </w:p>
    <w:p w14:paraId="23708CF3" w14:textId="77777777" w:rsidR="00B84525" w:rsidRDefault="00B84525" w:rsidP="00B84525">
      <w:pPr>
        <w:pStyle w:val="Prrafodelista"/>
        <w:numPr>
          <w:ilvl w:val="0"/>
          <w:numId w:val="27"/>
        </w:numPr>
        <w:tabs>
          <w:tab w:val="left" w:pos="426"/>
        </w:tabs>
        <w:ind w:left="0" w:firstLine="0"/>
        <w:jc w:val="both"/>
        <w:rPr>
          <w:rFonts w:ascii="Bookman Old Style" w:hAnsi="Bookman Old Style" w:cs="Arial"/>
          <w:iCs/>
          <w:sz w:val="24"/>
          <w:szCs w:val="24"/>
        </w:rPr>
      </w:pPr>
      <w:r w:rsidRPr="009A3AEF">
        <w:rPr>
          <w:rFonts w:ascii="Bookman Old Style" w:hAnsi="Bookman Old Style" w:cs="Arial"/>
          <w:iCs/>
          <w:sz w:val="24"/>
          <w:szCs w:val="24"/>
        </w:rPr>
        <w:t xml:space="preserve">Margen de </w:t>
      </w:r>
      <w:r>
        <w:rPr>
          <w:rFonts w:ascii="Bookman Old Style" w:hAnsi="Bookman Old Style" w:cs="Arial"/>
          <w:iCs/>
          <w:sz w:val="24"/>
          <w:szCs w:val="24"/>
        </w:rPr>
        <w:t>d</w:t>
      </w:r>
      <w:r w:rsidRPr="009A3AEF">
        <w:rPr>
          <w:rFonts w:ascii="Bookman Old Style" w:hAnsi="Bookman Old Style" w:cs="Arial"/>
          <w:iCs/>
          <w:sz w:val="24"/>
          <w:szCs w:val="24"/>
        </w:rPr>
        <w:t>istribución mayorista (</w:t>
      </w:r>
      <m:oMath>
        <m:r>
          <w:rPr>
            <w:rFonts w:ascii="Cambria Math" w:hAnsi="Cambria Math" w:cs="Arial"/>
            <w:sz w:val="24"/>
            <w:szCs w:val="24"/>
          </w:rPr>
          <m:t>MD</m:t>
        </m:r>
      </m:oMath>
      <w:r>
        <w:rPr>
          <w:rFonts w:ascii="Bookman Old Style" w:hAnsi="Bookman Old Style" w:cs="Arial"/>
          <w:iCs/>
          <w:sz w:val="24"/>
          <w:szCs w:val="24"/>
        </w:rPr>
        <w:t>),</w:t>
      </w:r>
    </w:p>
    <w:p w14:paraId="2FDC139B" w14:textId="77777777" w:rsidR="00B84525" w:rsidRPr="00F154B2" w:rsidRDefault="00B84525" w:rsidP="00B84525">
      <w:pPr>
        <w:pStyle w:val="Prrafodelista"/>
        <w:tabs>
          <w:tab w:val="left" w:pos="426"/>
        </w:tabs>
        <w:ind w:left="0"/>
        <w:jc w:val="both"/>
        <w:rPr>
          <w:rFonts w:ascii="Bookman Old Style" w:hAnsi="Bookman Old Style" w:cs="Arial"/>
          <w:iCs/>
          <w:sz w:val="24"/>
          <w:szCs w:val="24"/>
        </w:rPr>
      </w:pPr>
      <w:r>
        <w:rPr>
          <w:rFonts w:ascii="Bookman Old Style" w:hAnsi="Bookman Old Style" w:cs="Arial"/>
          <w:iCs/>
          <w:sz w:val="24"/>
          <w:szCs w:val="24"/>
        </w:rPr>
        <w:t xml:space="preserve"> </w:t>
      </w:r>
    </w:p>
    <w:p w14:paraId="28E8E62B" w14:textId="77777777" w:rsidR="00B84525" w:rsidRDefault="00B84525" w:rsidP="00B84525">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Transporte minorista (</w:t>
      </w:r>
      <m:oMath>
        <m:r>
          <w:rPr>
            <w:rFonts w:ascii="Cambria Math" w:hAnsi="Cambria Math" w:cs="Arial"/>
            <w:sz w:val="24"/>
            <w:szCs w:val="24"/>
          </w:rPr>
          <m:t>Tmin</m:t>
        </m:r>
      </m:oMath>
      <w:r>
        <w:rPr>
          <w:rFonts w:ascii="Bookman Old Style" w:hAnsi="Bookman Old Style" w:cs="Arial"/>
          <w:iCs/>
          <w:sz w:val="24"/>
          <w:szCs w:val="24"/>
        </w:rPr>
        <w:t>),</w:t>
      </w:r>
    </w:p>
    <w:p w14:paraId="09D2D6B1" w14:textId="77777777" w:rsidR="00B84525" w:rsidRPr="002B4E21" w:rsidRDefault="00B84525" w:rsidP="00B84525">
      <w:pPr>
        <w:ind w:left="0"/>
        <w:rPr>
          <w:rFonts w:ascii="Bookman Old Style" w:hAnsi="Bookman Old Style" w:cs="Arial"/>
          <w:iCs/>
        </w:rPr>
      </w:pPr>
    </w:p>
    <w:p w14:paraId="7882FA52" w14:textId="77777777" w:rsidR="00B84525" w:rsidRDefault="00B84525" w:rsidP="00B84525">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Margen de distribución minorista (</w:t>
      </w:r>
      <m:oMath>
        <m:r>
          <w:rPr>
            <w:rFonts w:ascii="Cambria Math" w:hAnsi="Cambria Math" w:cs="Arial"/>
            <w:sz w:val="24"/>
            <w:szCs w:val="24"/>
          </w:rPr>
          <m:t>MDM</m:t>
        </m:r>
      </m:oMath>
      <w:r>
        <w:rPr>
          <w:rFonts w:ascii="Bookman Old Style" w:hAnsi="Bookman Old Style" w:cs="Arial"/>
          <w:iCs/>
          <w:sz w:val="24"/>
          <w:szCs w:val="24"/>
        </w:rPr>
        <w:t>),</w:t>
      </w:r>
    </w:p>
    <w:p w14:paraId="53CA1A91" w14:textId="77777777" w:rsidR="00B84525" w:rsidRPr="002B4E21" w:rsidRDefault="00B84525" w:rsidP="00B84525">
      <w:pPr>
        <w:ind w:left="0"/>
        <w:rPr>
          <w:rFonts w:ascii="Bookman Old Style" w:hAnsi="Bookman Old Style" w:cs="Arial"/>
          <w:iCs/>
        </w:rPr>
      </w:pPr>
    </w:p>
    <w:p w14:paraId="0B6A1368" w14:textId="77777777" w:rsidR="00B84525" w:rsidRDefault="00B84525" w:rsidP="00B84525">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Impuestos (</w:t>
      </w:r>
      <m:oMath>
        <m:r>
          <w:rPr>
            <w:rFonts w:ascii="Cambria Math" w:hAnsi="Cambria Math" w:cs="Arial"/>
            <w:sz w:val="24"/>
            <w:szCs w:val="24"/>
          </w:rPr>
          <m:t>Tx</m:t>
        </m:r>
      </m:oMath>
      <w:r>
        <w:rPr>
          <w:rFonts w:ascii="Bookman Old Style" w:hAnsi="Bookman Old Style" w:cs="Arial"/>
          <w:iCs/>
          <w:sz w:val="24"/>
          <w:szCs w:val="24"/>
        </w:rPr>
        <w:t>),</w:t>
      </w:r>
    </w:p>
    <w:p w14:paraId="7F773161" w14:textId="77777777" w:rsidR="00B84525" w:rsidRPr="002B4E21" w:rsidRDefault="00B84525" w:rsidP="00B84525">
      <w:pPr>
        <w:ind w:left="0"/>
        <w:rPr>
          <w:rFonts w:ascii="Bookman Old Style" w:hAnsi="Bookman Old Style" w:cs="Arial"/>
          <w:iCs/>
        </w:rPr>
      </w:pPr>
    </w:p>
    <w:p w14:paraId="1AAE43B6" w14:textId="77777777" w:rsidR="00B84525" w:rsidRPr="009A3AEF" w:rsidRDefault="00B84525" w:rsidP="00B84525">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Otros (</w:t>
      </w:r>
      <m:oMath>
        <m:r>
          <w:rPr>
            <w:rFonts w:ascii="Cambria Math" w:hAnsi="Cambria Math" w:cs="Arial"/>
            <w:sz w:val="24"/>
            <w:szCs w:val="24"/>
          </w:rPr>
          <m:t>Otros</m:t>
        </m:r>
      </m:oMath>
      <w:r>
        <w:rPr>
          <w:rFonts w:ascii="Bookman Old Style" w:hAnsi="Bookman Old Style" w:cs="Arial"/>
          <w:iCs/>
          <w:sz w:val="24"/>
          <w:szCs w:val="24"/>
        </w:rPr>
        <w:t>)</w:t>
      </w:r>
    </w:p>
    <w:p w14:paraId="2A685F21" w14:textId="77777777" w:rsidR="00B84525" w:rsidRPr="009A3AEF" w:rsidRDefault="00B84525" w:rsidP="00B84525">
      <w:pPr>
        <w:ind w:left="0"/>
        <w:jc w:val="both"/>
        <w:rPr>
          <w:rFonts w:ascii="Bookman Old Style" w:hAnsi="Bookman Old Style" w:cs="Arial"/>
          <w:iCs/>
          <w:lang w:val="es-CO"/>
        </w:rPr>
      </w:pPr>
    </w:p>
    <w:p w14:paraId="01164FCE"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 xml:space="preserve">De la sumatoria simple de los componentes de la estructura se obtiene el precio de referencia de venta al público. </w:t>
      </w:r>
    </w:p>
    <w:p w14:paraId="50004B01" w14:textId="77777777" w:rsidR="00B84525" w:rsidRDefault="00B84525" w:rsidP="00B84525">
      <w:pPr>
        <w:ind w:left="0"/>
        <w:jc w:val="both"/>
        <w:rPr>
          <w:rFonts w:ascii="Bookman Old Style" w:hAnsi="Bookman Old Style" w:cs="Arial"/>
          <w:iCs/>
          <w:lang w:val="es-CO"/>
        </w:rPr>
      </w:pPr>
    </w:p>
    <w:p w14:paraId="364A55E8" w14:textId="77777777" w:rsidR="00B84525" w:rsidRDefault="00B84525" w:rsidP="00B84525">
      <w:pPr>
        <w:ind w:left="0"/>
        <w:jc w:val="both"/>
        <w:rPr>
          <w:rFonts w:ascii="Bookman Old Style" w:hAnsi="Bookman Old Style" w:cs="Arial"/>
          <w:iCs/>
          <w:lang w:val="es-CO"/>
        </w:rPr>
      </w:pPr>
      <w:r w:rsidRPr="00B75554">
        <w:rPr>
          <w:rFonts w:ascii="Bookman Old Style" w:hAnsi="Bookman Old Style" w:cs="Arial"/>
          <w:iCs/>
          <w:lang w:val="es-CO"/>
        </w:rPr>
        <w:t xml:space="preserve">Esta </w:t>
      </w:r>
      <w:r>
        <w:rPr>
          <w:rFonts w:ascii="Bookman Old Style" w:hAnsi="Bookman Old Style" w:cs="Arial"/>
          <w:iCs/>
          <w:lang w:val="es-CO"/>
        </w:rPr>
        <w:t>e</w:t>
      </w:r>
      <w:r w:rsidRPr="00B75554">
        <w:rPr>
          <w:rFonts w:ascii="Bookman Old Style" w:hAnsi="Bookman Old Style" w:cs="Arial"/>
          <w:iCs/>
          <w:lang w:val="es-CO"/>
        </w:rPr>
        <w:t xml:space="preserve">structura de precios será aplicable para los </w:t>
      </w:r>
      <w:r>
        <w:rPr>
          <w:rFonts w:ascii="Bookman Old Style" w:hAnsi="Bookman Old Style" w:cs="Arial"/>
          <w:iCs/>
          <w:lang w:val="es-CO"/>
        </w:rPr>
        <w:t xml:space="preserve">siguientes </w:t>
      </w:r>
      <w:r w:rsidRPr="00B75554">
        <w:rPr>
          <w:rFonts w:ascii="Bookman Old Style" w:hAnsi="Bookman Old Style" w:cs="Arial"/>
          <w:iCs/>
          <w:lang w:val="es-CO"/>
        </w:rPr>
        <w:t xml:space="preserve">productos: </w:t>
      </w:r>
      <w:proofErr w:type="gramStart"/>
      <w:r w:rsidRPr="00B75554">
        <w:rPr>
          <w:rFonts w:ascii="Bookman Old Style" w:hAnsi="Bookman Old Style" w:cs="Arial"/>
          <w:iCs/>
          <w:lang w:val="es-CO"/>
        </w:rPr>
        <w:t>gasolina motor</w:t>
      </w:r>
      <w:proofErr w:type="gramEnd"/>
      <w:r w:rsidRPr="00B75554">
        <w:rPr>
          <w:rFonts w:ascii="Bookman Old Style" w:hAnsi="Bookman Old Style" w:cs="Arial"/>
          <w:iCs/>
          <w:lang w:val="es-CO"/>
        </w:rPr>
        <w:t xml:space="preserve"> corriente, gasolina motor corriente oxigenada, ACPM-Diésel y ACPM-Diésel mezclado con biodiésel para uso en motores diésel.</w:t>
      </w:r>
    </w:p>
    <w:p w14:paraId="5CCE83D7" w14:textId="77777777" w:rsidR="00B84525" w:rsidRPr="00B75554" w:rsidRDefault="00B84525" w:rsidP="00B84525">
      <w:pPr>
        <w:ind w:left="0"/>
        <w:jc w:val="both"/>
        <w:rPr>
          <w:rFonts w:ascii="Bookman Old Style" w:hAnsi="Bookman Old Style" w:cs="Arial"/>
          <w:iCs/>
          <w:lang w:val="es-CO"/>
        </w:rPr>
      </w:pPr>
    </w:p>
    <w:p w14:paraId="79A4B1C8" w14:textId="77777777" w:rsidR="00B84525" w:rsidRDefault="00B84525" w:rsidP="00B84525">
      <w:pPr>
        <w:ind w:left="0"/>
        <w:jc w:val="both"/>
        <w:rPr>
          <w:rFonts w:ascii="Bookman Old Style" w:hAnsi="Bookman Old Style" w:cs="Arial"/>
          <w:iCs/>
          <w:lang w:val="es-CO"/>
        </w:rPr>
      </w:pPr>
      <w:r w:rsidRPr="00B75554">
        <w:rPr>
          <w:rFonts w:ascii="Bookman Old Style" w:hAnsi="Bookman Old Style" w:cs="Arial"/>
          <w:b/>
          <w:bCs/>
          <w:iCs/>
          <w:lang w:val="es-CO"/>
        </w:rPr>
        <w:t>ARTÍCULO</w:t>
      </w:r>
      <w:r>
        <w:rPr>
          <w:rFonts w:ascii="Bookman Old Style" w:hAnsi="Bookman Old Style" w:cs="Arial"/>
          <w:b/>
          <w:bCs/>
          <w:iCs/>
          <w:lang w:val="es-CO"/>
        </w:rPr>
        <w:t xml:space="preserve"> 4</w:t>
      </w:r>
      <w:r w:rsidRPr="00B75554">
        <w:rPr>
          <w:rFonts w:ascii="Bookman Old Style" w:hAnsi="Bookman Old Style" w:cs="Arial"/>
          <w:b/>
          <w:bCs/>
          <w:iCs/>
          <w:lang w:val="es-CO"/>
        </w:rPr>
        <w:t>.</w:t>
      </w:r>
      <w:r>
        <w:rPr>
          <w:rFonts w:ascii="Bookman Old Style" w:hAnsi="Bookman Old Style" w:cs="Arial"/>
          <w:b/>
          <w:bCs/>
          <w:iCs/>
          <w:lang w:val="es-CO"/>
        </w:rPr>
        <w:t xml:space="preserve"> </w:t>
      </w:r>
      <w:r w:rsidRPr="00082E1B">
        <w:rPr>
          <w:rFonts w:ascii="Bookman Old Style" w:hAnsi="Bookman Old Style" w:cs="Arial"/>
          <w:b/>
          <w:bCs/>
          <w:iCs/>
          <w:lang w:val="es-CO"/>
        </w:rPr>
        <w:t>INGRESO AL PRODUCTOR O IMPORTADOR DE COMBUSTIBLES FÓSILES Y DE BIOCOMBUSTIBLES</w:t>
      </w:r>
      <w:r w:rsidRPr="00B75554">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 xml:space="preserve">El </w:t>
      </w:r>
      <w:r w:rsidRPr="00AB6726">
        <w:rPr>
          <w:rFonts w:ascii="Bookman Old Style" w:hAnsi="Bookman Old Style" w:cs="Arial"/>
          <w:iCs/>
          <w:lang w:val="es-CO"/>
        </w:rPr>
        <w:t>Ingreso al productor o importador de combustibles fósiles y de biocombustibles</w:t>
      </w:r>
      <w:r w:rsidRPr="0082092A">
        <w:rPr>
          <w:rFonts w:ascii="Bookman Old Style" w:hAnsi="Bookman Old Style" w:cs="Arial"/>
          <w:iCs/>
          <w:lang w:val="es-CO"/>
        </w:rPr>
        <w:t xml:space="preserve"> </w:t>
      </w:r>
      <w:r>
        <w:rPr>
          <w:rFonts w:ascii="Bookman Old Style" w:hAnsi="Bookman Old Style" w:cs="Arial"/>
          <w:iCs/>
          <w:lang w:val="es-CO"/>
        </w:rPr>
        <w:t>e</w:t>
      </w:r>
      <w:r w:rsidRPr="0082092A">
        <w:rPr>
          <w:rFonts w:ascii="Bookman Old Style" w:hAnsi="Bookman Old Style" w:cs="Arial"/>
          <w:iCs/>
          <w:lang w:val="es-CO"/>
        </w:rPr>
        <w:t xml:space="preserve">s el valor resultante de </w:t>
      </w:r>
      <w:r>
        <w:rPr>
          <w:rFonts w:ascii="Bookman Old Style" w:hAnsi="Bookman Old Style" w:cs="Arial"/>
          <w:iCs/>
          <w:lang w:val="es-CO"/>
        </w:rPr>
        <w:t>aplicar la siguiente fórmula:</w:t>
      </w:r>
    </w:p>
    <w:p w14:paraId="3E454E53" w14:textId="77777777" w:rsidR="00B84525" w:rsidRDefault="00B84525" w:rsidP="00B84525">
      <w:pPr>
        <w:ind w:left="0"/>
        <w:jc w:val="both"/>
        <w:rPr>
          <w:rFonts w:ascii="Bookman Old Style" w:hAnsi="Bookman Old Style" w:cs="Arial"/>
          <w:iCs/>
          <w:lang w:val="es-CO"/>
        </w:rPr>
      </w:pPr>
    </w:p>
    <w:p w14:paraId="03DAABFC" w14:textId="77777777" w:rsidR="00B84525" w:rsidRDefault="00B84525" w:rsidP="00B84525">
      <w:pPr>
        <w:ind w:left="0"/>
        <w:jc w:val="both"/>
        <w:rPr>
          <w:rFonts w:ascii="Bookman Old Style" w:hAnsi="Bookman Old Style" w:cs="Arial"/>
          <w:iCs/>
          <w:lang w:val="es-CO"/>
        </w:rPr>
      </w:pPr>
      <m:oMathPara>
        <m:oMath>
          <m:r>
            <w:rPr>
              <w:rFonts w:ascii="Cambria Math" w:hAnsi="Cambria Math" w:cs="Arial"/>
              <w:lang w:val="es-CO"/>
            </w:rPr>
            <m:t xml:space="preserve">IP=PIP+PBios              </m:t>
          </m:r>
          <m:d>
            <m:dPr>
              <m:ctrlPr>
                <w:rPr>
                  <w:rFonts w:ascii="Cambria Math" w:hAnsi="Cambria Math" w:cs="Arial"/>
                  <w:i/>
                  <w:lang w:val="es-CO"/>
                </w:rPr>
              </m:ctrlPr>
            </m:dPr>
            <m:e>
              <m:r>
                <w:rPr>
                  <w:rFonts w:ascii="Cambria Math" w:hAnsi="Cambria Math" w:cs="Arial"/>
                  <w:lang w:val="es-CO"/>
                </w:rPr>
                <m:t>1</m:t>
              </m:r>
            </m:e>
          </m:d>
        </m:oMath>
      </m:oMathPara>
    </w:p>
    <w:p w14:paraId="77049040" w14:textId="77777777" w:rsidR="00B84525" w:rsidRDefault="00B84525" w:rsidP="00B84525">
      <w:pPr>
        <w:ind w:left="0"/>
        <w:jc w:val="both"/>
        <w:rPr>
          <w:rFonts w:ascii="Bookman Old Style" w:hAnsi="Bookman Old Style" w:cs="Arial"/>
          <w:iCs/>
          <w:lang w:val="es-CO"/>
        </w:rPr>
      </w:pPr>
    </w:p>
    <w:p w14:paraId="051EDFD0"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0C7CEC15" w14:textId="77777777" w:rsidR="00B84525" w:rsidRDefault="00B84525" w:rsidP="00B84525">
      <w:pPr>
        <w:ind w:left="0"/>
        <w:jc w:val="both"/>
        <w:rPr>
          <w:rFonts w:ascii="Bookman Old Style" w:hAnsi="Bookman Old Style" w:cs="Arial"/>
          <w:iCs/>
          <w:lang w:val="es-CO"/>
        </w:rPr>
      </w:pPr>
    </w:p>
    <w:tbl>
      <w:tblPr>
        <w:tblStyle w:val="Tablaconcuadrcula"/>
        <w:tblW w:w="47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433"/>
      </w:tblGrid>
      <w:tr w:rsidR="00B84525" w14:paraId="3FAB9A4F" w14:textId="77777777" w:rsidTr="00541C56">
        <w:tc>
          <w:tcPr>
            <w:tcW w:w="801" w:type="pct"/>
          </w:tcPr>
          <w:p w14:paraId="2F7999FA" w14:textId="77777777" w:rsidR="00B84525" w:rsidRPr="00C14EBB" w:rsidRDefault="00B84525" w:rsidP="00541C56">
            <w:pPr>
              <w:ind w:left="0" w:right="174"/>
              <w:jc w:val="right"/>
              <w:rPr>
                <w:rFonts w:ascii="Bookman Old Style" w:hAnsi="Bookman Old Style" w:cs="Arial"/>
                <w:iCs/>
                <w:lang w:val="es-CO"/>
              </w:rPr>
            </w:pPr>
            <m:oMath>
              <m:r>
                <w:rPr>
                  <w:rFonts w:ascii="Cambria Math" w:hAnsi="Cambria Math" w:cs="Arial"/>
                  <w:lang w:val="es-CO"/>
                </w:rPr>
                <m:t>IP</m:t>
              </m:r>
            </m:oMath>
            <w:r>
              <w:rPr>
                <w:rFonts w:ascii="Bookman Old Style" w:hAnsi="Bookman Old Style" w:cs="Arial"/>
                <w:lang w:val="es-CO"/>
              </w:rPr>
              <w:t>:</w:t>
            </w:r>
          </w:p>
        </w:tc>
        <w:tc>
          <w:tcPr>
            <w:tcW w:w="4199" w:type="pct"/>
          </w:tcPr>
          <w:p w14:paraId="6714D612" w14:textId="77777777" w:rsidR="00B84525" w:rsidRDefault="00B84525" w:rsidP="00541C56">
            <w:pPr>
              <w:ind w:left="0"/>
              <w:jc w:val="both"/>
              <w:rPr>
                <w:rFonts w:ascii="Bookman Old Style" w:hAnsi="Bookman Old Style" w:cs="Arial"/>
                <w:iCs/>
                <w:lang w:val="es-CO"/>
              </w:rPr>
            </w:pPr>
            <w:r w:rsidRPr="00AB6726">
              <w:rPr>
                <w:rFonts w:ascii="Bookman Old Style" w:hAnsi="Bookman Old Style" w:cs="Arial"/>
                <w:iCs/>
                <w:lang w:val="es-CO"/>
              </w:rPr>
              <w:t>Ingreso al productor o importador de combustibles fósiles y de biocombustibles</w:t>
            </w:r>
          </w:p>
          <w:p w14:paraId="256570F8" w14:textId="77777777" w:rsidR="00B84525" w:rsidRDefault="00B84525" w:rsidP="00541C56">
            <w:pPr>
              <w:ind w:left="0"/>
              <w:jc w:val="both"/>
              <w:rPr>
                <w:rFonts w:ascii="Bookman Old Style" w:hAnsi="Bookman Old Style" w:cs="Arial"/>
                <w:iCs/>
                <w:lang w:val="es-CO"/>
              </w:rPr>
            </w:pPr>
          </w:p>
        </w:tc>
      </w:tr>
      <w:tr w:rsidR="00B84525" w14:paraId="3367A5A0" w14:textId="77777777" w:rsidTr="00541C56">
        <w:tc>
          <w:tcPr>
            <w:tcW w:w="801" w:type="pct"/>
          </w:tcPr>
          <w:p w14:paraId="354B95BA" w14:textId="77777777" w:rsidR="00B84525" w:rsidRPr="00C14EBB" w:rsidRDefault="00B84525" w:rsidP="00541C56">
            <w:pPr>
              <w:ind w:left="0" w:right="174"/>
              <w:jc w:val="right"/>
              <w:rPr>
                <w:rFonts w:ascii="Bookman Old Style" w:hAnsi="Bookman Old Style" w:cs="Arial"/>
                <w:iCs/>
                <w:lang w:val="es-CO"/>
              </w:rPr>
            </w:pPr>
            <m:oMath>
              <m:r>
                <w:rPr>
                  <w:rFonts w:ascii="Cambria Math" w:hAnsi="Cambria Math" w:cs="Arial"/>
                  <w:lang w:val="es-CO"/>
                </w:rPr>
                <m:t>PIP</m:t>
              </m:r>
            </m:oMath>
            <w:r>
              <w:rPr>
                <w:rFonts w:ascii="Bookman Old Style" w:hAnsi="Bookman Old Style" w:cs="Arial"/>
                <w:lang w:val="es-CO"/>
              </w:rPr>
              <w:t>:</w:t>
            </w:r>
          </w:p>
        </w:tc>
        <w:tc>
          <w:tcPr>
            <w:tcW w:w="4199" w:type="pct"/>
          </w:tcPr>
          <w:p w14:paraId="2FBBCFEC" w14:textId="77777777" w:rsidR="00B84525" w:rsidRDefault="00B84525" w:rsidP="00541C56">
            <w:pPr>
              <w:ind w:left="0"/>
              <w:jc w:val="both"/>
              <w:rPr>
                <w:rFonts w:ascii="Bookman Old Style" w:hAnsi="Bookman Old Style" w:cs="Arial"/>
                <w:iCs/>
                <w:lang w:val="es-CO"/>
              </w:rPr>
            </w:pPr>
            <w:r w:rsidRPr="00AB6726">
              <w:rPr>
                <w:rFonts w:ascii="Bookman Old Style" w:hAnsi="Bookman Old Style" w:cs="Arial"/>
                <w:iCs/>
                <w:lang w:val="es-CO"/>
              </w:rPr>
              <w:t>Proporción del ingreso al productor del combustible fósil</w:t>
            </w:r>
          </w:p>
          <w:p w14:paraId="532451EC" w14:textId="77777777" w:rsidR="00B84525" w:rsidRPr="00AB6726" w:rsidRDefault="00B84525" w:rsidP="00541C56">
            <w:pPr>
              <w:ind w:left="0"/>
              <w:jc w:val="both"/>
              <w:rPr>
                <w:rFonts w:ascii="Bookman Old Style" w:hAnsi="Bookman Old Style" w:cs="Arial"/>
                <w:iCs/>
                <w:lang w:val="es-CO"/>
              </w:rPr>
            </w:pPr>
          </w:p>
        </w:tc>
      </w:tr>
      <w:tr w:rsidR="00B84525" w14:paraId="4BD496E0" w14:textId="77777777" w:rsidTr="00541C56">
        <w:tc>
          <w:tcPr>
            <w:tcW w:w="801" w:type="pct"/>
          </w:tcPr>
          <w:p w14:paraId="2A49AB44" w14:textId="77777777" w:rsidR="00B84525" w:rsidRPr="00C14EBB" w:rsidRDefault="00B84525" w:rsidP="00541C56">
            <w:pPr>
              <w:ind w:left="0" w:right="174"/>
              <w:jc w:val="right"/>
              <w:rPr>
                <w:rFonts w:ascii="Bookman Old Style" w:hAnsi="Bookman Old Style" w:cs="Arial"/>
                <w:lang w:val="es-CO"/>
              </w:rPr>
            </w:pPr>
            <m:oMath>
              <m:r>
                <w:rPr>
                  <w:rFonts w:ascii="Cambria Math" w:hAnsi="Cambria Math" w:cs="Arial"/>
                  <w:lang w:val="es-CO"/>
                </w:rPr>
                <m:t>PBios</m:t>
              </m:r>
            </m:oMath>
            <w:r>
              <w:rPr>
                <w:rFonts w:ascii="Bookman Old Style" w:hAnsi="Bookman Old Style" w:cs="Arial"/>
                <w:lang w:val="es-CO"/>
              </w:rPr>
              <w:t>:</w:t>
            </w:r>
          </w:p>
        </w:tc>
        <w:tc>
          <w:tcPr>
            <w:tcW w:w="4199" w:type="pct"/>
          </w:tcPr>
          <w:p w14:paraId="673C15C2" w14:textId="77777777" w:rsidR="00B84525" w:rsidRDefault="00B84525" w:rsidP="00541C56">
            <w:pPr>
              <w:ind w:left="0"/>
              <w:jc w:val="both"/>
              <w:rPr>
                <w:rFonts w:ascii="Bookman Old Style" w:hAnsi="Bookman Old Style" w:cs="Arial"/>
                <w:iCs/>
                <w:lang w:val="es-CO"/>
              </w:rPr>
            </w:pPr>
            <w:r w:rsidRPr="00433DB1">
              <w:rPr>
                <w:rFonts w:ascii="Bookman Old Style" w:hAnsi="Bookman Old Style" w:cs="Arial"/>
                <w:iCs/>
                <w:lang w:val="es-CO"/>
              </w:rPr>
              <w:t>Proporción del ingreso al productor de biocombustible</w:t>
            </w:r>
          </w:p>
          <w:p w14:paraId="071BAD50" w14:textId="77777777" w:rsidR="00B84525" w:rsidRPr="00AB6726" w:rsidRDefault="00B84525" w:rsidP="00541C56">
            <w:pPr>
              <w:ind w:left="0"/>
              <w:jc w:val="both"/>
              <w:rPr>
                <w:rFonts w:ascii="Bookman Old Style" w:hAnsi="Bookman Old Style" w:cs="Arial"/>
                <w:iCs/>
                <w:lang w:val="es-CO"/>
              </w:rPr>
            </w:pPr>
          </w:p>
        </w:tc>
      </w:tr>
    </w:tbl>
    <w:p w14:paraId="35ACEDC9"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4</w:t>
      </w:r>
      <w:r w:rsidRPr="0089668B">
        <w:rPr>
          <w:rFonts w:ascii="Bookman Old Style" w:hAnsi="Bookman Old Style" w:cs="Arial"/>
          <w:b/>
          <w:bCs/>
          <w:iCs/>
          <w:lang w:val="es-CO"/>
        </w:rPr>
        <w:t xml:space="preserve">.1. Proporción del </w:t>
      </w:r>
      <w:r>
        <w:rPr>
          <w:rFonts w:ascii="Bookman Old Style" w:hAnsi="Bookman Old Style" w:cs="Arial"/>
          <w:b/>
          <w:bCs/>
          <w:iCs/>
          <w:lang w:val="es-CO"/>
        </w:rPr>
        <w:t>i</w:t>
      </w:r>
      <w:r w:rsidRPr="0089668B">
        <w:rPr>
          <w:rFonts w:ascii="Bookman Old Style" w:hAnsi="Bookman Old Style" w:cs="Arial"/>
          <w:b/>
          <w:bCs/>
          <w:iCs/>
          <w:lang w:val="es-CO"/>
        </w:rPr>
        <w:t xml:space="preserve">ngreso al </w:t>
      </w:r>
      <w:r>
        <w:rPr>
          <w:rFonts w:ascii="Bookman Old Style" w:hAnsi="Bookman Old Style" w:cs="Arial"/>
          <w:b/>
          <w:bCs/>
          <w:iCs/>
          <w:lang w:val="es-CO"/>
        </w:rPr>
        <w:t>p</w:t>
      </w:r>
      <w:r w:rsidRPr="0089668B">
        <w:rPr>
          <w:rFonts w:ascii="Bookman Old Style" w:hAnsi="Bookman Old Style" w:cs="Arial"/>
          <w:b/>
          <w:bCs/>
          <w:iCs/>
          <w:lang w:val="es-CO"/>
        </w:rPr>
        <w:t xml:space="preserve">roductor del combustible fósil: </w:t>
      </w:r>
      <w:r>
        <w:rPr>
          <w:rFonts w:ascii="Bookman Old Style" w:hAnsi="Bookman Old Style" w:cs="Arial"/>
          <w:iCs/>
          <w:lang w:val="es-CO"/>
        </w:rPr>
        <w:t>La proporción del ingreso al producto del combustible fósil</w:t>
      </w:r>
      <w:r w:rsidRPr="006E1956">
        <w:rPr>
          <w:rFonts w:ascii="Bookman Old Style" w:hAnsi="Bookman Old Style" w:cs="Arial"/>
          <w:iCs/>
          <w:lang w:val="es-CO"/>
        </w:rPr>
        <w:t xml:space="preserve"> es el valor resultante de aplicar la siguiente fórmula:</w:t>
      </w:r>
    </w:p>
    <w:p w14:paraId="462B0CC3" w14:textId="77777777" w:rsidR="00B84525" w:rsidRDefault="00B84525" w:rsidP="00B84525">
      <w:pPr>
        <w:ind w:left="0"/>
        <w:jc w:val="both"/>
        <w:rPr>
          <w:rFonts w:ascii="Bookman Old Style" w:hAnsi="Bookman Old Style" w:cs="Arial"/>
          <w:iCs/>
          <w:lang w:val="es-CO"/>
        </w:rPr>
      </w:pPr>
    </w:p>
    <w:p w14:paraId="7C957F62" w14:textId="77777777" w:rsidR="00B84525" w:rsidRDefault="00B84525" w:rsidP="00B84525">
      <w:pPr>
        <w:ind w:left="0"/>
        <w:jc w:val="both"/>
        <w:rPr>
          <w:rFonts w:ascii="Bookman Old Style" w:hAnsi="Bookman Old Style" w:cs="Arial"/>
          <w:iCs/>
          <w:lang w:val="es-CO"/>
        </w:rPr>
      </w:pPr>
      <m:oMathPara>
        <m:oMath>
          <m:r>
            <w:rPr>
              <w:rFonts w:ascii="Cambria Math" w:hAnsi="Cambria Math" w:cs="Arial"/>
              <w:lang w:val="es-CO"/>
            </w:rPr>
            <m:t>PIP</m:t>
          </m:r>
          <m:r>
            <w:rPr>
              <w:rFonts w:ascii="Cambria Math" w:hAnsi="Cambria Math" w:cs="Arial"/>
            </w:rPr>
            <m:t>=</m:t>
          </m:r>
          <m:d>
            <m:dPr>
              <m:begChr m:val="{"/>
              <m:endChr m:val=""/>
              <m:ctrlPr>
                <w:rPr>
                  <w:rFonts w:ascii="Cambria Math" w:hAnsi="Cambria Math" w:cs="Arial"/>
                  <w:i/>
                  <w:iCs/>
                  <w:lang w:val="es-CO"/>
                </w:rPr>
              </m:ctrlPr>
            </m:dPr>
            <m:e>
              <m:eqArr>
                <m:eqArrPr>
                  <m:ctrlPr>
                    <w:rPr>
                      <w:rFonts w:ascii="Cambria Math" w:hAnsi="Cambria Math" w:cs="Arial"/>
                      <w:i/>
                      <w:iCs/>
                      <w:lang w:val="es-CO"/>
                    </w:rPr>
                  </m:ctrlPr>
                </m:eqArrPr>
                <m:e>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MMEprop</m:t>
                      </m:r>
                    </m:sub>
                  </m:sSub>
                  <m:r>
                    <w:rPr>
                      <w:rFonts w:ascii="Cambria Math" w:hAnsi="Cambria Math" w:cs="Arial"/>
                    </w:rPr>
                    <m:t>,  &amp;ventas≤cupo</m:t>
                  </m:r>
                </m:e>
                <m:e>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rPr>
                    <m:t>,  &amp;ventas&gt;cupo</m:t>
                  </m:r>
                </m:e>
              </m:eqArr>
            </m:e>
          </m:d>
          <m:r>
            <w:rPr>
              <w:rFonts w:ascii="Cambria Math" w:hAnsi="Cambria Math" w:cs="Arial"/>
              <w:lang w:val="es-CO"/>
            </w:rPr>
            <m:t xml:space="preserve">             (2)</m:t>
          </m:r>
        </m:oMath>
      </m:oMathPara>
    </w:p>
    <w:p w14:paraId="0E44DE0C" w14:textId="77777777" w:rsidR="00B84525" w:rsidRPr="00710D84" w:rsidRDefault="00B84525" w:rsidP="00B84525">
      <w:pPr>
        <w:ind w:left="0"/>
        <w:jc w:val="both"/>
        <w:textAlignment w:val="center"/>
        <w:rPr>
          <w:rFonts w:ascii="Calibri" w:hAnsi="Calibri" w:cs="Calibri"/>
          <w:sz w:val="22"/>
          <w:szCs w:val="22"/>
          <w:lang w:val="es-CO" w:eastAsia="es-CO"/>
        </w:rPr>
      </w:pPr>
    </w:p>
    <w:p w14:paraId="03072730" w14:textId="77777777" w:rsidR="00B84525" w:rsidRPr="009563CD" w:rsidRDefault="00B84525" w:rsidP="00B84525">
      <w:pPr>
        <w:numPr>
          <w:ilvl w:val="0"/>
          <w:numId w:val="30"/>
        </w:numPr>
        <w:jc w:val="both"/>
        <w:textAlignment w:val="center"/>
        <w:rPr>
          <w:rFonts w:ascii="Calibri" w:hAnsi="Calibri" w:cs="Calibri"/>
          <w:sz w:val="22"/>
          <w:szCs w:val="22"/>
          <w:lang w:val="es-CO" w:eastAsia="es-CO"/>
        </w:rPr>
      </w:pPr>
      <w:r w:rsidRPr="009563CD">
        <w:rPr>
          <w:rFonts w:ascii="Bookman Old Style" w:hAnsi="Bookman Old Style" w:cs="Calibri"/>
          <w:lang w:val="es-CO" w:eastAsia="es-CO"/>
        </w:rPr>
        <w:lastRenderedPageBreak/>
        <w:t>Para las ventas con cupo de combustibles en zona de frontera exentos en virtud del Artículo 9 de la Ley 1430 de 2010, modificado por el Artículo 173 de la Ley 1607 de 2012</w:t>
      </w:r>
      <w:r w:rsidRPr="009563CD">
        <w:rPr>
          <w:rFonts w:ascii="Bookman Old Style" w:hAnsi="Bookman Old Style" w:cs="Calibri"/>
          <w:lang w:val="es-MX" w:eastAsia="es-CO"/>
        </w:rPr>
        <w:t>, e</w:t>
      </w:r>
      <w:r w:rsidRPr="009563CD">
        <w:rPr>
          <w:rFonts w:ascii="Bookman Old Style" w:hAnsi="Bookman Old Style" w:cs="Calibri"/>
          <w:lang w:val="es-CO" w:eastAsia="es-CO"/>
        </w:rPr>
        <w:t>s el valor resultante de</w:t>
      </w:r>
      <w:r w:rsidRPr="009563CD">
        <w:rPr>
          <w:rFonts w:ascii="Bookman Old Style" w:hAnsi="Bookman Old Style" w:cs="Calibri"/>
          <w:lang w:val="es-MX" w:eastAsia="es-CO"/>
        </w:rPr>
        <w:t xml:space="preserve"> multiplicar el Ingreso al productor del combustible fósil, la Proporción de combustible fósil en la mezcla y la Proporcionalidad para municipios y corregimientos reconocidos como ZDF.</w:t>
      </w:r>
    </w:p>
    <w:p w14:paraId="44771216" w14:textId="77777777" w:rsidR="00B84525" w:rsidRPr="001768DF" w:rsidRDefault="00B84525" w:rsidP="00B84525">
      <w:pPr>
        <w:ind w:left="0"/>
        <w:jc w:val="both"/>
        <w:rPr>
          <w:rFonts w:ascii="Bookman Old Style" w:hAnsi="Bookman Old Style" w:cs="Arial"/>
          <w:iCs/>
          <w:lang w:val="es-CO"/>
        </w:rPr>
      </w:pPr>
    </w:p>
    <w:p w14:paraId="26FDB1EF"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6D9FE36E"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8039"/>
      </w:tblGrid>
      <w:tr w:rsidR="00B84525" w14:paraId="392FC0DC" w14:textId="77777777" w:rsidTr="00541C56">
        <w:tc>
          <w:tcPr>
            <w:tcW w:w="1307" w:type="dxa"/>
          </w:tcPr>
          <w:p w14:paraId="29E4E959" w14:textId="77777777" w:rsidR="00B84525" w:rsidRDefault="00B84525" w:rsidP="00541C56">
            <w:pPr>
              <w:ind w:left="0"/>
              <w:jc w:val="right"/>
              <w:rPr>
                <w:rFonts w:ascii="Bookman Old Style" w:hAnsi="Bookman Old Style" w:cs="Arial"/>
                <w:lang w:val="es-CO"/>
              </w:rPr>
            </w:pPr>
            <m:oMath>
              <m:r>
                <w:rPr>
                  <w:rFonts w:ascii="Cambria Math" w:hAnsi="Cambria Math" w:cs="Arial"/>
                  <w:lang w:val="es-CO"/>
                </w:rPr>
                <m:t>PIP</m:t>
              </m:r>
            </m:oMath>
            <w:r>
              <w:rPr>
                <w:rFonts w:ascii="Bookman Old Style" w:hAnsi="Bookman Old Style" w:cs="Arial"/>
                <w:lang w:val="es-CO"/>
              </w:rPr>
              <w:t>:</w:t>
            </w:r>
          </w:p>
        </w:tc>
        <w:tc>
          <w:tcPr>
            <w:tcW w:w="8039" w:type="dxa"/>
          </w:tcPr>
          <w:p w14:paraId="4DD8D4DF" w14:textId="77777777" w:rsidR="00B84525" w:rsidRDefault="00B84525" w:rsidP="00541C56">
            <w:pPr>
              <w:ind w:left="0"/>
              <w:jc w:val="both"/>
              <w:rPr>
                <w:rFonts w:ascii="Bookman Old Style" w:hAnsi="Bookman Old Style" w:cs="Arial"/>
                <w:iCs/>
              </w:rPr>
            </w:pPr>
            <w:r w:rsidRPr="007C7402">
              <w:rPr>
                <w:rFonts w:ascii="Bookman Old Style" w:hAnsi="Bookman Old Style" w:cs="Arial"/>
                <w:iCs/>
              </w:rPr>
              <w:t xml:space="preserve">Proporción del </w:t>
            </w:r>
            <w:r>
              <w:rPr>
                <w:rFonts w:ascii="Bookman Old Style" w:hAnsi="Bookman Old Style" w:cs="Arial"/>
                <w:iCs/>
              </w:rPr>
              <w:t>i</w:t>
            </w:r>
            <w:r w:rsidRPr="007C7402">
              <w:rPr>
                <w:rFonts w:ascii="Bookman Old Style" w:hAnsi="Bookman Old Style" w:cs="Arial"/>
                <w:iCs/>
              </w:rPr>
              <w:t xml:space="preserve">ngreso al </w:t>
            </w:r>
            <w:r>
              <w:rPr>
                <w:rFonts w:ascii="Bookman Old Style" w:hAnsi="Bookman Old Style" w:cs="Arial"/>
                <w:iCs/>
              </w:rPr>
              <w:t>p</w:t>
            </w:r>
            <w:r w:rsidRPr="007C7402">
              <w:rPr>
                <w:rFonts w:ascii="Bookman Old Style" w:hAnsi="Bookman Old Style" w:cs="Arial"/>
                <w:iCs/>
              </w:rPr>
              <w:t>roductor del combustible fósil</w:t>
            </w:r>
          </w:p>
          <w:p w14:paraId="126B4B2D" w14:textId="77777777" w:rsidR="00B84525" w:rsidRPr="007C7402" w:rsidRDefault="00B84525" w:rsidP="00541C56">
            <w:pPr>
              <w:ind w:left="0"/>
              <w:jc w:val="both"/>
              <w:rPr>
                <w:rFonts w:ascii="Bookman Old Style" w:hAnsi="Bookman Old Style" w:cs="Arial"/>
                <w:iCs/>
              </w:rPr>
            </w:pPr>
          </w:p>
        </w:tc>
      </w:tr>
      <w:tr w:rsidR="00B84525" w14:paraId="0A89F438" w14:textId="77777777" w:rsidTr="00541C56">
        <w:tc>
          <w:tcPr>
            <w:tcW w:w="1307" w:type="dxa"/>
          </w:tcPr>
          <w:p w14:paraId="780684A5"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iCs/>
                <w:lang w:val="es-CO"/>
              </w:rPr>
              <w:t>:</w:t>
            </w:r>
          </w:p>
        </w:tc>
        <w:tc>
          <w:tcPr>
            <w:tcW w:w="8039" w:type="dxa"/>
          </w:tcPr>
          <w:p w14:paraId="2D1BAE25" w14:textId="77777777" w:rsidR="00B84525" w:rsidRPr="0053066B" w:rsidRDefault="00B84525" w:rsidP="00541C56">
            <w:pPr>
              <w:pStyle w:val="Prrafodelista"/>
              <w:numPr>
                <w:ilvl w:val="0"/>
                <w:numId w:val="28"/>
              </w:numPr>
              <w:ind w:left="461" w:hanging="283"/>
              <w:jc w:val="both"/>
              <w:rPr>
                <w:rFonts w:ascii="Bookman Old Style" w:hAnsi="Bookman Old Style" w:cs="Arial"/>
                <w:iCs/>
              </w:rPr>
            </w:pPr>
            <w:r>
              <w:rPr>
                <w:rFonts w:ascii="Bookman Old Style" w:hAnsi="Bookman Old Style" w:cs="Arial"/>
                <w:iCs/>
                <w:sz w:val="24"/>
                <w:szCs w:val="24"/>
              </w:rPr>
              <w:t>P</w:t>
            </w:r>
            <w:r w:rsidRPr="000249E7">
              <w:rPr>
                <w:rFonts w:ascii="Bookman Old Style" w:hAnsi="Bookman Old Style" w:cs="Arial"/>
                <w:iCs/>
                <w:sz w:val="24"/>
                <w:szCs w:val="24"/>
              </w:rPr>
              <w:t xml:space="preserve">ara la gasolina motor corriente, </w:t>
            </w:r>
            <w:r>
              <w:rPr>
                <w:rFonts w:ascii="Bookman Old Style" w:hAnsi="Bookman Old Style" w:cs="Arial"/>
                <w:iCs/>
                <w:sz w:val="24"/>
                <w:szCs w:val="24"/>
              </w:rPr>
              <w:t xml:space="preserve">es calculado conforme a lo establecido en </w:t>
            </w:r>
            <w:r w:rsidRPr="009D7BF8">
              <w:rPr>
                <w:rFonts w:ascii="Bookman Old Style" w:hAnsi="Bookman Old Style" w:cs="Arial"/>
                <w:iCs/>
                <w:sz w:val="24"/>
                <w:szCs w:val="24"/>
              </w:rPr>
              <w:t xml:space="preserve">la Resolución </w:t>
            </w:r>
            <w:r w:rsidRPr="000249E7">
              <w:rPr>
                <w:rFonts w:ascii="Bookman Old Style" w:hAnsi="Bookman Old Style" w:cs="Arial"/>
                <w:iCs/>
                <w:sz w:val="24"/>
                <w:szCs w:val="24"/>
              </w:rPr>
              <w:t>MME 181602 de 2011, modificada por la Resolución MME 181493 de 2012 y demás normas que la modifiquen, adicionen o sustituyan.</w:t>
            </w:r>
          </w:p>
          <w:p w14:paraId="19F49331" w14:textId="77777777" w:rsidR="00B84525" w:rsidRPr="006B5DC7" w:rsidRDefault="00B84525" w:rsidP="00541C56">
            <w:pPr>
              <w:pStyle w:val="Prrafodelista"/>
              <w:numPr>
                <w:ilvl w:val="0"/>
                <w:numId w:val="28"/>
              </w:numPr>
              <w:ind w:left="461" w:hanging="283"/>
              <w:jc w:val="both"/>
              <w:rPr>
                <w:rFonts w:ascii="Bookman Old Style" w:hAnsi="Bookman Old Style" w:cs="Arial"/>
                <w:iCs/>
              </w:rPr>
            </w:pPr>
            <w:r>
              <w:rPr>
                <w:rFonts w:ascii="Bookman Old Style" w:hAnsi="Bookman Old Style" w:cs="Arial"/>
                <w:iCs/>
                <w:sz w:val="24"/>
                <w:szCs w:val="24"/>
              </w:rPr>
              <w:t>P</w:t>
            </w:r>
            <w:r w:rsidRPr="000249E7">
              <w:rPr>
                <w:rFonts w:ascii="Bookman Old Style" w:hAnsi="Bookman Old Style" w:cs="Arial"/>
                <w:iCs/>
                <w:sz w:val="24"/>
                <w:szCs w:val="24"/>
              </w:rPr>
              <w:t xml:space="preserve">ara el ACPM-Diésel, </w:t>
            </w:r>
            <w:r>
              <w:rPr>
                <w:rFonts w:ascii="Bookman Old Style" w:hAnsi="Bookman Old Style" w:cs="Arial"/>
                <w:iCs/>
                <w:sz w:val="24"/>
                <w:szCs w:val="24"/>
              </w:rPr>
              <w:t xml:space="preserve">es calculado conforme a lo establecido en </w:t>
            </w:r>
            <w:r w:rsidRPr="009D7BF8">
              <w:rPr>
                <w:rFonts w:ascii="Bookman Old Style" w:hAnsi="Bookman Old Style" w:cs="Arial"/>
                <w:iCs/>
                <w:sz w:val="24"/>
                <w:szCs w:val="24"/>
              </w:rPr>
              <w:t xml:space="preserve">la </w:t>
            </w:r>
            <w:r w:rsidRPr="000249E7">
              <w:rPr>
                <w:rFonts w:ascii="Bookman Old Style" w:hAnsi="Bookman Old Style" w:cs="Arial"/>
                <w:iCs/>
                <w:sz w:val="24"/>
                <w:szCs w:val="24"/>
              </w:rPr>
              <w:t>Resolución 181491 de 2012, modificada por la Resolución MME 90145 de 2014 y demás normas que la modifiquen, adicionen o sustituyan.</w:t>
            </w:r>
          </w:p>
          <w:p w14:paraId="56BF78CB" w14:textId="77777777" w:rsidR="00B84525" w:rsidRPr="006B5DC7" w:rsidRDefault="00B84525" w:rsidP="00541C56">
            <w:pPr>
              <w:ind w:left="0"/>
              <w:jc w:val="both"/>
              <w:rPr>
                <w:rFonts w:ascii="Bookman Old Style" w:hAnsi="Bookman Old Style" w:cs="Arial"/>
                <w:iCs/>
              </w:rPr>
            </w:pPr>
          </w:p>
        </w:tc>
      </w:tr>
      <w:tr w:rsidR="00B84525" w14:paraId="1287A199" w14:textId="77777777" w:rsidTr="00541C56">
        <w:tc>
          <w:tcPr>
            <w:tcW w:w="1307" w:type="dxa"/>
          </w:tcPr>
          <w:p w14:paraId="696AAE1B" w14:textId="77777777" w:rsidR="00B84525" w:rsidRDefault="00000000" w:rsidP="00541C56">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Pr>
                <w:rFonts w:ascii="Bookman Old Style" w:hAnsi="Bookman Old Style" w:cs="Arial"/>
                <w:iCs/>
                <w:lang w:val="es-CO"/>
              </w:rPr>
              <w:t>:</w:t>
            </w:r>
          </w:p>
        </w:tc>
        <w:tc>
          <w:tcPr>
            <w:tcW w:w="8039" w:type="dxa"/>
          </w:tcPr>
          <w:p w14:paraId="3CA630A1" w14:textId="77777777" w:rsidR="00B84525" w:rsidRDefault="00B84525" w:rsidP="00541C56">
            <w:pPr>
              <w:ind w:left="0"/>
              <w:jc w:val="both"/>
              <w:rPr>
                <w:rFonts w:ascii="Bookman Old Style" w:hAnsi="Bookman Old Style" w:cs="Arial"/>
                <w:iCs/>
              </w:rPr>
            </w:pPr>
            <w:r>
              <w:rPr>
                <w:rFonts w:ascii="Bookman Old Style" w:hAnsi="Bookman Old Style" w:cs="Arial"/>
                <w:iCs/>
                <w:lang w:val="es-CO"/>
              </w:rPr>
              <w:t>Es el 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p w14:paraId="4EA45CC4" w14:textId="77777777" w:rsidR="00B84525" w:rsidRPr="000B54D5" w:rsidRDefault="00B84525" w:rsidP="00541C56">
            <w:pPr>
              <w:ind w:left="0"/>
              <w:jc w:val="both"/>
              <w:rPr>
                <w:rFonts w:ascii="Bookman Old Style" w:hAnsi="Bookman Old Style" w:cs="Arial"/>
                <w:iCs/>
              </w:rPr>
            </w:pPr>
          </w:p>
        </w:tc>
      </w:tr>
      <w:tr w:rsidR="00B84525" w14:paraId="201EA391" w14:textId="77777777" w:rsidTr="00541C56">
        <w:tc>
          <w:tcPr>
            <w:tcW w:w="1307" w:type="dxa"/>
          </w:tcPr>
          <w:p w14:paraId="784F2E9D" w14:textId="77777777" w:rsidR="00B84525" w:rsidRDefault="00000000" w:rsidP="00541C56">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MMEprop</m:t>
                  </m:r>
                </m:sub>
              </m:sSub>
            </m:oMath>
            <w:r w:rsidR="00B84525">
              <w:rPr>
                <w:rFonts w:ascii="Bookman Old Style" w:hAnsi="Bookman Old Style" w:cs="Arial"/>
                <w:iCs/>
                <w:lang w:val="es-CO"/>
              </w:rPr>
              <w:t>:</w:t>
            </w:r>
          </w:p>
        </w:tc>
        <w:tc>
          <w:tcPr>
            <w:tcW w:w="8039" w:type="dxa"/>
          </w:tcPr>
          <w:p w14:paraId="10BC3A8B"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Es el valor establecido en la Resolución MME 40373 de 2024,</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5275A693" w14:textId="77777777" w:rsidR="00B84525" w:rsidRDefault="00B84525" w:rsidP="00B84525">
      <w:pPr>
        <w:ind w:left="0"/>
        <w:jc w:val="both"/>
        <w:rPr>
          <w:rFonts w:ascii="Bookman Old Style" w:hAnsi="Bookman Old Style" w:cs="Arial"/>
          <w:iCs/>
        </w:rPr>
      </w:pPr>
    </w:p>
    <w:p w14:paraId="06843863" w14:textId="77777777" w:rsidR="00B84525" w:rsidRPr="006B5DC7" w:rsidRDefault="00B84525" w:rsidP="00B84525">
      <w:pPr>
        <w:pStyle w:val="Prrafodelista"/>
        <w:numPr>
          <w:ilvl w:val="0"/>
          <w:numId w:val="30"/>
        </w:numPr>
        <w:jc w:val="both"/>
        <w:rPr>
          <w:rFonts w:ascii="Bookman Old Style" w:hAnsi="Bookman Old Style" w:cs="Arial"/>
          <w:bCs/>
        </w:rPr>
      </w:pPr>
      <w:r>
        <w:rPr>
          <w:rFonts w:ascii="Bookman Old Style" w:hAnsi="Bookman Old Style" w:cs="Arial"/>
          <w:iCs/>
          <w:sz w:val="24"/>
          <w:szCs w:val="24"/>
        </w:rPr>
        <w:t>P</w:t>
      </w:r>
      <w:r w:rsidRPr="00C93937">
        <w:rPr>
          <w:rFonts w:ascii="Bookman Old Style" w:hAnsi="Bookman Old Style" w:cs="Arial"/>
          <w:iCs/>
          <w:sz w:val="24"/>
          <w:szCs w:val="24"/>
        </w:rPr>
        <w:t>ara las ventas por encima de cupo de zona de frontera de combustibles exentos</w:t>
      </w:r>
      <w:r>
        <w:rPr>
          <w:rFonts w:ascii="Bookman Old Style" w:hAnsi="Bookman Old Style" w:cs="Arial"/>
          <w:iCs/>
          <w:sz w:val="24"/>
          <w:szCs w:val="24"/>
        </w:rPr>
        <w:t xml:space="preserve">, es el valor resultante de multiplicar </w:t>
      </w:r>
      <w:r w:rsidRPr="00C93937">
        <w:rPr>
          <w:rFonts w:ascii="Bookman Old Style" w:hAnsi="Bookman Old Style" w:cs="Arial"/>
          <w:iCs/>
          <w:sz w:val="24"/>
          <w:szCs w:val="24"/>
        </w:rPr>
        <w:t xml:space="preserve">el </w:t>
      </w:r>
      <w:r>
        <w:rPr>
          <w:rFonts w:ascii="Bookman Old Style" w:hAnsi="Bookman Old Style" w:cs="Arial"/>
          <w:iCs/>
          <w:sz w:val="24"/>
          <w:szCs w:val="24"/>
        </w:rPr>
        <w:t>i</w:t>
      </w:r>
      <w:r w:rsidRPr="00C93937">
        <w:rPr>
          <w:rFonts w:ascii="Bookman Old Style" w:hAnsi="Bookman Old Style" w:cs="Arial"/>
          <w:iCs/>
          <w:sz w:val="24"/>
          <w:szCs w:val="24"/>
        </w:rPr>
        <w:t>ngreso al productor del combustible fósil</w:t>
      </w:r>
      <w:r>
        <w:rPr>
          <w:rFonts w:ascii="Bookman Old Style" w:hAnsi="Bookman Old Style" w:cs="Arial"/>
          <w:iCs/>
          <w:sz w:val="24"/>
          <w:szCs w:val="24"/>
        </w:rPr>
        <w:t xml:space="preserve"> y </w:t>
      </w:r>
      <w:r w:rsidRPr="006B5DC7">
        <w:rPr>
          <w:rFonts w:ascii="Bookman Old Style" w:hAnsi="Bookman Old Style" w:cs="Arial"/>
          <w:iCs/>
          <w:sz w:val="24"/>
          <w:szCs w:val="24"/>
        </w:rPr>
        <w:t xml:space="preserve">la </w:t>
      </w:r>
      <w:r>
        <w:rPr>
          <w:rFonts w:ascii="Bookman Old Style" w:hAnsi="Bookman Old Style" w:cs="Arial"/>
          <w:iCs/>
          <w:sz w:val="24"/>
          <w:szCs w:val="24"/>
        </w:rPr>
        <w:t>p</w:t>
      </w:r>
      <w:r w:rsidRPr="006B5DC7">
        <w:rPr>
          <w:rFonts w:ascii="Bookman Old Style" w:hAnsi="Bookman Old Style" w:cs="Arial"/>
          <w:iCs/>
          <w:sz w:val="24"/>
          <w:szCs w:val="24"/>
        </w:rPr>
        <w:t>roporción de combustible fósil en la mezcla</w:t>
      </w:r>
      <w:r>
        <w:rPr>
          <w:rFonts w:ascii="Bookman Old Style" w:hAnsi="Bookman Old Style" w:cs="Arial"/>
          <w:iCs/>
          <w:sz w:val="24"/>
          <w:szCs w:val="24"/>
        </w:rPr>
        <w:t>.</w:t>
      </w:r>
    </w:p>
    <w:p w14:paraId="0D4EE138"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2622D08D"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B84525" w14:paraId="7FD4981B" w14:textId="77777777" w:rsidTr="00541C56">
        <w:tc>
          <w:tcPr>
            <w:tcW w:w="1271" w:type="dxa"/>
          </w:tcPr>
          <w:p w14:paraId="20A77556" w14:textId="77777777" w:rsidR="00B84525" w:rsidRDefault="00B84525" w:rsidP="00541C56">
            <w:pPr>
              <w:ind w:left="0"/>
              <w:jc w:val="right"/>
              <w:rPr>
                <w:rFonts w:ascii="Bookman Old Style" w:hAnsi="Bookman Old Style" w:cs="Arial"/>
                <w:lang w:val="es-CO"/>
              </w:rPr>
            </w:pPr>
            <m:oMath>
              <m:r>
                <w:rPr>
                  <w:rFonts w:ascii="Cambria Math" w:hAnsi="Cambria Math" w:cs="Arial"/>
                  <w:lang w:val="es-CO"/>
                </w:rPr>
                <m:t>PIP</m:t>
              </m:r>
            </m:oMath>
            <w:r>
              <w:rPr>
                <w:rFonts w:ascii="Bookman Old Style" w:hAnsi="Bookman Old Style" w:cs="Arial"/>
                <w:lang w:val="es-CO"/>
              </w:rPr>
              <w:t>:</w:t>
            </w:r>
          </w:p>
        </w:tc>
        <w:tc>
          <w:tcPr>
            <w:tcW w:w="8075" w:type="dxa"/>
          </w:tcPr>
          <w:p w14:paraId="534D1BFD" w14:textId="77777777" w:rsidR="00B84525" w:rsidRDefault="00B84525" w:rsidP="00541C56">
            <w:pPr>
              <w:ind w:left="0"/>
              <w:jc w:val="both"/>
              <w:rPr>
                <w:rFonts w:ascii="Bookman Old Style" w:hAnsi="Bookman Old Style" w:cs="Arial"/>
                <w:iCs/>
              </w:rPr>
            </w:pPr>
            <w:r w:rsidRPr="007C7402">
              <w:rPr>
                <w:rFonts w:ascii="Bookman Old Style" w:hAnsi="Bookman Old Style" w:cs="Arial"/>
                <w:iCs/>
              </w:rPr>
              <w:t xml:space="preserve">Proporción del </w:t>
            </w:r>
            <w:r>
              <w:rPr>
                <w:rFonts w:ascii="Bookman Old Style" w:hAnsi="Bookman Old Style" w:cs="Arial"/>
                <w:iCs/>
              </w:rPr>
              <w:t>i</w:t>
            </w:r>
            <w:r w:rsidRPr="007C7402">
              <w:rPr>
                <w:rFonts w:ascii="Bookman Old Style" w:hAnsi="Bookman Old Style" w:cs="Arial"/>
                <w:iCs/>
              </w:rPr>
              <w:t xml:space="preserve">ngreso al </w:t>
            </w:r>
            <w:r>
              <w:rPr>
                <w:rFonts w:ascii="Bookman Old Style" w:hAnsi="Bookman Old Style" w:cs="Arial"/>
                <w:iCs/>
              </w:rPr>
              <w:t>p</w:t>
            </w:r>
            <w:r w:rsidRPr="007C7402">
              <w:rPr>
                <w:rFonts w:ascii="Bookman Old Style" w:hAnsi="Bookman Old Style" w:cs="Arial"/>
                <w:iCs/>
              </w:rPr>
              <w:t>roductor del combustible fósil</w:t>
            </w:r>
          </w:p>
          <w:p w14:paraId="50379825" w14:textId="77777777" w:rsidR="00B84525" w:rsidRPr="00CE34F4" w:rsidRDefault="00B84525" w:rsidP="00541C56">
            <w:pPr>
              <w:jc w:val="both"/>
              <w:rPr>
                <w:rFonts w:ascii="Bookman Old Style" w:hAnsi="Bookman Old Style" w:cs="Arial"/>
                <w:iCs/>
              </w:rPr>
            </w:pPr>
          </w:p>
        </w:tc>
      </w:tr>
      <w:tr w:rsidR="00B84525" w14:paraId="57D1F0FD" w14:textId="77777777" w:rsidTr="00541C56">
        <w:tc>
          <w:tcPr>
            <w:tcW w:w="1271" w:type="dxa"/>
          </w:tcPr>
          <w:p w14:paraId="19DC4DC1"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iCs/>
                <w:lang w:val="es-CO"/>
              </w:rPr>
              <w:t>:</w:t>
            </w:r>
          </w:p>
        </w:tc>
        <w:tc>
          <w:tcPr>
            <w:tcW w:w="8075" w:type="dxa"/>
          </w:tcPr>
          <w:p w14:paraId="339FA806" w14:textId="77777777" w:rsidR="00B84525" w:rsidRDefault="00B84525" w:rsidP="00541C56">
            <w:pPr>
              <w:pStyle w:val="Prrafodelista"/>
              <w:numPr>
                <w:ilvl w:val="0"/>
                <w:numId w:val="28"/>
              </w:numPr>
              <w:jc w:val="both"/>
              <w:rPr>
                <w:rFonts w:ascii="Bookman Old Style" w:hAnsi="Bookman Old Style" w:cs="Arial"/>
                <w:iCs/>
                <w:sz w:val="24"/>
                <w:szCs w:val="24"/>
              </w:rPr>
            </w:pPr>
            <w:r>
              <w:rPr>
                <w:rFonts w:ascii="Bookman Old Style" w:hAnsi="Bookman Old Style" w:cs="Arial"/>
                <w:iCs/>
                <w:sz w:val="24"/>
                <w:szCs w:val="24"/>
              </w:rPr>
              <w:t>P</w:t>
            </w:r>
            <w:r w:rsidRPr="000249E7">
              <w:rPr>
                <w:rFonts w:ascii="Bookman Old Style" w:hAnsi="Bookman Old Style" w:cs="Arial"/>
                <w:iCs/>
                <w:sz w:val="24"/>
                <w:szCs w:val="24"/>
              </w:rPr>
              <w:t xml:space="preserve">ara la gasolina motor corriente, </w:t>
            </w:r>
            <w:r>
              <w:rPr>
                <w:rFonts w:ascii="Bookman Old Style" w:hAnsi="Bookman Old Style" w:cs="Arial"/>
                <w:iCs/>
                <w:sz w:val="24"/>
                <w:szCs w:val="24"/>
              </w:rPr>
              <w:t xml:space="preserve">es calculado conforme a lo establecido en </w:t>
            </w:r>
            <w:r w:rsidRPr="009D7BF8">
              <w:rPr>
                <w:rFonts w:ascii="Bookman Old Style" w:hAnsi="Bookman Old Style" w:cs="Arial"/>
                <w:iCs/>
                <w:sz w:val="24"/>
                <w:szCs w:val="24"/>
              </w:rPr>
              <w:t xml:space="preserve">la Resolución </w:t>
            </w:r>
            <w:r w:rsidRPr="000249E7">
              <w:rPr>
                <w:rFonts w:ascii="Bookman Old Style" w:hAnsi="Bookman Old Style" w:cs="Arial"/>
                <w:iCs/>
                <w:sz w:val="24"/>
                <w:szCs w:val="24"/>
              </w:rPr>
              <w:t>MME 181602 de 2011, modificada por la Resolución MME 181493 de 2012 y demás normas que la modifiquen, adicionen o sustituyan.</w:t>
            </w:r>
          </w:p>
          <w:p w14:paraId="0EFDCFE4" w14:textId="77777777" w:rsidR="00B84525" w:rsidRDefault="00B84525" w:rsidP="00541C56">
            <w:pPr>
              <w:pStyle w:val="Prrafodelista"/>
              <w:numPr>
                <w:ilvl w:val="0"/>
                <w:numId w:val="28"/>
              </w:numPr>
              <w:jc w:val="both"/>
              <w:rPr>
                <w:rFonts w:ascii="Bookman Old Style" w:hAnsi="Bookman Old Style" w:cs="Arial"/>
                <w:iCs/>
                <w:sz w:val="24"/>
                <w:szCs w:val="24"/>
              </w:rPr>
            </w:pPr>
          </w:p>
          <w:p w14:paraId="3A1D0BE9" w14:textId="77777777" w:rsidR="00B84525" w:rsidRPr="006F26CA" w:rsidRDefault="00B84525" w:rsidP="00541C56">
            <w:pPr>
              <w:pStyle w:val="Prrafodelista"/>
              <w:numPr>
                <w:ilvl w:val="0"/>
                <w:numId w:val="28"/>
              </w:numPr>
              <w:jc w:val="both"/>
              <w:rPr>
                <w:rFonts w:ascii="Bookman Old Style" w:hAnsi="Bookman Old Style" w:cs="Arial"/>
                <w:iCs/>
                <w:sz w:val="24"/>
                <w:szCs w:val="24"/>
              </w:rPr>
            </w:pPr>
            <w:r>
              <w:rPr>
                <w:rFonts w:ascii="Bookman Old Style" w:hAnsi="Bookman Old Style" w:cs="Arial"/>
                <w:iCs/>
                <w:sz w:val="24"/>
                <w:szCs w:val="24"/>
              </w:rPr>
              <w:t>P</w:t>
            </w:r>
            <w:r w:rsidRPr="000249E7">
              <w:rPr>
                <w:rFonts w:ascii="Bookman Old Style" w:hAnsi="Bookman Old Style" w:cs="Arial"/>
                <w:iCs/>
                <w:sz w:val="24"/>
                <w:szCs w:val="24"/>
              </w:rPr>
              <w:t xml:space="preserve">ara el ACPM-Diésel, </w:t>
            </w:r>
            <w:r>
              <w:rPr>
                <w:rFonts w:ascii="Bookman Old Style" w:hAnsi="Bookman Old Style" w:cs="Arial"/>
                <w:iCs/>
                <w:sz w:val="24"/>
                <w:szCs w:val="24"/>
              </w:rPr>
              <w:t xml:space="preserve">es calculado conforme a lo establecido en </w:t>
            </w:r>
            <w:r w:rsidRPr="009D7BF8">
              <w:rPr>
                <w:rFonts w:ascii="Bookman Old Style" w:hAnsi="Bookman Old Style" w:cs="Arial"/>
                <w:iCs/>
                <w:sz w:val="24"/>
                <w:szCs w:val="24"/>
              </w:rPr>
              <w:t xml:space="preserve">la </w:t>
            </w:r>
            <w:r w:rsidRPr="000249E7">
              <w:rPr>
                <w:rFonts w:ascii="Bookman Old Style" w:hAnsi="Bookman Old Style" w:cs="Arial"/>
                <w:iCs/>
                <w:sz w:val="24"/>
                <w:szCs w:val="24"/>
              </w:rPr>
              <w:t>Resolución 181491 de 2012, modificada por la Resolución MME 90145 de 2014 y demás normas que la modifiquen, adicionen o sustituyan.</w:t>
            </w:r>
          </w:p>
          <w:p w14:paraId="075EB853" w14:textId="77777777" w:rsidR="00B84525" w:rsidRDefault="00B84525" w:rsidP="00541C56">
            <w:pPr>
              <w:ind w:left="0"/>
              <w:jc w:val="both"/>
              <w:rPr>
                <w:rFonts w:ascii="Bookman Old Style" w:hAnsi="Bookman Old Style" w:cs="Arial"/>
                <w:iCs/>
                <w:lang w:val="es-CO"/>
              </w:rPr>
            </w:pPr>
          </w:p>
        </w:tc>
      </w:tr>
      <w:tr w:rsidR="00B84525" w14:paraId="373B70F4" w14:textId="77777777" w:rsidTr="00541C56">
        <w:tc>
          <w:tcPr>
            <w:tcW w:w="1271" w:type="dxa"/>
          </w:tcPr>
          <w:p w14:paraId="2C16F387" w14:textId="77777777" w:rsidR="00B84525" w:rsidRPr="002F6FA9" w:rsidRDefault="00000000" w:rsidP="00541C56">
            <w:pPr>
              <w:ind w:left="0"/>
              <w:jc w:val="right"/>
              <w:rPr>
                <w:rFonts w:ascii="Bookman Old Style" w:hAnsi="Bookman Old Style" w:cs="Arial"/>
                <w:iCs/>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Pr>
                <w:rFonts w:ascii="Bookman Old Style" w:hAnsi="Bookman Old Style" w:cs="Arial"/>
                <w:iCs/>
              </w:rPr>
              <w:t>:</w:t>
            </w:r>
          </w:p>
        </w:tc>
        <w:tc>
          <w:tcPr>
            <w:tcW w:w="8075" w:type="dxa"/>
          </w:tcPr>
          <w:p w14:paraId="07893ED0"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Es el 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7E690DBD" w14:textId="77777777" w:rsidR="00B84525" w:rsidRDefault="00B84525" w:rsidP="00B84525">
      <w:pPr>
        <w:ind w:left="0"/>
        <w:jc w:val="both"/>
        <w:rPr>
          <w:rFonts w:ascii="Bookman Old Style" w:hAnsi="Bookman Old Style" w:cs="Arial"/>
          <w:iCs/>
          <w:lang w:val="es-CO"/>
        </w:rPr>
      </w:pPr>
    </w:p>
    <w:p w14:paraId="1F410858"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4</w:t>
      </w:r>
      <w:r w:rsidRPr="0089668B">
        <w:rPr>
          <w:rFonts w:ascii="Bookman Old Style" w:hAnsi="Bookman Old Style" w:cs="Arial"/>
          <w:b/>
          <w:bCs/>
          <w:iCs/>
          <w:lang w:val="es-CO"/>
        </w:rPr>
        <w:t xml:space="preserve">.2. Proporción del </w:t>
      </w:r>
      <w:r>
        <w:rPr>
          <w:rFonts w:ascii="Bookman Old Style" w:hAnsi="Bookman Old Style" w:cs="Arial"/>
          <w:b/>
          <w:bCs/>
          <w:iCs/>
          <w:lang w:val="es-CO"/>
        </w:rPr>
        <w:t>i</w:t>
      </w:r>
      <w:r w:rsidRPr="0089668B">
        <w:rPr>
          <w:rFonts w:ascii="Bookman Old Style" w:hAnsi="Bookman Old Style" w:cs="Arial"/>
          <w:b/>
          <w:bCs/>
          <w:iCs/>
          <w:lang w:val="es-CO"/>
        </w:rPr>
        <w:t xml:space="preserve">ngreso al </w:t>
      </w:r>
      <w:r>
        <w:rPr>
          <w:rFonts w:ascii="Bookman Old Style" w:hAnsi="Bookman Old Style" w:cs="Arial"/>
          <w:b/>
          <w:bCs/>
          <w:iCs/>
          <w:lang w:val="es-CO"/>
        </w:rPr>
        <w:t>p</w:t>
      </w:r>
      <w:r w:rsidRPr="0089668B">
        <w:rPr>
          <w:rFonts w:ascii="Bookman Old Style" w:hAnsi="Bookman Old Style" w:cs="Arial"/>
          <w:b/>
          <w:bCs/>
          <w:iCs/>
          <w:lang w:val="es-CO"/>
        </w:rPr>
        <w:t>roductor de biocombustible:</w:t>
      </w:r>
      <w:r w:rsidRPr="00B75554">
        <w:rPr>
          <w:rFonts w:ascii="Bookman Old Style" w:hAnsi="Bookman Old Style" w:cs="Arial"/>
          <w:iCs/>
          <w:lang w:val="es-CO"/>
        </w:rPr>
        <w:t xml:space="preserve"> </w:t>
      </w:r>
      <w:bookmarkStart w:id="0" w:name="_Hlk178244277"/>
      <w:r w:rsidRPr="00B75554">
        <w:rPr>
          <w:rFonts w:ascii="Bookman Old Style" w:hAnsi="Bookman Old Style" w:cs="Arial"/>
          <w:iCs/>
          <w:lang w:val="es-CO"/>
        </w:rPr>
        <w:t xml:space="preserve">Es el valor resultante de </w:t>
      </w:r>
      <w:r>
        <w:rPr>
          <w:rFonts w:ascii="Bookman Old Style" w:hAnsi="Bookman Old Style" w:cs="Arial"/>
          <w:iCs/>
          <w:lang w:val="es-CO"/>
        </w:rPr>
        <w:t>multi</w:t>
      </w:r>
      <w:r w:rsidRPr="00B75554">
        <w:rPr>
          <w:rFonts w:ascii="Bookman Old Style" w:hAnsi="Bookman Old Style" w:cs="Arial"/>
          <w:iCs/>
          <w:lang w:val="es-CO"/>
        </w:rPr>
        <w:t>plicar</w:t>
      </w:r>
      <w:r>
        <w:rPr>
          <w:rFonts w:ascii="Bookman Old Style" w:hAnsi="Bookman Old Style" w:cs="Arial"/>
          <w:iCs/>
          <w:lang w:val="es-CO"/>
        </w:rPr>
        <w:t xml:space="preserve"> </w:t>
      </w:r>
      <w:r w:rsidRPr="00B55C5D">
        <w:rPr>
          <w:rFonts w:ascii="Bookman Old Style" w:hAnsi="Bookman Old Style" w:cs="Arial"/>
          <w:iCs/>
          <w:lang w:val="es-CO"/>
        </w:rPr>
        <w:t xml:space="preserve">el </w:t>
      </w:r>
      <w:r>
        <w:rPr>
          <w:rFonts w:ascii="Bookman Old Style" w:hAnsi="Bookman Old Style" w:cs="Arial"/>
          <w:iCs/>
          <w:lang w:val="es-CO"/>
        </w:rPr>
        <w:t>i</w:t>
      </w:r>
      <w:r w:rsidRPr="00B55C5D">
        <w:rPr>
          <w:rFonts w:ascii="Bookman Old Style" w:hAnsi="Bookman Old Style" w:cs="Arial"/>
          <w:iCs/>
          <w:lang w:val="es-CO"/>
        </w:rPr>
        <w:t>ngreso al productor del biocombustible</w:t>
      </w:r>
      <w:r>
        <w:rPr>
          <w:rFonts w:ascii="Bookman Old Style" w:hAnsi="Bookman Old Style" w:cs="Arial"/>
          <w:iCs/>
          <w:lang w:val="es-CO"/>
        </w:rPr>
        <w:t xml:space="preserve"> y </w:t>
      </w:r>
      <w:r w:rsidRPr="00B55C5D">
        <w:rPr>
          <w:rFonts w:ascii="Bookman Old Style" w:hAnsi="Bookman Old Style" w:cs="Arial"/>
          <w:iCs/>
          <w:lang w:val="es-CO"/>
        </w:rPr>
        <w:t xml:space="preserve">la </w:t>
      </w:r>
      <w:r>
        <w:rPr>
          <w:rFonts w:ascii="Bookman Old Style" w:hAnsi="Bookman Old Style" w:cs="Arial"/>
          <w:iCs/>
          <w:lang w:val="es-CO"/>
        </w:rPr>
        <w:t>p</w:t>
      </w:r>
      <w:r w:rsidRPr="00B55C5D">
        <w:rPr>
          <w:rFonts w:ascii="Bookman Old Style" w:hAnsi="Bookman Old Style" w:cs="Arial"/>
          <w:iCs/>
          <w:lang w:val="es-CO"/>
        </w:rPr>
        <w:t>roporción de biocombustible en la mezcla</w:t>
      </w:r>
      <w:r>
        <w:rPr>
          <w:rFonts w:ascii="Bookman Old Style" w:hAnsi="Bookman Old Style" w:cs="Arial"/>
          <w:iCs/>
        </w:rPr>
        <w:t>,</w:t>
      </w:r>
      <w:r>
        <w:rPr>
          <w:rFonts w:ascii="Bookman Old Style" w:hAnsi="Bookman Old Style" w:cs="Arial"/>
        </w:rPr>
        <w:t xml:space="preserve"> de acuerdo con la siguiente fórmula</w:t>
      </w:r>
      <w:r>
        <w:rPr>
          <w:rFonts w:ascii="Bookman Old Style" w:hAnsi="Bookman Old Style" w:cs="Arial"/>
          <w:iCs/>
          <w:lang w:val="es-CO"/>
        </w:rPr>
        <w:t>:</w:t>
      </w:r>
    </w:p>
    <w:bookmarkEnd w:id="0"/>
    <w:p w14:paraId="1CE9D50A" w14:textId="77777777" w:rsidR="00B84525" w:rsidRDefault="00B84525" w:rsidP="00B84525">
      <w:pPr>
        <w:ind w:left="0"/>
        <w:jc w:val="both"/>
        <w:rPr>
          <w:rFonts w:ascii="Bookman Old Style" w:hAnsi="Bookman Old Style" w:cs="Arial"/>
          <w:iCs/>
          <w:lang w:val="es-CO"/>
        </w:rPr>
      </w:pPr>
    </w:p>
    <w:p w14:paraId="519E9588" w14:textId="77777777" w:rsidR="00B84525" w:rsidRPr="00FD0184" w:rsidRDefault="00B84525" w:rsidP="00B84525">
      <w:pPr>
        <w:ind w:left="0"/>
        <w:jc w:val="both"/>
        <w:rPr>
          <w:rFonts w:ascii="Bookman Old Style" w:hAnsi="Bookman Old Style" w:cs="Arial"/>
          <w:lang w:val="es-CO"/>
        </w:rPr>
      </w:pPr>
      <m:oMathPara>
        <m:oMath>
          <m:r>
            <w:rPr>
              <w:rFonts w:ascii="Cambria Math" w:hAnsi="Cambria Math" w:cs="Arial"/>
              <w:lang w:val="es-CO"/>
            </w:rPr>
            <m:t>PBios=I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m:t>
          </m:r>
          <m:d>
            <m:dPr>
              <m:ctrlPr>
                <w:rPr>
                  <w:rFonts w:ascii="Cambria Math" w:hAnsi="Cambria Math" w:cs="Arial"/>
                  <w:i/>
                  <w:lang w:val="es-CO"/>
                </w:rPr>
              </m:ctrlPr>
            </m:dPr>
            <m:e>
              <m:r>
                <w:rPr>
                  <w:rFonts w:ascii="Cambria Math" w:hAnsi="Cambria Math" w:cs="Arial"/>
                  <w:lang w:val="es-CO"/>
                </w:rPr>
                <m:t>1-</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e>
          </m:d>
          <m:r>
            <w:rPr>
              <w:rFonts w:ascii="Cambria Math" w:hAnsi="Cambria Math" w:cs="Arial"/>
              <w:lang w:val="es-CO"/>
            </w:rPr>
            <m:t xml:space="preserve">             (3)</m:t>
          </m:r>
        </m:oMath>
      </m:oMathPara>
    </w:p>
    <w:p w14:paraId="4BDB6563" w14:textId="77777777" w:rsidR="00B84525" w:rsidRPr="00FD0184" w:rsidRDefault="00B84525" w:rsidP="00B84525">
      <w:pPr>
        <w:ind w:left="0"/>
        <w:jc w:val="both"/>
        <w:rPr>
          <w:rFonts w:ascii="Bookman Old Style" w:hAnsi="Bookman Old Style" w:cs="Arial"/>
          <w:iCs/>
          <w:lang w:val="es-CO"/>
        </w:rPr>
      </w:pPr>
    </w:p>
    <w:p w14:paraId="3ACD5EC8"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73B9F3FF"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B84525" w14:paraId="745DA105" w14:textId="77777777" w:rsidTr="00541C56">
        <w:tc>
          <w:tcPr>
            <w:tcW w:w="1271" w:type="dxa"/>
          </w:tcPr>
          <w:p w14:paraId="3FD27992" w14:textId="77777777" w:rsidR="00B84525" w:rsidRDefault="00B84525" w:rsidP="00541C56">
            <w:pPr>
              <w:ind w:left="0"/>
              <w:jc w:val="right"/>
              <w:rPr>
                <w:rFonts w:ascii="Bookman Old Style" w:hAnsi="Bookman Old Style" w:cs="Arial"/>
                <w:lang w:val="es-CO"/>
              </w:rPr>
            </w:pPr>
            <m:oMath>
              <m:r>
                <w:rPr>
                  <w:rFonts w:ascii="Cambria Math" w:hAnsi="Cambria Math" w:cs="Arial"/>
                  <w:lang w:val="es-CO"/>
                </w:rPr>
                <m:t>PBios</m:t>
              </m:r>
            </m:oMath>
            <w:r>
              <w:rPr>
                <w:rFonts w:ascii="Bookman Old Style" w:hAnsi="Bookman Old Style" w:cs="Arial"/>
                <w:lang w:val="es-CO"/>
              </w:rPr>
              <w:t>:</w:t>
            </w:r>
          </w:p>
        </w:tc>
        <w:tc>
          <w:tcPr>
            <w:tcW w:w="8075" w:type="dxa"/>
          </w:tcPr>
          <w:p w14:paraId="088E9A4D" w14:textId="77777777" w:rsidR="00B84525" w:rsidRDefault="00B84525" w:rsidP="00541C56">
            <w:pPr>
              <w:ind w:left="0"/>
              <w:jc w:val="both"/>
              <w:rPr>
                <w:rFonts w:ascii="Bookman Old Style" w:hAnsi="Bookman Old Style" w:cs="Arial"/>
                <w:iCs/>
              </w:rPr>
            </w:pPr>
            <w:r w:rsidRPr="00BF0D81">
              <w:rPr>
                <w:rFonts w:ascii="Bookman Old Style" w:hAnsi="Bookman Old Style" w:cs="Arial"/>
                <w:iCs/>
              </w:rPr>
              <w:t>Proporción del ingreso al productor de biocombustible</w:t>
            </w:r>
            <w:r>
              <w:rPr>
                <w:rFonts w:ascii="Bookman Old Style" w:hAnsi="Bookman Old Style" w:cs="Arial"/>
                <w:iCs/>
              </w:rPr>
              <w:t>.</w:t>
            </w:r>
          </w:p>
          <w:p w14:paraId="61C241A7" w14:textId="77777777" w:rsidR="00B84525" w:rsidRPr="00874789" w:rsidRDefault="00B84525" w:rsidP="00541C56">
            <w:pPr>
              <w:ind w:left="0"/>
              <w:jc w:val="both"/>
              <w:rPr>
                <w:rFonts w:ascii="Bookman Old Style" w:hAnsi="Bookman Old Style" w:cs="Arial"/>
                <w:iCs/>
              </w:rPr>
            </w:pPr>
          </w:p>
        </w:tc>
      </w:tr>
      <w:tr w:rsidR="00B84525" w14:paraId="2FE3B328" w14:textId="77777777" w:rsidTr="00541C56">
        <w:tc>
          <w:tcPr>
            <w:tcW w:w="1271" w:type="dxa"/>
          </w:tcPr>
          <w:p w14:paraId="46F73899"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oMath>
            <w:r>
              <w:rPr>
                <w:rFonts w:ascii="Bookman Old Style" w:hAnsi="Bookman Old Style" w:cs="Arial"/>
                <w:iCs/>
                <w:lang w:val="es-CO"/>
              </w:rPr>
              <w:t>:</w:t>
            </w:r>
          </w:p>
        </w:tc>
        <w:tc>
          <w:tcPr>
            <w:tcW w:w="8075" w:type="dxa"/>
          </w:tcPr>
          <w:p w14:paraId="1543221F" w14:textId="77777777" w:rsidR="00B84525" w:rsidRDefault="00B84525" w:rsidP="00541C56">
            <w:pPr>
              <w:pStyle w:val="Prrafodelista"/>
              <w:numPr>
                <w:ilvl w:val="0"/>
                <w:numId w:val="28"/>
              </w:numPr>
              <w:ind w:left="321" w:hanging="283"/>
              <w:jc w:val="both"/>
              <w:rPr>
                <w:rFonts w:ascii="Bookman Old Style" w:hAnsi="Bookman Old Style" w:cs="Arial"/>
                <w:iCs/>
                <w:sz w:val="24"/>
                <w:szCs w:val="24"/>
              </w:rPr>
            </w:pPr>
            <w:r w:rsidRPr="009D7BF8">
              <w:rPr>
                <w:rFonts w:ascii="Bookman Old Style" w:hAnsi="Bookman Old Style" w:cs="Arial"/>
                <w:iCs/>
                <w:sz w:val="24"/>
                <w:szCs w:val="24"/>
              </w:rPr>
              <w:t xml:space="preserve">Para biocombustible destinado a ser mezclado con la gasolina motor corriente, </w:t>
            </w:r>
            <w:r>
              <w:rPr>
                <w:rFonts w:ascii="Bookman Old Style" w:hAnsi="Bookman Old Style" w:cs="Arial"/>
                <w:iCs/>
                <w:sz w:val="24"/>
                <w:szCs w:val="24"/>
              </w:rPr>
              <w:t xml:space="preserve">es calculado conforme a lo establecido en </w:t>
            </w:r>
            <w:r w:rsidRPr="009D7BF8">
              <w:rPr>
                <w:rFonts w:ascii="Bookman Old Style" w:hAnsi="Bookman Old Style" w:cs="Arial"/>
                <w:iCs/>
                <w:sz w:val="24"/>
                <w:szCs w:val="24"/>
              </w:rPr>
              <w:t>la Resolución MME 181232 de 30 de julio de 2008, modificada por la Resolución MME 180643 del 27 de abril de 2012 y las normas que la modifiquen, adicionen o sustituyan.</w:t>
            </w:r>
          </w:p>
          <w:p w14:paraId="4B80BF40" w14:textId="77777777" w:rsidR="00B84525" w:rsidRDefault="00B84525" w:rsidP="00541C56">
            <w:pPr>
              <w:pStyle w:val="Prrafodelista"/>
              <w:ind w:left="720"/>
              <w:jc w:val="both"/>
              <w:rPr>
                <w:rFonts w:ascii="Bookman Old Style" w:hAnsi="Bookman Old Style" w:cs="Arial"/>
                <w:iCs/>
                <w:sz w:val="24"/>
                <w:szCs w:val="24"/>
              </w:rPr>
            </w:pPr>
          </w:p>
          <w:p w14:paraId="2535D8BD" w14:textId="77777777" w:rsidR="00B84525" w:rsidRPr="009D7BF8" w:rsidRDefault="00B84525" w:rsidP="00541C56">
            <w:pPr>
              <w:pStyle w:val="Prrafodelista"/>
              <w:numPr>
                <w:ilvl w:val="0"/>
                <w:numId w:val="28"/>
              </w:numPr>
              <w:ind w:left="321" w:hanging="283"/>
              <w:rPr>
                <w:rFonts w:ascii="Bookman Old Style" w:hAnsi="Bookman Old Style" w:cs="Arial"/>
                <w:iCs/>
                <w:sz w:val="24"/>
                <w:szCs w:val="24"/>
              </w:rPr>
            </w:pPr>
            <w:r w:rsidRPr="009D7BF8">
              <w:rPr>
                <w:rFonts w:ascii="Bookman Old Style" w:hAnsi="Bookman Old Style" w:cs="Arial"/>
                <w:iCs/>
                <w:sz w:val="24"/>
                <w:szCs w:val="24"/>
              </w:rPr>
              <w:t>Para biocombustible destinado a ser mezclado con ACPM-Diésel,</w:t>
            </w:r>
            <w:r>
              <w:rPr>
                <w:rFonts w:ascii="Bookman Old Style" w:hAnsi="Bookman Old Style" w:cs="Arial"/>
                <w:iCs/>
                <w:sz w:val="24"/>
                <w:szCs w:val="24"/>
              </w:rPr>
              <w:t xml:space="preserve"> es calculado conforme a lo establecido en </w:t>
            </w:r>
            <w:r w:rsidRPr="009D7BF8">
              <w:rPr>
                <w:rFonts w:ascii="Bookman Old Style" w:hAnsi="Bookman Old Style" w:cs="Arial"/>
                <w:iCs/>
                <w:sz w:val="24"/>
                <w:szCs w:val="24"/>
              </w:rPr>
              <w:t>la Resolución 40400 del 2019, y la</w:t>
            </w:r>
            <w:r>
              <w:rPr>
                <w:rFonts w:ascii="Bookman Old Style" w:hAnsi="Bookman Old Style" w:cs="Arial"/>
                <w:iCs/>
                <w:sz w:val="24"/>
                <w:szCs w:val="24"/>
              </w:rPr>
              <w:t>s</w:t>
            </w:r>
            <w:r w:rsidRPr="009D7BF8">
              <w:rPr>
                <w:rFonts w:ascii="Bookman Old Style" w:hAnsi="Bookman Old Style" w:cs="Arial"/>
                <w:iCs/>
                <w:sz w:val="24"/>
                <w:szCs w:val="24"/>
              </w:rPr>
              <w:t xml:space="preserve"> demás que la modifiquen, adicionen o sustituyan.</w:t>
            </w:r>
          </w:p>
          <w:p w14:paraId="1DC88003" w14:textId="77777777" w:rsidR="00B84525" w:rsidRDefault="00B84525" w:rsidP="00541C56">
            <w:pPr>
              <w:ind w:left="0"/>
              <w:jc w:val="both"/>
              <w:rPr>
                <w:rFonts w:ascii="Bookman Old Style" w:hAnsi="Bookman Old Style" w:cs="Arial"/>
                <w:iCs/>
                <w:lang w:val="es-CO"/>
              </w:rPr>
            </w:pPr>
          </w:p>
        </w:tc>
      </w:tr>
      <w:tr w:rsidR="00B84525" w14:paraId="5F58667F" w14:textId="77777777" w:rsidTr="00541C56">
        <w:tc>
          <w:tcPr>
            <w:tcW w:w="1271" w:type="dxa"/>
          </w:tcPr>
          <w:p w14:paraId="4D5CC49F" w14:textId="77777777" w:rsidR="00B84525" w:rsidRDefault="00000000" w:rsidP="00541C56">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Pr>
                <w:rFonts w:ascii="Bookman Old Style" w:hAnsi="Bookman Old Style" w:cs="Arial"/>
                <w:iCs/>
                <w:lang w:val="es-CO"/>
              </w:rPr>
              <w:t>:</w:t>
            </w:r>
          </w:p>
        </w:tc>
        <w:tc>
          <w:tcPr>
            <w:tcW w:w="8075" w:type="dxa"/>
          </w:tcPr>
          <w:p w14:paraId="7AEFDF5A" w14:textId="3E92D311" w:rsidR="00B84525" w:rsidRDefault="00326055" w:rsidP="00541C56">
            <w:pPr>
              <w:ind w:left="0"/>
              <w:jc w:val="both"/>
              <w:rPr>
                <w:rFonts w:ascii="Bookman Old Style" w:hAnsi="Bookman Old Style" w:cs="Arial"/>
                <w:iCs/>
                <w:lang w:val="es-CO"/>
              </w:rPr>
            </w:pPr>
            <w:r>
              <w:rPr>
                <w:rFonts w:ascii="Bookman Old Style" w:hAnsi="Bookman Old Style" w:cs="Arial"/>
                <w:iCs/>
                <w:lang w:val="es-CO"/>
              </w:rPr>
              <w:t>Es el 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5D60F811" w14:textId="77777777" w:rsidR="00B84525" w:rsidRDefault="00B84525" w:rsidP="00B84525">
      <w:pPr>
        <w:ind w:left="0"/>
        <w:jc w:val="both"/>
        <w:rPr>
          <w:rFonts w:ascii="Bookman Old Style" w:hAnsi="Bookman Old Style" w:cs="Arial"/>
          <w:iCs/>
          <w:lang w:val="es-CO"/>
        </w:rPr>
      </w:pPr>
    </w:p>
    <w:p w14:paraId="6C198D86" w14:textId="77777777" w:rsidR="00B84525" w:rsidRDefault="00B84525" w:rsidP="00B84525">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Pr>
          <w:rFonts w:ascii="Bookman Old Style" w:hAnsi="Bookman Old Style" w:cs="Arial"/>
          <w:b/>
          <w:bCs/>
          <w:iCs/>
          <w:lang w:val="es-CO"/>
        </w:rPr>
        <w:t>5</w:t>
      </w:r>
      <w:r w:rsidRPr="0082092A">
        <w:rPr>
          <w:rFonts w:ascii="Bookman Old Style" w:hAnsi="Bookman Old Style" w:cs="Arial"/>
          <w:b/>
          <w:bCs/>
          <w:iCs/>
          <w:lang w:val="es-CO"/>
        </w:rPr>
        <w:t>. TRANSPORTE</w:t>
      </w:r>
      <w:r>
        <w:rPr>
          <w:rFonts w:ascii="Bookman Old Style" w:hAnsi="Bookman Old Style" w:cs="Arial"/>
          <w:b/>
          <w:bCs/>
          <w:iCs/>
          <w:lang w:val="es-CO"/>
        </w:rPr>
        <w:t xml:space="preserve"> AL</w:t>
      </w:r>
      <w:r w:rsidRPr="0082092A">
        <w:rPr>
          <w:rFonts w:ascii="Bookman Old Style" w:hAnsi="Bookman Old Style" w:cs="Arial"/>
          <w:b/>
          <w:bCs/>
          <w:iCs/>
          <w:lang w:val="es-CO"/>
        </w:rPr>
        <w:t xml:space="preserve"> MAYORISTA</w:t>
      </w:r>
      <w:r>
        <w:rPr>
          <w:rFonts w:ascii="Bookman Old Style" w:hAnsi="Bookman Old Style" w:cs="Arial"/>
          <w:b/>
          <w:bCs/>
          <w:iCs/>
          <w:lang w:val="es-CO"/>
        </w:rPr>
        <w:t>:</w:t>
      </w:r>
      <w:r w:rsidRPr="0082092A">
        <w:rPr>
          <w:rFonts w:ascii="Bookman Old Style" w:hAnsi="Bookman Old Style" w:cs="Arial"/>
          <w:b/>
          <w:bCs/>
          <w:iCs/>
          <w:lang w:val="es-CO"/>
        </w:rPr>
        <w:t xml:space="preserve"> </w:t>
      </w:r>
      <w:r w:rsidRPr="006E1956">
        <w:rPr>
          <w:rFonts w:ascii="Bookman Old Style" w:hAnsi="Bookman Old Style" w:cs="Arial"/>
          <w:iCs/>
          <w:lang w:val="es-CO"/>
        </w:rPr>
        <w:t xml:space="preserve">El </w:t>
      </w:r>
      <w:r>
        <w:rPr>
          <w:rFonts w:ascii="Bookman Old Style" w:hAnsi="Bookman Old Style" w:cs="Arial"/>
          <w:iCs/>
          <w:lang w:val="es-CO"/>
        </w:rPr>
        <w:t>t</w:t>
      </w:r>
      <w:r w:rsidRPr="006E1956">
        <w:rPr>
          <w:rFonts w:ascii="Bookman Old Style" w:hAnsi="Bookman Old Style" w:cs="Arial"/>
          <w:iCs/>
          <w:lang w:val="es-CO"/>
        </w:rPr>
        <w:t xml:space="preserve">ransporte al </w:t>
      </w:r>
      <w:r>
        <w:rPr>
          <w:rFonts w:ascii="Bookman Old Style" w:hAnsi="Bookman Old Style" w:cs="Arial"/>
          <w:iCs/>
          <w:lang w:val="es-CO"/>
        </w:rPr>
        <w:t>m</w:t>
      </w:r>
      <w:r w:rsidRPr="006E1956">
        <w:rPr>
          <w:rFonts w:ascii="Bookman Old Style" w:hAnsi="Bookman Old Style" w:cs="Arial"/>
          <w:iCs/>
          <w:lang w:val="es-CO"/>
        </w:rPr>
        <w:t>ayorista es el valor resultante de aplicar la siguiente fórmula:</w:t>
      </w:r>
    </w:p>
    <w:p w14:paraId="2B57365B" w14:textId="77777777" w:rsidR="00B84525" w:rsidRDefault="00B84525" w:rsidP="00B84525">
      <w:pPr>
        <w:ind w:left="0"/>
        <w:jc w:val="both"/>
        <w:rPr>
          <w:rFonts w:ascii="Bookman Old Style" w:hAnsi="Bookman Old Style" w:cs="Arial"/>
          <w:iCs/>
          <w:lang w:val="es-CO"/>
        </w:rPr>
      </w:pPr>
    </w:p>
    <w:p w14:paraId="4BCD1175" w14:textId="77777777" w:rsidR="00B84525" w:rsidRPr="004C6B4B" w:rsidRDefault="00B84525" w:rsidP="00B84525">
      <w:pPr>
        <w:ind w:left="0"/>
        <w:jc w:val="both"/>
        <w:rPr>
          <w:rFonts w:ascii="Bookman Old Style" w:hAnsi="Bookman Old Style" w:cs="Arial"/>
          <w:iCs/>
          <w:lang w:val="es-CO"/>
        </w:rPr>
      </w:pPr>
      <m:oMathPara>
        <m:oMath>
          <m:r>
            <w:rPr>
              <w:rFonts w:ascii="Cambria Math" w:hAnsi="Cambria Math" w:cs="Arial"/>
              <w:lang w:val="es-CO"/>
            </w:rPr>
            <m:t>Tmay=PT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r>
            <w:rPr>
              <w:rFonts w:ascii="Cambria Math" w:hAnsi="Cambria Math" w:cs="Arial"/>
              <w:lang w:val="es-CO"/>
            </w:rPr>
            <m:t>+Ti+</m:t>
          </m:r>
          <m:sSub>
            <m:sSubPr>
              <m:ctrlPr>
                <w:rPr>
                  <w:rFonts w:ascii="Cambria Math" w:hAnsi="Cambria Math" w:cs="Arial"/>
                  <w:i/>
                  <w:iCs/>
                  <w:lang w:val="es-CO"/>
                </w:rPr>
              </m:ctrlPr>
            </m:sSubPr>
            <m:e>
              <m:r>
                <w:rPr>
                  <w:rFonts w:ascii="Cambria Math" w:hAnsi="Cambria Math" w:cs="Arial"/>
                  <w:lang w:val="es-CO"/>
                </w:rPr>
                <m:t>T</m:t>
              </m:r>
            </m:e>
            <m:sub>
              <m:r>
                <w:rPr>
                  <w:rFonts w:ascii="Cambria Math" w:hAnsi="Cambria Math" w:cs="Arial"/>
                  <w:lang w:val="es-CO"/>
                </w:rPr>
                <m:t>muelleRef</m:t>
              </m:r>
            </m:sub>
          </m:sSub>
          <m:r>
            <w:rPr>
              <w:rFonts w:ascii="Cambria Math" w:hAnsi="Cambria Math" w:cs="Arial"/>
              <w:lang w:val="es-CO"/>
            </w:rPr>
            <m:t xml:space="preserve">             (4)</m:t>
          </m:r>
        </m:oMath>
      </m:oMathPara>
    </w:p>
    <w:p w14:paraId="15238B86" w14:textId="77777777" w:rsidR="00B84525" w:rsidRDefault="00B84525" w:rsidP="00B84525">
      <w:pPr>
        <w:ind w:left="0"/>
        <w:jc w:val="both"/>
        <w:rPr>
          <w:rFonts w:ascii="Bookman Old Style" w:hAnsi="Bookman Old Style" w:cs="Arial"/>
          <w:b/>
          <w:bCs/>
          <w:iCs/>
          <w:lang w:val="es-CO"/>
        </w:rPr>
      </w:pPr>
    </w:p>
    <w:p w14:paraId="5A48ADC3" w14:textId="77777777" w:rsidR="00B84525" w:rsidRDefault="00B84525" w:rsidP="00B84525">
      <w:pPr>
        <w:ind w:left="0"/>
        <w:jc w:val="both"/>
        <w:rPr>
          <w:rFonts w:ascii="Bookman Old Style" w:hAnsi="Bookman Old Style" w:cs="Arial"/>
          <w:iCs/>
          <w:lang w:val="es-CO"/>
        </w:rPr>
      </w:pPr>
    </w:p>
    <w:p w14:paraId="0FAC5B3D" w14:textId="7FE6F4C2"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6234F88B" w14:textId="77777777" w:rsidR="00B84525" w:rsidRDefault="00B84525" w:rsidP="00B84525">
      <w:pPr>
        <w:ind w:left="0"/>
        <w:jc w:val="both"/>
        <w:rPr>
          <w:rFonts w:ascii="Bookman Old Style" w:hAnsi="Bookman Old Style" w:cs="Arial"/>
          <w:iCs/>
          <w:lang w:val="es-CO"/>
        </w:rPr>
      </w:pPr>
    </w:p>
    <w:tbl>
      <w:tblPr>
        <w:tblStyle w:val="Tablaconcuadrcula"/>
        <w:tblW w:w="4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343"/>
      </w:tblGrid>
      <w:tr w:rsidR="00B84525" w14:paraId="34593FF7" w14:textId="77777777" w:rsidTr="00541C56">
        <w:tc>
          <w:tcPr>
            <w:tcW w:w="876" w:type="pct"/>
          </w:tcPr>
          <w:p w14:paraId="252FCDFB" w14:textId="77777777" w:rsidR="00B84525" w:rsidRPr="00C14EBB" w:rsidRDefault="00B84525" w:rsidP="00541C56">
            <w:pPr>
              <w:ind w:left="0" w:right="174"/>
              <w:jc w:val="right"/>
              <w:rPr>
                <w:rFonts w:ascii="Bookman Old Style" w:hAnsi="Bookman Old Style" w:cs="Arial"/>
                <w:iCs/>
                <w:lang w:val="es-CO"/>
              </w:rPr>
            </w:pPr>
            <m:oMath>
              <m:r>
                <w:rPr>
                  <w:rFonts w:ascii="Cambria Math" w:hAnsi="Cambria Math" w:cs="Arial"/>
                  <w:lang w:val="es-CO"/>
                </w:rPr>
                <m:t>Tmay</m:t>
              </m:r>
            </m:oMath>
            <w:r>
              <w:rPr>
                <w:rFonts w:ascii="Bookman Old Style" w:hAnsi="Bookman Old Style" w:cs="Arial"/>
                <w:lang w:val="es-CO"/>
              </w:rPr>
              <w:t>:</w:t>
            </w:r>
          </w:p>
        </w:tc>
        <w:tc>
          <w:tcPr>
            <w:tcW w:w="4124" w:type="pct"/>
          </w:tcPr>
          <w:p w14:paraId="35FDD5B9"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 xml:space="preserve">Tarifa de </w:t>
            </w:r>
            <w:r w:rsidRPr="0014727A">
              <w:rPr>
                <w:rFonts w:ascii="Bookman Old Style" w:hAnsi="Bookman Old Style" w:cs="Arial"/>
                <w:iCs/>
                <w:lang w:val="es-CO"/>
              </w:rPr>
              <w:t>transporte al mayorista</w:t>
            </w:r>
          </w:p>
          <w:p w14:paraId="65FCF53E" w14:textId="77777777" w:rsidR="00B84525" w:rsidRDefault="00B84525" w:rsidP="00541C56">
            <w:pPr>
              <w:ind w:left="0"/>
              <w:jc w:val="both"/>
              <w:rPr>
                <w:rFonts w:ascii="Bookman Old Style" w:hAnsi="Bookman Old Style" w:cs="Arial"/>
                <w:iCs/>
                <w:lang w:val="es-CO"/>
              </w:rPr>
            </w:pPr>
          </w:p>
        </w:tc>
      </w:tr>
      <w:tr w:rsidR="00B84525" w14:paraId="7E4EE29D" w14:textId="77777777" w:rsidTr="00541C56">
        <w:tc>
          <w:tcPr>
            <w:tcW w:w="876" w:type="pct"/>
          </w:tcPr>
          <w:p w14:paraId="5EF7A48B" w14:textId="77777777" w:rsidR="00B84525" w:rsidRPr="00C14EBB" w:rsidRDefault="00B84525" w:rsidP="00541C56">
            <w:pPr>
              <w:ind w:left="0" w:right="174"/>
              <w:jc w:val="right"/>
              <w:rPr>
                <w:rFonts w:ascii="Bookman Old Style" w:hAnsi="Bookman Old Style" w:cs="Arial"/>
                <w:iCs/>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lang w:val="es-CO"/>
              </w:rPr>
              <w:t>:</w:t>
            </w:r>
          </w:p>
        </w:tc>
        <w:tc>
          <w:tcPr>
            <w:tcW w:w="4124" w:type="pct"/>
          </w:tcPr>
          <w:p w14:paraId="5D706314" w14:textId="77777777" w:rsidR="00B84525" w:rsidRDefault="00B84525" w:rsidP="00541C56">
            <w:pPr>
              <w:ind w:left="0"/>
              <w:jc w:val="both"/>
              <w:rPr>
                <w:rFonts w:ascii="Bookman Old Style" w:hAnsi="Bookman Old Style" w:cs="Arial"/>
                <w:iCs/>
                <w:lang w:val="es-CO"/>
              </w:rPr>
            </w:pPr>
            <w:r w:rsidRPr="0014727A">
              <w:rPr>
                <w:rFonts w:ascii="Bookman Old Style" w:hAnsi="Bookman Old Style" w:cs="Arial"/>
                <w:iCs/>
                <w:lang w:val="es-CO"/>
              </w:rPr>
              <w:t>Tarifa proporcional de transporte por poliductos del combustible fósil</w:t>
            </w:r>
          </w:p>
          <w:p w14:paraId="3B95D666" w14:textId="77777777" w:rsidR="00B84525" w:rsidRPr="00AB6726" w:rsidRDefault="00B84525" w:rsidP="00541C56">
            <w:pPr>
              <w:ind w:left="0"/>
              <w:jc w:val="both"/>
              <w:rPr>
                <w:rFonts w:ascii="Bookman Old Style" w:hAnsi="Bookman Old Style" w:cs="Arial"/>
                <w:iCs/>
                <w:lang w:val="es-CO"/>
              </w:rPr>
            </w:pPr>
          </w:p>
        </w:tc>
      </w:tr>
      <w:tr w:rsidR="00B84525" w14:paraId="090FD009" w14:textId="77777777" w:rsidTr="00541C56">
        <w:tc>
          <w:tcPr>
            <w:tcW w:w="876" w:type="pct"/>
          </w:tcPr>
          <w:p w14:paraId="33589FE4" w14:textId="77777777" w:rsidR="00B84525" w:rsidRPr="00C14EBB" w:rsidRDefault="00B84525" w:rsidP="00541C56">
            <w:pPr>
              <w:ind w:left="0" w:right="174"/>
              <w:jc w:val="right"/>
              <w:rPr>
                <w:rFonts w:ascii="Bookman Old Style" w:hAnsi="Bookman Old Style"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w:r>
              <w:rPr>
                <w:rFonts w:ascii="Bookman Old Style" w:hAnsi="Bookman Old Style" w:cs="Arial"/>
                <w:lang w:val="es-CO"/>
              </w:rPr>
              <w:t>:</w:t>
            </w:r>
          </w:p>
        </w:tc>
        <w:tc>
          <w:tcPr>
            <w:tcW w:w="4124" w:type="pct"/>
          </w:tcPr>
          <w:p w14:paraId="69FAB53C" w14:textId="77777777" w:rsidR="00B84525" w:rsidRDefault="00B84525" w:rsidP="00541C56">
            <w:pPr>
              <w:ind w:left="0"/>
              <w:jc w:val="both"/>
              <w:rPr>
                <w:rFonts w:ascii="Bookman Old Style" w:hAnsi="Bookman Old Style" w:cs="Arial"/>
                <w:iCs/>
                <w:lang w:val="es-CO"/>
              </w:rPr>
            </w:pPr>
            <w:r w:rsidRPr="0014727A">
              <w:rPr>
                <w:rFonts w:ascii="Bookman Old Style" w:hAnsi="Bookman Old Style" w:cs="Arial"/>
                <w:iCs/>
                <w:lang w:val="es-CO"/>
              </w:rPr>
              <w:t>Tarifa proporcional de transporte por poliductos del biocombustible</w:t>
            </w:r>
          </w:p>
          <w:p w14:paraId="52079C9B" w14:textId="77777777" w:rsidR="00B84525" w:rsidRPr="00AB6726" w:rsidRDefault="00B84525" w:rsidP="00541C56">
            <w:pPr>
              <w:ind w:left="0"/>
              <w:jc w:val="both"/>
              <w:rPr>
                <w:rFonts w:ascii="Bookman Old Style" w:hAnsi="Bookman Old Style" w:cs="Arial"/>
                <w:iCs/>
                <w:lang w:val="es-CO"/>
              </w:rPr>
            </w:pPr>
          </w:p>
        </w:tc>
      </w:tr>
      <w:tr w:rsidR="00B84525" w14:paraId="0171D1F4" w14:textId="77777777" w:rsidTr="00541C56">
        <w:tc>
          <w:tcPr>
            <w:tcW w:w="876" w:type="pct"/>
          </w:tcPr>
          <w:p w14:paraId="3EACA80F" w14:textId="77777777" w:rsidR="00B84525" w:rsidRPr="00151952" w:rsidRDefault="00B84525" w:rsidP="00541C56">
            <w:pPr>
              <w:ind w:left="0" w:right="174"/>
              <w:jc w:val="right"/>
              <w:rPr>
                <w:rFonts w:ascii="Bookman Old Style" w:hAnsi="Bookman Old Style" w:cs="Arial"/>
                <w:lang w:val="es-CO"/>
              </w:rPr>
            </w:p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oMath>
            <w:r>
              <w:rPr>
                <w:rFonts w:ascii="Bookman Old Style" w:hAnsi="Bookman Old Style" w:cs="Arial"/>
                <w:lang w:val="es-CO"/>
              </w:rPr>
              <w:t>:</w:t>
            </w:r>
          </w:p>
        </w:tc>
        <w:tc>
          <w:tcPr>
            <w:tcW w:w="4124" w:type="pct"/>
          </w:tcPr>
          <w:p w14:paraId="00B82989" w14:textId="77777777" w:rsidR="00B84525" w:rsidRDefault="00B84525" w:rsidP="00541C56">
            <w:pPr>
              <w:ind w:left="0"/>
              <w:jc w:val="both"/>
              <w:rPr>
                <w:rFonts w:ascii="Bookman Old Style" w:hAnsi="Bookman Old Style" w:cs="Arial"/>
                <w:iCs/>
                <w:lang w:val="es-CO"/>
              </w:rPr>
            </w:pPr>
            <w:r w:rsidRPr="00890F50">
              <w:rPr>
                <w:rFonts w:ascii="Bookman Old Style" w:hAnsi="Bookman Old Style" w:cs="Arial"/>
                <w:iCs/>
                <w:lang w:val="es-CO"/>
              </w:rPr>
              <w:t>Flete proporcional de transporte de biocombustible a planta de abasto mayorista</w:t>
            </w:r>
            <w:r>
              <w:rPr>
                <w:rFonts w:ascii="Bookman Old Style" w:hAnsi="Bookman Old Style" w:cs="Arial"/>
                <w:iCs/>
                <w:lang w:val="es-CO"/>
              </w:rPr>
              <w:t>.</w:t>
            </w:r>
          </w:p>
          <w:p w14:paraId="341E1754" w14:textId="77777777" w:rsidR="00B84525" w:rsidRPr="00433DB1" w:rsidRDefault="00B84525" w:rsidP="00541C56">
            <w:pPr>
              <w:ind w:left="0"/>
              <w:jc w:val="both"/>
              <w:rPr>
                <w:rFonts w:ascii="Bookman Old Style" w:hAnsi="Bookman Old Style" w:cs="Arial"/>
                <w:iCs/>
                <w:lang w:val="es-CO"/>
              </w:rPr>
            </w:pPr>
          </w:p>
        </w:tc>
      </w:tr>
      <w:tr w:rsidR="00B84525" w14:paraId="3B321EBB" w14:textId="77777777" w:rsidTr="00541C56">
        <w:tc>
          <w:tcPr>
            <w:tcW w:w="876" w:type="pct"/>
          </w:tcPr>
          <w:p w14:paraId="069033DB" w14:textId="77777777" w:rsidR="00B84525" w:rsidRPr="0014727A" w:rsidRDefault="00B84525" w:rsidP="00541C56">
            <w:pPr>
              <w:ind w:left="0" w:right="174"/>
              <w:jc w:val="right"/>
              <w:rPr>
                <w:rFonts w:ascii="Bookman Old Style" w:hAnsi="Bookman Old Style" w:cs="Arial"/>
                <w:lang w:val="es-CO"/>
              </w:rPr>
            </w:pPr>
            <m:oMath>
              <m:r>
                <w:rPr>
                  <w:rFonts w:ascii="Cambria Math" w:hAnsi="Cambria Math" w:cs="Arial"/>
                  <w:lang w:val="es-CO"/>
                </w:rPr>
                <m:t>Ti</m:t>
              </m:r>
            </m:oMath>
            <w:r>
              <w:rPr>
                <w:rFonts w:ascii="Bookman Old Style" w:hAnsi="Bookman Old Style" w:cs="Arial"/>
                <w:lang w:val="es-CO"/>
              </w:rPr>
              <w:t>:</w:t>
            </w:r>
          </w:p>
        </w:tc>
        <w:tc>
          <w:tcPr>
            <w:tcW w:w="4124" w:type="pct"/>
          </w:tcPr>
          <w:p w14:paraId="652208D9" w14:textId="77777777" w:rsidR="00B84525" w:rsidRDefault="00B84525" w:rsidP="00541C56">
            <w:pPr>
              <w:ind w:left="0"/>
              <w:jc w:val="both"/>
              <w:rPr>
                <w:rFonts w:ascii="Bookman Old Style" w:hAnsi="Bookman Old Style" w:cs="Arial"/>
                <w:iCs/>
                <w:lang w:val="es-CO"/>
              </w:rPr>
            </w:pPr>
            <w:r w:rsidRPr="00FC4020">
              <w:rPr>
                <w:rFonts w:ascii="Bookman Old Style" w:hAnsi="Bookman Old Style" w:cs="Arial"/>
                <w:iCs/>
                <w:lang w:val="es-CO"/>
              </w:rPr>
              <w:t>Tarifa de transporte a planta no conectada</w:t>
            </w:r>
          </w:p>
          <w:p w14:paraId="65BA67EF" w14:textId="77777777" w:rsidR="00B84525" w:rsidRPr="00C14EBB" w:rsidRDefault="00B84525" w:rsidP="00541C56">
            <w:pPr>
              <w:ind w:left="0"/>
              <w:jc w:val="both"/>
              <w:rPr>
                <w:rFonts w:ascii="Bookman Old Style" w:hAnsi="Bookman Old Style" w:cs="Arial"/>
                <w:iCs/>
                <w:lang w:val="es-CO"/>
              </w:rPr>
            </w:pPr>
          </w:p>
        </w:tc>
      </w:tr>
      <w:tr w:rsidR="00B84525" w14:paraId="01446076" w14:textId="77777777" w:rsidTr="00541C56">
        <w:tc>
          <w:tcPr>
            <w:tcW w:w="876" w:type="pct"/>
          </w:tcPr>
          <w:p w14:paraId="0CD1BCC9" w14:textId="77777777" w:rsidR="00B84525" w:rsidRPr="00CE3E99" w:rsidRDefault="00000000" w:rsidP="00541C56">
            <w:pPr>
              <w:ind w:left="0" w:right="174"/>
              <w:jc w:val="right"/>
              <w:rPr>
                <w:lang w:val="es-CO"/>
              </w:rPr>
            </w:pPr>
            <m:oMathPara>
              <m:oMathParaPr>
                <m:jc m:val="right"/>
              </m:oMathParaPr>
              <m:oMath>
                <m:sSub>
                  <m:sSubPr>
                    <m:ctrlPr>
                      <w:rPr>
                        <w:rFonts w:ascii="Cambria Math" w:hAnsi="Cambria Math" w:cs="Arial"/>
                        <w:i/>
                        <w:iCs/>
                        <w:lang w:val="es-CO"/>
                      </w:rPr>
                    </m:ctrlPr>
                  </m:sSubPr>
                  <m:e>
                    <m:r>
                      <w:rPr>
                        <w:rFonts w:ascii="Cambria Math" w:hAnsi="Cambria Math" w:cs="Arial"/>
                        <w:lang w:val="es-CO"/>
                      </w:rPr>
                      <m:t>T</m:t>
                    </m:r>
                  </m:e>
                  <m:sub>
                    <m:r>
                      <w:rPr>
                        <w:rFonts w:ascii="Cambria Math" w:hAnsi="Cambria Math" w:cs="Arial"/>
                        <w:lang w:val="es-CO"/>
                      </w:rPr>
                      <m:t>muelleRef</m:t>
                    </m:r>
                  </m:sub>
                </m:sSub>
                <m:r>
                  <w:rPr>
                    <w:rFonts w:ascii="Cambria Math" w:hAnsi="Cambria Math" w:cs="Arial"/>
                    <w:lang w:val="es-CO"/>
                  </w:rPr>
                  <m:t>:</m:t>
                </m:r>
              </m:oMath>
            </m:oMathPara>
          </w:p>
        </w:tc>
        <w:tc>
          <w:tcPr>
            <w:tcW w:w="4124" w:type="pct"/>
          </w:tcPr>
          <w:p w14:paraId="65441E1E" w14:textId="77777777" w:rsidR="00B84525" w:rsidRPr="00FC4020" w:rsidRDefault="00B84525" w:rsidP="00541C56">
            <w:pPr>
              <w:ind w:left="0"/>
              <w:jc w:val="both"/>
              <w:rPr>
                <w:rFonts w:ascii="Bookman Old Style" w:hAnsi="Bookman Old Style" w:cs="Arial"/>
                <w:iCs/>
                <w:lang w:val="es-CO"/>
              </w:rPr>
            </w:pPr>
            <w:r w:rsidRPr="00CE3E99">
              <w:rPr>
                <w:rFonts w:ascii="Bookman Old Style" w:hAnsi="Bookman Old Style" w:cs="Arial"/>
                <w:iCs/>
                <w:lang w:val="es-CO"/>
              </w:rPr>
              <w:t>Tarifa de entregas en muelle de la refinería de Cartagena</w:t>
            </w:r>
          </w:p>
        </w:tc>
      </w:tr>
    </w:tbl>
    <w:p w14:paraId="25AF887F" w14:textId="77777777" w:rsidR="00326055" w:rsidRDefault="00326055" w:rsidP="00B84525">
      <w:pPr>
        <w:ind w:left="0"/>
        <w:jc w:val="both"/>
        <w:rPr>
          <w:rFonts w:ascii="Bookman Old Style" w:hAnsi="Bookman Old Style" w:cs="Arial"/>
          <w:b/>
          <w:bCs/>
          <w:iCs/>
          <w:lang w:val="es-CO"/>
        </w:rPr>
      </w:pPr>
    </w:p>
    <w:p w14:paraId="37353023" w14:textId="3A353142"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5</w:t>
      </w:r>
      <w:r w:rsidRPr="00547561">
        <w:rPr>
          <w:rFonts w:ascii="Bookman Old Style" w:hAnsi="Bookman Old Style" w:cs="Arial"/>
          <w:b/>
          <w:bCs/>
          <w:iCs/>
          <w:lang w:val="es-CO"/>
        </w:rPr>
        <w:t xml:space="preserve">.1. Tarifa proporcional de transporte por </w:t>
      </w:r>
      <w:r>
        <w:rPr>
          <w:rFonts w:ascii="Bookman Old Style" w:hAnsi="Bookman Old Style" w:cs="Arial"/>
          <w:b/>
          <w:bCs/>
          <w:iCs/>
          <w:lang w:val="es-CO"/>
        </w:rPr>
        <w:t>p</w:t>
      </w:r>
      <w:r w:rsidRPr="00547561">
        <w:rPr>
          <w:rFonts w:ascii="Bookman Old Style" w:hAnsi="Bookman Old Style" w:cs="Arial"/>
          <w:b/>
          <w:bCs/>
          <w:iCs/>
          <w:lang w:val="es-CO"/>
        </w:rPr>
        <w:t xml:space="preserve">oliductos </w:t>
      </w:r>
      <w:r>
        <w:rPr>
          <w:rFonts w:ascii="Bookman Old Style" w:hAnsi="Bookman Old Style" w:cs="Arial"/>
          <w:b/>
          <w:bCs/>
          <w:iCs/>
          <w:lang w:val="es-CO"/>
        </w:rPr>
        <w:t>del combustible fósil</w:t>
      </w:r>
      <w:r w:rsidRPr="00547561">
        <w:rPr>
          <w:rFonts w:ascii="Bookman Old Style" w:hAnsi="Bookman Old Style" w:cs="Arial"/>
          <w:b/>
          <w:bCs/>
          <w:iCs/>
          <w:lang w:val="es-CO"/>
        </w:rPr>
        <w:t>:</w:t>
      </w:r>
      <w:r w:rsidRPr="0082092A">
        <w:rPr>
          <w:rFonts w:ascii="Bookman Old Style" w:hAnsi="Bookman Old Style" w:cs="Arial"/>
          <w:iCs/>
          <w:lang w:val="es-CO"/>
        </w:rPr>
        <w:t xml:space="preserve"> </w:t>
      </w:r>
      <w:r w:rsidRPr="00DC5CC6">
        <w:rPr>
          <w:rFonts w:ascii="Bookman Old Style" w:hAnsi="Bookman Old Style" w:cs="Arial"/>
          <w:iCs/>
          <w:lang w:val="es-CO"/>
        </w:rPr>
        <w:t>Es el valor de la tarifa proporcional de transporte por poliducto</w:t>
      </w:r>
      <w:r>
        <w:rPr>
          <w:rFonts w:ascii="Bookman Old Style" w:hAnsi="Bookman Old Style" w:cs="Arial"/>
          <w:iCs/>
          <w:lang w:val="es-CO"/>
        </w:rPr>
        <w:t xml:space="preserve"> del combustible fósil, de acuerdo con la siguiente fórmula:</w:t>
      </w:r>
    </w:p>
    <w:p w14:paraId="0E847B12" w14:textId="77777777" w:rsidR="00B84525" w:rsidRDefault="00B84525" w:rsidP="00B84525">
      <w:pPr>
        <w:ind w:left="0"/>
        <w:jc w:val="both"/>
        <w:rPr>
          <w:rFonts w:ascii="Bookman Old Style" w:hAnsi="Bookman Old Style" w:cs="Arial"/>
          <w:iCs/>
          <w:lang w:val="es-CO"/>
        </w:rPr>
      </w:pPr>
    </w:p>
    <w:p w14:paraId="0B722401" w14:textId="77777777" w:rsidR="00B84525" w:rsidRPr="00547561" w:rsidRDefault="00B84525" w:rsidP="00B84525">
      <w:pPr>
        <w:ind w:left="0"/>
        <w:jc w:val="both"/>
        <w:rPr>
          <w:rFonts w:ascii="Bookman Old Style" w:hAnsi="Bookman Old Style"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 xml:space="preserve">             (5)</m:t>
          </m:r>
        </m:oMath>
      </m:oMathPara>
    </w:p>
    <w:p w14:paraId="34DBF243" w14:textId="77777777" w:rsidR="00B84525" w:rsidRDefault="00B84525" w:rsidP="00B84525">
      <w:pPr>
        <w:ind w:left="0"/>
        <w:jc w:val="both"/>
        <w:rPr>
          <w:rFonts w:ascii="Bookman Old Style" w:hAnsi="Bookman Old Style" w:cs="Arial"/>
          <w:iCs/>
          <w:lang w:val="es-CO"/>
        </w:rPr>
      </w:pPr>
    </w:p>
    <w:p w14:paraId="74E9BB25"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45BD6D3B"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B84525" w14:paraId="49073B5B" w14:textId="77777777" w:rsidTr="00541C56">
        <w:tc>
          <w:tcPr>
            <w:tcW w:w="1271" w:type="dxa"/>
          </w:tcPr>
          <w:p w14:paraId="0F1454C4" w14:textId="77777777" w:rsidR="00B84525" w:rsidRDefault="00B84525" w:rsidP="00541C56">
            <w:pPr>
              <w:ind w:left="0"/>
              <w:jc w:val="right"/>
              <w:rPr>
                <w:rFonts w:ascii="Bookman Old Style" w:hAnsi="Bookman Old Style" w:cs="Arial"/>
                <w:lang w:val="es-CO"/>
              </w:rPr>
            </w:pPr>
            <m:oMath>
              <m:r>
                <w:rPr>
                  <w:rFonts w:ascii="Cambria Math" w:hAnsi="Cambria Math" w:cs="Arial"/>
                  <w:lang w:val="es-CO"/>
                </w:rPr>
                <w:lastRenderedPageBreak/>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lang w:val="es-CO"/>
              </w:rPr>
              <w:t>:</w:t>
            </w:r>
          </w:p>
        </w:tc>
        <w:tc>
          <w:tcPr>
            <w:tcW w:w="8075" w:type="dxa"/>
          </w:tcPr>
          <w:p w14:paraId="1A049F00"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 xml:space="preserve">Es la </w:t>
            </w:r>
            <w:r w:rsidRPr="00DC5CC6">
              <w:rPr>
                <w:rFonts w:ascii="Bookman Old Style" w:hAnsi="Bookman Old Style" w:cs="Arial"/>
                <w:iCs/>
                <w:lang w:val="es-CO"/>
              </w:rPr>
              <w:t>tarifa proporcional de transporte por poliducto</w:t>
            </w:r>
            <w:r>
              <w:rPr>
                <w:rFonts w:ascii="Bookman Old Style" w:hAnsi="Bookman Old Style" w:cs="Arial"/>
                <w:iCs/>
                <w:lang w:val="es-CO"/>
              </w:rPr>
              <w:t xml:space="preserve"> del combustible fósil.</w:t>
            </w:r>
          </w:p>
          <w:p w14:paraId="3E547487" w14:textId="77777777" w:rsidR="00B84525" w:rsidRPr="0082092A" w:rsidRDefault="00B84525" w:rsidP="00541C56">
            <w:pPr>
              <w:ind w:left="0"/>
              <w:jc w:val="both"/>
              <w:rPr>
                <w:rFonts w:ascii="Bookman Old Style" w:hAnsi="Bookman Old Style" w:cs="Arial"/>
                <w:iCs/>
                <w:lang w:val="es-CO"/>
              </w:rPr>
            </w:pPr>
          </w:p>
        </w:tc>
      </w:tr>
      <w:tr w:rsidR="00B84525" w14:paraId="3F187062" w14:textId="77777777" w:rsidTr="00541C56">
        <w:tc>
          <w:tcPr>
            <w:tcW w:w="1271" w:type="dxa"/>
          </w:tcPr>
          <w:p w14:paraId="357CE382"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Tp</m:t>
              </m:r>
            </m:oMath>
            <w:r>
              <w:rPr>
                <w:rFonts w:ascii="Bookman Old Style" w:hAnsi="Bookman Old Style" w:cs="Arial"/>
                <w:iCs/>
                <w:lang w:val="es-CO"/>
              </w:rPr>
              <w:t>:</w:t>
            </w:r>
          </w:p>
        </w:tc>
        <w:tc>
          <w:tcPr>
            <w:tcW w:w="8075" w:type="dxa"/>
          </w:tcPr>
          <w:p w14:paraId="1330B6B7" w14:textId="77777777" w:rsidR="00B84525" w:rsidRDefault="00B84525" w:rsidP="00541C56">
            <w:pPr>
              <w:ind w:left="0"/>
              <w:jc w:val="both"/>
              <w:rPr>
                <w:rFonts w:ascii="Bookman Old Style" w:hAnsi="Bookman Old Style" w:cs="Arial"/>
                <w:iCs/>
                <w:lang w:val="es-CO"/>
              </w:rPr>
            </w:pPr>
            <w:r w:rsidRPr="0082092A">
              <w:rPr>
                <w:rFonts w:ascii="Bookman Old Style" w:hAnsi="Bookman Old Style" w:cs="Arial"/>
                <w:iCs/>
                <w:lang w:val="es-CO"/>
              </w:rPr>
              <w:t xml:space="preserve">Es </w:t>
            </w:r>
            <w:r>
              <w:rPr>
                <w:rFonts w:ascii="Bookman Old Style" w:hAnsi="Bookman Old Style" w:cs="Arial"/>
                <w:iCs/>
                <w:lang w:val="es-CO"/>
              </w:rPr>
              <w:t xml:space="preserve">la tarifa del </w:t>
            </w:r>
            <w:r w:rsidRPr="00DC5CC6">
              <w:rPr>
                <w:rFonts w:ascii="Bookman Old Style" w:hAnsi="Bookman Old Style" w:cs="Arial"/>
                <w:iCs/>
                <w:lang w:val="es-CO"/>
              </w:rPr>
              <w:t>transporte por poliducto</w:t>
            </w:r>
            <w:r>
              <w:rPr>
                <w:rFonts w:ascii="Bookman Old Style" w:hAnsi="Bookman Old Style" w:cs="Arial"/>
                <w:iCs/>
                <w:lang w:val="es-CO"/>
              </w:rPr>
              <w:t>, establecido mediante R</w:t>
            </w:r>
            <w:r w:rsidRPr="0082092A">
              <w:rPr>
                <w:rFonts w:ascii="Bookman Old Style" w:hAnsi="Bookman Old Style" w:cs="Arial"/>
                <w:iCs/>
                <w:lang w:val="es-CO"/>
              </w:rPr>
              <w:t xml:space="preserve">esolución </w:t>
            </w:r>
            <w:r>
              <w:rPr>
                <w:rFonts w:ascii="Bookman Old Style" w:hAnsi="Bookman Old Style" w:cs="Arial"/>
                <w:iCs/>
                <w:lang w:val="es-CO"/>
              </w:rPr>
              <w:t xml:space="preserve">MME </w:t>
            </w:r>
            <w:r w:rsidRPr="0082092A">
              <w:rPr>
                <w:rFonts w:ascii="Bookman Old Style" w:hAnsi="Bookman Old Style" w:cs="Arial"/>
                <w:iCs/>
                <w:lang w:val="es-CO"/>
              </w:rPr>
              <w:t>41276 del 30 de diciembre de 2016 y las normas que la modifiquen, adicionen o sustituyan</w:t>
            </w:r>
            <w:r>
              <w:rPr>
                <w:rFonts w:ascii="Bookman Old Style" w:hAnsi="Bookman Old Style" w:cs="Arial"/>
                <w:iCs/>
                <w:lang w:val="es-CO"/>
              </w:rPr>
              <w:t>.</w:t>
            </w:r>
          </w:p>
          <w:p w14:paraId="4EDE3EB4" w14:textId="77777777" w:rsidR="00B84525" w:rsidRDefault="00B84525" w:rsidP="00541C56">
            <w:pPr>
              <w:ind w:left="0"/>
              <w:jc w:val="both"/>
              <w:rPr>
                <w:rFonts w:ascii="Bookman Old Style" w:hAnsi="Bookman Old Style" w:cs="Arial"/>
                <w:iCs/>
                <w:lang w:val="es-CO"/>
              </w:rPr>
            </w:pPr>
          </w:p>
        </w:tc>
      </w:tr>
      <w:tr w:rsidR="00B84525" w14:paraId="3C1FD9E3" w14:textId="77777777" w:rsidTr="00541C56">
        <w:tc>
          <w:tcPr>
            <w:tcW w:w="1271" w:type="dxa"/>
          </w:tcPr>
          <w:p w14:paraId="279C3625" w14:textId="77777777" w:rsidR="00B84525" w:rsidRDefault="00000000" w:rsidP="00541C56">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Pr>
                <w:rFonts w:ascii="Bookman Old Style" w:hAnsi="Bookman Old Style" w:cs="Arial"/>
                <w:iCs/>
                <w:lang w:val="es-CO"/>
              </w:rPr>
              <w:t>:</w:t>
            </w:r>
          </w:p>
          <w:p w14:paraId="2ED5FB6A" w14:textId="77777777" w:rsidR="00B84525" w:rsidRDefault="00B84525" w:rsidP="00541C56">
            <w:pPr>
              <w:ind w:left="0"/>
              <w:jc w:val="right"/>
              <w:rPr>
                <w:rFonts w:ascii="Bookman Old Style" w:hAnsi="Bookman Old Style" w:cs="Arial"/>
                <w:iCs/>
                <w:lang w:val="es-CO"/>
              </w:rPr>
            </w:pPr>
          </w:p>
        </w:tc>
        <w:tc>
          <w:tcPr>
            <w:tcW w:w="8075" w:type="dxa"/>
          </w:tcPr>
          <w:p w14:paraId="621AE068" w14:textId="65487A00" w:rsidR="00B84525" w:rsidRDefault="00326055" w:rsidP="00541C56">
            <w:pPr>
              <w:ind w:left="0"/>
              <w:jc w:val="both"/>
              <w:rPr>
                <w:rFonts w:ascii="Bookman Old Style" w:hAnsi="Bookman Old Style" w:cs="Arial"/>
                <w:iCs/>
                <w:lang w:val="es-CO"/>
              </w:rPr>
            </w:pPr>
            <w:r>
              <w:rPr>
                <w:rFonts w:ascii="Bookman Old Style" w:hAnsi="Bookman Old Style" w:cs="Arial"/>
                <w:iCs/>
                <w:lang w:val="es-CO"/>
              </w:rPr>
              <w:t>Es el 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2CF6A6B8" w14:textId="77777777" w:rsidR="00B84525" w:rsidRDefault="00B84525" w:rsidP="00B84525">
      <w:pPr>
        <w:ind w:left="0"/>
        <w:jc w:val="both"/>
        <w:rPr>
          <w:rFonts w:ascii="Bookman Old Style" w:hAnsi="Bookman Old Style" w:cs="Arial"/>
          <w:iCs/>
          <w:lang w:val="es-CO"/>
        </w:rPr>
      </w:pPr>
    </w:p>
    <w:p w14:paraId="0D669EBD"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5</w:t>
      </w:r>
      <w:r w:rsidRPr="00547561">
        <w:rPr>
          <w:rFonts w:ascii="Bookman Old Style" w:hAnsi="Bookman Old Style" w:cs="Arial"/>
          <w:b/>
          <w:bCs/>
          <w:iCs/>
          <w:lang w:val="es-CO"/>
        </w:rPr>
        <w:t>.</w:t>
      </w:r>
      <w:r>
        <w:rPr>
          <w:rFonts w:ascii="Bookman Old Style" w:hAnsi="Bookman Old Style" w:cs="Arial"/>
          <w:b/>
          <w:bCs/>
          <w:iCs/>
          <w:lang w:val="es-CO"/>
        </w:rPr>
        <w:t>2</w:t>
      </w:r>
      <w:r w:rsidRPr="00547561">
        <w:rPr>
          <w:rFonts w:ascii="Bookman Old Style" w:hAnsi="Bookman Old Style" w:cs="Arial"/>
          <w:b/>
          <w:bCs/>
          <w:iCs/>
          <w:lang w:val="es-CO"/>
        </w:rPr>
        <w:t>. T</w:t>
      </w:r>
      <w:r w:rsidRPr="00645E3F">
        <w:rPr>
          <w:rFonts w:ascii="Bookman Old Style" w:hAnsi="Bookman Old Style" w:cs="Arial"/>
          <w:b/>
          <w:bCs/>
          <w:iCs/>
          <w:lang w:val="es-CO"/>
        </w:rPr>
        <w:t xml:space="preserve">arifa proporcional de transporte por </w:t>
      </w:r>
      <w:r>
        <w:rPr>
          <w:rFonts w:ascii="Bookman Old Style" w:hAnsi="Bookman Old Style" w:cs="Arial"/>
          <w:b/>
          <w:bCs/>
          <w:iCs/>
          <w:lang w:val="es-CO"/>
        </w:rPr>
        <w:t>po</w:t>
      </w:r>
      <w:r w:rsidRPr="00645E3F">
        <w:rPr>
          <w:rFonts w:ascii="Bookman Old Style" w:hAnsi="Bookman Old Style" w:cs="Arial"/>
          <w:b/>
          <w:bCs/>
          <w:iCs/>
          <w:lang w:val="es-CO"/>
        </w:rPr>
        <w:t>liductos del biocombustible:</w:t>
      </w:r>
      <w:r w:rsidRPr="0082092A">
        <w:rPr>
          <w:rFonts w:ascii="Bookman Old Style" w:hAnsi="Bookman Old Style" w:cs="Arial"/>
          <w:iCs/>
          <w:lang w:val="es-CO"/>
        </w:rPr>
        <w:t xml:space="preserve"> </w:t>
      </w:r>
      <w:r w:rsidRPr="00DC5CC6">
        <w:rPr>
          <w:rFonts w:ascii="Bookman Old Style" w:hAnsi="Bookman Old Style" w:cs="Arial"/>
          <w:iCs/>
          <w:lang w:val="es-CO"/>
        </w:rPr>
        <w:t>Es el valor de la tarifa proporcional de transporte por poliducto</w:t>
      </w:r>
      <w:r>
        <w:rPr>
          <w:rFonts w:ascii="Bookman Old Style" w:hAnsi="Bookman Old Style" w:cs="Arial"/>
          <w:iCs/>
          <w:lang w:val="es-CO"/>
        </w:rPr>
        <w:t xml:space="preserve"> del biocombustible, de acuerdo con la siguiente fórmula:</w:t>
      </w:r>
    </w:p>
    <w:p w14:paraId="34E46D7C" w14:textId="77777777" w:rsidR="00B84525" w:rsidRDefault="00B84525" w:rsidP="00B84525">
      <w:pPr>
        <w:ind w:left="0"/>
        <w:jc w:val="both"/>
        <w:rPr>
          <w:rFonts w:ascii="Bookman Old Style" w:hAnsi="Bookman Old Style" w:cs="Arial"/>
          <w:iCs/>
          <w:lang w:val="es-CO"/>
        </w:rPr>
      </w:pPr>
    </w:p>
    <w:p w14:paraId="3A490A0F" w14:textId="77777777" w:rsidR="00B84525" w:rsidRPr="0042334E" w:rsidRDefault="00B84525" w:rsidP="00B84525">
      <w:pPr>
        <w:ind w:left="0"/>
        <w:jc w:val="both"/>
        <w:rPr>
          <w:rFonts w:ascii="Bookman Old Style" w:hAnsi="Bookman Old Style"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r>
            <w:rPr>
              <w:rFonts w:ascii="Cambria Math" w:hAnsi="Cambria Math" w:cs="Arial"/>
              <w:lang w:val="es-CO"/>
            </w:rPr>
            <m:t xml:space="preserve">             (6)</m:t>
          </m:r>
        </m:oMath>
      </m:oMathPara>
    </w:p>
    <w:p w14:paraId="1F13BD63"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535553EF"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B84525" w14:paraId="21A601E5" w14:textId="77777777" w:rsidTr="00541C56">
        <w:tc>
          <w:tcPr>
            <w:tcW w:w="1271" w:type="dxa"/>
          </w:tcPr>
          <w:p w14:paraId="0B81D0EB" w14:textId="77777777" w:rsidR="00B84525" w:rsidRDefault="00B84525" w:rsidP="00541C56">
            <w:pPr>
              <w:ind w:left="0"/>
              <w:jc w:val="both"/>
              <w:rPr>
                <w:rFonts w:ascii="Bookman Old Style" w:hAnsi="Bookman Old Style"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m:oMathPara>
          </w:p>
        </w:tc>
        <w:tc>
          <w:tcPr>
            <w:tcW w:w="8075" w:type="dxa"/>
          </w:tcPr>
          <w:p w14:paraId="0E3879BA" w14:textId="77777777" w:rsidR="00B84525" w:rsidRDefault="00B84525" w:rsidP="00541C56">
            <w:pPr>
              <w:ind w:left="0"/>
              <w:jc w:val="both"/>
              <w:rPr>
                <w:rFonts w:ascii="Bookman Old Style" w:hAnsi="Bookman Old Style" w:cs="Arial"/>
                <w:iCs/>
                <w:lang w:val="es-CO"/>
              </w:rPr>
            </w:pPr>
            <w:r w:rsidRPr="00A66661">
              <w:rPr>
                <w:rFonts w:ascii="Bookman Old Style" w:hAnsi="Bookman Old Style" w:cs="Arial"/>
                <w:iCs/>
                <w:lang w:val="es-CO"/>
              </w:rPr>
              <w:t>Tarifa proporcional de transporte por poliductos del biocombustible</w:t>
            </w:r>
            <w:r>
              <w:rPr>
                <w:rFonts w:ascii="Bookman Old Style" w:hAnsi="Bookman Old Style" w:cs="Arial"/>
                <w:iCs/>
                <w:lang w:val="es-CO"/>
              </w:rPr>
              <w:t>.</w:t>
            </w:r>
          </w:p>
          <w:p w14:paraId="27A28A72" w14:textId="77777777" w:rsidR="00B84525" w:rsidRPr="0082092A" w:rsidRDefault="00B84525" w:rsidP="00541C56">
            <w:pPr>
              <w:ind w:left="0"/>
              <w:jc w:val="both"/>
              <w:rPr>
                <w:rFonts w:ascii="Bookman Old Style" w:hAnsi="Bookman Old Style" w:cs="Arial"/>
                <w:iCs/>
                <w:lang w:val="es-CO"/>
              </w:rPr>
            </w:pPr>
          </w:p>
        </w:tc>
      </w:tr>
      <w:tr w:rsidR="00B84525" w14:paraId="7BAD151E" w14:textId="77777777" w:rsidTr="00541C56">
        <w:tc>
          <w:tcPr>
            <w:tcW w:w="1271" w:type="dxa"/>
          </w:tcPr>
          <w:p w14:paraId="78A376CB" w14:textId="77777777" w:rsidR="00B84525" w:rsidRDefault="00B84525" w:rsidP="00541C56">
            <w:pPr>
              <w:ind w:left="0"/>
              <w:jc w:val="both"/>
              <w:rPr>
                <w:rFonts w:ascii="Bookman Old Style" w:hAnsi="Bookman Old Style" w:cs="Arial"/>
                <w:iCs/>
                <w:lang w:val="es-CO"/>
              </w:rPr>
            </w:pPr>
            <w:bookmarkStart w:id="1" w:name="_Hlk183415706"/>
            <m:oMath>
              <m:r>
                <w:rPr>
                  <w:rFonts w:ascii="Cambria Math" w:hAnsi="Cambria Math" w:cs="Arial"/>
                  <w:lang w:val="es-CO"/>
                </w:rPr>
                <m:t>Tp</m:t>
              </m:r>
            </m:oMath>
            <w:r>
              <w:rPr>
                <w:rFonts w:ascii="Bookman Old Style" w:hAnsi="Bookman Old Style" w:cs="Arial"/>
                <w:lang w:val="es-CO"/>
              </w:rPr>
              <w:t>:</w:t>
            </w:r>
          </w:p>
        </w:tc>
        <w:tc>
          <w:tcPr>
            <w:tcW w:w="8075" w:type="dxa"/>
          </w:tcPr>
          <w:p w14:paraId="4F1B65D6" w14:textId="77777777" w:rsidR="00B84525" w:rsidRDefault="00B84525" w:rsidP="00541C56">
            <w:pPr>
              <w:ind w:left="0"/>
              <w:jc w:val="both"/>
              <w:rPr>
                <w:rFonts w:ascii="Bookman Old Style" w:hAnsi="Bookman Old Style" w:cs="Arial"/>
                <w:iCs/>
                <w:lang w:val="es-CO"/>
              </w:rPr>
            </w:pPr>
            <w:r w:rsidRPr="0082092A">
              <w:rPr>
                <w:rFonts w:ascii="Bookman Old Style" w:hAnsi="Bookman Old Style" w:cs="Arial"/>
                <w:iCs/>
                <w:lang w:val="es-CO"/>
              </w:rPr>
              <w:t xml:space="preserve">Es </w:t>
            </w:r>
            <w:r>
              <w:rPr>
                <w:rFonts w:ascii="Bookman Old Style" w:hAnsi="Bookman Old Style" w:cs="Arial"/>
                <w:iCs/>
                <w:lang w:val="es-CO"/>
              </w:rPr>
              <w:t xml:space="preserve">la tarifa del </w:t>
            </w:r>
            <w:r w:rsidRPr="00DC5CC6">
              <w:rPr>
                <w:rFonts w:ascii="Bookman Old Style" w:hAnsi="Bookman Old Style" w:cs="Arial"/>
                <w:iCs/>
                <w:lang w:val="es-CO"/>
              </w:rPr>
              <w:t>transporte por poliducto</w:t>
            </w:r>
            <w:r>
              <w:rPr>
                <w:rFonts w:ascii="Bookman Old Style" w:hAnsi="Bookman Old Style" w:cs="Arial"/>
                <w:iCs/>
                <w:lang w:val="es-CO"/>
              </w:rPr>
              <w:t>, establecido mediante R</w:t>
            </w:r>
            <w:r w:rsidRPr="0082092A">
              <w:rPr>
                <w:rFonts w:ascii="Bookman Old Style" w:hAnsi="Bookman Old Style" w:cs="Arial"/>
                <w:iCs/>
                <w:lang w:val="es-CO"/>
              </w:rPr>
              <w:t xml:space="preserve">esolución </w:t>
            </w:r>
            <w:r>
              <w:rPr>
                <w:rFonts w:ascii="Bookman Old Style" w:hAnsi="Bookman Old Style" w:cs="Arial"/>
                <w:iCs/>
                <w:lang w:val="es-CO"/>
              </w:rPr>
              <w:t xml:space="preserve">MME </w:t>
            </w:r>
            <w:r w:rsidRPr="0082092A">
              <w:rPr>
                <w:rFonts w:ascii="Bookman Old Style" w:hAnsi="Bookman Old Style" w:cs="Arial"/>
                <w:iCs/>
                <w:lang w:val="es-CO"/>
              </w:rPr>
              <w:t>41276 del 30 de diciembre de 2016 y las normas que la modifiquen, adicionen o sustituyan</w:t>
            </w:r>
            <w:r>
              <w:rPr>
                <w:rFonts w:ascii="Bookman Old Style" w:hAnsi="Bookman Old Style" w:cs="Arial"/>
                <w:iCs/>
                <w:lang w:val="es-CO"/>
              </w:rPr>
              <w:t>.</w:t>
            </w:r>
          </w:p>
          <w:p w14:paraId="5C5D204D" w14:textId="582CF0B6" w:rsidR="00326055" w:rsidRDefault="00326055" w:rsidP="00541C56">
            <w:pPr>
              <w:ind w:left="0"/>
              <w:jc w:val="both"/>
              <w:rPr>
                <w:rFonts w:ascii="Bookman Old Style" w:hAnsi="Bookman Old Style" w:cs="Arial"/>
                <w:iCs/>
                <w:lang w:val="es-CO"/>
              </w:rPr>
            </w:pPr>
          </w:p>
        </w:tc>
      </w:tr>
      <w:tr w:rsidR="00B84525" w14:paraId="49D80D5F" w14:textId="77777777" w:rsidTr="00541C56">
        <w:tc>
          <w:tcPr>
            <w:tcW w:w="1271" w:type="dxa"/>
          </w:tcPr>
          <w:p w14:paraId="3A10165C" w14:textId="77777777" w:rsidR="00B84525" w:rsidRDefault="00000000" w:rsidP="00541C56">
            <w:pPr>
              <w:ind w:left="0"/>
              <w:jc w:val="both"/>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oMath>
            <w:r w:rsidR="00B84525">
              <w:rPr>
                <w:rFonts w:ascii="Bookman Old Style" w:hAnsi="Bookman Old Style" w:cs="Arial"/>
                <w:iCs/>
                <w:lang w:val="es-CO"/>
              </w:rPr>
              <w:t>:</w:t>
            </w:r>
          </w:p>
        </w:tc>
        <w:tc>
          <w:tcPr>
            <w:tcW w:w="8075" w:type="dxa"/>
          </w:tcPr>
          <w:p w14:paraId="1636A802" w14:textId="77777777" w:rsidR="00B84525" w:rsidRPr="00EF373E" w:rsidRDefault="00B84525" w:rsidP="00541C56">
            <w:pPr>
              <w:ind w:left="0"/>
              <w:jc w:val="both"/>
              <w:rPr>
                <w:rFonts w:ascii="Bookman Old Style" w:hAnsi="Bookman Old Style" w:cs="Arial"/>
                <w:iCs/>
              </w:rPr>
            </w:pPr>
            <w:r>
              <w:rPr>
                <w:rFonts w:ascii="Bookman Old Style" w:hAnsi="Bookman Old Style" w:cs="Arial"/>
                <w:iCs/>
                <w:lang w:val="es-CO"/>
              </w:rPr>
              <w:t xml:space="preserve">Es la proporción de mezcla de biocombustible </w:t>
            </w:r>
            <w:r w:rsidRPr="007239D1">
              <w:rPr>
                <w:rFonts w:ascii="Bookman Old Style" w:hAnsi="Bookman Old Style" w:cs="Arial"/>
                <w:iCs/>
                <w:lang w:val="es-CO"/>
              </w:rPr>
              <w:t>que ha sido transportado por poliducto</w:t>
            </w:r>
            <w:r>
              <w:rPr>
                <w:rFonts w:ascii="Bookman Old Style" w:hAnsi="Bookman Old Style" w:cs="Arial"/>
                <w:iCs/>
                <w:lang w:val="es-CO"/>
              </w:rPr>
              <w:t xml:space="preserve">, desde las refinerías hasta las plantas de abastecimiento conectadas, de conformidad con los establecido en la </w:t>
            </w:r>
            <w:r w:rsidRPr="009143F8">
              <w:rPr>
                <w:rFonts w:ascii="Bookman Old Style" w:hAnsi="Bookman Old Style" w:cs="Arial"/>
                <w:iCs/>
              </w:rPr>
              <w:t xml:space="preserve">Resolución MME 31206 de 2019 </w:t>
            </w:r>
            <w:r w:rsidRPr="008A39E6">
              <w:rPr>
                <w:rFonts w:ascii="Bookman Old Style" w:hAnsi="Bookman Old Style" w:cs="Arial"/>
                <w:iCs/>
              </w:rPr>
              <w:t>y demás normas que la modifiquen, adicionen o sustituyan.</w:t>
            </w:r>
          </w:p>
        </w:tc>
      </w:tr>
      <w:bookmarkEnd w:id="1"/>
    </w:tbl>
    <w:p w14:paraId="0085DBA5" w14:textId="77777777" w:rsidR="00B84525" w:rsidRDefault="00B84525" w:rsidP="00B84525">
      <w:pPr>
        <w:ind w:left="0"/>
        <w:jc w:val="both"/>
        <w:rPr>
          <w:rFonts w:ascii="Bookman Old Style" w:hAnsi="Bookman Old Style" w:cs="Arial"/>
          <w:iCs/>
          <w:lang w:val="es-CO"/>
        </w:rPr>
      </w:pPr>
    </w:p>
    <w:p w14:paraId="2A47EC29" w14:textId="77777777" w:rsidR="00B84525" w:rsidRPr="0082092A" w:rsidRDefault="00B84525" w:rsidP="00B84525">
      <w:pPr>
        <w:ind w:left="0"/>
        <w:jc w:val="both"/>
        <w:rPr>
          <w:rFonts w:ascii="Bookman Old Style" w:hAnsi="Bookman Old Style" w:cs="Arial"/>
          <w:iCs/>
          <w:lang w:val="es-CO"/>
        </w:rPr>
      </w:pPr>
      <w:r>
        <w:rPr>
          <w:rFonts w:ascii="Bookman Old Style" w:hAnsi="Bookman Old Style" w:cs="Arial"/>
          <w:b/>
          <w:bCs/>
          <w:iCs/>
          <w:lang w:val="es-CO"/>
        </w:rPr>
        <w:t>5</w:t>
      </w:r>
      <w:r w:rsidRPr="008B70F3">
        <w:rPr>
          <w:rFonts w:ascii="Bookman Old Style" w:hAnsi="Bookman Old Style" w:cs="Arial"/>
          <w:b/>
          <w:bCs/>
          <w:iCs/>
          <w:lang w:val="es-CO"/>
        </w:rPr>
        <w:t>.</w:t>
      </w:r>
      <w:r>
        <w:rPr>
          <w:rFonts w:ascii="Bookman Old Style" w:hAnsi="Bookman Old Style" w:cs="Arial"/>
          <w:b/>
          <w:bCs/>
          <w:iCs/>
          <w:lang w:val="es-CO"/>
        </w:rPr>
        <w:t>3</w:t>
      </w:r>
      <w:r w:rsidRPr="008B70F3">
        <w:rPr>
          <w:rFonts w:ascii="Bookman Old Style" w:hAnsi="Bookman Old Style" w:cs="Arial"/>
          <w:b/>
          <w:bCs/>
          <w:iCs/>
          <w:lang w:val="es-CO"/>
        </w:rPr>
        <w:t xml:space="preserve">. Flete </w:t>
      </w:r>
      <w:r>
        <w:rPr>
          <w:rFonts w:ascii="Bookman Old Style" w:hAnsi="Bookman Old Style" w:cs="Arial"/>
          <w:b/>
          <w:bCs/>
          <w:iCs/>
          <w:lang w:val="es-CO"/>
        </w:rPr>
        <w:t xml:space="preserve">proporcional de transporte de </w:t>
      </w:r>
      <w:r w:rsidRPr="008B70F3">
        <w:rPr>
          <w:rFonts w:ascii="Bookman Old Style" w:hAnsi="Bookman Old Style" w:cs="Arial"/>
          <w:b/>
          <w:bCs/>
          <w:iCs/>
          <w:lang w:val="es-CO"/>
        </w:rPr>
        <w:t xml:space="preserve">biocombustible a planta de abasto </w:t>
      </w:r>
      <w:r w:rsidRPr="00430140">
        <w:rPr>
          <w:rFonts w:ascii="Bookman Old Style" w:hAnsi="Bookman Old Style" w:cs="Arial"/>
          <w:b/>
          <w:bCs/>
          <w:iCs/>
          <w:lang w:val="es-CO"/>
        </w:rPr>
        <w:t>mayorista:</w:t>
      </w:r>
      <w:r>
        <w:rPr>
          <w:rFonts w:ascii="Bookman Old Style" w:hAnsi="Bookman Old Style" w:cs="Arial"/>
          <w:iCs/>
          <w:lang w:val="es-CO"/>
        </w:rPr>
        <w:t xml:space="preserve"> Es la tarifa proporcional de transporte de biocombustible por modos diferentes al poliducto, de acuerdo con la siguiente fórmula:</w:t>
      </w:r>
    </w:p>
    <w:p w14:paraId="243BA29C" w14:textId="77777777" w:rsidR="00B84525" w:rsidRDefault="00B84525" w:rsidP="00B84525">
      <w:pPr>
        <w:ind w:left="0"/>
        <w:jc w:val="both"/>
        <w:rPr>
          <w:rFonts w:ascii="Bookman Old Style" w:hAnsi="Bookman Old Style" w:cs="Arial"/>
          <w:lang w:val="es-CO"/>
        </w:rPr>
      </w:pPr>
    </w:p>
    <w:p w14:paraId="1EDA051E" w14:textId="75B95807" w:rsidR="00B84525" w:rsidRPr="009F05FE" w:rsidRDefault="00B84525" w:rsidP="00B84525">
      <w:pPr>
        <w:ind w:left="0"/>
        <w:jc w:val="both"/>
        <w:rPr>
          <w:rFonts w:ascii="Bookman Old Style" w:hAnsi="Bookman Old Style" w:cs="Arial"/>
          <w:lang w:val="es-CO"/>
        </w:rPr>
      </w:pPr>
      <m:oMathPara>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bioMay</m:t>
              </m:r>
            </m:sub>
          </m:sSub>
          <m:r>
            <w:rPr>
              <w:rFonts w:ascii="Cambria Math" w:hAnsi="Cambria Math" w:cs="Arial"/>
              <w:lang w:val="es-CO"/>
            </w:rPr>
            <m:t>*</m:t>
          </m:r>
          <m:d>
            <m:dPr>
              <m:ctrlPr>
                <w:rPr>
                  <w:rFonts w:ascii="Cambria Math" w:hAnsi="Cambria Math" w:cs="Arial"/>
                  <w:i/>
                  <w:lang w:val="es-CO"/>
                </w:rPr>
              </m:ctrlPr>
            </m:dPr>
            <m:e>
              <m:r>
                <w:rPr>
                  <w:rFonts w:ascii="Cambria Math" w:hAnsi="Cambria Math" w:cs="Arial"/>
                  <w:lang w:val="es-CO"/>
                </w:rPr>
                <m:t>1-</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e>
          </m:d>
          <m:r>
            <w:rPr>
              <w:rFonts w:ascii="Cambria Math" w:hAnsi="Cambria Math" w:cs="Arial"/>
              <w:lang w:val="es-CO"/>
            </w:rPr>
            <m:t xml:space="preserve">           (7)</m:t>
          </m:r>
        </m:oMath>
      </m:oMathPara>
    </w:p>
    <w:p w14:paraId="2D0301D7" w14:textId="77777777" w:rsidR="00B84525" w:rsidRPr="00C9301B" w:rsidRDefault="00B84525" w:rsidP="00B84525">
      <w:pPr>
        <w:ind w:left="0"/>
        <w:jc w:val="both"/>
        <w:rPr>
          <w:rFonts w:ascii="Bookman Old Style" w:hAnsi="Bookman Old Style" w:cs="Arial"/>
          <w:iCs/>
          <w:lang w:val="es-CO"/>
        </w:rPr>
      </w:pPr>
    </w:p>
    <w:p w14:paraId="676A5E32"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76AC987D"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5"/>
      </w:tblGrid>
      <w:tr w:rsidR="00B84525" w14:paraId="07C5F557" w14:textId="77777777" w:rsidTr="00541C56">
        <w:tc>
          <w:tcPr>
            <w:tcW w:w="1276" w:type="dxa"/>
          </w:tcPr>
          <w:p w14:paraId="5662E05B" w14:textId="77777777" w:rsidR="00B84525" w:rsidRPr="009628D4" w:rsidRDefault="00B84525" w:rsidP="00541C56">
            <w:pPr>
              <w:ind w:left="0"/>
              <w:jc w:val="both"/>
              <w:rPr>
                <w:rFonts w:ascii="Bookman Old Style" w:hAnsi="Bookman Old Style" w:cs="Arial"/>
                <w:lang w:val="es-CO"/>
              </w:rPr>
            </w:pPr>
            <m:oMathPara>
              <m:oMathParaPr>
                <m:jc m:val="right"/>
              </m:oMathPara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r>
                  <w:rPr>
                    <w:rFonts w:ascii="Cambria Math" w:hAnsi="Cambria Math" w:cs="Arial"/>
                    <w:lang w:val="es-CO"/>
                  </w:rPr>
                  <m:t>:</m:t>
                </m:r>
              </m:oMath>
            </m:oMathPara>
          </w:p>
        </w:tc>
        <w:tc>
          <w:tcPr>
            <w:tcW w:w="8075" w:type="dxa"/>
          </w:tcPr>
          <w:p w14:paraId="2A45E118" w14:textId="77777777" w:rsidR="00B84525" w:rsidRDefault="00B84525" w:rsidP="00541C56">
            <w:pPr>
              <w:ind w:left="0"/>
              <w:jc w:val="both"/>
              <w:rPr>
                <w:rFonts w:ascii="Bookman Old Style" w:hAnsi="Bookman Old Style" w:cs="Arial"/>
                <w:iCs/>
                <w:lang w:val="es-CO"/>
              </w:rPr>
            </w:pPr>
            <w:r w:rsidRPr="00890F50">
              <w:rPr>
                <w:rFonts w:ascii="Bookman Old Style" w:hAnsi="Bookman Old Style" w:cs="Arial"/>
                <w:iCs/>
                <w:lang w:val="es-CO"/>
              </w:rPr>
              <w:t>Flete proporcional de transporte de biocombustible a planta de abasto mayorista</w:t>
            </w:r>
            <w:r>
              <w:rPr>
                <w:rFonts w:ascii="Bookman Old Style" w:hAnsi="Bookman Old Style" w:cs="Arial"/>
                <w:iCs/>
                <w:lang w:val="es-CO"/>
              </w:rPr>
              <w:t>.</w:t>
            </w:r>
          </w:p>
          <w:p w14:paraId="55D92DFC" w14:textId="77777777" w:rsidR="00B84525" w:rsidRDefault="00B84525" w:rsidP="00541C56">
            <w:pPr>
              <w:ind w:left="0"/>
              <w:jc w:val="both"/>
              <w:rPr>
                <w:rFonts w:ascii="Bookman Old Style" w:hAnsi="Bookman Old Style" w:cs="Arial"/>
                <w:iCs/>
                <w:lang w:val="es-CO"/>
              </w:rPr>
            </w:pPr>
          </w:p>
        </w:tc>
      </w:tr>
      <w:tr w:rsidR="00B84525" w14:paraId="0828835C" w14:textId="77777777" w:rsidTr="00541C56">
        <w:tc>
          <w:tcPr>
            <w:tcW w:w="1276" w:type="dxa"/>
          </w:tcPr>
          <w:p w14:paraId="5061C772" w14:textId="77777777" w:rsidR="00B84525" w:rsidRPr="00FF1874" w:rsidRDefault="00000000" w:rsidP="00541C56">
            <w:pPr>
              <w:ind w:left="0"/>
              <w:jc w:val="both"/>
              <w:rPr>
                <w:rFonts w:ascii="Bookman Old Style" w:hAnsi="Bookman Old Style" w:cs="Arial"/>
                <w:lang w:val="es-CO"/>
              </w:rPr>
            </w:pPr>
            <m:oMath>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bioMay</m:t>
                  </m:r>
                </m:sub>
              </m:sSub>
            </m:oMath>
            <w:r w:rsidR="00B84525">
              <w:rPr>
                <w:rFonts w:ascii="Bookman Old Style" w:hAnsi="Bookman Old Style" w:cs="Arial"/>
                <w:lang w:val="es-CO"/>
              </w:rPr>
              <w:t>:</w:t>
            </w:r>
          </w:p>
        </w:tc>
        <w:tc>
          <w:tcPr>
            <w:tcW w:w="8075" w:type="dxa"/>
          </w:tcPr>
          <w:p w14:paraId="522D4D22"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 xml:space="preserve">Es la tarifa de transporte de biocombustible por modos diferentes al poliducto desde las plantas o puntos de origen de producción o importación </w:t>
            </w:r>
            <w:r w:rsidRPr="00BA434C">
              <w:rPr>
                <w:rFonts w:ascii="Bookman Old Style" w:hAnsi="Bookman Old Style" w:cs="Arial"/>
                <w:iCs/>
                <w:lang w:val="es-CO"/>
              </w:rPr>
              <w:t>de biocombustible</w:t>
            </w:r>
            <w:r>
              <w:rPr>
                <w:rFonts w:ascii="Bookman Old Style" w:hAnsi="Bookman Old Style" w:cs="Arial"/>
                <w:iCs/>
                <w:lang w:val="es-CO"/>
              </w:rPr>
              <w:t xml:space="preserve"> a planta de abasto mayorista</w:t>
            </w:r>
            <w:r w:rsidRPr="0082092A">
              <w:rPr>
                <w:rFonts w:ascii="Bookman Old Style" w:hAnsi="Bookman Old Style" w:cs="Arial"/>
                <w:iCs/>
                <w:lang w:val="es-CO"/>
              </w:rPr>
              <w:t>, incluyendo los modos de transporte</w:t>
            </w:r>
            <w:r>
              <w:rPr>
                <w:rFonts w:ascii="Bookman Old Style" w:hAnsi="Bookman Old Style" w:cs="Arial"/>
                <w:iCs/>
                <w:lang w:val="es-CO"/>
              </w:rPr>
              <w:t xml:space="preserve"> diferentes a poliducto, de acuerdo con lo establecido mediante Resoluciones MME 41277 de 2016 y 40079 de 2018,</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lang w:val="es-CO"/>
              </w:rPr>
              <w:t>.</w:t>
            </w:r>
          </w:p>
          <w:p w14:paraId="2EF500B2" w14:textId="77777777" w:rsidR="00B84525" w:rsidRDefault="00B84525" w:rsidP="00541C56">
            <w:pPr>
              <w:ind w:left="0"/>
              <w:jc w:val="both"/>
              <w:rPr>
                <w:rFonts w:ascii="Bookman Old Style" w:hAnsi="Bookman Old Style" w:cs="Arial"/>
                <w:iCs/>
                <w:lang w:val="es-CO"/>
              </w:rPr>
            </w:pPr>
          </w:p>
        </w:tc>
      </w:tr>
      <w:tr w:rsidR="00B84525" w14:paraId="29C4AFAB" w14:textId="77777777" w:rsidTr="00541C56">
        <w:tc>
          <w:tcPr>
            <w:tcW w:w="1276" w:type="dxa"/>
          </w:tcPr>
          <w:p w14:paraId="154419F8" w14:textId="77777777" w:rsidR="00B84525" w:rsidRDefault="00000000" w:rsidP="00541C56">
            <w:pPr>
              <w:ind w:left="0"/>
              <w:jc w:val="both"/>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Pr>
                <w:rFonts w:ascii="Bookman Old Style" w:hAnsi="Bookman Old Style" w:cs="Arial"/>
                <w:iCs/>
                <w:lang w:val="es-CO"/>
              </w:rPr>
              <w:t>:</w:t>
            </w:r>
          </w:p>
        </w:tc>
        <w:tc>
          <w:tcPr>
            <w:tcW w:w="8075" w:type="dxa"/>
          </w:tcPr>
          <w:p w14:paraId="05DA7B9B" w14:textId="093DA3A4" w:rsidR="00326055" w:rsidRPr="00BA6DCF" w:rsidRDefault="00326055" w:rsidP="00541C56">
            <w:pPr>
              <w:ind w:left="0"/>
              <w:jc w:val="both"/>
              <w:rPr>
                <w:rFonts w:ascii="Bookman Old Style" w:hAnsi="Bookman Old Style" w:cs="Arial"/>
                <w:iCs/>
              </w:rPr>
            </w:pPr>
            <w:r>
              <w:rPr>
                <w:rFonts w:ascii="Bookman Old Style" w:hAnsi="Bookman Old Style" w:cs="Arial"/>
                <w:iCs/>
                <w:lang w:val="es-CO"/>
              </w:rPr>
              <w:t>Es el 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r w:rsidR="00326055" w14:paraId="6AA948E4" w14:textId="77777777" w:rsidTr="00323E71">
        <w:tc>
          <w:tcPr>
            <w:tcW w:w="1276" w:type="dxa"/>
          </w:tcPr>
          <w:p w14:paraId="1399191D" w14:textId="703654AD" w:rsidR="00326055" w:rsidRDefault="00326055" w:rsidP="00541C56">
            <w:pPr>
              <w:ind w:left="0"/>
              <w:jc w:val="both"/>
              <w:rPr>
                <w:rFonts w:ascii="Bookman Old Style" w:hAnsi="Bookman Old Style" w:cs="Arial"/>
                <w:iCs/>
                <w:lang w:val="es-CO"/>
              </w:rPr>
            </w:pPr>
          </w:p>
        </w:tc>
        <w:tc>
          <w:tcPr>
            <w:tcW w:w="8075" w:type="dxa"/>
          </w:tcPr>
          <w:p w14:paraId="0DA4143E" w14:textId="77777777" w:rsidR="00326055" w:rsidRDefault="00326055" w:rsidP="00541C56">
            <w:pPr>
              <w:ind w:left="0"/>
              <w:jc w:val="both"/>
              <w:rPr>
                <w:rFonts w:ascii="Bookman Old Style" w:hAnsi="Bookman Old Style" w:cs="Arial"/>
                <w:iCs/>
                <w:lang w:val="es-CO"/>
              </w:rPr>
            </w:pPr>
          </w:p>
        </w:tc>
      </w:tr>
    </w:tbl>
    <w:p w14:paraId="3D3B4823" w14:textId="40691446"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5</w:t>
      </w:r>
      <w:r w:rsidRPr="00DF5970">
        <w:rPr>
          <w:rFonts w:ascii="Bookman Old Style" w:hAnsi="Bookman Old Style" w:cs="Arial"/>
          <w:b/>
          <w:bCs/>
          <w:iCs/>
          <w:lang w:val="es-CO"/>
        </w:rPr>
        <w:t>.</w:t>
      </w:r>
      <w:r>
        <w:rPr>
          <w:rFonts w:ascii="Bookman Old Style" w:hAnsi="Bookman Old Style" w:cs="Arial"/>
          <w:b/>
          <w:bCs/>
          <w:iCs/>
          <w:lang w:val="es-CO"/>
        </w:rPr>
        <w:t>4</w:t>
      </w:r>
      <w:r w:rsidRPr="00DF5970">
        <w:rPr>
          <w:rFonts w:ascii="Bookman Old Style" w:hAnsi="Bookman Old Style" w:cs="Arial"/>
          <w:b/>
          <w:bCs/>
          <w:iCs/>
          <w:lang w:val="es-CO"/>
        </w:rPr>
        <w:t>. Tarifa de transporte a planta no conectada (</w:t>
      </w:r>
      <m:oMath>
        <m:r>
          <m:rPr>
            <m:sty m:val="bi"/>
          </m:rPr>
          <w:rPr>
            <w:rFonts w:ascii="Cambria Math" w:hAnsi="Cambria Math" w:cs="Arial"/>
            <w:lang w:val="es-CO"/>
          </w:rPr>
          <m:t>Ti</m:t>
        </m:r>
      </m:oMath>
      <w:r w:rsidRPr="00DF5970">
        <w:rPr>
          <w:rFonts w:ascii="Bookman Old Style" w:hAnsi="Bookman Old Style" w:cs="Arial"/>
          <w:b/>
          <w:bCs/>
          <w:iCs/>
          <w:lang w:val="es-CO"/>
        </w:rPr>
        <w:t>):</w:t>
      </w:r>
      <w:r>
        <w:rPr>
          <w:rFonts w:ascii="Bookman Old Style" w:hAnsi="Bookman Old Style" w:cs="Arial"/>
          <w:iCs/>
          <w:lang w:val="es-CO"/>
        </w:rPr>
        <w:t xml:space="preserve"> Es el valor asociado a todas las actividades del transporte entre planta interconectada </w:t>
      </w:r>
      <w:r w:rsidRPr="0088433D">
        <w:rPr>
          <w:rFonts w:ascii="Bookman Old Style" w:hAnsi="Bookman Old Style" w:cs="Arial"/>
          <w:iCs/>
          <w:lang w:val="es-CO"/>
        </w:rPr>
        <w:t>al sistema de poliductos</w:t>
      </w:r>
      <w:r>
        <w:rPr>
          <w:rFonts w:ascii="Bookman Old Style" w:hAnsi="Bookman Old Style" w:cs="Arial"/>
          <w:iCs/>
          <w:lang w:val="es-CO"/>
        </w:rPr>
        <w:t xml:space="preserve"> </w:t>
      </w:r>
      <w:r w:rsidRPr="0082092A">
        <w:rPr>
          <w:rFonts w:ascii="Bookman Old Style" w:hAnsi="Bookman Old Style" w:cs="Arial"/>
          <w:iCs/>
          <w:lang w:val="es-CO"/>
        </w:rPr>
        <w:t xml:space="preserve">a </w:t>
      </w:r>
      <w:r>
        <w:rPr>
          <w:rFonts w:ascii="Bookman Old Style" w:hAnsi="Bookman Old Style" w:cs="Arial"/>
          <w:iCs/>
          <w:lang w:val="es-CO"/>
        </w:rPr>
        <w:t xml:space="preserve">planta </w:t>
      </w:r>
      <w:r w:rsidRPr="0082092A">
        <w:rPr>
          <w:rFonts w:ascii="Bookman Old Style" w:hAnsi="Bookman Old Style" w:cs="Arial"/>
          <w:iCs/>
          <w:lang w:val="es-CO"/>
        </w:rPr>
        <w:t xml:space="preserve">no </w:t>
      </w:r>
      <w:r>
        <w:rPr>
          <w:rFonts w:ascii="Bookman Old Style" w:hAnsi="Bookman Old Style" w:cs="Arial"/>
          <w:iCs/>
          <w:lang w:val="es-CO"/>
        </w:rPr>
        <w:t>inter</w:t>
      </w:r>
      <w:r w:rsidRPr="0082092A">
        <w:rPr>
          <w:rFonts w:ascii="Bookman Old Style" w:hAnsi="Bookman Old Style" w:cs="Arial"/>
          <w:iCs/>
          <w:lang w:val="es-CO"/>
        </w:rPr>
        <w:t>conectada</w:t>
      </w:r>
      <w:r>
        <w:rPr>
          <w:rFonts w:ascii="Bookman Old Style" w:hAnsi="Bookman Old Style" w:cs="Arial"/>
          <w:iCs/>
          <w:lang w:val="es-CO"/>
        </w:rPr>
        <w:t xml:space="preserve"> </w:t>
      </w:r>
      <w:r w:rsidRPr="0088433D">
        <w:rPr>
          <w:rFonts w:ascii="Bookman Old Style" w:hAnsi="Bookman Old Style" w:cs="Arial"/>
          <w:iCs/>
          <w:lang w:val="es-CO"/>
        </w:rPr>
        <w:t>al sistema de poliductos</w:t>
      </w:r>
      <w:r>
        <w:rPr>
          <w:rFonts w:ascii="Bookman Old Style" w:hAnsi="Bookman Old Style" w:cs="Arial"/>
          <w:iCs/>
          <w:lang w:val="es-CO"/>
        </w:rPr>
        <w:t>, o entre refinería o punto de importación a planta no interconectada,</w:t>
      </w:r>
      <w:r w:rsidRPr="0082092A">
        <w:rPr>
          <w:rFonts w:ascii="Bookman Old Style" w:hAnsi="Bookman Old Style" w:cs="Arial"/>
          <w:iCs/>
          <w:lang w:val="es-CO"/>
        </w:rPr>
        <w:t xml:space="preserve"> incluyendo los diferentes modos de transporte</w:t>
      </w:r>
      <w:r>
        <w:rPr>
          <w:rFonts w:ascii="Bookman Old Style" w:hAnsi="Bookman Old Style" w:cs="Arial"/>
          <w:iCs/>
          <w:lang w:val="es-CO"/>
        </w:rPr>
        <w:t>.</w:t>
      </w:r>
    </w:p>
    <w:p w14:paraId="264B46B3" w14:textId="77777777" w:rsidR="00B84525" w:rsidRDefault="00B84525" w:rsidP="00B84525">
      <w:pPr>
        <w:ind w:left="0"/>
        <w:jc w:val="both"/>
        <w:rPr>
          <w:rFonts w:ascii="Bookman Old Style" w:hAnsi="Bookman Old Style" w:cs="Arial"/>
          <w:iCs/>
          <w:lang w:val="es-CO"/>
        </w:rPr>
      </w:pPr>
    </w:p>
    <w:p w14:paraId="30E40EA8"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5</w:t>
      </w:r>
      <w:r w:rsidRPr="00DF5970">
        <w:rPr>
          <w:rFonts w:ascii="Bookman Old Style" w:hAnsi="Bookman Old Style" w:cs="Arial"/>
          <w:b/>
          <w:bCs/>
          <w:iCs/>
          <w:lang w:val="es-CO"/>
        </w:rPr>
        <w:t>.</w:t>
      </w:r>
      <w:r>
        <w:rPr>
          <w:rFonts w:ascii="Bookman Old Style" w:hAnsi="Bookman Old Style" w:cs="Arial"/>
          <w:b/>
          <w:bCs/>
          <w:iCs/>
          <w:lang w:val="es-CO"/>
        </w:rPr>
        <w:t>5</w:t>
      </w:r>
      <w:r w:rsidRPr="00DF5970">
        <w:rPr>
          <w:rFonts w:ascii="Bookman Old Style" w:hAnsi="Bookman Old Style" w:cs="Arial"/>
          <w:b/>
          <w:bCs/>
          <w:iCs/>
          <w:lang w:val="es-CO"/>
        </w:rPr>
        <w:t xml:space="preserve">. </w:t>
      </w:r>
      <w:bookmarkStart w:id="2" w:name="_Hlk178260565"/>
      <w:r w:rsidRPr="00DF5970">
        <w:rPr>
          <w:rFonts w:ascii="Bookman Old Style" w:hAnsi="Bookman Old Style" w:cs="Arial"/>
          <w:b/>
          <w:bCs/>
          <w:iCs/>
          <w:lang w:val="es-CO"/>
        </w:rPr>
        <w:t xml:space="preserve">Tarifa de entregas en muelle de la </w:t>
      </w:r>
      <w:r>
        <w:rPr>
          <w:rFonts w:ascii="Bookman Old Style" w:hAnsi="Bookman Old Style" w:cs="Arial"/>
          <w:b/>
          <w:bCs/>
          <w:iCs/>
          <w:lang w:val="es-CO"/>
        </w:rPr>
        <w:t>r</w:t>
      </w:r>
      <w:r w:rsidRPr="00DF5970">
        <w:rPr>
          <w:rFonts w:ascii="Bookman Old Style" w:hAnsi="Bookman Old Style" w:cs="Arial"/>
          <w:b/>
          <w:bCs/>
          <w:iCs/>
          <w:lang w:val="es-CO"/>
        </w:rPr>
        <w:t>efinería de Cartagena (</w:t>
      </w:r>
      <m:oMath>
        <m:sSub>
          <m:sSubPr>
            <m:ctrlPr>
              <w:rPr>
                <w:rFonts w:ascii="Cambria Math" w:hAnsi="Cambria Math" w:cs="Arial"/>
                <w:b/>
                <w:bCs/>
                <w:i/>
                <w:iCs/>
                <w:lang w:val="es-CO"/>
              </w:rPr>
            </m:ctrlPr>
          </m:sSubPr>
          <m:e>
            <m:r>
              <m:rPr>
                <m:sty m:val="bi"/>
              </m:rPr>
              <w:rPr>
                <w:rFonts w:ascii="Cambria Math" w:hAnsi="Cambria Math" w:cs="Arial"/>
                <w:lang w:val="es-CO"/>
              </w:rPr>
              <m:t>T</m:t>
            </m:r>
          </m:e>
          <m:sub>
            <m:r>
              <m:rPr>
                <m:sty m:val="bi"/>
              </m:rPr>
              <w:rPr>
                <w:rFonts w:ascii="Cambria Math" w:hAnsi="Cambria Math" w:cs="Arial"/>
                <w:lang w:val="es-CO"/>
              </w:rPr>
              <m:t>muelleRef</m:t>
            </m:r>
          </m:sub>
        </m:sSub>
      </m:oMath>
      <w:r w:rsidRPr="00DF5970">
        <w:rPr>
          <w:rFonts w:ascii="Bookman Old Style" w:hAnsi="Bookman Old Style" w:cs="Arial"/>
          <w:b/>
          <w:bCs/>
          <w:iCs/>
          <w:lang w:val="es-CO"/>
        </w:rPr>
        <w:t>):</w:t>
      </w:r>
      <w:r>
        <w:rPr>
          <w:rFonts w:ascii="Bookman Old Style" w:hAnsi="Bookman Old Style" w:cs="Arial"/>
          <w:iCs/>
          <w:lang w:val="es-CO"/>
        </w:rPr>
        <w:t xml:space="preserve"> Es el valor de </w:t>
      </w:r>
      <w:r w:rsidRPr="00874194">
        <w:rPr>
          <w:rFonts w:ascii="Bookman Old Style" w:hAnsi="Bookman Old Style" w:cs="Arial"/>
          <w:iCs/>
          <w:lang w:val="es-CO"/>
        </w:rPr>
        <w:t xml:space="preserve">la tarifa equivalente para la entrega en muelle </w:t>
      </w:r>
      <w:r>
        <w:rPr>
          <w:rFonts w:ascii="Bookman Old Style" w:hAnsi="Bookman Old Style" w:cs="Arial"/>
          <w:iCs/>
          <w:lang w:val="es-CO"/>
        </w:rPr>
        <w:t>de la refinería de Cartagena, de conformidad con lo establecido en la Resolución</w:t>
      </w:r>
      <w:r w:rsidRPr="00530281">
        <w:t xml:space="preserve"> </w:t>
      </w:r>
      <w:r>
        <w:t xml:space="preserve">MME </w:t>
      </w:r>
      <w:r w:rsidRPr="00530281">
        <w:rPr>
          <w:rFonts w:ascii="Bookman Old Style" w:hAnsi="Bookman Old Style" w:cs="Arial"/>
          <w:iCs/>
          <w:lang w:val="es-CO"/>
        </w:rPr>
        <w:t xml:space="preserve">181300 </w:t>
      </w:r>
      <w:r>
        <w:rPr>
          <w:rFonts w:ascii="Bookman Old Style" w:hAnsi="Bookman Old Style" w:cs="Arial"/>
          <w:iCs/>
          <w:lang w:val="es-CO"/>
        </w:rPr>
        <w:t>de</w:t>
      </w:r>
      <w:r w:rsidRPr="00530281">
        <w:rPr>
          <w:rFonts w:ascii="Bookman Old Style" w:hAnsi="Bookman Old Style" w:cs="Arial"/>
          <w:iCs/>
          <w:lang w:val="es-CO"/>
        </w:rPr>
        <w:t xml:space="preserve"> 2007</w:t>
      </w:r>
      <w:r>
        <w:rPr>
          <w:rFonts w:ascii="Bookman Old Style" w:hAnsi="Bookman Old Style" w:cs="Arial"/>
          <w:iCs/>
          <w:lang w:val="es-CO"/>
        </w:rPr>
        <w:t xml:space="preserve"> </w:t>
      </w:r>
      <w:r w:rsidRPr="00A54CFD">
        <w:rPr>
          <w:rFonts w:ascii="Bookman Old Style" w:hAnsi="Bookman Old Style" w:cs="Arial"/>
          <w:iCs/>
          <w:lang w:val="es-CO"/>
        </w:rPr>
        <w:t>y demás normas que la modifiquen, adicionen o sustituyan.</w:t>
      </w:r>
    </w:p>
    <w:bookmarkEnd w:id="2"/>
    <w:p w14:paraId="3812FD67" w14:textId="77777777" w:rsidR="00B84525" w:rsidRPr="0082092A" w:rsidRDefault="00B84525" w:rsidP="00B84525">
      <w:pPr>
        <w:ind w:left="0"/>
        <w:jc w:val="both"/>
        <w:rPr>
          <w:rFonts w:ascii="Bookman Old Style" w:hAnsi="Bookman Old Style" w:cs="Arial"/>
          <w:iCs/>
          <w:lang w:val="es-CO"/>
        </w:rPr>
      </w:pPr>
    </w:p>
    <w:p w14:paraId="4B901F00" w14:textId="77777777" w:rsidR="00B84525" w:rsidRPr="0082092A" w:rsidRDefault="00B84525" w:rsidP="00B84525">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Pr>
          <w:rFonts w:ascii="Bookman Old Style" w:hAnsi="Bookman Old Style" w:cs="Arial"/>
          <w:b/>
          <w:bCs/>
          <w:iCs/>
          <w:lang w:val="es-CO"/>
        </w:rPr>
        <w:t>6</w:t>
      </w:r>
      <w:r w:rsidRPr="0082092A">
        <w:rPr>
          <w:rFonts w:ascii="Bookman Old Style" w:hAnsi="Bookman Old Style" w:cs="Arial"/>
          <w:b/>
          <w:bCs/>
          <w:iCs/>
          <w:lang w:val="es-CO"/>
        </w:rPr>
        <w:t>. MARGEN DE DISTRIBUCIÓN MAYORISTA (</w:t>
      </w:r>
      <m:oMath>
        <m:r>
          <m:rPr>
            <m:sty m:val="bi"/>
          </m:rPr>
          <w:rPr>
            <w:rFonts w:ascii="Cambria Math" w:hAnsi="Cambria Math" w:cs="Arial"/>
            <w:lang w:val="es-CO"/>
          </w:rPr>
          <m:t>MD</m:t>
        </m:r>
      </m:oMath>
      <w:r w:rsidRPr="0082092A">
        <w:rPr>
          <w:rFonts w:ascii="Bookman Old Style" w:hAnsi="Bookman Old Style" w:cs="Arial"/>
          <w:b/>
          <w:bCs/>
          <w:iCs/>
          <w:lang w:val="es-CO"/>
        </w:rPr>
        <w:t xml:space="preserve">).  </w:t>
      </w:r>
      <w:r w:rsidRPr="0082092A">
        <w:rPr>
          <w:rFonts w:ascii="Bookman Old Style" w:hAnsi="Bookman Old Style" w:cs="Arial"/>
          <w:iCs/>
          <w:lang w:val="es-CO"/>
        </w:rPr>
        <w:t xml:space="preserve">Es el valor establecido por la </w:t>
      </w:r>
      <w:r>
        <w:rPr>
          <w:rFonts w:ascii="Bookman Old Style" w:hAnsi="Bookman Old Style" w:cs="Arial"/>
          <w:iCs/>
          <w:lang w:val="es-CO"/>
        </w:rPr>
        <w:t>R</w:t>
      </w:r>
      <w:r w:rsidRPr="0082092A">
        <w:rPr>
          <w:rFonts w:ascii="Bookman Old Style" w:hAnsi="Bookman Old Style" w:cs="Arial"/>
          <w:iCs/>
          <w:lang w:val="es-CO"/>
        </w:rPr>
        <w:t xml:space="preserve">esolución </w:t>
      </w:r>
      <w:r>
        <w:rPr>
          <w:rFonts w:ascii="Bookman Old Style" w:hAnsi="Bookman Old Style" w:cs="Arial"/>
          <w:iCs/>
          <w:lang w:val="es-CO"/>
        </w:rPr>
        <w:t xml:space="preserve">MME </w:t>
      </w:r>
      <w:r w:rsidRPr="0082092A">
        <w:rPr>
          <w:rFonts w:ascii="Bookman Old Style" w:hAnsi="Bookman Old Style" w:cs="Arial"/>
          <w:iCs/>
          <w:lang w:val="es-CO"/>
        </w:rPr>
        <w:t xml:space="preserve">41278 del 30 de diciembre de 2016, y las demás que la modifiquen, adicionen o </w:t>
      </w:r>
      <w:r w:rsidRPr="009563CD">
        <w:rPr>
          <w:rFonts w:ascii="Bookman Old Style" w:hAnsi="Bookman Old Style" w:cs="Arial"/>
          <w:iCs/>
          <w:lang w:val="es-CO"/>
        </w:rPr>
        <w:t>sustituyan</w:t>
      </w:r>
      <w:r w:rsidRPr="0082092A">
        <w:rPr>
          <w:rFonts w:ascii="Bookman Old Style" w:hAnsi="Bookman Old Style" w:cs="Arial"/>
          <w:iCs/>
          <w:lang w:val="es-CO"/>
        </w:rPr>
        <w:t>.</w:t>
      </w:r>
    </w:p>
    <w:p w14:paraId="730220E2" w14:textId="77777777" w:rsidR="00B84525" w:rsidRPr="0082092A" w:rsidRDefault="00B84525" w:rsidP="00B84525">
      <w:pPr>
        <w:ind w:left="0"/>
        <w:jc w:val="both"/>
        <w:rPr>
          <w:rFonts w:ascii="Bookman Old Style" w:hAnsi="Bookman Old Style" w:cs="Arial"/>
          <w:iCs/>
          <w:lang w:val="es-CO"/>
        </w:rPr>
      </w:pPr>
    </w:p>
    <w:p w14:paraId="33B46ECB" w14:textId="77777777" w:rsidR="00B84525" w:rsidRDefault="00B84525" w:rsidP="00B84525">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Pr>
          <w:rFonts w:ascii="Bookman Old Style" w:hAnsi="Bookman Old Style" w:cs="Arial"/>
          <w:b/>
          <w:bCs/>
          <w:iCs/>
          <w:lang w:val="es-CO"/>
        </w:rPr>
        <w:t>7</w:t>
      </w:r>
      <w:r w:rsidRPr="0082092A">
        <w:rPr>
          <w:rFonts w:ascii="Bookman Old Style" w:hAnsi="Bookman Old Style" w:cs="Arial"/>
          <w:b/>
          <w:bCs/>
          <w:iCs/>
          <w:lang w:val="es-CO"/>
        </w:rPr>
        <w:t>. TRANSPORTE</w:t>
      </w:r>
      <w:r>
        <w:rPr>
          <w:rFonts w:ascii="Bookman Old Style" w:hAnsi="Bookman Old Style" w:cs="Arial"/>
          <w:b/>
          <w:bCs/>
          <w:iCs/>
          <w:lang w:val="es-CO"/>
        </w:rPr>
        <w:t xml:space="preserve"> AL</w:t>
      </w:r>
      <w:r w:rsidRPr="0082092A">
        <w:rPr>
          <w:rFonts w:ascii="Bookman Old Style" w:hAnsi="Bookman Old Style" w:cs="Arial"/>
          <w:b/>
          <w:bCs/>
          <w:iCs/>
          <w:lang w:val="es-CO"/>
        </w:rPr>
        <w:t xml:space="preserve"> MINORISTA (</w:t>
      </w:r>
      <m:oMath>
        <m:r>
          <m:rPr>
            <m:sty m:val="bi"/>
          </m:rPr>
          <w:rPr>
            <w:rFonts w:ascii="Cambria Math" w:hAnsi="Cambria Math" w:cs="Arial"/>
            <w:lang w:val="es-CO"/>
          </w:rPr>
          <m:t>Tmin</m:t>
        </m:r>
      </m:oMath>
      <w:r w:rsidRPr="0082092A">
        <w:rPr>
          <w:rFonts w:ascii="Bookman Old Style" w:hAnsi="Bookman Old Style" w:cs="Arial"/>
          <w:b/>
          <w:bCs/>
          <w:iCs/>
          <w:lang w:val="es-CO"/>
        </w:rPr>
        <w:t xml:space="preserve">). </w:t>
      </w:r>
      <w:r w:rsidRPr="00334851">
        <w:rPr>
          <w:rFonts w:ascii="Bookman Old Style" w:hAnsi="Bookman Old Style" w:cs="Arial"/>
          <w:iCs/>
          <w:lang w:val="es-CO"/>
        </w:rPr>
        <w:t xml:space="preserve">Es la </w:t>
      </w:r>
      <w:r w:rsidRPr="00FD4F6C">
        <w:rPr>
          <w:rFonts w:ascii="Bookman Old Style" w:hAnsi="Bookman Old Style" w:cs="Arial"/>
          <w:iCs/>
          <w:lang w:val="es-CO"/>
        </w:rPr>
        <w:t xml:space="preserve">tarifa de transporte desde la última planta de abastecimiento </w:t>
      </w:r>
      <w:r w:rsidRPr="00D12C33">
        <w:rPr>
          <w:rFonts w:ascii="Bookman Old Style" w:hAnsi="Bookman Old Style" w:cs="Arial"/>
          <w:iCs/>
          <w:lang w:val="es-CO"/>
        </w:rPr>
        <w:t>mayorista, interconectada o no al sistema de poliductos, desde la cual se realiza el abastecimiento hasta la Estación de Servicio</w:t>
      </w:r>
      <w:r>
        <w:rPr>
          <w:rFonts w:ascii="Bookman Old Style" w:hAnsi="Bookman Old Style" w:cs="Arial"/>
          <w:iCs/>
          <w:lang w:val="es-CO"/>
        </w:rPr>
        <w:t>,</w:t>
      </w:r>
      <w:r w:rsidRPr="007C779E">
        <w:rPr>
          <w:rFonts w:ascii="Bookman Old Style" w:hAnsi="Bookman Old Style" w:cs="Arial"/>
          <w:iCs/>
          <w:lang w:val="es-CO"/>
        </w:rPr>
        <w:t xml:space="preserve"> </w:t>
      </w:r>
      <w:r w:rsidRPr="0082092A">
        <w:rPr>
          <w:rFonts w:ascii="Bookman Old Style" w:hAnsi="Bookman Old Style" w:cs="Arial"/>
          <w:iCs/>
          <w:lang w:val="es-CO"/>
        </w:rPr>
        <w:t>incluyendo los diferentes modos de transporte</w:t>
      </w:r>
      <w:r w:rsidRPr="00D12C33">
        <w:rPr>
          <w:rFonts w:ascii="Bookman Old Style" w:hAnsi="Bookman Old Style" w:cs="Arial"/>
          <w:iCs/>
          <w:lang w:val="es-CO"/>
        </w:rPr>
        <w:t>. Es el valor establecido por la Resolución MME 41280 del 30 de diciembre de 2016 y las normas que la modifiquen, adicionen o sustituyan.</w:t>
      </w:r>
    </w:p>
    <w:p w14:paraId="2C0B42C8" w14:textId="77777777" w:rsidR="00B84525" w:rsidRPr="00D12C33" w:rsidRDefault="00B84525" w:rsidP="00B84525">
      <w:pPr>
        <w:ind w:left="0"/>
        <w:jc w:val="both"/>
        <w:rPr>
          <w:rFonts w:ascii="Bookman Old Style" w:hAnsi="Bookman Old Style" w:cs="Arial"/>
          <w:iCs/>
          <w:lang w:val="es-CO"/>
        </w:rPr>
      </w:pPr>
    </w:p>
    <w:p w14:paraId="470DAEC0" w14:textId="77777777" w:rsidR="00B84525" w:rsidRPr="00FD4F6C" w:rsidRDefault="00B84525" w:rsidP="00B84525">
      <w:pPr>
        <w:ind w:left="0"/>
        <w:jc w:val="both"/>
        <w:rPr>
          <w:rFonts w:ascii="Bookman Old Style" w:hAnsi="Bookman Old Style" w:cs="Arial"/>
          <w:iCs/>
          <w:lang w:val="es-CO"/>
        </w:rPr>
      </w:pPr>
      <w:r w:rsidRPr="00D12C33">
        <w:rPr>
          <w:rFonts w:ascii="Bookman Old Style" w:hAnsi="Bookman Old Style" w:cs="Arial"/>
          <w:b/>
          <w:bCs/>
          <w:iCs/>
          <w:lang w:val="es-CO"/>
        </w:rPr>
        <w:t xml:space="preserve">ARTÍCULO </w:t>
      </w:r>
      <w:r>
        <w:rPr>
          <w:rFonts w:ascii="Bookman Old Style" w:hAnsi="Bookman Old Style" w:cs="Arial"/>
          <w:b/>
          <w:bCs/>
          <w:iCs/>
          <w:lang w:val="es-CO"/>
        </w:rPr>
        <w:t>8</w:t>
      </w:r>
      <w:r w:rsidRPr="00D12C33">
        <w:rPr>
          <w:rFonts w:ascii="Bookman Old Style" w:hAnsi="Bookman Old Style" w:cs="Arial"/>
          <w:b/>
          <w:bCs/>
          <w:iCs/>
          <w:lang w:val="es-CO"/>
        </w:rPr>
        <w:t>. MARGEN DEL DISTRIBUIDOR MINORISTA (</w:t>
      </w:r>
      <m:oMath>
        <m:r>
          <m:rPr>
            <m:sty m:val="bi"/>
          </m:rPr>
          <w:rPr>
            <w:rFonts w:ascii="Cambria Math" w:hAnsi="Cambria Math" w:cs="Arial"/>
            <w:lang w:val="es-CO"/>
          </w:rPr>
          <m:t>MDM</m:t>
        </m:r>
      </m:oMath>
      <w:r w:rsidRPr="00D12C33">
        <w:rPr>
          <w:rFonts w:ascii="Bookman Old Style" w:hAnsi="Bookman Old Style" w:cs="Arial"/>
          <w:b/>
          <w:bCs/>
          <w:iCs/>
          <w:lang w:val="es-CO"/>
        </w:rPr>
        <w:t>):</w:t>
      </w:r>
      <w:r w:rsidRPr="00D12C33">
        <w:rPr>
          <w:rFonts w:ascii="Bookman Old Style" w:hAnsi="Bookman Old Style" w:cs="Arial"/>
          <w:iCs/>
          <w:lang w:val="es-CO"/>
        </w:rPr>
        <w:t xml:space="preserve"> Es el valor establecido por la Resolución MME 40222 del 22 de </w:t>
      </w:r>
      <w:r w:rsidRPr="00FD4F6C">
        <w:rPr>
          <w:rFonts w:ascii="Bookman Old Style" w:hAnsi="Bookman Old Style" w:cs="Arial"/>
          <w:iCs/>
          <w:lang w:val="es-CO"/>
        </w:rPr>
        <w:t xml:space="preserve">febrero de 2015, y las demás que la modifiquen, adicionen o sustituyan. Debe considerarse, además, lo relacionado con el régimen de libertad vigilada o régimen de libertad regulada aplicable según lo establecido por la </w:t>
      </w:r>
      <w:r>
        <w:rPr>
          <w:rFonts w:ascii="Bookman Old Style" w:hAnsi="Bookman Old Style" w:cs="Arial"/>
          <w:iCs/>
          <w:lang w:val="es-CO"/>
        </w:rPr>
        <w:t>R</w:t>
      </w:r>
      <w:r w:rsidRPr="00FD4F6C">
        <w:rPr>
          <w:rFonts w:ascii="Bookman Old Style" w:hAnsi="Bookman Old Style" w:cs="Arial"/>
          <w:iCs/>
          <w:lang w:val="es-CO"/>
        </w:rPr>
        <w:t xml:space="preserve">esolución </w:t>
      </w:r>
      <w:r>
        <w:rPr>
          <w:rFonts w:ascii="Bookman Old Style" w:hAnsi="Bookman Old Style" w:cs="Arial"/>
          <w:iCs/>
          <w:lang w:val="es-CO"/>
        </w:rPr>
        <w:t>MME</w:t>
      </w:r>
      <w:r w:rsidRPr="00FD4F6C">
        <w:rPr>
          <w:rFonts w:ascii="Bookman Old Style" w:hAnsi="Bookman Old Style" w:cs="Arial"/>
          <w:iCs/>
          <w:lang w:val="es-CO"/>
        </w:rPr>
        <w:t xml:space="preserve"> </w:t>
      </w:r>
      <w:r>
        <w:rPr>
          <w:rFonts w:ascii="Bookman Old Style" w:hAnsi="Bookman Old Style" w:cs="Arial"/>
          <w:iCs/>
          <w:lang w:val="es-CO"/>
        </w:rPr>
        <w:t>1</w:t>
      </w:r>
      <w:r w:rsidRPr="00FD4F6C">
        <w:rPr>
          <w:rFonts w:ascii="Bookman Old Style" w:hAnsi="Bookman Old Style" w:cs="Arial"/>
          <w:iCs/>
          <w:lang w:val="es-CO"/>
        </w:rPr>
        <w:t>81254 del 30 de julio de 2012 y las normas que la modifiquen, adicionen o sustituyan.</w:t>
      </w:r>
    </w:p>
    <w:p w14:paraId="72F5C926" w14:textId="77777777" w:rsidR="00B84525" w:rsidRPr="0082092A" w:rsidRDefault="00B84525" w:rsidP="00B84525">
      <w:pPr>
        <w:ind w:left="0"/>
        <w:jc w:val="both"/>
        <w:rPr>
          <w:rFonts w:ascii="Bookman Old Style" w:hAnsi="Bookman Old Style" w:cs="Arial"/>
          <w:iCs/>
          <w:lang w:val="es-CO"/>
        </w:rPr>
      </w:pPr>
    </w:p>
    <w:p w14:paraId="5A32A8FE" w14:textId="650D874C" w:rsidR="00B84525" w:rsidRDefault="00B84525" w:rsidP="00B84525">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Pr>
          <w:rFonts w:ascii="Bookman Old Style" w:hAnsi="Bookman Old Style" w:cs="Arial"/>
          <w:b/>
          <w:bCs/>
          <w:iCs/>
          <w:lang w:val="es-CO"/>
        </w:rPr>
        <w:t>9</w:t>
      </w:r>
      <w:r w:rsidRPr="0082092A">
        <w:rPr>
          <w:rFonts w:ascii="Bookman Old Style" w:hAnsi="Bookman Old Style" w:cs="Arial"/>
          <w:b/>
          <w:bCs/>
          <w:iCs/>
          <w:lang w:val="es-CO"/>
        </w:rPr>
        <w:t>.</w:t>
      </w:r>
      <w:r>
        <w:rPr>
          <w:rFonts w:ascii="Bookman Old Style" w:hAnsi="Bookman Old Style" w:cs="Arial"/>
          <w:b/>
          <w:bCs/>
          <w:iCs/>
          <w:lang w:val="es-CO"/>
        </w:rPr>
        <w:t xml:space="preserve"> </w:t>
      </w:r>
      <w:r w:rsidRPr="00FD4F6C">
        <w:rPr>
          <w:rFonts w:ascii="Bookman Old Style" w:hAnsi="Bookman Old Style" w:cs="Arial"/>
          <w:b/>
          <w:bCs/>
          <w:iCs/>
          <w:lang w:val="es-CO"/>
        </w:rPr>
        <w:t>IMPUESTOS</w:t>
      </w:r>
      <w:r>
        <w:rPr>
          <w:rFonts w:ascii="Bookman Old Style" w:hAnsi="Bookman Old Style" w:cs="Arial"/>
          <w:b/>
          <w:bCs/>
          <w:iCs/>
          <w:lang w:val="es-CO"/>
        </w:rPr>
        <w:t xml:space="preserve">: </w:t>
      </w:r>
      <w:r w:rsidRPr="00C61796">
        <w:rPr>
          <w:rFonts w:ascii="Bookman Old Style" w:hAnsi="Bookman Old Style" w:cs="Arial"/>
          <w:iCs/>
          <w:lang w:val="es-CO"/>
        </w:rPr>
        <w:t xml:space="preserve">Es el valor de </w:t>
      </w:r>
      <w:r>
        <w:rPr>
          <w:rFonts w:ascii="Bookman Old Style" w:hAnsi="Bookman Old Style" w:cs="Arial"/>
          <w:iCs/>
          <w:lang w:val="es-CO"/>
        </w:rPr>
        <w:t>los impuestos</w:t>
      </w:r>
      <w:r w:rsidRPr="00C61796">
        <w:rPr>
          <w:rFonts w:ascii="Bookman Old Style" w:hAnsi="Bookman Old Style" w:cs="Arial"/>
          <w:iCs/>
          <w:lang w:val="es-CO"/>
        </w:rPr>
        <w:t>, de acuerdo con la siguiente fórmula:</w:t>
      </w:r>
    </w:p>
    <w:p w14:paraId="530C66A5" w14:textId="77777777" w:rsidR="00326055" w:rsidRDefault="00326055" w:rsidP="00B84525">
      <w:pPr>
        <w:ind w:left="0"/>
        <w:jc w:val="both"/>
        <w:rPr>
          <w:rFonts w:ascii="Bookman Old Style" w:hAnsi="Bookman Old Style" w:cs="Arial"/>
          <w:iCs/>
          <w:lang w:val="es-CO"/>
        </w:rPr>
      </w:pPr>
    </w:p>
    <w:p w14:paraId="648A1195" w14:textId="77777777" w:rsidR="00B84525" w:rsidRPr="008F1632" w:rsidRDefault="00B84525" w:rsidP="00B84525">
      <w:pPr>
        <w:ind w:left="0"/>
        <w:jc w:val="both"/>
        <w:rPr>
          <w:rFonts w:ascii="Bookman Old Style" w:hAnsi="Bookman Old Style" w:cs="Arial"/>
          <w:lang w:val="es-CO"/>
        </w:rPr>
      </w:pPr>
      <m:oMathPara>
        <m:oMath>
          <m:r>
            <w:rPr>
              <w:rFonts w:ascii="Cambria Math" w:hAnsi="Cambria Math" w:cs="Arial"/>
              <w:lang w:val="es-MX"/>
            </w:rPr>
            <m:t>Tx=PIN+PIC+St</m:t>
          </m:r>
          <m:r>
            <w:rPr>
              <w:rFonts w:ascii="Cambria Math" w:hAnsi="Cambria Math" w:cs="Arial"/>
              <w:lang w:val="es-CO"/>
            </w:rPr>
            <m:t xml:space="preserve">             (8)</m:t>
          </m:r>
        </m:oMath>
      </m:oMathPara>
    </w:p>
    <w:p w14:paraId="1FD15DE4" w14:textId="77777777" w:rsidR="00B84525" w:rsidRDefault="00B84525" w:rsidP="00B84525">
      <w:pPr>
        <w:ind w:left="0"/>
        <w:jc w:val="both"/>
        <w:rPr>
          <w:rFonts w:ascii="Bookman Old Style" w:hAnsi="Bookman Old Style" w:cs="Arial"/>
          <w:lang w:val="es-CO"/>
        </w:rPr>
      </w:pPr>
    </w:p>
    <w:p w14:paraId="3E0BC8B9" w14:textId="77777777" w:rsidR="00B84525" w:rsidRPr="008555F3" w:rsidRDefault="00B84525" w:rsidP="00B84525">
      <w:pPr>
        <w:ind w:left="0"/>
        <w:jc w:val="both"/>
        <w:rPr>
          <w:rFonts w:ascii="Bookman Old Style" w:hAnsi="Bookman Old Style" w:cs="Arial"/>
          <w:lang w:val="es-CO"/>
        </w:rPr>
      </w:pPr>
      <w:r>
        <w:rPr>
          <w:rFonts w:ascii="Bookman Old Style" w:hAnsi="Bookman Old Style" w:cs="Arial"/>
          <w:lang w:val="es-CO"/>
        </w:rPr>
        <w:t>Donde,</w:t>
      </w:r>
    </w:p>
    <w:p w14:paraId="65203354"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B84525" w14:paraId="042FB091" w14:textId="77777777" w:rsidTr="00541C56">
        <w:tc>
          <w:tcPr>
            <w:tcW w:w="1276" w:type="dxa"/>
          </w:tcPr>
          <w:p w14:paraId="1F5DFA5B" w14:textId="77777777" w:rsidR="00B84525" w:rsidRDefault="00B84525" w:rsidP="00541C56">
            <w:pPr>
              <w:ind w:left="0"/>
              <w:jc w:val="right"/>
              <w:rPr>
                <w:rFonts w:ascii="Bookman Old Style" w:hAnsi="Bookman Old Style" w:cs="Arial"/>
                <w:lang w:val="es-CO"/>
              </w:rPr>
            </w:pPr>
            <m:oMath>
              <m:r>
                <w:rPr>
                  <w:rFonts w:ascii="Cambria Math" w:hAnsi="Cambria Math" w:cs="Arial"/>
                  <w:lang w:val="es-MX"/>
                </w:rPr>
                <m:t>Tx</m:t>
              </m:r>
            </m:oMath>
            <w:r>
              <w:rPr>
                <w:rFonts w:ascii="Bookman Old Style" w:hAnsi="Bookman Old Style" w:cs="Arial"/>
                <w:lang w:val="es-CO"/>
              </w:rPr>
              <w:t>:</w:t>
            </w:r>
          </w:p>
        </w:tc>
        <w:tc>
          <w:tcPr>
            <w:tcW w:w="8070" w:type="dxa"/>
          </w:tcPr>
          <w:p w14:paraId="735A2A8E"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C</w:t>
            </w:r>
            <w:r w:rsidRPr="00387062">
              <w:rPr>
                <w:rFonts w:ascii="Bookman Old Style" w:hAnsi="Bookman Old Style" w:cs="Arial"/>
                <w:iCs/>
                <w:lang w:val="es-CO"/>
              </w:rPr>
              <w:t>omponente de impuestos</w:t>
            </w:r>
            <w:r>
              <w:rPr>
                <w:rFonts w:ascii="Bookman Old Style" w:hAnsi="Bookman Old Style" w:cs="Arial"/>
                <w:iCs/>
                <w:lang w:val="es-CO"/>
              </w:rPr>
              <w:t>.</w:t>
            </w:r>
          </w:p>
          <w:p w14:paraId="651F7DF3" w14:textId="77777777" w:rsidR="00B84525" w:rsidRPr="0082092A" w:rsidRDefault="00B84525" w:rsidP="00541C56">
            <w:pPr>
              <w:ind w:left="0"/>
              <w:jc w:val="both"/>
              <w:rPr>
                <w:rFonts w:ascii="Bookman Old Style" w:hAnsi="Bookman Old Style" w:cs="Arial"/>
                <w:iCs/>
                <w:lang w:val="es-CO"/>
              </w:rPr>
            </w:pPr>
          </w:p>
        </w:tc>
      </w:tr>
      <w:tr w:rsidR="00B84525" w14:paraId="0B65477A" w14:textId="77777777" w:rsidTr="00541C56">
        <w:tc>
          <w:tcPr>
            <w:tcW w:w="1276" w:type="dxa"/>
          </w:tcPr>
          <w:p w14:paraId="3495639F"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PIN</m:t>
              </m:r>
            </m:oMath>
            <w:r>
              <w:rPr>
                <w:rFonts w:ascii="Bookman Old Style" w:hAnsi="Bookman Old Style" w:cs="Arial"/>
                <w:iCs/>
                <w:lang w:val="es-CO"/>
              </w:rPr>
              <w:t xml:space="preserve">: </w:t>
            </w:r>
          </w:p>
          <w:p w14:paraId="621BA666" w14:textId="77777777" w:rsidR="00B84525" w:rsidRDefault="00B84525" w:rsidP="00541C56">
            <w:pPr>
              <w:ind w:left="0"/>
              <w:jc w:val="right"/>
              <w:rPr>
                <w:rFonts w:ascii="Bookman Old Style" w:hAnsi="Bookman Old Style" w:cs="Arial"/>
                <w:iCs/>
                <w:lang w:val="es-CO"/>
              </w:rPr>
            </w:pPr>
          </w:p>
        </w:tc>
        <w:tc>
          <w:tcPr>
            <w:tcW w:w="8070" w:type="dxa"/>
          </w:tcPr>
          <w:p w14:paraId="59CB7683" w14:textId="77777777" w:rsidR="00B84525" w:rsidRDefault="00B84525" w:rsidP="00541C56">
            <w:pPr>
              <w:ind w:left="0"/>
              <w:jc w:val="both"/>
              <w:rPr>
                <w:rFonts w:ascii="Bookman Old Style" w:hAnsi="Bookman Old Style" w:cs="Arial"/>
                <w:iCs/>
                <w:lang w:val="es-CO"/>
              </w:rPr>
            </w:pPr>
            <w:r w:rsidRPr="00D745F3">
              <w:rPr>
                <w:rFonts w:ascii="Bookman Old Style" w:hAnsi="Bookman Old Style" w:cs="Arial"/>
                <w:iCs/>
                <w:lang w:val="es-CO"/>
              </w:rPr>
              <w:t>Pago proporcional del impuesto nacional</w:t>
            </w:r>
            <w:r>
              <w:rPr>
                <w:rFonts w:ascii="Bookman Old Style" w:hAnsi="Bookman Old Style" w:cs="Arial"/>
                <w:iCs/>
                <w:lang w:val="es-CO"/>
              </w:rPr>
              <w:t>.</w:t>
            </w:r>
          </w:p>
          <w:p w14:paraId="6D8E6929" w14:textId="77777777" w:rsidR="00B84525" w:rsidRDefault="00B84525" w:rsidP="00541C56">
            <w:pPr>
              <w:ind w:left="0"/>
              <w:jc w:val="both"/>
              <w:rPr>
                <w:rFonts w:ascii="Bookman Old Style" w:hAnsi="Bookman Old Style" w:cs="Arial"/>
                <w:iCs/>
                <w:lang w:val="es-CO"/>
              </w:rPr>
            </w:pPr>
          </w:p>
        </w:tc>
      </w:tr>
      <w:tr w:rsidR="00B84525" w14:paraId="1C8EC46D" w14:textId="77777777" w:rsidTr="00541C56">
        <w:tc>
          <w:tcPr>
            <w:tcW w:w="1276" w:type="dxa"/>
          </w:tcPr>
          <w:p w14:paraId="4773D748"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PIC</m:t>
              </m:r>
            </m:oMath>
            <w:r>
              <w:rPr>
                <w:rFonts w:ascii="Bookman Old Style" w:hAnsi="Bookman Old Style" w:cs="Arial"/>
                <w:iCs/>
                <w:lang w:val="es-CO"/>
              </w:rPr>
              <w:t xml:space="preserve">: </w:t>
            </w:r>
          </w:p>
          <w:p w14:paraId="4216B554" w14:textId="77777777" w:rsidR="00B84525" w:rsidRDefault="00B84525" w:rsidP="00541C56">
            <w:pPr>
              <w:ind w:left="0"/>
              <w:jc w:val="right"/>
              <w:rPr>
                <w:rFonts w:ascii="Bookman Old Style" w:hAnsi="Bookman Old Style" w:cs="Arial"/>
                <w:iCs/>
                <w:lang w:val="es-CO"/>
              </w:rPr>
            </w:pPr>
          </w:p>
        </w:tc>
        <w:tc>
          <w:tcPr>
            <w:tcW w:w="8070" w:type="dxa"/>
          </w:tcPr>
          <w:p w14:paraId="7C373EFD" w14:textId="77777777" w:rsidR="00B84525" w:rsidRDefault="00B84525" w:rsidP="00541C56">
            <w:pPr>
              <w:ind w:left="0"/>
              <w:jc w:val="both"/>
              <w:rPr>
                <w:rFonts w:ascii="Bookman Old Style" w:hAnsi="Bookman Old Style" w:cs="Arial"/>
                <w:iCs/>
                <w:lang w:val="es-CO"/>
              </w:rPr>
            </w:pPr>
            <w:r w:rsidRPr="00C94343">
              <w:rPr>
                <w:rFonts w:ascii="Bookman Old Style" w:hAnsi="Bookman Old Style" w:cs="Arial"/>
                <w:iCs/>
                <w:lang w:val="es-CO"/>
              </w:rPr>
              <w:t>Pago proporcional del impuesto al carbono</w:t>
            </w:r>
            <w:r>
              <w:rPr>
                <w:rFonts w:ascii="Bookman Old Style" w:hAnsi="Bookman Old Style" w:cs="Arial"/>
                <w:iCs/>
                <w:lang w:val="es-CO"/>
              </w:rPr>
              <w:t>.</w:t>
            </w:r>
          </w:p>
          <w:p w14:paraId="6E786A31" w14:textId="77777777" w:rsidR="00B84525" w:rsidRDefault="00B84525" w:rsidP="00541C56">
            <w:pPr>
              <w:ind w:left="0"/>
              <w:jc w:val="both"/>
              <w:rPr>
                <w:rFonts w:ascii="Bookman Old Style" w:hAnsi="Bookman Old Style" w:cs="Arial"/>
                <w:iCs/>
                <w:lang w:val="es-CO"/>
              </w:rPr>
            </w:pPr>
          </w:p>
        </w:tc>
      </w:tr>
      <w:tr w:rsidR="00B84525" w14:paraId="51A4B672" w14:textId="77777777" w:rsidTr="00541C56">
        <w:tc>
          <w:tcPr>
            <w:tcW w:w="1276" w:type="dxa"/>
          </w:tcPr>
          <w:p w14:paraId="2C124F5C" w14:textId="77777777" w:rsidR="00B84525" w:rsidRDefault="00B84525" w:rsidP="00541C56">
            <w:pPr>
              <w:ind w:left="0"/>
              <w:jc w:val="right"/>
              <w:rPr>
                <w:iCs/>
                <w:lang w:val="es-CO"/>
              </w:rPr>
            </w:pPr>
            <m:oMath>
              <m:r>
                <w:rPr>
                  <w:rFonts w:ascii="Cambria Math" w:hAnsi="Cambria Math" w:cs="Arial"/>
                  <w:lang w:val="es-MX"/>
                </w:rPr>
                <m:t>St</m:t>
              </m:r>
            </m:oMath>
            <w:r>
              <w:rPr>
                <w:lang w:val="es-MX"/>
              </w:rPr>
              <w:t>:</w:t>
            </w:r>
          </w:p>
        </w:tc>
        <w:tc>
          <w:tcPr>
            <w:tcW w:w="8070" w:type="dxa"/>
          </w:tcPr>
          <w:p w14:paraId="557B3405"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Sobretasa.</w:t>
            </w:r>
          </w:p>
          <w:p w14:paraId="7287751C" w14:textId="77777777" w:rsidR="00B84525" w:rsidRDefault="00B84525" w:rsidP="00541C56">
            <w:pPr>
              <w:ind w:left="0"/>
              <w:jc w:val="both"/>
              <w:rPr>
                <w:rFonts w:ascii="Bookman Old Style" w:hAnsi="Bookman Old Style" w:cs="Arial"/>
                <w:iCs/>
                <w:lang w:val="es-CO"/>
              </w:rPr>
            </w:pPr>
          </w:p>
        </w:tc>
      </w:tr>
    </w:tbl>
    <w:p w14:paraId="36F8163F" w14:textId="77777777" w:rsidR="00B84525" w:rsidRDefault="00B84525" w:rsidP="00B84525">
      <w:pPr>
        <w:ind w:left="0"/>
        <w:jc w:val="both"/>
        <w:rPr>
          <w:rFonts w:ascii="Bookman Old Style" w:hAnsi="Bookman Old Style" w:cs="Arial"/>
          <w:iCs/>
          <w:lang w:val="es-CO"/>
        </w:rPr>
      </w:pPr>
    </w:p>
    <w:p w14:paraId="667A38C4"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9</w:t>
      </w:r>
      <w:r w:rsidRPr="001A2C4B">
        <w:rPr>
          <w:rFonts w:ascii="Bookman Old Style" w:hAnsi="Bookman Old Style" w:cs="Arial"/>
          <w:b/>
          <w:bCs/>
          <w:iCs/>
          <w:lang w:val="es-CO"/>
        </w:rPr>
        <w:t xml:space="preserve">.1. Pago proporcional del </w:t>
      </w:r>
      <w:r>
        <w:rPr>
          <w:rFonts w:ascii="Bookman Old Style" w:hAnsi="Bookman Old Style" w:cs="Arial"/>
          <w:b/>
          <w:bCs/>
          <w:iCs/>
          <w:lang w:val="es-CO"/>
        </w:rPr>
        <w:t>i</w:t>
      </w:r>
      <w:r w:rsidRPr="001A2C4B">
        <w:rPr>
          <w:rFonts w:ascii="Bookman Old Style" w:hAnsi="Bookman Old Style" w:cs="Arial"/>
          <w:b/>
          <w:bCs/>
          <w:iCs/>
          <w:lang w:val="es-CO"/>
        </w:rPr>
        <w:t xml:space="preserve">mpuesto </w:t>
      </w:r>
      <w:r>
        <w:rPr>
          <w:rFonts w:ascii="Bookman Old Style" w:hAnsi="Bookman Old Style" w:cs="Arial"/>
          <w:b/>
          <w:bCs/>
          <w:iCs/>
          <w:lang w:val="es-CO"/>
        </w:rPr>
        <w:t>n</w:t>
      </w:r>
      <w:r w:rsidRPr="001A2C4B">
        <w:rPr>
          <w:rFonts w:ascii="Bookman Old Style" w:hAnsi="Bookman Old Style" w:cs="Arial"/>
          <w:b/>
          <w:bCs/>
          <w:iCs/>
          <w:lang w:val="es-CO"/>
        </w:rPr>
        <w:t>acional:</w:t>
      </w:r>
      <w:r w:rsidRPr="00151860">
        <w:rPr>
          <w:rFonts w:ascii="Bookman Old Style" w:hAnsi="Bookman Old Style" w:cs="Arial"/>
          <w:iCs/>
          <w:lang w:val="es-CO"/>
        </w:rPr>
        <w:t xml:space="preserve"> </w:t>
      </w:r>
      <w:r>
        <w:rPr>
          <w:rFonts w:ascii="Bookman Old Style" w:hAnsi="Bookman Old Style" w:cs="Arial"/>
          <w:iCs/>
          <w:lang w:val="es-CO"/>
        </w:rPr>
        <w:t>E</w:t>
      </w:r>
      <w:r w:rsidRPr="008E735C">
        <w:rPr>
          <w:rFonts w:ascii="Bookman Old Style" w:hAnsi="Bookman Old Style" w:cs="Arial"/>
          <w:iCs/>
          <w:lang w:val="es-CO"/>
        </w:rPr>
        <w:t xml:space="preserve">s el valor resultante de </w:t>
      </w:r>
      <w:r>
        <w:rPr>
          <w:rFonts w:ascii="Bookman Old Style" w:hAnsi="Bookman Old Style" w:cs="Arial"/>
          <w:iCs/>
          <w:lang w:val="es-CO"/>
        </w:rPr>
        <w:t>multipl</w:t>
      </w:r>
      <w:r w:rsidRPr="008E735C">
        <w:rPr>
          <w:rFonts w:ascii="Bookman Old Style" w:hAnsi="Bookman Old Style" w:cs="Arial"/>
          <w:iCs/>
          <w:lang w:val="es-CO"/>
        </w:rPr>
        <w:t>icar</w:t>
      </w:r>
      <w:r>
        <w:rPr>
          <w:rFonts w:ascii="Bookman Old Style" w:hAnsi="Bookman Old Style" w:cs="Arial"/>
          <w:iCs/>
          <w:lang w:val="es-CO"/>
        </w:rPr>
        <w:t xml:space="preserve"> </w:t>
      </w:r>
      <w:r w:rsidRPr="00351F44">
        <w:rPr>
          <w:rFonts w:ascii="Bookman Old Style" w:hAnsi="Bookman Old Style" w:cs="Arial"/>
          <w:iCs/>
          <w:lang w:val="es-CO"/>
        </w:rPr>
        <w:t xml:space="preserve">el </w:t>
      </w:r>
      <w:r>
        <w:rPr>
          <w:rFonts w:ascii="Bookman Old Style" w:hAnsi="Bookman Old Style" w:cs="Arial"/>
          <w:iCs/>
          <w:lang w:val="es-CO"/>
        </w:rPr>
        <w:t>i</w:t>
      </w:r>
      <w:r w:rsidRPr="00351F44">
        <w:rPr>
          <w:rFonts w:ascii="Bookman Old Style" w:hAnsi="Bookman Old Style" w:cs="Arial"/>
          <w:iCs/>
          <w:lang w:val="es-CO"/>
        </w:rPr>
        <w:t xml:space="preserve">mpuesto </w:t>
      </w:r>
      <w:r>
        <w:rPr>
          <w:rFonts w:ascii="Bookman Old Style" w:hAnsi="Bookman Old Style" w:cs="Arial"/>
          <w:iCs/>
          <w:lang w:val="es-CO"/>
        </w:rPr>
        <w:t>n</w:t>
      </w:r>
      <w:r w:rsidRPr="00351F44">
        <w:rPr>
          <w:rFonts w:ascii="Bookman Old Style" w:hAnsi="Bookman Old Style" w:cs="Arial"/>
          <w:iCs/>
          <w:lang w:val="es-CO"/>
        </w:rPr>
        <w:t>acional</w:t>
      </w:r>
      <w:r>
        <w:rPr>
          <w:rFonts w:ascii="Bookman Old Style" w:hAnsi="Bookman Old Style" w:cs="Arial"/>
          <w:iCs/>
          <w:lang w:val="es-CO"/>
        </w:rPr>
        <w:t xml:space="preserve"> y </w:t>
      </w:r>
      <w:r w:rsidRPr="00351F44">
        <w:rPr>
          <w:rFonts w:ascii="Bookman Old Style" w:hAnsi="Bookman Old Style" w:cs="Arial"/>
          <w:iCs/>
          <w:lang w:val="es-CO"/>
        </w:rPr>
        <w:t xml:space="preserve">la </w:t>
      </w:r>
      <w:r>
        <w:rPr>
          <w:rFonts w:ascii="Bookman Old Style" w:hAnsi="Bookman Old Style" w:cs="Arial"/>
          <w:iCs/>
          <w:lang w:val="es-CO"/>
        </w:rPr>
        <w:t>p</w:t>
      </w:r>
      <w:r w:rsidRPr="00351F44">
        <w:rPr>
          <w:rFonts w:ascii="Bookman Old Style" w:hAnsi="Bookman Old Style" w:cs="Arial"/>
          <w:iCs/>
          <w:lang w:val="es-CO"/>
        </w:rPr>
        <w:t>roporción de combustible fósil en la mezcla</w:t>
      </w:r>
      <w:r>
        <w:rPr>
          <w:rFonts w:ascii="Bookman Old Style" w:hAnsi="Bookman Old Style" w:cs="Arial"/>
          <w:iCs/>
          <w:lang w:val="es-CO"/>
        </w:rPr>
        <w:t>,</w:t>
      </w:r>
      <w:r w:rsidRPr="00D2659D">
        <w:rPr>
          <w:rFonts w:ascii="Bookman Old Style" w:hAnsi="Bookman Old Style" w:cs="Arial"/>
          <w:iCs/>
        </w:rPr>
        <w:t xml:space="preserve"> </w:t>
      </w:r>
      <w:r>
        <w:rPr>
          <w:rFonts w:ascii="Bookman Old Style" w:hAnsi="Bookman Old Style" w:cs="Arial"/>
          <w:iCs/>
        </w:rPr>
        <w:t>de acuerdo con la siguiente fórmula:</w:t>
      </w:r>
    </w:p>
    <w:p w14:paraId="79E094C9" w14:textId="77777777" w:rsidR="00B84525" w:rsidRDefault="00B84525" w:rsidP="00B84525">
      <w:pPr>
        <w:ind w:left="0"/>
        <w:jc w:val="both"/>
        <w:rPr>
          <w:rFonts w:ascii="Bookman Old Style" w:hAnsi="Bookman Old Style" w:cs="Arial"/>
          <w:iCs/>
          <w:lang w:val="es-CO"/>
        </w:rPr>
      </w:pPr>
    </w:p>
    <w:p w14:paraId="37B8DE34" w14:textId="77777777" w:rsidR="00B84525" w:rsidRDefault="00B84525" w:rsidP="00B84525">
      <w:pPr>
        <w:ind w:left="0"/>
        <w:jc w:val="both"/>
        <w:rPr>
          <w:rFonts w:ascii="Bookman Old Style" w:hAnsi="Bookman Old Style" w:cs="Arial"/>
          <w:iCs/>
          <w:lang w:val="es-CO"/>
        </w:rPr>
      </w:pPr>
      <m:oMathPara>
        <m:oMath>
          <m:r>
            <m:rPr>
              <m:sty m:val="p"/>
            </m:rPr>
            <w:rPr>
              <w:rFonts w:ascii="Cambria Math" w:hAnsi="Cambria Math" w:cs="Arial"/>
              <w:lang w:val="es-CO"/>
            </w:rPr>
            <w:lastRenderedPageBreak/>
            <m:t>Donde:</m:t>
          </m:r>
          <m:r>
            <w:rPr>
              <w:rFonts w:ascii="Cambria Math" w:hAnsi="Cambria Math" w:cs="Arial"/>
              <w:lang w:val="es-CO"/>
            </w:rPr>
            <m:t>PIN</m:t>
          </m:r>
          <m:r>
            <w:rPr>
              <w:rFonts w:ascii="Cambria Math" w:hAnsi="Cambria Math" w:cs="Arial"/>
            </w:rPr>
            <m:t>=</m:t>
          </m:r>
          <m:d>
            <m:dPr>
              <m:begChr m:val="{"/>
              <m:endChr m:val=""/>
              <m:ctrlPr>
                <w:rPr>
                  <w:rFonts w:ascii="Cambria Math" w:hAnsi="Cambria Math" w:cs="Arial"/>
                  <w:i/>
                  <w:iCs/>
                  <w:lang w:val="es-CO"/>
                </w:rPr>
              </m:ctrlPr>
            </m:dPr>
            <m:e>
              <m:eqArr>
                <m:eqArrPr>
                  <m:ctrlPr>
                    <w:rPr>
                      <w:rFonts w:ascii="Cambria Math" w:hAnsi="Cambria Math" w:cs="Arial"/>
                      <w:i/>
                      <w:iCs/>
                      <w:lang w:val="es-CO"/>
                    </w:rPr>
                  </m:ctrlPr>
                </m:eqArrPr>
                <m:e>
                  <m:r>
                    <w:rPr>
                      <w:rFonts w:ascii="Cambria Math" w:hAnsi="Cambria Math" w:cs="Arial"/>
                    </w:rPr>
                    <m:t>0,  &amp;ventas≤cupo</m:t>
                  </m:r>
                </m:e>
                <m:e>
                  <m:sSub>
                    <m:sSubPr>
                      <m:ctrlPr>
                        <w:rPr>
                          <w:rFonts w:ascii="Cambria Math" w:hAnsi="Cambria Math" w:cs="Arial"/>
                          <w:i/>
                          <w:iCs/>
                          <w:lang w:val="es-CO"/>
                        </w:rPr>
                      </m:ctrlPr>
                    </m:sSubPr>
                    <m:e>
                      <m:r>
                        <w:rPr>
                          <w:rFonts w:ascii="Cambria Math" w:hAnsi="Cambria Math" w:cs="Arial"/>
                          <w:lang w:val="es-CO"/>
                        </w:rPr>
                        <m:t>IN*M</m:t>
                      </m:r>
                    </m:e>
                    <m:sub>
                      <m:r>
                        <w:rPr>
                          <w:rFonts w:ascii="Cambria Math" w:hAnsi="Cambria Math" w:cs="Arial"/>
                          <w:lang w:val="es-CO"/>
                        </w:rPr>
                        <m:t>fósil</m:t>
                      </m:r>
                    </m:sub>
                  </m:sSub>
                  <m:r>
                    <w:rPr>
                      <w:rFonts w:ascii="Cambria Math" w:hAnsi="Cambria Math" w:cs="Arial"/>
                    </w:rPr>
                    <m:t>,  &amp;ventas&gt;cupo</m:t>
                  </m:r>
                </m:e>
              </m:eqArr>
              <m:r>
                <w:rPr>
                  <w:rFonts w:ascii="Cambria Math" w:hAnsi="Cambria Math" w:cs="Arial"/>
                  <w:lang w:val="es-CO"/>
                </w:rPr>
                <m:t xml:space="preserve">             (9)</m:t>
              </m:r>
            </m:e>
          </m:d>
        </m:oMath>
      </m:oMathPara>
    </w:p>
    <w:p w14:paraId="4A313C0B"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5DD952F4"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B84525" w14:paraId="17AE3E77" w14:textId="77777777" w:rsidTr="00541C56">
        <w:tc>
          <w:tcPr>
            <w:tcW w:w="1271" w:type="dxa"/>
          </w:tcPr>
          <w:p w14:paraId="75503620" w14:textId="77777777" w:rsidR="00B84525" w:rsidRDefault="00B84525" w:rsidP="00541C56">
            <w:pPr>
              <w:ind w:left="0"/>
              <w:jc w:val="right"/>
              <w:rPr>
                <w:rFonts w:ascii="Bookman Old Style" w:hAnsi="Bookman Old Style" w:cs="Arial"/>
                <w:lang w:val="es-CO"/>
              </w:rPr>
            </w:pPr>
            <m:oMath>
              <m:r>
                <w:rPr>
                  <w:rFonts w:ascii="Cambria Math" w:hAnsi="Cambria Math" w:cs="Arial"/>
                  <w:lang w:val="es-CO"/>
                </w:rPr>
                <m:t>PIN</m:t>
              </m:r>
            </m:oMath>
            <w:r>
              <w:rPr>
                <w:rFonts w:ascii="Bookman Old Style" w:hAnsi="Bookman Old Style" w:cs="Arial"/>
                <w:lang w:val="es-CO"/>
              </w:rPr>
              <w:t>:</w:t>
            </w:r>
          </w:p>
        </w:tc>
        <w:tc>
          <w:tcPr>
            <w:tcW w:w="8075" w:type="dxa"/>
          </w:tcPr>
          <w:p w14:paraId="21396183" w14:textId="77777777" w:rsidR="00B84525" w:rsidRDefault="00B84525" w:rsidP="00541C56">
            <w:pPr>
              <w:ind w:left="0"/>
              <w:jc w:val="both"/>
              <w:rPr>
                <w:rFonts w:ascii="Bookman Old Style" w:hAnsi="Bookman Old Style" w:cs="Calibri"/>
                <w:lang w:eastAsia="es-CO"/>
              </w:rPr>
            </w:pPr>
            <w:r w:rsidRPr="00BC3C84">
              <w:rPr>
                <w:rFonts w:ascii="Bookman Old Style" w:hAnsi="Bookman Old Style" w:cs="Calibri"/>
                <w:lang w:eastAsia="es-CO"/>
              </w:rPr>
              <w:t>Pago proporcional del impuesto nacional</w:t>
            </w:r>
            <w:r>
              <w:rPr>
                <w:rFonts w:ascii="Bookman Old Style" w:hAnsi="Bookman Old Style" w:cs="Calibri"/>
                <w:lang w:eastAsia="es-CO"/>
              </w:rPr>
              <w:t>.</w:t>
            </w:r>
          </w:p>
          <w:p w14:paraId="315EAA0B" w14:textId="77777777" w:rsidR="00B84525" w:rsidRPr="00BC3C84" w:rsidRDefault="00B84525" w:rsidP="00541C56">
            <w:pPr>
              <w:ind w:left="0"/>
              <w:jc w:val="both"/>
              <w:rPr>
                <w:rFonts w:ascii="Bookman Old Style" w:hAnsi="Bookman Old Style" w:cs="Calibri"/>
                <w:lang w:eastAsia="es-CO"/>
              </w:rPr>
            </w:pPr>
          </w:p>
        </w:tc>
      </w:tr>
      <w:tr w:rsidR="00B84525" w:rsidRPr="009563CD" w14:paraId="1923F916" w14:textId="77777777" w:rsidTr="00541C56">
        <w:tc>
          <w:tcPr>
            <w:tcW w:w="1271" w:type="dxa"/>
          </w:tcPr>
          <w:p w14:paraId="129F263D" w14:textId="77777777" w:rsidR="00B84525" w:rsidRPr="009563CD" w:rsidRDefault="00B84525" w:rsidP="00541C56">
            <w:pPr>
              <w:ind w:left="0"/>
              <w:jc w:val="right"/>
              <w:rPr>
                <w:rFonts w:ascii="Bookman Old Style" w:hAnsi="Bookman Old Style" w:cs="Arial"/>
                <w:iCs/>
                <w:lang w:val="es-CO"/>
              </w:rPr>
            </w:pPr>
            <m:oMath>
              <m:r>
                <w:rPr>
                  <w:rFonts w:ascii="Cambria Math" w:hAnsi="Cambria Math" w:cs="Arial"/>
                  <w:lang w:val="es-CO"/>
                </w:rPr>
                <m:t>IN</m:t>
              </m:r>
            </m:oMath>
            <w:r w:rsidRPr="009563CD">
              <w:rPr>
                <w:rFonts w:ascii="Bookman Old Style" w:hAnsi="Bookman Old Style" w:cs="Arial"/>
                <w:iCs/>
                <w:lang w:val="es-CO"/>
              </w:rPr>
              <w:t>:</w:t>
            </w:r>
          </w:p>
        </w:tc>
        <w:tc>
          <w:tcPr>
            <w:tcW w:w="8075" w:type="dxa"/>
          </w:tcPr>
          <w:p w14:paraId="7E8A9ED0" w14:textId="77777777" w:rsidR="00B84525" w:rsidRPr="009563CD" w:rsidRDefault="00B84525" w:rsidP="00541C56">
            <w:pPr>
              <w:pStyle w:val="Prrafodelista"/>
              <w:numPr>
                <w:ilvl w:val="0"/>
                <w:numId w:val="30"/>
              </w:numPr>
              <w:jc w:val="both"/>
              <w:rPr>
                <w:rFonts w:ascii="Bookman Old Style" w:hAnsi="Bookman Old Style" w:cs="Arial"/>
                <w:iCs/>
                <w:sz w:val="24"/>
                <w:szCs w:val="24"/>
              </w:rPr>
            </w:pPr>
            <w:r w:rsidRPr="009563CD">
              <w:rPr>
                <w:rFonts w:ascii="Bookman Old Style" w:hAnsi="Bookman Old Style" w:cs="Calibri"/>
                <w:sz w:val="24"/>
                <w:szCs w:val="24"/>
                <w:lang w:eastAsia="es-CO"/>
              </w:rPr>
              <w:t>Para las ventas con cupo de combustibles en zona de frontera exentos en virtud del Artículo 9 de la Ley 1430 de 2010, modificado por el Artículo 173 de la Ley 1607 de 2012 el valor de este impuesto es cero (0).</w:t>
            </w:r>
          </w:p>
          <w:p w14:paraId="26FB9BA8" w14:textId="77777777" w:rsidR="00B84525" w:rsidRPr="009563CD" w:rsidRDefault="00B84525" w:rsidP="00541C56">
            <w:pPr>
              <w:pStyle w:val="Prrafodelista"/>
              <w:ind w:left="360"/>
              <w:jc w:val="both"/>
              <w:rPr>
                <w:rFonts w:ascii="Bookman Old Style" w:hAnsi="Bookman Old Style" w:cs="Arial"/>
                <w:iCs/>
                <w:sz w:val="24"/>
                <w:szCs w:val="24"/>
              </w:rPr>
            </w:pPr>
          </w:p>
          <w:p w14:paraId="1D8F4CE2" w14:textId="77777777" w:rsidR="00B84525" w:rsidRPr="009563CD" w:rsidRDefault="00B84525" w:rsidP="00541C56">
            <w:pPr>
              <w:pStyle w:val="Prrafodelista"/>
              <w:numPr>
                <w:ilvl w:val="0"/>
                <w:numId w:val="30"/>
              </w:numPr>
              <w:jc w:val="both"/>
              <w:rPr>
                <w:rFonts w:ascii="Bookman Old Style" w:hAnsi="Bookman Old Style" w:cs="Arial"/>
                <w:iCs/>
                <w:sz w:val="24"/>
                <w:szCs w:val="24"/>
              </w:rPr>
            </w:pPr>
            <w:r w:rsidRPr="009563CD">
              <w:rPr>
                <w:rFonts w:ascii="Bookman Old Style" w:hAnsi="Bookman Old Style" w:cs="Calibri"/>
                <w:sz w:val="24"/>
                <w:szCs w:val="24"/>
                <w:lang w:eastAsia="es-CO"/>
              </w:rPr>
              <w:t>Para las ventas por encima del cupo de combustibles en zona de frontera exentos en virtud del Artículo 9 de la Ley 1430 de 2010, modificado por el Artículo 173 de la Ley 1607 de 2012 aplica el 100% del valor establecido por las normas antes citadas.</w:t>
            </w:r>
          </w:p>
          <w:p w14:paraId="1D852D35" w14:textId="77777777" w:rsidR="00B84525" w:rsidRPr="009563CD" w:rsidRDefault="00B84525" w:rsidP="00541C56">
            <w:pPr>
              <w:ind w:left="0"/>
              <w:jc w:val="both"/>
              <w:rPr>
                <w:rFonts w:ascii="Bookman Old Style" w:hAnsi="Bookman Old Style" w:cs="Arial"/>
                <w:iCs/>
              </w:rPr>
            </w:pPr>
          </w:p>
        </w:tc>
      </w:tr>
      <w:tr w:rsidR="00B84525" w:rsidRPr="009563CD" w14:paraId="0AC0DBAF" w14:textId="77777777" w:rsidTr="00541C56">
        <w:tc>
          <w:tcPr>
            <w:tcW w:w="1271" w:type="dxa"/>
          </w:tcPr>
          <w:p w14:paraId="141788A0" w14:textId="77777777" w:rsidR="00B84525" w:rsidRPr="009563CD" w:rsidRDefault="00000000" w:rsidP="00541C56">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sidRPr="009563CD">
              <w:rPr>
                <w:rFonts w:ascii="Bookman Old Style" w:hAnsi="Bookman Old Style" w:cs="Arial"/>
                <w:iCs/>
                <w:lang w:val="es-CO"/>
              </w:rPr>
              <w:t>:</w:t>
            </w:r>
          </w:p>
        </w:tc>
        <w:tc>
          <w:tcPr>
            <w:tcW w:w="8075" w:type="dxa"/>
          </w:tcPr>
          <w:p w14:paraId="65E12E7A" w14:textId="5E91BD78" w:rsidR="00B84525" w:rsidRPr="009563CD" w:rsidRDefault="00326055" w:rsidP="00541C56">
            <w:pPr>
              <w:ind w:left="0"/>
              <w:jc w:val="both"/>
              <w:rPr>
                <w:rFonts w:ascii="Bookman Old Style" w:hAnsi="Bookman Old Style" w:cs="Arial"/>
                <w:iCs/>
              </w:rPr>
            </w:pPr>
            <w:r>
              <w:rPr>
                <w:rFonts w:ascii="Bookman Old Style" w:hAnsi="Bookman Old Style" w:cs="Arial"/>
                <w:iCs/>
                <w:lang w:val="es-CO"/>
              </w:rPr>
              <w:t>Es el 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24D73664" w14:textId="77777777" w:rsidR="00326055" w:rsidRDefault="00326055" w:rsidP="00B84525">
      <w:pPr>
        <w:ind w:left="0"/>
        <w:jc w:val="both"/>
        <w:rPr>
          <w:rFonts w:ascii="Bookman Old Style" w:hAnsi="Bookman Old Style" w:cs="Arial"/>
          <w:b/>
          <w:bCs/>
          <w:iCs/>
          <w:lang w:val="es-CO"/>
        </w:rPr>
      </w:pPr>
    </w:p>
    <w:p w14:paraId="7958FAEC" w14:textId="2546B695" w:rsidR="00B84525" w:rsidRPr="00E70685" w:rsidRDefault="00B84525" w:rsidP="00B84525">
      <w:pPr>
        <w:ind w:left="0"/>
        <w:jc w:val="both"/>
        <w:rPr>
          <w:rFonts w:ascii="Bookman Old Style" w:hAnsi="Bookman Old Style" w:cs="Arial"/>
          <w:iCs/>
          <w:lang w:val="es-CO"/>
        </w:rPr>
      </w:pPr>
      <w:r>
        <w:rPr>
          <w:rFonts w:ascii="Bookman Old Style" w:hAnsi="Bookman Old Style" w:cs="Arial"/>
          <w:b/>
          <w:bCs/>
          <w:iCs/>
          <w:lang w:val="es-CO"/>
        </w:rPr>
        <w:t>9</w:t>
      </w:r>
      <w:r w:rsidRPr="001A2C4B">
        <w:rPr>
          <w:rFonts w:ascii="Bookman Old Style" w:hAnsi="Bookman Old Style" w:cs="Arial"/>
          <w:b/>
          <w:bCs/>
          <w:iCs/>
          <w:lang w:val="es-CO"/>
        </w:rPr>
        <w:t>.</w:t>
      </w:r>
      <w:r>
        <w:rPr>
          <w:rFonts w:ascii="Bookman Old Style" w:hAnsi="Bookman Old Style" w:cs="Arial"/>
          <w:b/>
          <w:bCs/>
          <w:iCs/>
          <w:lang w:val="es-CO"/>
        </w:rPr>
        <w:t>2</w:t>
      </w:r>
      <w:r w:rsidRPr="001A2C4B">
        <w:rPr>
          <w:rFonts w:ascii="Bookman Old Style" w:hAnsi="Bookman Old Style" w:cs="Arial"/>
          <w:b/>
          <w:bCs/>
          <w:iCs/>
          <w:lang w:val="es-CO"/>
        </w:rPr>
        <w:t xml:space="preserve">. Pago </w:t>
      </w:r>
      <w:r w:rsidRPr="00E70685">
        <w:rPr>
          <w:rFonts w:ascii="Bookman Old Style" w:hAnsi="Bookman Old Style" w:cs="Arial"/>
          <w:b/>
          <w:bCs/>
          <w:iCs/>
          <w:lang w:val="es-CO"/>
        </w:rPr>
        <w:t xml:space="preserve">proporcional del </w:t>
      </w:r>
      <w:r>
        <w:rPr>
          <w:rFonts w:ascii="Bookman Old Style" w:hAnsi="Bookman Old Style" w:cs="Arial"/>
          <w:b/>
          <w:bCs/>
          <w:iCs/>
          <w:lang w:val="es-CO"/>
        </w:rPr>
        <w:t>i</w:t>
      </w:r>
      <w:r w:rsidRPr="00E70685">
        <w:rPr>
          <w:rFonts w:ascii="Bookman Old Style" w:hAnsi="Bookman Old Style" w:cs="Arial"/>
          <w:b/>
          <w:bCs/>
          <w:iCs/>
          <w:lang w:val="es-CO"/>
        </w:rPr>
        <w:t xml:space="preserve">mpuesto al </w:t>
      </w:r>
      <w:r>
        <w:rPr>
          <w:rFonts w:ascii="Bookman Old Style" w:hAnsi="Bookman Old Style" w:cs="Arial"/>
          <w:b/>
          <w:bCs/>
          <w:iCs/>
          <w:lang w:val="es-CO"/>
        </w:rPr>
        <w:t>c</w:t>
      </w:r>
      <w:r w:rsidRPr="00E70685">
        <w:rPr>
          <w:rFonts w:ascii="Bookman Old Style" w:hAnsi="Bookman Old Style" w:cs="Arial"/>
          <w:b/>
          <w:bCs/>
          <w:iCs/>
          <w:lang w:val="es-CO"/>
        </w:rPr>
        <w:t>arbono:</w:t>
      </w:r>
      <w:r w:rsidRPr="00E70685">
        <w:rPr>
          <w:rFonts w:ascii="Bookman Old Style" w:hAnsi="Bookman Old Style" w:cs="Arial"/>
          <w:iCs/>
          <w:lang w:val="es-CO"/>
        </w:rPr>
        <w:t xml:space="preserve"> Es el valor resultante de multiplicar</w:t>
      </w:r>
      <w:r>
        <w:rPr>
          <w:rFonts w:ascii="Bookman Old Style" w:hAnsi="Bookman Old Style" w:cs="Arial"/>
          <w:iCs/>
          <w:lang w:val="es-CO"/>
        </w:rPr>
        <w:t xml:space="preserve"> </w:t>
      </w:r>
      <w:r w:rsidRPr="000D0866">
        <w:rPr>
          <w:rFonts w:ascii="Bookman Old Style" w:hAnsi="Bookman Old Style" w:cs="Arial"/>
          <w:iCs/>
          <w:lang w:val="es-CO"/>
        </w:rPr>
        <w:t xml:space="preserve">el </w:t>
      </w:r>
      <w:r>
        <w:rPr>
          <w:rFonts w:ascii="Bookman Old Style" w:hAnsi="Bookman Old Style" w:cs="Arial"/>
          <w:iCs/>
          <w:lang w:val="es-CO"/>
        </w:rPr>
        <w:t>i</w:t>
      </w:r>
      <w:r w:rsidRPr="000D0866">
        <w:rPr>
          <w:rFonts w:ascii="Bookman Old Style" w:hAnsi="Bookman Old Style" w:cs="Arial"/>
          <w:iCs/>
          <w:lang w:val="es-CO"/>
        </w:rPr>
        <w:t xml:space="preserve">mpuesto al </w:t>
      </w:r>
      <w:r>
        <w:rPr>
          <w:rFonts w:ascii="Bookman Old Style" w:hAnsi="Bookman Old Style" w:cs="Arial"/>
          <w:iCs/>
          <w:lang w:val="es-CO"/>
        </w:rPr>
        <w:t>c</w:t>
      </w:r>
      <w:r w:rsidRPr="000D0866">
        <w:rPr>
          <w:rFonts w:ascii="Bookman Old Style" w:hAnsi="Bookman Old Style" w:cs="Arial"/>
          <w:iCs/>
          <w:lang w:val="es-CO"/>
        </w:rPr>
        <w:t>arbono</w:t>
      </w:r>
      <w:r>
        <w:rPr>
          <w:rFonts w:ascii="Bookman Old Style" w:hAnsi="Bookman Old Style" w:cs="Arial"/>
          <w:iCs/>
          <w:lang w:val="es-CO"/>
        </w:rPr>
        <w:t xml:space="preserve"> y </w:t>
      </w:r>
      <w:r w:rsidRPr="000D0866">
        <w:rPr>
          <w:rFonts w:ascii="Bookman Old Style" w:hAnsi="Bookman Old Style" w:cs="Arial"/>
          <w:iCs/>
          <w:lang w:val="es-CO"/>
        </w:rPr>
        <w:t xml:space="preserve">la </w:t>
      </w:r>
      <w:r>
        <w:rPr>
          <w:rFonts w:ascii="Bookman Old Style" w:hAnsi="Bookman Old Style" w:cs="Arial"/>
          <w:iCs/>
          <w:lang w:val="es-CO"/>
        </w:rPr>
        <w:t>p</w:t>
      </w:r>
      <w:r w:rsidRPr="000D0866">
        <w:rPr>
          <w:rFonts w:ascii="Bookman Old Style" w:hAnsi="Bookman Old Style" w:cs="Arial"/>
          <w:iCs/>
          <w:lang w:val="es-CO"/>
        </w:rPr>
        <w:t>roporción de combustible fósil en la mezcla</w:t>
      </w:r>
      <w:r>
        <w:rPr>
          <w:rFonts w:ascii="Bookman Old Style" w:hAnsi="Bookman Old Style" w:cs="Arial"/>
          <w:iCs/>
        </w:rPr>
        <w:t>, de acuerdo con la siguiente fórmula:</w:t>
      </w:r>
    </w:p>
    <w:p w14:paraId="659F35EE" w14:textId="77777777" w:rsidR="00B84525" w:rsidRPr="000D0866" w:rsidRDefault="00B84525" w:rsidP="00B84525">
      <w:pPr>
        <w:ind w:left="0"/>
        <w:jc w:val="both"/>
        <w:rPr>
          <w:rFonts w:ascii="Bookman Old Style" w:hAnsi="Bookman Old Style" w:cs="Arial"/>
          <w:lang w:val="es-CO"/>
        </w:rPr>
      </w:pPr>
    </w:p>
    <w:p w14:paraId="27E4D197" w14:textId="77777777" w:rsidR="00B84525" w:rsidRPr="007038AC" w:rsidRDefault="00B84525" w:rsidP="00B84525">
      <w:pPr>
        <w:ind w:left="0"/>
        <w:jc w:val="both"/>
        <w:rPr>
          <w:rFonts w:ascii="Bookman Old Style" w:hAnsi="Bookman Old Style" w:cs="Arial"/>
          <w:iCs/>
          <w:lang w:val="es-CO"/>
        </w:rPr>
      </w:pPr>
      <m:oMathPara>
        <m:oMath>
          <m:r>
            <w:rPr>
              <w:rFonts w:ascii="Cambria Math" w:hAnsi="Cambria Math" w:cs="Arial"/>
              <w:lang w:val="es-CO"/>
            </w:rPr>
            <m:t>PIC=</m:t>
          </m:r>
          <m:sSub>
            <m:sSubPr>
              <m:ctrlPr>
                <w:rPr>
                  <w:rFonts w:ascii="Cambria Math" w:hAnsi="Cambria Math" w:cs="Arial"/>
                  <w:i/>
                  <w:iCs/>
                  <w:lang w:val="es-CO"/>
                </w:rPr>
              </m:ctrlPr>
            </m:sSubPr>
            <m:e>
              <m:r>
                <w:rPr>
                  <w:rFonts w:ascii="Cambria Math" w:hAnsi="Cambria Math" w:cs="Arial"/>
                  <w:lang w:val="es-CO"/>
                </w:rPr>
                <m:t>IC*M</m:t>
              </m:r>
            </m:e>
            <m:sub>
              <m:r>
                <w:rPr>
                  <w:rFonts w:ascii="Cambria Math" w:hAnsi="Cambria Math" w:cs="Arial"/>
                  <w:lang w:val="es-CO"/>
                </w:rPr>
                <m:t>fósil</m:t>
              </m:r>
            </m:sub>
          </m:sSub>
          <m:r>
            <w:rPr>
              <w:rFonts w:ascii="Cambria Math" w:hAnsi="Cambria Math" w:cs="Arial"/>
              <w:lang w:val="es-CO"/>
            </w:rPr>
            <m:t xml:space="preserve">             (10)</m:t>
          </m:r>
        </m:oMath>
      </m:oMathPara>
    </w:p>
    <w:p w14:paraId="10495770" w14:textId="77777777" w:rsidR="00B84525" w:rsidRDefault="00B84525" w:rsidP="00B84525">
      <w:pPr>
        <w:ind w:left="0"/>
        <w:jc w:val="both"/>
        <w:rPr>
          <w:rFonts w:ascii="Bookman Old Style" w:hAnsi="Bookman Old Style" w:cs="Arial"/>
          <w:iCs/>
          <w:lang w:val="es-CO"/>
        </w:rPr>
      </w:pPr>
    </w:p>
    <w:p w14:paraId="68AC2566" w14:textId="77777777" w:rsidR="00B84525" w:rsidRDefault="00B84525" w:rsidP="00B84525">
      <w:pPr>
        <w:ind w:left="0"/>
        <w:jc w:val="both"/>
        <w:rPr>
          <w:rFonts w:ascii="Bookman Old Style" w:hAnsi="Bookman Old Style" w:cs="Arial"/>
          <w:iCs/>
          <w:lang w:val="es-CO"/>
        </w:rPr>
      </w:pPr>
      <w:r>
        <w:rPr>
          <w:rFonts w:ascii="Bookman Old Style" w:hAnsi="Bookman Old Style" w:cs="Arial"/>
          <w:iCs/>
          <w:lang w:val="es-CO"/>
        </w:rPr>
        <w:t>Donde,</w:t>
      </w:r>
    </w:p>
    <w:p w14:paraId="2F239F5C"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B84525" w14:paraId="4A21E71C" w14:textId="77777777" w:rsidTr="00541C56">
        <w:tc>
          <w:tcPr>
            <w:tcW w:w="1271" w:type="dxa"/>
          </w:tcPr>
          <w:p w14:paraId="04A55615" w14:textId="77777777" w:rsidR="00B84525" w:rsidRDefault="00B84525" w:rsidP="00541C56">
            <w:pPr>
              <w:ind w:left="0"/>
              <w:jc w:val="right"/>
              <w:rPr>
                <w:rFonts w:ascii="Bookman Old Style" w:hAnsi="Bookman Old Style" w:cs="Arial"/>
                <w:lang w:val="es-CO"/>
              </w:rPr>
            </w:pPr>
            <m:oMath>
              <m:r>
                <w:rPr>
                  <w:rFonts w:ascii="Cambria Math" w:hAnsi="Cambria Math" w:cs="Arial"/>
                  <w:lang w:val="es-CO"/>
                </w:rPr>
                <m:t>PIC</m:t>
              </m:r>
            </m:oMath>
            <w:r>
              <w:rPr>
                <w:rFonts w:ascii="Bookman Old Style" w:hAnsi="Bookman Old Style" w:cs="Arial"/>
                <w:lang w:val="es-CO"/>
              </w:rPr>
              <w:t>:</w:t>
            </w:r>
          </w:p>
        </w:tc>
        <w:tc>
          <w:tcPr>
            <w:tcW w:w="8075" w:type="dxa"/>
          </w:tcPr>
          <w:p w14:paraId="55E405F2" w14:textId="77777777" w:rsidR="00B84525" w:rsidRDefault="00B84525" w:rsidP="00541C56">
            <w:pPr>
              <w:ind w:left="0"/>
              <w:jc w:val="both"/>
              <w:rPr>
                <w:rFonts w:ascii="Bookman Old Style" w:hAnsi="Bookman Old Style" w:cs="Arial"/>
                <w:iCs/>
                <w:lang w:val="es-CO"/>
              </w:rPr>
            </w:pPr>
            <w:r w:rsidRPr="00D52BF9">
              <w:rPr>
                <w:rFonts w:ascii="Bookman Old Style" w:hAnsi="Bookman Old Style" w:cs="Arial"/>
                <w:iCs/>
                <w:lang w:val="es-CO"/>
              </w:rPr>
              <w:t>Pago proporcional del impuesto al carbono</w:t>
            </w:r>
            <w:r>
              <w:rPr>
                <w:rFonts w:ascii="Bookman Old Style" w:hAnsi="Bookman Old Style" w:cs="Arial"/>
                <w:iCs/>
                <w:lang w:val="es-CO"/>
              </w:rPr>
              <w:t>.</w:t>
            </w:r>
          </w:p>
          <w:p w14:paraId="27C4F619" w14:textId="77777777" w:rsidR="00B84525" w:rsidRDefault="00B84525" w:rsidP="00541C56">
            <w:pPr>
              <w:ind w:left="0"/>
              <w:jc w:val="both"/>
              <w:rPr>
                <w:rFonts w:ascii="Bookman Old Style" w:hAnsi="Bookman Old Style" w:cs="Arial"/>
                <w:iCs/>
                <w:lang w:val="es-CO"/>
              </w:rPr>
            </w:pPr>
          </w:p>
        </w:tc>
      </w:tr>
      <w:tr w:rsidR="00B84525" w14:paraId="4D565683" w14:textId="77777777" w:rsidTr="00541C56">
        <w:tc>
          <w:tcPr>
            <w:tcW w:w="1271" w:type="dxa"/>
          </w:tcPr>
          <w:p w14:paraId="11AC08B2" w14:textId="77777777" w:rsidR="00B84525" w:rsidRDefault="00B84525" w:rsidP="00541C56">
            <w:pPr>
              <w:ind w:left="0"/>
              <w:jc w:val="right"/>
              <w:rPr>
                <w:rFonts w:ascii="Bookman Old Style" w:hAnsi="Bookman Old Style" w:cs="Arial"/>
                <w:iCs/>
                <w:lang w:val="es-CO"/>
              </w:rPr>
            </w:pPr>
            <m:oMath>
              <m:r>
                <w:rPr>
                  <w:rFonts w:ascii="Cambria Math" w:hAnsi="Cambria Math" w:cs="Arial"/>
                  <w:lang w:val="es-CO"/>
                </w:rPr>
                <m:t>IC</m:t>
              </m:r>
            </m:oMath>
            <w:r>
              <w:rPr>
                <w:rFonts w:ascii="Bookman Old Style" w:hAnsi="Bookman Old Style" w:cs="Arial"/>
                <w:iCs/>
                <w:lang w:val="es-CO"/>
              </w:rPr>
              <w:t>:</w:t>
            </w:r>
          </w:p>
        </w:tc>
        <w:tc>
          <w:tcPr>
            <w:tcW w:w="8075" w:type="dxa"/>
          </w:tcPr>
          <w:p w14:paraId="0FD6613E" w14:textId="05C8F7A8" w:rsidR="00B84525" w:rsidRDefault="00326055" w:rsidP="00541C56">
            <w:pPr>
              <w:ind w:left="0"/>
              <w:jc w:val="both"/>
              <w:rPr>
                <w:rFonts w:ascii="Bookman Old Style" w:hAnsi="Bookman Old Style" w:cs="Arial"/>
                <w:iCs/>
                <w:lang w:val="es-CO"/>
              </w:rPr>
            </w:pPr>
            <w:r>
              <w:rPr>
                <w:rFonts w:ascii="Bookman Old Style" w:hAnsi="Bookman Old Style" w:cs="Arial"/>
                <w:iCs/>
                <w:lang w:val="es-CO"/>
              </w:rPr>
              <w:t>E</w:t>
            </w:r>
            <w:r w:rsidR="00B84525">
              <w:rPr>
                <w:rFonts w:ascii="Bookman Old Style" w:hAnsi="Bookman Old Style" w:cs="Arial"/>
                <w:iCs/>
                <w:lang w:val="es-CO"/>
              </w:rPr>
              <w:t xml:space="preserve">s el valor </w:t>
            </w:r>
            <w:r w:rsidR="00B84525" w:rsidRPr="00B75554">
              <w:rPr>
                <w:rFonts w:ascii="Bookman Old Style" w:hAnsi="Bookman Old Style" w:cs="Arial"/>
                <w:iCs/>
                <w:lang w:val="es-CO"/>
              </w:rPr>
              <w:t>establecido por los artículos 221 y 222 de la Ley 1819 del 29 de diciembre de 2016 y las normas que los modifiquen, adicionen o sustituyan.</w:t>
            </w:r>
          </w:p>
          <w:p w14:paraId="2E5D536D" w14:textId="77777777" w:rsidR="00B84525" w:rsidRDefault="00B84525" w:rsidP="00541C56">
            <w:pPr>
              <w:ind w:left="0"/>
              <w:jc w:val="both"/>
              <w:rPr>
                <w:rFonts w:ascii="Bookman Old Style" w:hAnsi="Bookman Old Style" w:cs="Arial"/>
                <w:iCs/>
                <w:lang w:val="es-CO"/>
              </w:rPr>
            </w:pPr>
          </w:p>
        </w:tc>
      </w:tr>
      <w:tr w:rsidR="00B84525" w14:paraId="0D38C782" w14:textId="77777777" w:rsidTr="00541C56">
        <w:tc>
          <w:tcPr>
            <w:tcW w:w="1271" w:type="dxa"/>
          </w:tcPr>
          <w:p w14:paraId="0441B83C" w14:textId="77777777" w:rsidR="00B84525" w:rsidRDefault="00000000" w:rsidP="00541C56">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B84525">
              <w:rPr>
                <w:rFonts w:ascii="Bookman Old Style" w:hAnsi="Bookman Old Style" w:cs="Arial"/>
                <w:iCs/>
                <w:lang w:val="es-CO"/>
              </w:rPr>
              <w:t>:</w:t>
            </w:r>
          </w:p>
        </w:tc>
        <w:tc>
          <w:tcPr>
            <w:tcW w:w="8075" w:type="dxa"/>
          </w:tcPr>
          <w:p w14:paraId="684584B3" w14:textId="2051175D" w:rsidR="00B84525" w:rsidRDefault="00391912" w:rsidP="00541C56">
            <w:pPr>
              <w:ind w:left="0"/>
              <w:jc w:val="both"/>
              <w:rPr>
                <w:rFonts w:ascii="Bookman Old Style" w:hAnsi="Bookman Old Style" w:cs="Arial"/>
                <w:iCs/>
                <w:lang w:val="es-CO"/>
              </w:rPr>
            </w:pPr>
            <w:r w:rsidRPr="00391912">
              <w:rPr>
                <w:rFonts w:ascii="Bookman Old Style" w:hAnsi="Bookman Old Style" w:cs="Arial"/>
                <w:iCs/>
                <w:lang w:val="es-CO"/>
              </w:rPr>
              <w:t>Es el valor establecido en la Resolución MME 40447 de 2022, y demás normas que la modifiquen, adicionen o sustituyan.</w:t>
            </w:r>
          </w:p>
          <w:p w14:paraId="4E00BBFD" w14:textId="77777777" w:rsidR="00B84525" w:rsidRDefault="00B84525" w:rsidP="00541C56">
            <w:pPr>
              <w:ind w:left="0"/>
              <w:jc w:val="both"/>
              <w:rPr>
                <w:rFonts w:ascii="Bookman Old Style" w:hAnsi="Bookman Old Style" w:cs="Arial"/>
                <w:iCs/>
                <w:lang w:val="es-CO"/>
              </w:rPr>
            </w:pPr>
          </w:p>
        </w:tc>
      </w:tr>
    </w:tbl>
    <w:p w14:paraId="564A7D99" w14:textId="77777777" w:rsidR="00B84525" w:rsidRDefault="00B84525" w:rsidP="00B84525">
      <w:pPr>
        <w:ind w:left="0"/>
        <w:jc w:val="both"/>
        <w:rPr>
          <w:rFonts w:ascii="Bookman Old Style" w:hAnsi="Bookman Old Style" w:cs="Arial"/>
          <w:iCs/>
          <w:lang w:val="es-CO"/>
        </w:rPr>
      </w:pPr>
    </w:p>
    <w:p w14:paraId="02C13957" w14:textId="77777777" w:rsidR="00B84525" w:rsidRPr="00B75554" w:rsidRDefault="00B84525" w:rsidP="00B84525">
      <w:pPr>
        <w:ind w:left="0"/>
        <w:jc w:val="both"/>
        <w:rPr>
          <w:rFonts w:ascii="Bookman Old Style" w:hAnsi="Bookman Old Style" w:cs="Arial"/>
          <w:iCs/>
          <w:lang w:val="es-CO"/>
        </w:rPr>
      </w:pPr>
      <w:r>
        <w:rPr>
          <w:rFonts w:ascii="Bookman Old Style" w:hAnsi="Bookman Old Style" w:cs="Arial"/>
          <w:b/>
          <w:bCs/>
          <w:iCs/>
          <w:lang w:val="es-CO"/>
        </w:rPr>
        <w:t>9</w:t>
      </w:r>
      <w:r w:rsidRPr="001A2C4B">
        <w:rPr>
          <w:rFonts w:ascii="Bookman Old Style" w:hAnsi="Bookman Old Style" w:cs="Arial"/>
          <w:b/>
          <w:bCs/>
          <w:iCs/>
          <w:lang w:val="es-CO"/>
        </w:rPr>
        <w:t>.</w:t>
      </w:r>
      <w:r>
        <w:rPr>
          <w:rFonts w:ascii="Bookman Old Style" w:hAnsi="Bookman Old Style" w:cs="Arial"/>
          <w:b/>
          <w:bCs/>
          <w:iCs/>
          <w:lang w:val="es-CO"/>
        </w:rPr>
        <w:t>3</w:t>
      </w:r>
      <w:r w:rsidRPr="001A2C4B">
        <w:rPr>
          <w:rFonts w:ascii="Bookman Old Style" w:hAnsi="Bookman Old Style" w:cs="Arial"/>
          <w:b/>
          <w:bCs/>
          <w:iCs/>
          <w:lang w:val="es-CO"/>
        </w:rPr>
        <w:t>. Sobretasa (</w:t>
      </w:r>
      <m:oMath>
        <m:r>
          <m:rPr>
            <m:sty m:val="bi"/>
          </m:rPr>
          <w:rPr>
            <w:rFonts w:ascii="Cambria Math" w:hAnsi="Cambria Math" w:cs="Arial"/>
            <w:lang w:val="es-CO"/>
          </w:rPr>
          <m:t>St</m:t>
        </m:r>
      </m:oMath>
      <w:r w:rsidRPr="001A2C4B">
        <w:rPr>
          <w:rFonts w:ascii="Bookman Old Style" w:hAnsi="Bookman Old Style" w:cs="Arial"/>
          <w:b/>
          <w:bCs/>
          <w:iCs/>
          <w:lang w:val="es-CO"/>
        </w:rPr>
        <w:t>):</w:t>
      </w:r>
      <w:r w:rsidRPr="00B75554">
        <w:rPr>
          <w:rFonts w:ascii="Bookman Old Style" w:hAnsi="Bookman Old Style" w:cs="Arial"/>
          <w:iCs/>
          <w:lang w:val="es-CO"/>
        </w:rPr>
        <w:t xml:space="preserve"> Es el valor establecido por la </w:t>
      </w:r>
      <w:r>
        <w:rPr>
          <w:rFonts w:ascii="Bookman Old Style" w:hAnsi="Bookman Old Style" w:cs="Arial"/>
          <w:iCs/>
          <w:lang w:val="es-CO"/>
        </w:rPr>
        <w:t>R</w:t>
      </w:r>
      <w:r w:rsidRPr="00B75554">
        <w:rPr>
          <w:rFonts w:ascii="Bookman Old Style" w:hAnsi="Bookman Old Style" w:cs="Arial"/>
          <w:iCs/>
          <w:lang w:val="es-CO"/>
        </w:rPr>
        <w:t>esolución 40147 del 27 de febrero de 2017, y las demás que la modifiquen, adicionen o sustituyan.</w:t>
      </w:r>
    </w:p>
    <w:p w14:paraId="49C18184" w14:textId="77777777" w:rsidR="00B84525" w:rsidRDefault="00B84525" w:rsidP="00B84525">
      <w:pPr>
        <w:ind w:left="0"/>
        <w:jc w:val="both"/>
        <w:rPr>
          <w:rFonts w:ascii="Bookman Old Style" w:hAnsi="Bookman Old Style" w:cs="Arial"/>
          <w:iCs/>
          <w:lang w:val="es-CO"/>
        </w:rPr>
      </w:pPr>
    </w:p>
    <w:p w14:paraId="1F9286AA" w14:textId="77777777" w:rsidR="00B84525" w:rsidRDefault="00B84525" w:rsidP="00B84525">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Pr>
          <w:rFonts w:ascii="Bookman Old Style" w:hAnsi="Bookman Old Style" w:cs="Arial"/>
          <w:b/>
          <w:bCs/>
          <w:iCs/>
          <w:lang w:val="es-CO"/>
        </w:rPr>
        <w:t>10</w:t>
      </w:r>
      <w:r w:rsidRPr="0082092A">
        <w:rPr>
          <w:rFonts w:ascii="Bookman Old Style" w:hAnsi="Bookman Old Style" w:cs="Arial"/>
          <w:b/>
          <w:bCs/>
          <w:iCs/>
          <w:lang w:val="es-CO"/>
        </w:rPr>
        <w:t>.</w:t>
      </w:r>
      <w:r>
        <w:rPr>
          <w:rFonts w:ascii="Bookman Old Style" w:hAnsi="Bookman Old Style" w:cs="Arial"/>
          <w:b/>
          <w:bCs/>
          <w:iCs/>
          <w:lang w:val="es-CO"/>
        </w:rPr>
        <w:t xml:space="preserve"> OTROS:</w:t>
      </w:r>
      <w:r w:rsidRPr="00C57E0A">
        <w:rPr>
          <w:rFonts w:ascii="Bookman Old Style" w:hAnsi="Bookman Old Style" w:cs="Arial"/>
          <w:iCs/>
          <w:lang w:val="es-CO"/>
        </w:rPr>
        <w:t xml:space="preserve"> </w:t>
      </w:r>
      <w:r w:rsidRPr="00E318F6">
        <w:rPr>
          <w:rFonts w:ascii="Bookman Old Style" w:hAnsi="Bookman Old Style" w:cs="Arial"/>
          <w:iCs/>
          <w:lang w:val="es-CO"/>
        </w:rPr>
        <w:t xml:space="preserve">Es el valor resultante de la </w:t>
      </w:r>
      <w:r>
        <w:rPr>
          <w:rFonts w:ascii="Bookman Old Style" w:hAnsi="Bookman Old Style" w:cs="Arial"/>
          <w:iCs/>
          <w:lang w:val="es-CO"/>
        </w:rPr>
        <w:t>aplicación de la siguiente fórmula:</w:t>
      </w:r>
    </w:p>
    <w:p w14:paraId="5344ECD7" w14:textId="77777777" w:rsidR="00B84525" w:rsidRDefault="00B84525" w:rsidP="00B84525">
      <w:pPr>
        <w:ind w:left="0"/>
        <w:jc w:val="both"/>
        <w:rPr>
          <w:rFonts w:ascii="Bookman Old Style" w:hAnsi="Bookman Old Style" w:cs="Arial"/>
          <w:iCs/>
          <w:lang w:val="es-CO"/>
        </w:rPr>
      </w:pPr>
    </w:p>
    <w:p w14:paraId="163EE014" w14:textId="33F58350" w:rsidR="00B84525" w:rsidRPr="00232809" w:rsidRDefault="00B84525" w:rsidP="00B84525">
      <w:pPr>
        <w:ind w:left="0"/>
        <w:jc w:val="both"/>
        <w:rPr>
          <w:rFonts w:ascii="Bookman Old Style" w:hAnsi="Bookman Old Style" w:cs="Arial"/>
          <w:iCs/>
          <w:lang w:val="es-CO"/>
        </w:rPr>
      </w:pPr>
      <m:oMathPara>
        <m:oMathParaPr>
          <m:jc m:val="centerGroup"/>
        </m:oMathParaPr>
        <m:oMath>
          <m:r>
            <w:rPr>
              <w:rFonts w:ascii="Cambria Math" w:hAnsi="Cambria Math" w:cs="Arial"/>
              <w:lang w:val="es-MX"/>
            </w:rPr>
            <m:t>Otros=Tma+E+PERP &amp; PC+Cc+Ce</m:t>
          </m:r>
          <m:r>
            <w:rPr>
              <w:rFonts w:ascii="Cambria Math" w:hAnsi="Cambria Math" w:cs="Arial"/>
              <w:lang w:val="es-CO"/>
            </w:rPr>
            <m:t xml:space="preserve">             (11)</m:t>
          </m:r>
        </m:oMath>
      </m:oMathPara>
    </w:p>
    <w:p w14:paraId="05272F4B" w14:textId="77777777" w:rsidR="00B84525" w:rsidRDefault="00B84525" w:rsidP="00B84525">
      <w:pPr>
        <w:ind w:left="0"/>
        <w:jc w:val="both"/>
        <w:rPr>
          <w:rFonts w:ascii="Bookman Old Style" w:hAnsi="Bookman Old Style" w:cs="Arial"/>
          <w:iCs/>
          <w:lang w:val="es-CO"/>
        </w:rPr>
      </w:pPr>
    </w:p>
    <w:p w14:paraId="4B4E036C" w14:textId="77777777" w:rsidR="00B84525" w:rsidRPr="00232809" w:rsidRDefault="00B84525" w:rsidP="00B84525">
      <w:pPr>
        <w:ind w:left="0"/>
        <w:jc w:val="both"/>
        <w:rPr>
          <w:rFonts w:ascii="Bookman Old Style" w:hAnsi="Bookman Old Style" w:cs="Arial"/>
          <w:iCs/>
          <w:lang w:val="es-CO"/>
        </w:rPr>
      </w:pPr>
      <w:r>
        <w:rPr>
          <w:rFonts w:ascii="Bookman Old Style" w:hAnsi="Bookman Old Style" w:cs="Arial"/>
          <w:lang w:val="es-CO"/>
        </w:rPr>
        <w:t>Donde,</w:t>
      </w:r>
    </w:p>
    <w:p w14:paraId="0AE62266" w14:textId="77777777" w:rsidR="00B84525" w:rsidRDefault="00B84525" w:rsidP="00B84525">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897"/>
      </w:tblGrid>
      <w:tr w:rsidR="00B84525" w14:paraId="3E7637B9" w14:textId="77777777" w:rsidTr="00541C56">
        <w:tc>
          <w:tcPr>
            <w:tcW w:w="908" w:type="dxa"/>
          </w:tcPr>
          <w:p w14:paraId="39C26691" w14:textId="77777777" w:rsidR="00B84525" w:rsidRDefault="00B84525" w:rsidP="00541C56">
            <w:pPr>
              <w:ind w:left="0"/>
              <w:jc w:val="right"/>
              <w:rPr>
                <w:rFonts w:ascii="Bookman Old Style" w:hAnsi="Bookman Old Style" w:cs="Arial"/>
                <w:lang w:val="es-CO"/>
              </w:rPr>
            </w:pPr>
            <m:oMath>
              <m:r>
                <w:rPr>
                  <w:rFonts w:ascii="Cambria Math" w:hAnsi="Cambria Math" w:cs="Arial"/>
                  <w:lang w:val="es-MX"/>
                </w:rPr>
                <m:t>Otros</m:t>
              </m:r>
            </m:oMath>
            <w:r>
              <w:rPr>
                <w:rFonts w:ascii="Bookman Old Style" w:hAnsi="Bookman Old Style" w:cs="Arial"/>
                <w:bCs/>
                <w:iCs/>
                <w:lang w:val="es-CO"/>
              </w:rPr>
              <w:t>:</w:t>
            </w:r>
          </w:p>
        </w:tc>
        <w:tc>
          <w:tcPr>
            <w:tcW w:w="8070" w:type="dxa"/>
          </w:tcPr>
          <w:p w14:paraId="71E59566" w14:textId="77777777" w:rsidR="00B84525" w:rsidRDefault="00B84525" w:rsidP="00541C56">
            <w:pPr>
              <w:ind w:left="0"/>
              <w:jc w:val="both"/>
              <w:rPr>
                <w:rFonts w:ascii="Bookman Old Style" w:hAnsi="Bookman Old Style" w:cs="Arial"/>
                <w:iCs/>
                <w:lang w:val="es-CO"/>
              </w:rPr>
            </w:pPr>
            <w:r>
              <w:rPr>
                <w:rFonts w:ascii="Bookman Old Style" w:hAnsi="Bookman Old Style" w:cs="Arial"/>
                <w:iCs/>
                <w:lang w:val="es-CO"/>
              </w:rPr>
              <w:t>Otros componentes de la estructura de precios.</w:t>
            </w:r>
          </w:p>
          <w:p w14:paraId="0FA16A43" w14:textId="77777777" w:rsidR="00B84525" w:rsidDel="00D44CF6" w:rsidRDefault="00B84525" w:rsidP="00541C56">
            <w:pPr>
              <w:ind w:left="0"/>
              <w:jc w:val="both"/>
              <w:rPr>
                <w:rFonts w:ascii="Bookman Old Style" w:hAnsi="Bookman Old Style" w:cs="Arial"/>
                <w:iCs/>
                <w:lang w:val="es-CO"/>
              </w:rPr>
            </w:pPr>
          </w:p>
        </w:tc>
      </w:tr>
      <w:tr w:rsidR="00B84525" w14:paraId="6150A379" w14:textId="77777777" w:rsidTr="00541C56">
        <w:tc>
          <w:tcPr>
            <w:tcW w:w="908" w:type="dxa"/>
          </w:tcPr>
          <w:p w14:paraId="58449490" w14:textId="77777777" w:rsidR="00B84525" w:rsidRDefault="00B84525" w:rsidP="00541C56">
            <w:pPr>
              <w:ind w:left="0"/>
              <w:jc w:val="right"/>
              <w:rPr>
                <w:rFonts w:ascii="Bookman Old Style" w:hAnsi="Bookman Old Style" w:cs="Arial"/>
                <w:lang w:val="es-MX"/>
              </w:rPr>
            </w:pPr>
            <m:oMathPara>
              <m:oMath>
                <m:r>
                  <w:rPr>
                    <w:rFonts w:ascii="Cambria Math" w:hAnsi="Cambria Math" w:cs="Arial"/>
                    <w:lang w:val="es-MX"/>
                  </w:rPr>
                  <m:t>Tma:</m:t>
                </m:r>
              </m:oMath>
            </m:oMathPara>
          </w:p>
        </w:tc>
        <w:tc>
          <w:tcPr>
            <w:tcW w:w="8070" w:type="dxa"/>
          </w:tcPr>
          <w:p w14:paraId="5A0448C7" w14:textId="77777777" w:rsidR="00B84525" w:rsidRPr="00D876D2" w:rsidRDefault="00B84525" w:rsidP="00541C56">
            <w:pPr>
              <w:ind w:left="0"/>
              <w:rPr>
                <w:rFonts w:ascii="Bookman Old Style" w:hAnsi="Bookman Old Style" w:cs="Arial"/>
                <w:iCs/>
                <w:lang w:val="es-CO"/>
              </w:rPr>
            </w:pPr>
            <w:r w:rsidRPr="00D876D2">
              <w:rPr>
                <w:rFonts w:ascii="Bookman Old Style" w:hAnsi="Bookman Old Style" w:cs="Arial"/>
                <w:iCs/>
                <w:lang w:val="es-CO"/>
              </w:rPr>
              <w:t>Tarifa de marcación.</w:t>
            </w:r>
          </w:p>
          <w:p w14:paraId="7168ECC8" w14:textId="77777777" w:rsidR="00B84525" w:rsidRDefault="00B84525" w:rsidP="00541C56">
            <w:pPr>
              <w:ind w:left="0"/>
              <w:jc w:val="both"/>
              <w:rPr>
                <w:rFonts w:ascii="Bookman Old Style" w:hAnsi="Bookman Old Style" w:cs="Arial"/>
                <w:iCs/>
                <w:lang w:val="es-CO"/>
              </w:rPr>
            </w:pPr>
          </w:p>
        </w:tc>
      </w:tr>
      <w:tr w:rsidR="00B84525" w14:paraId="370B5CA5" w14:textId="77777777" w:rsidTr="00541C56">
        <w:tc>
          <w:tcPr>
            <w:tcW w:w="908" w:type="dxa"/>
          </w:tcPr>
          <w:p w14:paraId="6D9C4BAB" w14:textId="77777777" w:rsidR="00B84525" w:rsidRDefault="00B84525" w:rsidP="00541C56">
            <w:pPr>
              <w:ind w:left="0"/>
              <w:jc w:val="right"/>
              <w:rPr>
                <w:lang w:val="es-MX"/>
              </w:rPr>
            </w:pPr>
            <m:oMath>
              <m:r>
                <w:rPr>
                  <w:rFonts w:ascii="Cambria Math" w:hAnsi="Cambria Math" w:cs="Arial"/>
                  <w:lang w:val="es-MX"/>
                </w:rPr>
                <w:lastRenderedPageBreak/>
                <m:t>E</m:t>
              </m:r>
            </m:oMath>
            <w:r>
              <w:rPr>
                <w:rFonts w:ascii="Bookman Old Style" w:hAnsi="Bookman Old Style" w:cs="Arial"/>
                <w:iCs/>
                <w:lang w:val="es-CO"/>
              </w:rPr>
              <w:t>:</w:t>
            </w:r>
          </w:p>
        </w:tc>
        <w:tc>
          <w:tcPr>
            <w:tcW w:w="8070" w:type="dxa"/>
          </w:tcPr>
          <w:p w14:paraId="200FE2D9" w14:textId="77777777" w:rsidR="00B84525" w:rsidRPr="00964495" w:rsidRDefault="00B84525" w:rsidP="00541C56">
            <w:pPr>
              <w:ind w:left="0"/>
              <w:jc w:val="both"/>
              <w:rPr>
                <w:rFonts w:ascii="Bookman Old Style" w:hAnsi="Bookman Old Style" w:cs="Arial"/>
                <w:iCs/>
              </w:rPr>
            </w:pPr>
            <w:r>
              <w:rPr>
                <w:rFonts w:ascii="Bookman Old Style" w:hAnsi="Bookman Old Style" w:cs="Arial"/>
                <w:iCs/>
                <w:lang w:val="es-CO"/>
              </w:rPr>
              <w:t>Pérdida por evaporación</w:t>
            </w:r>
            <w:r w:rsidRPr="0097792D">
              <w:rPr>
                <w:rFonts w:ascii="Bookman Old Style" w:hAnsi="Bookman Old Style" w:cs="Arial"/>
                <w:iCs/>
                <w:lang w:val="es-CO"/>
              </w:rPr>
              <w:t>.</w:t>
            </w:r>
          </w:p>
          <w:p w14:paraId="1C7E5EE6" w14:textId="77777777" w:rsidR="00B84525" w:rsidRDefault="00B84525" w:rsidP="00541C56">
            <w:pPr>
              <w:ind w:left="0"/>
              <w:jc w:val="both"/>
              <w:rPr>
                <w:rFonts w:ascii="Bookman Old Style" w:hAnsi="Bookman Old Style" w:cs="Arial"/>
                <w:iCs/>
                <w:lang w:val="es-CO"/>
              </w:rPr>
            </w:pPr>
          </w:p>
        </w:tc>
      </w:tr>
      <w:tr w:rsidR="00B84525" w14:paraId="6980A02F" w14:textId="77777777" w:rsidTr="00541C56">
        <w:tc>
          <w:tcPr>
            <w:tcW w:w="908" w:type="dxa"/>
          </w:tcPr>
          <w:p w14:paraId="49EDFD88" w14:textId="77777777" w:rsidR="00B84525" w:rsidRDefault="00B84525" w:rsidP="00541C56">
            <w:pPr>
              <w:ind w:left="0"/>
              <w:jc w:val="right"/>
              <w:rPr>
                <w:rFonts w:ascii="Bookman Old Style" w:hAnsi="Bookman Old Style" w:cs="Arial"/>
                <w:iCs/>
                <w:lang w:val="es-CO"/>
              </w:rPr>
            </w:pPr>
            <m:oMathPara>
              <m:oMath>
                <m:r>
                  <w:rPr>
                    <w:rFonts w:ascii="Cambria Math" w:hAnsi="Cambria Math" w:cs="Arial"/>
                    <w:lang w:val="es-MX"/>
                  </w:rPr>
                  <m:t>PERP &amp; PC:</m:t>
                </m:r>
              </m:oMath>
            </m:oMathPara>
          </w:p>
        </w:tc>
        <w:tc>
          <w:tcPr>
            <w:tcW w:w="8070" w:type="dxa"/>
          </w:tcPr>
          <w:p w14:paraId="4A243135" w14:textId="77777777" w:rsidR="00B84525" w:rsidRDefault="00B84525" w:rsidP="00541C56">
            <w:pPr>
              <w:ind w:left="0"/>
              <w:jc w:val="both"/>
              <w:rPr>
                <w:rFonts w:ascii="Bookman Old Style" w:hAnsi="Bookman Old Style" w:cs="Arial"/>
                <w:iCs/>
                <w:lang w:val="es-CO"/>
              </w:rPr>
            </w:pPr>
            <w:r w:rsidRPr="002678CF">
              <w:rPr>
                <w:rFonts w:ascii="Bookman Old Style" w:hAnsi="Bookman Old Style" w:cs="Arial"/>
                <w:iCs/>
                <w:lang w:val="es-CO"/>
              </w:rPr>
              <w:t>Plan de expansión de red de poliductos y plan de expansión de continuidad.</w:t>
            </w:r>
          </w:p>
        </w:tc>
      </w:tr>
      <w:tr w:rsidR="00B84525" w14:paraId="1A5CFE25" w14:textId="77777777" w:rsidTr="00541C56">
        <w:tc>
          <w:tcPr>
            <w:tcW w:w="908" w:type="dxa"/>
          </w:tcPr>
          <w:p w14:paraId="068E146D" w14:textId="77777777" w:rsidR="00B84525" w:rsidRDefault="00B84525" w:rsidP="00541C56">
            <w:pPr>
              <w:ind w:left="0"/>
              <w:jc w:val="right"/>
              <w:rPr>
                <w:lang w:val="es-MX"/>
              </w:rPr>
            </w:pPr>
            <m:oMath>
              <m:r>
                <w:rPr>
                  <w:rFonts w:ascii="Cambria Math" w:hAnsi="Cambria Math"/>
                  <w:lang w:val="es-MX"/>
                </w:rPr>
                <m:t>Cc</m:t>
              </m:r>
            </m:oMath>
            <w:r>
              <w:rPr>
                <w:lang w:val="es-MX"/>
              </w:rPr>
              <w:t>:</w:t>
            </w:r>
          </w:p>
        </w:tc>
        <w:tc>
          <w:tcPr>
            <w:tcW w:w="8070" w:type="dxa"/>
          </w:tcPr>
          <w:p w14:paraId="13B25BEA" w14:textId="77777777" w:rsidR="00B84525" w:rsidRDefault="00B84525" w:rsidP="00541C56">
            <w:pPr>
              <w:ind w:left="0"/>
              <w:jc w:val="both"/>
              <w:rPr>
                <w:rFonts w:ascii="Bookman Old Style" w:hAnsi="Bookman Old Style" w:cs="Arial"/>
                <w:iCs/>
                <w:lang w:val="es-CO"/>
              </w:rPr>
            </w:pPr>
            <w:r w:rsidRPr="00FA1F31">
              <w:rPr>
                <w:rFonts w:ascii="Bookman Old Style" w:hAnsi="Bookman Old Style" w:cs="Arial"/>
                <w:iCs/>
                <w:lang w:val="es-CO"/>
              </w:rPr>
              <w:t>Fortalecimiento del control a la comercialización en ZDF</w:t>
            </w:r>
            <w:r>
              <w:rPr>
                <w:rFonts w:ascii="Bookman Old Style" w:hAnsi="Bookman Old Style" w:cs="Arial"/>
                <w:iCs/>
                <w:lang w:val="es-CO"/>
              </w:rPr>
              <w:t>.</w:t>
            </w:r>
          </w:p>
          <w:p w14:paraId="3C7CC9F8" w14:textId="77777777" w:rsidR="00B84525" w:rsidRDefault="00B84525" w:rsidP="00541C56">
            <w:pPr>
              <w:ind w:left="0"/>
              <w:jc w:val="both"/>
              <w:rPr>
                <w:rFonts w:ascii="Bookman Old Style" w:hAnsi="Bookman Old Style" w:cs="Arial"/>
                <w:iCs/>
                <w:lang w:val="es-CO"/>
              </w:rPr>
            </w:pPr>
          </w:p>
        </w:tc>
      </w:tr>
      <w:tr w:rsidR="00B84525" w14:paraId="3F090325" w14:textId="77777777" w:rsidTr="00541C56">
        <w:tc>
          <w:tcPr>
            <w:tcW w:w="908" w:type="dxa"/>
          </w:tcPr>
          <w:p w14:paraId="7C8E9D1E" w14:textId="77777777" w:rsidR="00B84525" w:rsidRPr="007D42E8" w:rsidRDefault="00B84525" w:rsidP="00541C56">
            <w:pPr>
              <w:ind w:left="0"/>
              <w:jc w:val="right"/>
              <w:rPr>
                <w:lang w:val="es-MX"/>
              </w:rPr>
            </w:pPr>
            <m:oMath>
              <m:r>
                <w:rPr>
                  <w:rFonts w:ascii="Cambria Math" w:hAnsi="Cambria Math"/>
                  <w:lang w:val="es-MX"/>
                </w:rPr>
                <m:t>Ce</m:t>
              </m:r>
            </m:oMath>
            <w:r>
              <w:rPr>
                <w:lang w:val="es-MX"/>
              </w:rPr>
              <w:t>:</w:t>
            </w:r>
          </w:p>
        </w:tc>
        <w:tc>
          <w:tcPr>
            <w:tcW w:w="8070" w:type="dxa"/>
          </w:tcPr>
          <w:p w14:paraId="062E7346" w14:textId="77777777" w:rsidR="00B84525" w:rsidRPr="00FA1F31" w:rsidRDefault="00B84525" w:rsidP="00541C56">
            <w:pPr>
              <w:ind w:left="0"/>
              <w:jc w:val="both"/>
              <w:rPr>
                <w:rFonts w:ascii="Bookman Old Style" w:hAnsi="Bookman Old Style" w:cs="Arial"/>
                <w:iCs/>
                <w:lang w:val="es-CO"/>
              </w:rPr>
            </w:pPr>
            <w:r w:rsidRPr="00A26E74">
              <w:rPr>
                <w:rFonts w:ascii="Bookman Old Style" w:hAnsi="Bookman Old Style" w:cs="Arial"/>
                <w:iCs/>
                <w:lang w:val="es-CO"/>
              </w:rPr>
              <w:t>Reconversión laboral</w:t>
            </w:r>
            <w:r>
              <w:rPr>
                <w:rFonts w:ascii="Bookman Old Style" w:hAnsi="Bookman Old Style" w:cs="Arial"/>
                <w:iCs/>
                <w:lang w:val="es-CO"/>
              </w:rPr>
              <w:t>.</w:t>
            </w:r>
          </w:p>
        </w:tc>
      </w:tr>
    </w:tbl>
    <w:p w14:paraId="57CA7D8E" w14:textId="77777777" w:rsidR="00B84525" w:rsidRPr="000D0866" w:rsidRDefault="00B84525" w:rsidP="00B84525">
      <w:pPr>
        <w:ind w:left="0"/>
        <w:jc w:val="both"/>
        <w:rPr>
          <w:rFonts w:ascii="Bookman Old Style" w:hAnsi="Bookman Old Style" w:cs="Arial"/>
          <w:iCs/>
        </w:rPr>
      </w:pPr>
    </w:p>
    <w:p w14:paraId="0E3F85A2" w14:textId="77777777" w:rsidR="00B84525" w:rsidRPr="00B75554" w:rsidRDefault="00B84525" w:rsidP="00B84525">
      <w:pPr>
        <w:ind w:left="0"/>
        <w:jc w:val="both"/>
        <w:rPr>
          <w:rFonts w:ascii="Bookman Old Style" w:hAnsi="Bookman Old Style" w:cs="Arial"/>
          <w:iCs/>
          <w:lang w:val="es-CO"/>
        </w:rPr>
      </w:pPr>
      <w:r>
        <w:rPr>
          <w:rFonts w:ascii="Bookman Old Style" w:hAnsi="Bookman Old Style" w:cs="Arial"/>
          <w:b/>
          <w:bCs/>
          <w:iCs/>
          <w:lang w:val="es-CO"/>
        </w:rPr>
        <w:t>10</w:t>
      </w:r>
      <w:r w:rsidRPr="001A2C4B">
        <w:rPr>
          <w:rFonts w:ascii="Bookman Old Style" w:hAnsi="Bookman Old Style" w:cs="Arial"/>
          <w:b/>
          <w:bCs/>
          <w:iCs/>
          <w:lang w:val="es-CO"/>
        </w:rPr>
        <w:t>.1. Tarifa de Marcación (</w:t>
      </w:r>
      <m:oMath>
        <m:r>
          <m:rPr>
            <m:sty m:val="bi"/>
          </m:rPr>
          <w:rPr>
            <w:rFonts w:ascii="Cambria Math" w:hAnsi="Cambria Math" w:cs="Arial"/>
            <w:lang w:val="es-CO"/>
          </w:rPr>
          <m:t>Tma</m:t>
        </m:r>
      </m:oMath>
      <w:r w:rsidRPr="001A2C4B">
        <w:rPr>
          <w:rFonts w:ascii="Bookman Old Style" w:hAnsi="Bookman Old Style" w:cs="Arial"/>
          <w:b/>
          <w:bCs/>
          <w:iCs/>
          <w:lang w:val="es-CO"/>
        </w:rPr>
        <w:t>):</w:t>
      </w:r>
      <w:r w:rsidRPr="00B75554">
        <w:rPr>
          <w:rFonts w:ascii="Bookman Old Style" w:hAnsi="Bookman Old Style" w:cs="Arial"/>
          <w:iCs/>
          <w:lang w:val="es-CO"/>
        </w:rPr>
        <w:t xml:space="preserve"> Es el valor establecido por la </w:t>
      </w:r>
      <w:r>
        <w:rPr>
          <w:rFonts w:ascii="Bookman Old Style" w:hAnsi="Bookman Old Style" w:cs="Arial"/>
          <w:iCs/>
          <w:lang w:val="es-CO"/>
        </w:rPr>
        <w:t>R</w:t>
      </w:r>
      <w:r w:rsidRPr="00B75554">
        <w:rPr>
          <w:rFonts w:ascii="Bookman Old Style" w:hAnsi="Bookman Old Style" w:cs="Arial"/>
          <w:iCs/>
          <w:lang w:val="es-CO"/>
        </w:rPr>
        <w:t>esolución</w:t>
      </w:r>
      <w:r>
        <w:rPr>
          <w:rFonts w:ascii="Bookman Old Style" w:hAnsi="Bookman Old Style" w:cs="Arial"/>
          <w:iCs/>
          <w:lang w:val="es-CO"/>
        </w:rPr>
        <w:t xml:space="preserve"> MME</w:t>
      </w:r>
      <w:r w:rsidRPr="00B75554">
        <w:rPr>
          <w:rFonts w:ascii="Bookman Old Style" w:hAnsi="Bookman Old Style" w:cs="Arial"/>
          <w:iCs/>
          <w:lang w:val="es-CO"/>
        </w:rPr>
        <w:t xml:space="preserve"> 91349 del 28 de noviembre de 2014 y las normas que la modifiquen, adicionen o sustituyan.</w:t>
      </w:r>
    </w:p>
    <w:p w14:paraId="35F6518C" w14:textId="77777777" w:rsidR="00B84525" w:rsidRPr="00B75554" w:rsidRDefault="00B84525" w:rsidP="00B84525">
      <w:pPr>
        <w:ind w:left="0"/>
        <w:jc w:val="both"/>
        <w:rPr>
          <w:rFonts w:ascii="Bookman Old Style" w:hAnsi="Bookman Old Style" w:cs="Arial"/>
          <w:iCs/>
          <w:lang w:val="es-CO"/>
        </w:rPr>
      </w:pPr>
    </w:p>
    <w:p w14:paraId="45A33C74"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10</w:t>
      </w:r>
      <w:r w:rsidRPr="001A2C4B">
        <w:rPr>
          <w:rFonts w:ascii="Bookman Old Style" w:hAnsi="Bookman Old Style" w:cs="Arial"/>
          <w:b/>
          <w:bCs/>
          <w:iCs/>
          <w:lang w:val="es-CO"/>
        </w:rPr>
        <w:t>.2. Pérdida por Evaporación (</w:t>
      </w:r>
      <m:oMath>
        <m:r>
          <m:rPr>
            <m:sty m:val="bi"/>
          </m:rPr>
          <w:rPr>
            <w:rFonts w:ascii="Cambria Math" w:hAnsi="Cambria Math" w:cs="Arial"/>
            <w:lang w:val="es-CO"/>
          </w:rPr>
          <m:t>E</m:t>
        </m:r>
      </m:oMath>
      <w:r w:rsidRPr="001A2C4B">
        <w:rPr>
          <w:rFonts w:ascii="Bookman Old Style" w:hAnsi="Bookman Old Style" w:cs="Arial"/>
          <w:b/>
          <w:bCs/>
          <w:iCs/>
          <w:lang w:val="es-CO"/>
        </w:rPr>
        <w:t>):</w:t>
      </w:r>
      <w:r w:rsidRPr="00B75554">
        <w:rPr>
          <w:rFonts w:ascii="Bookman Old Style" w:hAnsi="Bookman Old Style" w:cs="Arial"/>
          <w:iCs/>
          <w:lang w:val="es-CO"/>
        </w:rPr>
        <w:t xml:space="preserve"> La pérdida por evaporación y merma de transporte, manejo y trasiego de los combustibles entre la planta de abastecimiento y la estación de servicio corresponde al 0</w:t>
      </w:r>
      <w:r>
        <w:rPr>
          <w:rFonts w:ascii="Bookman Old Style" w:hAnsi="Bookman Old Style" w:cs="Arial"/>
          <w:iCs/>
          <w:lang w:val="es-CO"/>
        </w:rPr>
        <w:t>,</w:t>
      </w:r>
      <w:r w:rsidRPr="00B75554">
        <w:rPr>
          <w:rFonts w:ascii="Bookman Old Style" w:hAnsi="Bookman Old Style" w:cs="Arial"/>
          <w:iCs/>
          <w:lang w:val="es-CO"/>
        </w:rPr>
        <w:t>4% del precio de venta en planta de abasto mayorista en las diferentes zonas del país, conforme lo dispone el artículo 2.2.1.1.2.2.3.109 del Decreto 1073 de 2015 y las normas que lo modifiquen, adicionen o sustituyan.</w:t>
      </w:r>
    </w:p>
    <w:p w14:paraId="22530AC1" w14:textId="77777777" w:rsidR="00B84525" w:rsidRDefault="00B84525" w:rsidP="00B84525">
      <w:pPr>
        <w:ind w:left="0"/>
        <w:jc w:val="both"/>
        <w:rPr>
          <w:rFonts w:ascii="Bookman Old Style" w:hAnsi="Bookman Old Style" w:cs="Arial"/>
          <w:iCs/>
          <w:lang w:val="es-CO"/>
        </w:rPr>
      </w:pPr>
    </w:p>
    <w:p w14:paraId="66D05511" w14:textId="77777777" w:rsidR="00B84525" w:rsidRDefault="00B84525" w:rsidP="00B84525">
      <w:pPr>
        <w:ind w:left="0"/>
        <w:jc w:val="both"/>
        <w:rPr>
          <w:rFonts w:ascii="Bookman Old Style" w:hAnsi="Bookman Old Style" w:cs="Arial"/>
          <w:iCs/>
          <w:lang w:val="es-CO"/>
        </w:rPr>
      </w:pPr>
      <w:r>
        <w:rPr>
          <w:rFonts w:ascii="Bookman Old Style" w:hAnsi="Bookman Old Style" w:cs="Arial"/>
          <w:b/>
          <w:bCs/>
          <w:iCs/>
          <w:lang w:val="es-CO"/>
        </w:rPr>
        <w:t>10</w:t>
      </w:r>
      <w:r w:rsidRPr="00336E7C">
        <w:rPr>
          <w:rFonts w:ascii="Bookman Old Style" w:hAnsi="Bookman Old Style" w:cs="Arial"/>
          <w:b/>
          <w:bCs/>
          <w:iCs/>
          <w:lang w:val="es-CO"/>
        </w:rPr>
        <w:t>.</w:t>
      </w:r>
      <w:r>
        <w:rPr>
          <w:rFonts w:ascii="Bookman Old Style" w:hAnsi="Bookman Old Style" w:cs="Arial"/>
          <w:b/>
          <w:bCs/>
          <w:iCs/>
          <w:lang w:val="es-CO"/>
        </w:rPr>
        <w:t>3</w:t>
      </w:r>
      <w:r w:rsidRPr="00336E7C">
        <w:rPr>
          <w:rFonts w:ascii="Bookman Old Style" w:hAnsi="Bookman Old Style" w:cs="Arial"/>
          <w:b/>
          <w:bCs/>
          <w:iCs/>
          <w:lang w:val="es-CO"/>
        </w:rPr>
        <w:t xml:space="preserve">. </w:t>
      </w:r>
      <w:r w:rsidRPr="00EA40C9">
        <w:rPr>
          <w:rFonts w:ascii="Bookman Old Style" w:hAnsi="Bookman Old Style" w:cs="Arial"/>
          <w:b/>
          <w:bCs/>
          <w:iCs/>
          <w:lang w:val="es-CO"/>
        </w:rPr>
        <w:t xml:space="preserve">PERP &amp; PC </w:t>
      </w:r>
      <w:r w:rsidRPr="00336E7C">
        <w:rPr>
          <w:rFonts w:ascii="Bookman Old Style" w:hAnsi="Bookman Old Style" w:cs="Arial"/>
          <w:b/>
          <w:bCs/>
          <w:iCs/>
          <w:lang w:val="es-CO"/>
        </w:rPr>
        <w:t>(</w:t>
      </w:r>
      <m:oMath>
        <m:r>
          <m:rPr>
            <m:sty m:val="bi"/>
          </m:rPr>
          <w:rPr>
            <w:rFonts w:ascii="Cambria Math" w:hAnsi="Cambria Math" w:cs="Arial"/>
            <w:lang w:val="es-CO"/>
          </w:rPr>
          <m:t>PERP &amp; PC</m:t>
        </m:r>
      </m:oMath>
      <w:r w:rsidRPr="00336E7C">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 xml:space="preserve">Es el valor con el que se remuneran los proyectos adoptados por el MME y expedidos en el Plan de </w:t>
      </w:r>
      <w:r w:rsidRPr="00A616D5">
        <w:rPr>
          <w:rFonts w:ascii="Bookman Old Style" w:hAnsi="Bookman Old Style" w:cs="Arial"/>
          <w:iCs/>
          <w:lang w:val="es-CO"/>
        </w:rPr>
        <w:t>expansión de red de poliductos</w:t>
      </w:r>
      <w:r>
        <w:rPr>
          <w:rFonts w:ascii="Bookman Old Style" w:hAnsi="Bookman Old Style" w:cs="Arial"/>
          <w:iCs/>
          <w:lang w:val="es-CO"/>
        </w:rPr>
        <w:t xml:space="preserve"> (PERP) y Plan de Continuidad (PC), mediante la Resolución MME 40224 de 2022 </w:t>
      </w:r>
      <w:r w:rsidRPr="00B75554">
        <w:rPr>
          <w:rFonts w:ascii="Bookman Old Style" w:hAnsi="Bookman Old Style" w:cs="Arial"/>
          <w:iCs/>
          <w:lang w:val="es-CO"/>
        </w:rPr>
        <w:t>y las normas que lo modifiquen, adicionen o sustituyan.</w:t>
      </w:r>
    </w:p>
    <w:p w14:paraId="615C6DE7" w14:textId="77777777" w:rsidR="00B84525" w:rsidRDefault="00B84525" w:rsidP="00B84525">
      <w:pPr>
        <w:ind w:left="0"/>
        <w:jc w:val="both"/>
        <w:rPr>
          <w:rFonts w:ascii="Bookman Old Style" w:hAnsi="Bookman Old Style" w:cs="Arial"/>
          <w:iCs/>
          <w:lang w:val="es-CO"/>
        </w:rPr>
      </w:pPr>
    </w:p>
    <w:p w14:paraId="31F11302" w14:textId="77777777" w:rsidR="00B84525" w:rsidRPr="008C16B1" w:rsidRDefault="00B84525" w:rsidP="00B84525">
      <w:pPr>
        <w:ind w:left="0"/>
        <w:jc w:val="both"/>
        <w:rPr>
          <w:rFonts w:ascii="Bookman Old Style" w:hAnsi="Bookman Old Style" w:cs="Arial"/>
          <w:iCs/>
          <w:lang w:val="es-CO"/>
        </w:rPr>
      </w:pPr>
      <w:r>
        <w:rPr>
          <w:rFonts w:ascii="Bookman Old Style" w:hAnsi="Bookman Old Style" w:cs="Arial"/>
          <w:b/>
          <w:bCs/>
          <w:iCs/>
          <w:lang w:val="es-CO"/>
        </w:rPr>
        <w:t>10</w:t>
      </w:r>
      <w:r w:rsidRPr="00336E7C">
        <w:rPr>
          <w:rFonts w:ascii="Bookman Old Style" w:hAnsi="Bookman Old Style" w:cs="Arial"/>
          <w:b/>
          <w:bCs/>
          <w:iCs/>
          <w:lang w:val="es-CO"/>
        </w:rPr>
        <w:t>.</w:t>
      </w:r>
      <w:r>
        <w:rPr>
          <w:rFonts w:ascii="Bookman Old Style" w:hAnsi="Bookman Old Style" w:cs="Arial"/>
          <w:b/>
          <w:bCs/>
          <w:iCs/>
          <w:lang w:val="es-CO"/>
        </w:rPr>
        <w:t>4</w:t>
      </w:r>
      <w:r w:rsidRPr="00336E7C">
        <w:rPr>
          <w:rFonts w:ascii="Bookman Old Style" w:hAnsi="Bookman Old Style" w:cs="Arial"/>
          <w:b/>
          <w:bCs/>
          <w:iCs/>
          <w:lang w:val="es-CO"/>
        </w:rPr>
        <w:t>.</w:t>
      </w:r>
      <w:r>
        <w:rPr>
          <w:rFonts w:ascii="Bookman Old Style" w:hAnsi="Bookman Old Style" w:cs="Arial"/>
          <w:b/>
          <w:bCs/>
          <w:iCs/>
          <w:lang w:val="es-CO"/>
        </w:rPr>
        <w:t xml:space="preserve"> </w:t>
      </w:r>
      <w:r w:rsidRPr="001A2C4B">
        <w:rPr>
          <w:rFonts w:ascii="Bookman Old Style" w:hAnsi="Bookman Old Style" w:cs="Arial"/>
          <w:b/>
          <w:bCs/>
          <w:iCs/>
          <w:lang w:val="es-CO"/>
        </w:rPr>
        <w:t>Fortalecimiento del control a la comercialización en ZDF (</w:t>
      </w:r>
      <m:oMath>
        <m:r>
          <m:rPr>
            <m:sty m:val="bi"/>
          </m:rPr>
          <w:rPr>
            <w:rFonts w:ascii="Cambria Math" w:hAnsi="Cambria Math" w:cs="Arial"/>
            <w:lang w:val="es-CO"/>
          </w:rPr>
          <m:t>Cc</m:t>
        </m:r>
      </m:oMath>
      <w:r w:rsidRPr="001A2C4B">
        <w:rPr>
          <w:rFonts w:ascii="Bookman Old Style" w:hAnsi="Bookman Old Style" w:cs="Arial"/>
          <w:b/>
          <w:bCs/>
          <w:iCs/>
          <w:lang w:val="es-CO"/>
        </w:rPr>
        <w:t>):</w:t>
      </w:r>
      <w:r w:rsidRPr="00B75554">
        <w:rPr>
          <w:rFonts w:ascii="Bookman Old Style" w:hAnsi="Bookman Old Style" w:cs="Arial"/>
          <w:iCs/>
          <w:lang w:val="es-CO"/>
        </w:rPr>
        <w:t xml:space="preserve"> Es el rubro correspondiente a la recuperación de costos a favor </w:t>
      </w:r>
      <w:r>
        <w:rPr>
          <w:rFonts w:ascii="Bookman Old Style" w:hAnsi="Bookman Old Style" w:cs="Arial"/>
          <w:iCs/>
          <w:lang w:val="es-CO"/>
        </w:rPr>
        <w:t>MME</w:t>
      </w:r>
      <w:r w:rsidRPr="00FD4F6C">
        <w:rPr>
          <w:rFonts w:ascii="Bookman Old Style" w:hAnsi="Bookman Old Style" w:cs="Arial"/>
          <w:iCs/>
          <w:lang w:val="es-CO"/>
        </w:rPr>
        <w:t xml:space="preserve"> </w:t>
      </w:r>
      <w:r w:rsidRPr="00B75554">
        <w:rPr>
          <w:rFonts w:ascii="Bookman Old Style" w:hAnsi="Bookman Old Style" w:cs="Arial"/>
          <w:iCs/>
          <w:lang w:val="es-CO"/>
        </w:rPr>
        <w:t>de acuerdo con lo señalado en el parágrafo 2 del artículo 9 de la Ley 1430 de 2010</w:t>
      </w:r>
      <w:r>
        <w:rPr>
          <w:rFonts w:ascii="Bookman Old Style" w:hAnsi="Bookman Old Style" w:cs="Arial"/>
          <w:iCs/>
          <w:lang w:val="es-CO"/>
        </w:rPr>
        <w:t xml:space="preserve"> o aquella que lo modifique, adicione o sustituya</w:t>
      </w:r>
      <w:r w:rsidRPr="008C16B1">
        <w:rPr>
          <w:rFonts w:ascii="Bookman Old Style" w:hAnsi="Bookman Old Style" w:cs="Arial"/>
          <w:iCs/>
          <w:lang w:val="es-CO"/>
        </w:rPr>
        <w:t>. Esta componente sólo hace parte de la estructura de precios de los municipios de zona de frontera y su valor se define en la resolución particular de cada municipio o departamento.</w:t>
      </w:r>
    </w:p>
    <w:p w14:paraId="0872F046" w14:textId="77777777" w:rsidR="00B84525" w:rsidRPr="008C16B1" w:rsidRDefault="00B84525" w:rsidP="00B84525">
      <w:pPr>
        <w:ind w:left="0"/>
        <w:jc w:val="both"/>
        <w:rPr>
          <w:rFonts w:ascii="Bookman Old Style" w:hAnsi="Bookman Old Style" w:cs="Arial"/>
          <w:iCs/>
          <w:lang w:val="es-CO"/>
        </w:rPr>
      </w:pPr>
    </w:p>
    <w:p w14:paraId="3C7857EA" w14:textId="77777777" w:rsidR="00B84525" w:rsidRPr="00B75554" w:rsidRDefault="00B84525" w:rsidP="00B84525">
      <w:pPr>
        <w:ind w:left="0"/>
        <w:jc w:val="both"/>
        <w:rPr>
          <w:rFonts w:ascii="Bookman Old Style" w:hAnsi="Bookman Old Style" w:cs="Arial"/>
          <w:iCs/>
          <w:lang w:val="es-CO"/>
        </w:rPr>
      </w:pPr>
      <w:r>
        <w:rPr>
          <w:rFonts w:ascii="Bookman Old Style" w:hAnsi="Bookman Old Style" w:cs="Arial"/>
          <w:b/>
          <w:bCs/>
          <w:iCs/>
          <w:lang w:val="es-CO"/>
        </w:rPr>
        <w:t>10</w:t>
      </w:r>
      <w:r w:rsidRPr="00336E7C">
        <w:rPr>
          <w:rFonts w:ascii="Bookman Old Style" w:hAnsi="Bookman Old Style" w:cs="Arial"/>
          <w:b/>
          <w:bCs/>
          <w:iCs/>
          <w:lang w:val="es-CO"/>
        </w:rPr>
        <w:t>.</w:t>
      </w:r>
      <w:r>
        <w:rPr>
          <w:rFonts w:ascii="Bookman Old Style" w:hAnsi="Bookman Old Style" w:cs="Arial"/>
          <w:b/>
          <w:bCs/>
          <w:iCs/>
          <w:lang w:val="es-CO"/>
        </w:rPr>
        <w:t>5</w:t>
      </w:r>
      <w:r w:rsidRPr="00336E7C">
        <w:rPr>
          <w:rFonts w:ascii="Bookman Old Style" w:hAnsi="Bookman Old Style" w:cs="Arial"/>
          <w:b/>
          <w:bCs/>
          <w:iCs/>
          <w:lang w:val="es-CO"/>
        </w:rPr>
        <w:t>.</w:t>
      </w:r>
      <w:r>
        <w:rPr>
          <w:rFonts w:ascii="Bookman Old Style" w:hAnsi="Bookman Old Style" w:cs="Arial"/>
          <w:b/>
          <w:bCs/>
          <w:iCs/>
          <w:lang w:val="es-CO"/>
        </w:rPr>
        <w:t xml:space="preserve"> </w:t>
      </w:r>
      <w:r w:rsidRPr="001A2C4B">
        <w:rPr>
          <w:rFonts w:ascii="Bookman Old Style" w:hAnsi="Bookman Old Style" w:cs="Arial"/>
          <w:b/>
          <w:bCs/>
          <w:iCs/>
          <w:lang w:val="es-CO"/>
        </w:rPr>
        <w:t>Reconversión laboral (</w:t>
      </w:r>
      <m:oMath>
        <m:r>
          <m:rPr>
            <m:sty m:val="bi"/>
          </m:rPr>
          <w:rPr>
            <w:rFonts w:ascii="Cambria Math" w:hAnsi="Cambria Math" w:cs="Arial"/>
            <w:lang w:val="es-CO"/>
          </w:rPr>
          <m:t>Ce</m:t>
        </m:r>
      </m:oMath>
      <w:r w:rsidRPr="001A2C4B">
        <w:rPr>
          <w:rFonts w:ascii="Bookman Old Style" w:hAnsi="Bookman Old Style" w:cs="Arial"/>
          <w:b/>
          <w:bCs/>
          <w:iCs/>
          <w:lang w:val="es-CO"/>
        </w:rPr>
        <w:t>):</w:t>
      </w:r>
      <w:r w:rsidRPr="008C16B1">
        <w:rPr>
          <w:rFonts w:ascii="Bookman Old Style" w:hAnsi="Bookman Old Style" w:cs="Arial"/>
          <w:iCs/>
          <w:lang w:val="es-CO"/>
        </w:rPr>
        <w:t xml:space="preserve"> Es el costo a favor de MME por la promoción de las actividades de reconversión sociolaboral en virtud del parágrafo 2 del artículo 9 de la Ley 1430 de 2010</w:t>
      </w:r>
      <w:r>
        <w:rPr>
          <w:rFonts w:ascii="Bookman Old Style" w:hAnsi="Bookman Old Style" w:cs="Arial"/>
          <w:iCs/>
          <w:lang w:val="es-CO"/>
        </w:rPr>
        <w:t xml:space="preserve"> </w:t>
      </w:r>
      <w:r w:rsidRPr="00B75554">
        <w:rPr>
          <w:rFonts w:ascii="Bookman Old Style" w:hAnsi="Bookman Old Style" w:cs="Arial"/>
          <w:iCs/>
          <w:lang w:val="es-CO"/>
        </w:rPr>
        <w:t>2010</w:t>
      </w:r>
      <w:r>
        <w:rPr>
          <w:rFonts w:ascii="Bookman Old Style" w:hAnsi="Bookman Old Style" w:cs="Arial"/>
          <w:iCs/>
          <w:lang w:val="es-CO"/>
        </w:rPr>
        <w:t xml:space="preserve"> o aquella que lo modifique, adicione o sustituya</w:t>
      </w:r>
      <w:r w:rsidRPr="008C16B1">
        <w:rPr>
          <w:rFonts w:ascii="Bookman Old Style" w:hAnsi="Bookman Old Style" w:cs="Arial"/>
          <w:iCs/>
          <w:lang w:val="es-CO"/>
        </w:rPr>
        <w:t>. Esta componente sólo hace parte de la estructura de precios de los municipios de zona de frontera.</w:t>
      </w:r>
    </w:p>
    <w:p w14:paraId="53FA4826" w14:textId="77777777" w:rsidR="00B84525" w:rsidRPr="00B75554" w:rsidRDefault="00B84525" w:rsidP="00B84525">
      <w:pPr>
        <w:ind w:left="0"/>
        <w:jc w:val="both"/>
        <w:rPr>
          <w:rFonts w:ascii="Bookman Old Style" w:hAnsi="Bookman Old Style" w:cs="Arial"/>
          <w:iCs/>
          <w:lang w:val="es-CO"/>
        </w:rPr>
      </w:pPr>
    </w:p>
    <w:p w14:paraId="43AEC7E0" w14:textId="5D9110E3" w:rsidR="00B84525" w:rsidRPr="00281A22" w:rsidRDefault="00B84525" w:rsidP="00B84525">
      <w:pPr>
        <w:ind w:left="0"/>
        <w:jc w:val="both"/>
        <w:rPr>
          <w:rFonts w:ascii="Bookman Old Style" w:hAnsi="Bookman Old Style" w:cs="Arial"/>
          <w:iCs/>
          <w:lang w:val="es-CO"/>
        </w:rPr>
      </w:pPr>
      <w:r w:rsidRPr="00281A22">
        <w:rPr>
          <w:rFonts w:ascii="Bookman Old Style" w:hAnsi="Bookman Old Style" w:cs="Arial"/>
          <w:b/>
          <w:bCs/>
          <w:iCs/>
          <w:lang w:val="es-CO"/>
        </w:rPr>
        <w:t>ARTÍCULO 1</w:t>
      </w:r>
      <w:r>
        <w:rPr>
          <w:rFonts w:ascii="Bookman Old Style" w:hAnsi="Bookman Old Style" w:cs="Arial"/>
          <w:b/>
          <w:bCs/>
          <w:iCs/>
          <w:lang w:val="es-CO"/>
        </w:rPr>
        <w:t>1</w:t>
      </w:r>
      <w:r w:rsidRPr="00281A22">
        <w:rPr>
          <w:rFonts w:ascii="Bookman Old Style" w:hAnsi="Bookman Old Style" w:cs="Arial"/>
          <w:b/>
          <w:bCs/>
          <w:iCs/>
          <w:lang w:val="es-CO"/>
        </w:rPr>
        <w:t>. PRECIO DE VENTA POR GALÓN AL PÚBLICO (PVP).</w:t>
      </w:r>
      <w:r w:rsidRPr="00281A22">
        <w:rPr>
          <w:rFonts w:ascii="Bookman Old Style" w:hAnsi="Bookman Old Style" w:cs="Arial"/>
          <w:iCs/>
          <w:lang w:val="es-CO"/>
        </w:rPr>
        <w:t xml:space="preserve"> Es el valor resultante de efectuar la sumatoria simple de los valores de cada una de las componentes establecidas en el artículo 2º del presente proyecto de Resolución.</w:t>
      </w:r>
    </w:p>
    <w:p w14:paraId="2336AFB3" w14:textId="77777777" w:rsidR="00B84525" w:rsidRPr="00B75554" w:rsidRDefault="00B84525" w:rsidP="00B84525">
      <w:pPr>
        <w:ind w:left="0"/>
        <w:jc w:val="both"/>
        <w:rPr>
          <w:rFonts w:ascii="Bookman Old Style" w:hAnsi="Bookman Old Style" w:cs="Arial"/>
          <w:iCs/>
          <w:lang w:val="es-CO"/>
        </w:rPr>
      </w:pPr>
    </w:p>
    <w:p w14:paraId="2D060193" w14:textId="3E12672B" w:rsidR="00B84525" w:rsidRDefault="00B84525" w:rsidP="00D6608B">
      <w:pPr>
        <w:ind w:left="0"/>
        <w:jc w:val="both"/>
        <w:rPr>
          <w:rFonts w:ascii="Bookman Old Style" w:hAnsi="Bookman Old Style" w:cs="Arial"/>
          <w:iCs/>
          <w:lang w:val="es-CO"/>
        </w:rPr>
      </w:pPr>
      <w:r w:rsidRPr="00B75554">
        <w:rPr>
          <w:rFonts w:ascii="Bookman Old Style" w:hAnsi="Bookman Old Style" w:cs="Arial"/>
          <w:b/>
          <w:bCs/>
          <w:iCs/>
          <w:lang w:val="es-CO"/>
        </w:rPr>
        <w:t>ARTÍCULO 1</w:t>
      </w:r>
      <w:r>
        <w:rPr>
          <w:rFonts w:ascii="Bookman Old Style" w:hAnsi="Bookman Old Style" w:cs="Arial"/>
          <w:b/>
          <w:bCs/>
          <w:iCs/>
          <w:lang w:val="es-CO"/>
        </w:rPr>
        <w:t>2</w:t>
      </w:r>
      <w:r w:rsidRPr="00B75554">
        <w:rPr>
          <w:rFonts w:ascii="Bookman Old Style" w:hAnsi="Bookman Old Style" w:cs="Arial"/>
          <w:b/>
          <w:bCs/>
          <w:iCs/>
          <w:lang w:val="es-CO"/>
        </w:rPr>
        <w:t>. VIGENCIA.</w:t>
      </w:r>
      <w:r w:rsidRPr="00B75554">
        <w:rPr>
          <w:rFonts w:ascii="Bookman Old Style" w:hAnsi="Bookman Old Style" w:cs="Arial"/>
          <w:iCs/>
          <w:lang w:val="es-CO"/>
        </w:rPr>
        <w:t xml:space="preserve"> La presente resolución rige a partir de su fecha de publicación en el Diario Oficial y deroga </w:t>
      </w:r>
      <w:r>
        <w:rPr>
          <w:rFonts w:ascii="Bookman Old Style" w:hAnsi="Bookman Old Style" w:cs="Arial"/>
          <w:iCs/>
          <w:lang w:val="es-CO"/>
        </w:rPr>
        <w:t xml:space="preserve">parcialmente las Resoluciones expedidas por el Ministerio de Minas y Energía </w:t>
      </w:r>
      <w:r>
        <w:rPr>
          <w:rFonts w:ascii="Bookman Old Style" w:hAnsi="Bookman Old Style"/>
          <w:bCs/>
          <w:lang w:val="es-CO"/>
        </w:rPr>
        <w:t xml:space="preserve">91773 de 2012, </w:t>
      </w:r>
      <w:r w:rsidRPr="0030543E">
        <w:rPr>
          <w:rFonts w:ascii="Bookman Old Style" w:hAnsi="Bookman Old Style"/>
          <w:bCs/>
          <w:lang w:val="es-CO"/>
        </w:rPr>
        <w:t>90308</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w:t>
      </w:r>
      <w:r w:rsidRPr="00222ED1">
        <w:rPr>
          <w:rFonts w:ascii="Bookman Old Style" w:hAnsi="Bookman Old Style"/>
          <w:bCs/>
          <w:lang w:val="es-CO"/>
        </w:rPr>
        <w:t xml:space="preserve"> </w:t>
      </w:r>
      <w:r w:rsidRPr="0030543E">
        <w:rPr>
          <w:rFonts w:ascii="Bookman Old Style" w:hAnsi="Bookman Old Style"/>
          <w:bCs/>
          <w:lang w:val="es-CO"/>
        </w:rPr>
        <w:t>90309</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90310</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9</w:t>
      </w:r>
      <w:r w:rsidRPr="0030543E">
        <w:rPr>
          <w:rFonts w:ascii="Bookman Old Style" w:hAnsi="Bookman Old Style"/>
          <w:bCs/>
          <w:lang w:val="es-CO"/>
        </w:rPr>
        <w:t>0311</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90423</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90424</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 xml:space="preserve">, </w:t>
      </w:r>
      <w:r w:rsidRPr="0030543E">
        <w:rPr>
          <w:rFonts w:ascii="Bookman Old Style" w:hAnsi="Bookman Old Style"/>
          <w:bCs/>
          <w:lang w:val="es-CO"/>
        </w:rPr>
        <w:t>90425</w:t>
      </w:r>
      <w:r>
        <w:rPr>
          <w:rFonts w:ascii="Bookman Old Style" w:hAnsi="Bookman Old Style"/>
          <w:bCs/>
          <w:lang w:val="es-CO"/>
        </w:rPr>
        <w:t xml:space="preserve"> de </w:t>
      </w:r>
      <w:r w:rsidRPr="0030543E">
        <w:rPr>
          <w:rFonts w:ascii="Bookman Old Style" w:hAnsi="Bookman Old Style"/>
          <w:bCs/>
          <w:lang w:val="es-CO"/>
        </w:rPr>
        <w:t>2013</w:t>
      </w:r>
      <w:r>
        <w:rPr>
          <w:rFonts w:ascii="Bookman Old Style" w:hAnsi="Bookman Old Style"/>
          <w:bCs/>
          <w:lang w:val="es-CO"/>
        </w:rPr>
        <w:t>,</w:t>
      </w:r>
      <w:r w:rsidRPr="00CA4A0C">
        <w:rPr>
          <w:rFonts w:ascii="Bookman Old Style" w:hAnsi="Bookman Old Style"/>
          <w:bCs/>
          <w:lang w:val="es-CO"/>
        </w:rPr>
        <w:t xml:space="preserve"> </w:t>
      </w:r>
      <w:r w:rsidRPr="0030543E">
        <w:rPr>
          <w:rFonts w:ascii="Bookman Old Style" w:hAnsi="Bookman Old Style"/>
          <w:bCs/>
          <w:lang w:val="es-CO"/>
        </w:rPr>
        <w:t>41131</w:t>
      </w:r>
      <w:r>
        <w:rPr>
          <w:rFonts w:ascii="Bookman Old Style" w:hAnsi="Bookman Old Style"/>
          <w:bCs/>
          <w:lang w:val="es-CO"/>
        </w:rPr>
        <w:t xml:space="preserve"> de </w:t>
      </w:r>
      <w:r w:rsidRPr="0030543E">
        <w:rPr>
          <w:rFonts w:ascii="Bookman Old Style" w:hAnsi="Bookman Old Style"/>
          <w:bCs/>
          <w:lang w:val="es-CO"/>
        </w:rPr>
        <w:t>2015</w:t>
      </w:r>
      <w:r>
        <w:rPr>
          <w:rFonts w:ascii="Bookman Old Style" w:hAnsi="Bookman Old Style"/>
          <w:bCs/>
          <w:lang w:val="es-CO"/>
        </w:rPr>
        <w:t>,</w:t>
      </w:r>
      <w:r w:rsidRPr="00B00705">
        <w:rPr>
          <w:rFonts w:ascii="Bookman Old Style" w:hAnsi="Bookman Old Style"/>
          <w:bCs/>
          <w:lang w:val="es-CO"/>
        </w:rPr>
        <w:t xml:space="preserve"> </w:t>
      </w:r>
      <w:r w:rsidRPr="0030543E">
        <w:rPr>
          <w:rFonts w:ascii="Bookman Old Style" w:hAnsi="Bookman Old Style"/>
          <w:bCs/>
          <w:lang w:val="es-CO"/>
        </w:rPr>
        <w:t>40435</w:t>
      </w:r>
      <w:r>
        <w:rPr>
          <w:rFonts w:ascii="Bookman Old Style" w:hAnsi="Bookman Old Style"/>
          <w:bCs/>
          <w:lang w:val="es-CO"/>
        </w:rPr>
        <w:t xml:space="preserve"> de 2016</w:t>
      </w:r>
      <w:r>
        <w:rPr>
          <w:rFonts w:ascii="Bookman Old Style" w:hAnsi="Bookman Old Style" w:cs="Arial"/>
          <w:iCs/>
          <w:lang w:val="es-CO"/>
        </w:rPr>
        <w:t xml:space="preserve">, quedando vigente solo lo relacionado con las definiciones: </w:t>
      </w:r>
      <w:r w:rsidRPr="009563CD">
        <w:rPr>
          <w:rFonts w:ascii="Bookman Old Style" w:hAnsi="Bookman Old Style" w:cs="Arial"/>
          <w:iCs/>
          <w:lang w:val="es-CO"/>
        </w:rPr>
        <w:t>MD</w:t>
      </w:r>
      <w:r>
        <w:rPr>
          <w:rFonts w:ascii="Bookman Old Style" w:hAnsi="Bookman Old Style" w:cs="Arial"/>
          <w:iCs/>
          <w:lang w:val="es-CO"/>
        </w:rPr>
        <w:t>, Ti, Ce y Cc.</w:t>
      </w:r>
    </w:p>
    <w:p w14:paraId="7798B75E" w14:textId="77777777" w:rsidR="00F63CB3" w:rsidRPr="00D6608B" w:rsidRDefault="00F63CB3" w:rsidP="00D6608B">
      <w:pPr>
        <w:ind w:left="0"/>
        <w:jc w:val="both"/>
        <w:rPr>
          <w:rFonts w:ascii="Bookman Old Style" w:hAnsi="Bookman Old Style" w:cs="Arial"/>
          <w:iCs/>
          <w:lang w:val="es-CO"/>
        </w:rPr>
      </w:pPr>
    </w:p>
    <w:p w14:paraId="7C2B3EB8" w14:textId="087E4BC8" w:rsidR="00045D3D" w:rsidRPr="00D6608B" w:rsidRDefault="00B84525" w:rsidP="00D6608B">
      <w:pPr>
        <w:ind w:left="0"/>
        <w:jc w:val="center"/>
        <w:rPr>
          <w:rFonts w:ascii="Bookman Old Style" w:hAnsi="Bookman Old Style"/>
          <w:b/>
          <w:lang w:val="es-CO"/>
        </w:rPr>
      </w:pPr>
      <w:r w:rsidRPr="00B75554">
        <w:rPr>
          <w:rFonts w:ascii="Bookman Old Style" w:hAnsi="Bookman Old Style"/>
          <w:b/>
          <w:lang w:val="es-CO"/>
        </w:rPr>
        <w:t>PUBLÍQUESE Y CÚMPLASE</w:t>
      </w:r>
    </w:p>
    <w:sectPr w:rsidR="00045D3D" w:rsidRPr="00D6608B" w:rsidSect="005A59EF">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D545" w14:textId="77777777" w:rsidR="00DF6F9A" w:rsidRDefault="00DF6F9A">
      <w:r>
        <w:separator/>
      </w:r>
    </w:p>
  </w:endnote>
  <w:endnote w:type="continuationSeparator" w:id="0">
    <w:p w14:paraId="0DA1366E" w14:textId="77777777" w:rsidR="00DF6F9A" w:rsidRDefault="00DF6F9A">
      <w:r>
        <w:continuationSeparator/>
      </w:r>
    </w:p>
  </w:endnote>
  <w:endnote w:type="continuationNotice" w:id="1">
    <w:p w14:paraId="4AA7A46E" w14:textId="77777777" w:rsidR="00DF6F9A" w:rsidRDefault="00DF6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56672" w14:textId="77777777" w:rsidR="00DF6F9A" w:rsidRDefault="00DF6F9A">
      <w:r>
        <w:separator/>
      </w:r>
    </w:p>
  </w:footnote>
  <w:footnote w:type="continuationSeparator" w:id="0">
    <w:p w14:paraId="412112AB" w14:textId="77777777" w:rsidR="00DF6F9A" w:rsidRDefault="00DF6F9A">
      <w:r>
        <w:continuationSeparator/>
      </w:r>
    </w:p>
  </w:footnote>
  <w:footnote w:type="continuationNotice" w:id="1">
    <w:p w14:paraId="28D30C82" w14:textId="77777777" w:rsidR="00DF6F9A" w:rsidRDefault="00DF6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19D9347" w:rsidR="0087657D" w:rsidRPr="00951F79" w:rsidRDefault="00B84525"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 xml:space="preserve">RESOLUCIÓN </w:t>
    </w:r>
    <w:proofErr w:type="gramStart"/>
    <w:r w:rsidR="00725FA4"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F06E4D" w:rsidRPr="00F06E4D">
      <w:rPr>
        <w:rFonts w:ascii="Bookman Old Style" w:hAnsi="Bookman Old Style" w:cs="Arial"/>
        <w:bCs/>
        <w:sz w:val="22"/>
        <w:szCs w:val="22"/>
        <w:u w:val="single"/>
      </w:rPr>
      <w:t>704</w:t>
    </w:r>
    <w:proofErr w:type="gramEnd"/>
    <w:r w:rsidR="00F06E4D" w:rsidRPr="00F06E4D">
      <w:rPr>
        <w:rFonts w:ascii="Bookman Old Style" w:hAnsi="Bookman Old Style" w:cs="Arial"/>
        <w:bCs/>
        <w:sz w:val="22"/>
        <w:szCs w:val="22"/>
        <w:u w:val="single"/>
      </w:rPr>
      <w:t xml:space="preserve"> 002</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F06E4D">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F06E4D" w:rsidRPr="00F06E4D">
      <w:rPr>
        <w:rFonts w:ascii="Bookman Old Style" w:hAnsi="Bookman Old Style" w:cs="Arial"/>
        <w:bCs/>
        <w:sz w:val="22"/>
        <w:szCs w:val="22"/>
        <w:u w:val="single"/>
      </w:rPr>
      <w:t>14 NOV.2024</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NUMPAGES  \* MERGEFORMAT">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4C775CF">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E73C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4D71C34">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9290F84"/>
    <w:multiLevelType w:val="hybridMultilevel"/>
    <w:tmpl w:val="B8D2CBEE"/>
    <w:lvl w:ilvl="0" w:tplc="7186BF0C">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EA13BE"/>
    <w:multiLevelType w:val="hybridMultilevel"/>
    <w:tmpl w:val="10B43C0E"/>
    <w:lvl w:ilvl="0" w:tplc="682E2CDA">
      <w:start w:val="1"/>
      <w:numFmt w:val="lowerRoman"/>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C91BBC"/>
    <w:multiLevelType w:val="hybridMultilevel"/>
    <w:tmpl w:val="75C6CD50"/>
    <w:lvl w:ilvl="0" w:tplc="7186BF0C">
      <w:numFmt w:val="bullet"/>
      <w:lvlText w:val="-"/>
      <w:lvlJc w:val="left"/>
      <w:pPr>
        <w:ind w:left="1800" w:hanging="360"/>
      </w:pPr>
      <w:rPr>
        <w:rFonts w:ascii="Bookman Old Style" w:eastAsia="Times New Roman" w:hAnsi="Bookman Old Style"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2DE67ECB"/>
    <w:multiLevelType w:val="hybridMultilevel"/>
    <w:tmpl w:val="7A22DA10"/>
    <w:lvl w:ilvl="0" w:tplc="C85E3D1A">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72078"/>
    <w:multiLevelType w:val="hybridMultilevel"/>
    <w:tmpl w:val="0F4E76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450A62"/>
    <w:multiLevelType w:val="hybridMultilevel"/>
    <w:tmpl w:val="1388A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8"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0" w15:restartNumberingAfterBreak="0">
    <w:nsid w:val="4DC54A20"/>
    <w:multiLevelType w:val="hybridMultilevel"/>
    <w:tmpl w:val="0172D676"/>
    <w:lvl w:ilvl="0" w:tplc="7D7C737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55FF5A13"/>
    <w:multiLevelType w:val="multilevel"/>
    <w:tmpl w:val="A92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51691F"/>
    <w:multiLevelType w:val="hybridMultilevel"/>
    <w:tmpl w:val="81ECB28A"/>
    <w:lvl w:ilvl="0" w:tplc="240A000B">
      <w:start w:val="1"/>
      <w:numFmt w:val="bullet"/>
      <w:lvlText w:val=""/>
      <w:lvlJc w:val="left"/>
      <w:pPr>
        <w:ind w:left="360" w:hanging="360"/>
      </w:pPr>
      <w:rPr>
        <w:rFonts w:ascii="Wingdings" w:hAnsi="Wingdings" w:hint="default"/>
      </w:rPr>
    </w:lvl>
    <w:lvl w:ilvl="1" w:tplc="E57694EE">
      <w:start w:val="1"/>
      <w:numFmt w:val="lowerRoman"/>
      <w:lvlText w:val="%2)"/>
      <w:lvlJc w:val="left"/>
      <w:pPr>
        <w:ind w:left="720" w:hanging="360"/>
      </w:pPr>
      <w:rPr>
        <w:rFonts w:ascii="Bookman Old Style" w:hAnsi="Bookman Old Style"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7352BE2"/>
    <w:multiLevelType w:val="hybridMultilevel"/>
    <w:tmpl w:val="9F52748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C51132"/>
    <w:multiLevelType w:val="hybridMultilevel"/>
    <w:tmpl w:val="D234CB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7B4929"/>
    <w:multiLevelType w:val="hybridMultilevel"/>
    <w:tmpl w:val="9F527488"/>
    <w:lvl w:ilvl="0" w:tplc="475E48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8915D5"/>
    <w:multiLevelType w:val="hybridMultilevel"/>
    <w:tmpl w:val="98CE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3732040">
    <w:abstractNumId w:val="17"/>
  </w:num>
  <w:num w:numId="2" w16cid:durableId="2109498536">
    <w:abstractNumId w:val="6"/>
  </w:num>
  <w:num w:numId="3" w16cid:durableId="51780760">
    <w:abstractNumId w:val="32"/>
  </w:num>
  <w:num w:numId="4" w16cid:durableId="1420444577">
    <w:abstractNumId w:val="9"/>
  </w:num>
  <w:num w:numId="5" w16cid:durableId="1352997831">
    <w:abstractNumId w:val="24"/>
  </w:num>
  <w:num w:numId="6" w16cid:durableId="654071359">
    <w:abstractNumId w:val="4"/>
  </w:num>
  <w:num w:numId="7" w16cid:durableId="839586357">
    <w:abstractNumId w:val="3"/>
  </w:num>
  <w:num w:numId="8" w16cid:durableId="1390492230">
    <w:abstractNumId w:val="26"/>
  </w:num>
  <w:num w:numId="9" w16cid:durableId="2059473358">
    <w:abstractNumId w:val="25"/>
  </w:num>
  <w:num w:numId="10" w16cid:durableId="989943001">
    <w:abstractNumId w:val="18"/>
  </w:num>
  <w:num w:numId="11" w16cid:durableId="678236002">
    <w:abstractNumId w:val="33"/>
  </w:num>
  <w:num w:numId="12" w16cid:durableId="1784686364">
    <w:abstractNumId w:val="29"/>
  </w:num>
  <w:num w:numId="13" w16cid:durableId="547767205">
    <w:abstractNumId w:val="14"/>
  </w:num>
  <w:num w:numId="14" w16cid:durableId="883831037">
    <w:abstractNumId w:val="2"/>
  </w:num>
  <w:num w:numId="15" w16cid:durableId="318390007">
    <w:abstractNumId w:val="19"/>
  </w:num>
  <w:num w:numId="16" w16cid:durableId="662926797">
    <w:abstractNumId w:val="1"/>
  </w:num>
  <w:num w:numId="17" w16cid:durableId="1822696908">
    <w:abstractNumId w:val="13"/>
  </w:num>
  <w:num w:numId="18" w16cid:durableId="2081902215">
    <w:abstractNumId w:val="0"/>
  </w:num>
  <w:num w:numId="19" w16cid:durableId="1535732420">
    <w:abstractNumId w:val="28"/>
  </w:num>
  <w:num w:numId="20" w16cid:durableId="1747342675">
    <w:abstractNumId w:val="21"/>
  </w:num>
  <w:num w:numId="21" w16cid:durableId="187187676">
    <w:abstractNumId w:val="10"/>
  </w:num>
  <w:num w:numId="22" w16cid:durableId="261576056">
    <w:abstractNumId w:val="11"/>
  </w:num>
  <w:num w:numId="23" w16cid:durableId="1200708535">
    <w:abstractNumId w:val="16"/>
  </w:num>
  <w:num w:numId="24" w16cid:durableId="537477974">
    <w:abstractNumId w:val="30"/>
  </w:num>
  <w:num w:numId="25" w16cid:durableId="1196770918">
    <w:abstractNumId w:val="31"/>
  </w:num>
  <w:num w:numId="26" w16cid:durableId="475806177">
    <w:abstractNumId w:val="34"/>
  </w:num>
  <w:num w:numId="27" w16cid:durableId="1924413312">
    <w:abstractNumId w:val="20"/>
  </w:num>
  <w:num w:numId="28" w16cid:durableId="745300883">
    <w:abstractNumId w:val="5"/>
  </w:num>
  <w:num w:numId="29" w16cid:durableId="590703706">
    <w:abstractNumId w:val="8"/>
  </w:num>
  <w:num w:numId="30" w16cid:durableId="240067402">
    <w:abstractNumId w:val="23"/>
  </w:num>
  <w:num w:numId="31" w16cid:durableId="2020235412">
    <w:abstractNumId w:val="12"/>
  </w:num>
  <w:num w:numId="32" w16cid:durableId="2070380499">
    <w:abstractNumId w:val="22"/>
  </w:num>
  <w:num w:numId="33" w16cid:durableId="1882091050">
    <w:abstractNumId w:val="7"/>
  </w:num>
  <w:num w:numId="34" w16cid:durableId="1071929718">
    <w:abstractNumId w:val="15"/>
  </w:num>
  <w:num w:numId="35" w16cid:durableId="2569136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077B3"/>
    <w:rsid w:val="00012259"/>
    <w:rsid w:val="00025383"/>
    <w:rsid w:val="00045D3D"/>
    <w:rsid w:val="00063657"/>
    <w:rsid w:val="00076680"/>
    <w:rsid w:val="00076A1D"/>
    <w:rsid w:val="0008073E"/>
    <w:rsid w:val="00091CDB"/>
    <w:rsid w:val="000A19AC"/>
    <w:rsid w:val="000B2EC9"/>
    <w:rsid w:val="000D12F4"/>
    <w:rsid w:val="000D26F8"/>
    <w:rsid w:val="00102DA9"/>
    <w:rsid w:val="00106654"/>
    <w:rsid w:val="0013526C"/>
    <w:rsid w:val="001405C6"/>
    <w:rsid w:val="00141013"/>
    <w:rsid w:val="001802C4"/>
    <w:rsid w:val="00192CBF"/>
    <w:rsid w:val="00192FF1"/>
    <w:rsid w:val="001A07B4"/>
    <w:rsid w:val="001A5F1B"/>
    <w:rsid w:val="001B1C22"/>
    <w:rsid w:val="001B34C6"/>
    <w:rsid w:val="001C50A5"/>
    <w:rsid w:val="001D7832"/>
    <w:rsid w:val="001E56A7"/>
    <w:rsid w:val="00210DC1"/>
    <w:rsid w:val="00211D34"/>
    <w:rsid w:val="00212BCF"/>
    <w:rsid w:val="00214F04"/>
    <w:rsid w:val="00230457"/>
    <w:rsid w:val="002352B9"/>
    <w:rsid w:val="00266CD6"/>
    <w:rsid w:val="002673AC"/>
    <w:rsid w:val="00275DAB"/>
    <w:rsid w:val="002903C0"/>
    <w:rsid w:val="002A782A"/>
    <w:rsid w:val="002B11E2"/>
    <w:rsid w:val="002B24B8"/>
    <w:rsid w:val="002B3C24"/>
    <w:rsid w:val="002D3AE9"/>
    <w:rsid w:val="002D4510"/>
    <w:rsid w:val="002F0734"/>
    <w:rsid w:val="002F175F"/>
    <w:rsid w:val="002F46E7"/>
    <w:rsid w:val="003101DA"/>
    <w:rsid w:val="003111C3"/>
    <w:rsid w:val="00314757"/>
    <w:rsid w:val="003163BC"/>
    <w:rsid w:val="003211CE"/>
    <w:rsid w:val="00323E71"/>
    <w:rsid w:val="00326055"/>
    <w:rsid w:val="0035403A"/>
    <w:rsid w:val="0036394B"/>
    <w:rsid w:val="00366DB6"/>
    <w:rsid w:val="003709B5"/>
    <w:rsid w:val="003759C2"/>
    <w:rsid w:val="00391912"/>
    <w:rsid w:val="00397365"/>
    <w:rsid w:val="003A31F6"/>
    <w:rsid w:val="003A4C28"/>
    <w:rsid w:val="003C3447"/>
    <w:rsid w:val="003C5E41"/>
    <w:rsid w:val="003D076C"/>
    <w:rsid w:val="003D2FA2"/>
    <w:rsid w:val="003E78B5"/>
    <w:rsid w:val="00415BAB"/>
    <w:rsid w:val="00415ED2"/>
    <w:rsid w:val="0042068C"/>
    <w:rsid w:val="0044318E"/>
    <w:rsid w:val="00443B35"/>
    <w:rsid w:val="0045488D"/>
    <w:rsid w:val="0045693B"/>
    <w:rsid w:val="0046353F"/>
    <w:rsid w:val="0047122B"/>
    <w:rsid w:val="00473B7A"/>
    <w:rsid w:val="0049093F"/>
    <w:rsid w:val="004960E9"/>
    <w:rsid w:val="004A2E88"/>
    <w:rsid w:val="004A5305"/>
    <w:rsid w:val="004B2DEF"/>
    <w:rsid w:val="004B665C"/>
    <w:rsid w:val="004D7634"/>
    <w:rsid w:val="004E611A"/>
    <w:rsid w:val="004F6460"/>
    <w:rsid w:val="00524993"/>
    <w:rsid w:val="005300D3"/>
    <w:rsid w:val="00541C56"/>
    <w:rsid w:val="00542A10"/>
    <w:rsid w:val="00544F82"/>
    <w:rsid w:val="005509D2"/>
    <w:rsid w:val="00593C4F"/>
    <w:rsid w:val="005946A8"/>
    <w:rsid w:val="005A4407"/>
    <w:rsid w:val="005A59EF"/>
    <w:rsid w:val="005A75BF"/>
    <w:rsid w:val="005B1C7E"/>
    <w:rsid w:val="005C2EBD"/>
    <w:rsid w:val="005C6976"/>
    <w:rsid w:val="005C74EE"/>
    <w:rsid w:val="005E5C7F"/>
    <w:rsid w:val="005F6F41"/>
    <w:rsid w:val="0061181E"/>
    <w:rsid w:val="00625DC6"/>
    <w:rsid w:val="0064391D"/>
    <w:rsid w:val="00651821"/>
    <w:rsid w:val="00654384"/>
    <w:rsid w:val="0066431C"/>
    <w:rsid w:val="006675CD"/>
    <w:rsid w:val="00671104"/>
    <w:rsid w:val="00684D9B"/>
    <w:rsid w:val="0068510A"/>
    <w:rsid w:val="00697556"/>
    <w:rsid w:val="006B3B5B"/>
    <w:rsid w:val="006B4647"/>
    <w:rsid w:val="006B4C2B"/>
    <w:rsid w:val="006B6194"/>
    <w:rsid w:val="006B6D47"/>
    <w:rsid w:val="006C5AFE"/>
    <w:rsid w:val="006E1D8A"/>
    <w:rsid w:val="006E754F"/>
    <w:rsid w:val="006F2EC8"/>
    <w:rsid w:val="006F6D95"/>
    <w:rsid w:val="00706F13"/>
    <w:rsid w:val="007072E8"/>
    <w:rsid w:val="0071618D"/>
    <w:rsid w:val="00723942"/>
    <w:rsid w:val="00725FA4"/>
    <w:rsid w:val="00740446"/>
    <w:rsid w:val="007438A9"/>
    <w:rsid w:val="0074491E"/>
    <w:rsid w:val="0076247A"/>
    <w:rsid w:val="00771A31"/>
    <w:rsid w:val="00775964"/>
    <w:rsid w:val="007765FE"/>
    <w:rsid w:val="00776823"/>
    <w:rsid w:val="00794E2E"/>
    <w:rsid w:val="00795ACD"/>
    <w:rsid w:val="00795BFB"/>
    <w:rsid w:val="007A124F"/>
    <w:rsid w:val="007A6181"/>
    <w:rsid w:val="007B2760"/>
    <w:rsid w:val="007B43E2"/>
    <w:rsid w:val="007B5A60"/>
    <w:rsid w:val="007E51FD"/>
    <w:rsid w:val="008045A5"/>
    <w:rsid w:val="00806C01"/>
    <w:rsid w:val="008148CC"/>
    <w:rsid w:val="008211A4"/>
    <w:rsid w:val="0084693A"/>
    <w:rsid w:val="00873150"/>
    <w:rsid w:val="0087657D"/>
    <w:rsid w:val="008807D5"/>
    <w:rsid w:val="00880832"/>
    <w:rsid w:val="00886EE1"/>
    <w:rsid w:val="0088727D"/>
    <w:rsid w:val="00897C75"/>
    <w:rsid w:val="008C1130"/>
    <w:rsid w:val="008C2CAB"/>
    <w:rsid w:val="008D18E6"/>
    <w:rsid w:val="008D7A9B"/>
    <w:rsid w:val="008E0060"/>
    <w:rsid w:val="008E7091"/>
    <w:rsid w:val="008E76AC"/>
    <w:rsid w:val="008F21F6"/>
    <w:rsid w:val="00951F79"/>
    <w:rsid w:val="00974AB5"/>
    <w:rsid w:val="0098706D"/>
    <w:rsid w:val="009935FB"/>
    <w:rsid w:val="009F4A54"/>
    <w:rsid w:val="009F4BEC"/>
    <w:rsid w:val="009F5874"/>
    <w:rsid w:val="00A06511"/>
    <w:rsid w:val="00A07967"/>
    <w:rsid w:val="00A25FD7"/>
    <w:rsid w:val="00A43AFF"/>
    <w:rsid w:val="00A7793A"/>
    <w:rsid w:val="00AA4CC7"/>
    <w:rsid w:val="00AA5E8E"/>
    <w:rsid w:val="00AB2BAD"/>
    <w:rsid w:val="00AB6CA7"/>
    <w:rsid w:val="00AC3623"/>
    <w:rsid w:val="00AD01E4"/>
    <w:rsid w:val="00AD0858"/>
    <w:rsid w:val="00AE02E3"/>
    <w:rsid w:val="00AE7340"/>
    <w:rsid w:val="00AF1BBD"/>
    <w:rsid w:val="00B10207"/>
    <w:rsid w:val="00B141E7"/>
    <w:rsid w:val="00B351B4"/>
    <w:rsid w:val="00B4546B"/>
    <w:rsid w:val="00B46BCA"/>
    <w:rsid w:val="00B478AA"/>
    <w:rsid w:val="00B84525"/>
    <w:rsid w:val="00B87806"/>
    <w:rsid w:val="00B87EC9"/>
    <w:rsid w:val="00BA6DCF"/>
    <w:rsid w:val="00BB7BF7"/>
    <w:rsid w:val="00BC38FD"/>
    <w:rsid w:val="00BE474E"/>
    <w:rsid w:val="00C034CB"/>
    <w:rsid w:val="00C051A8"/>
    <w:rsid w:val="00C054BC"/>
    <w:rsid w:val="00C12026"/>
    <w:rsid w:val="00C17897"/>
    <w:rsid w:val="00C409D5"/>
    <w:rsid w:val="00C4118E"/>
    <w:rsid w:val="00C435C3"/>
    <w:rsid w:val="00C44E5F"/>
    <w:rsid w:val="00C51B7C"/>
    <w:rsid w:val="00C6234B"/>
    <w:rsid w:val="00C63EAE"/>
    <w:rsid w:val="00C73260"/>
    <w:rsid w:val="00C7629F"/>
    <w:rsid w:val="00C8661B"/>
    <w:rsid w:val="00CA03C8"/>
    <w:rsid w:val="00CA139A"/>
    <w:rsid w:val="00CA1DEE"/>
    <w:rsid w:val="00CA2899"/>
    <w:rsid w:val="00CA3A3D"/>
    <w:rsid w:val="00CA3AA6"/>
    <w:rsid w:val="00CA77FB"/>
    <w:rsid w:val="00CB379B"/>
    <w:rsid w:val="00CB5DD0"/>
    <w:rsid w:val="00CC51D4"/>
    <w:rsid w:val="00CC65DA"/>
    <w:rsid w:val="00CF21B9"/>
    <w:rsid w:val="00CF6BF9"/>
    <w:rsid w:val="00D03800"/>
    <w:rsid w:val="00D065D3"/>
    <w:rsid w:val="00D102BE"/>
    <w:rsid w:val="00D11652"/>
    <w:rsid w:val="00D14C94"/>
    <w:rsid w:val="00D342A6"/>
    <w:rsid w:val="00D45CA6"/>
    <w:rsid w:val="00D464BF"/>
    <w:rsid w:val="00D53E26"/>
    <w:rsid w:val="00D6608B"/>
    <w:rsid w:val="00D83F43"/>
    <w:rsid w:val="00D86971"/>
    <w:rsid w:val="00DA19E1"/>
    <w:rsid w:val="00DB182C"/>
    <w:rsid w:val="00DC055B"/>
    <w:rsid w:val="00DD4F0E"/>
    <w:rsid w:val="00DD5C3F"/>
    <w:rsid w:val="00DF0BF0"/>
    <w:rsid w:val="00DF16F5"/>
    <w:rsid w:val="00DF3CA2"/>
    <w:rsid w:val="00DF6F9A"/>
    <w:rsid w:val="00DF753F"/>
    <w:rsid w:val="00E01463"/>
    <w:rsid w:val="00E05E0A"/>
    <w:rsid w:val="00E060BE"/>
    <w:rsid w:val="00E534CF"/>
    <w:rsid w:val="00E63920"/>
    <w:rsid w:val="00E81CB4"/>
    <w:rsid w:val="00E8585B"/>
    <w:rsid w:val="00E87F41"/>
    <w:rsid w:val="00EA3F15"/>
    <w:rsid w:val="00EA7847"/>
    <w:rsid w:val="00EB4C2F"/>
    <w:rsid w:val="00EC0FF2"/>
    <w:rsid w:val="00EE2E6E"/>
    <w:rsid w:val="00F06E4D"/>
    <w:rsid w:val="00F0759E"/>
    <w:rsid w:val="00F16A43"/>
    <w:rsid w:val="00F2702E"/>
    <w:rsid w:val="00F46780"/>
    <w:rsid w:val="00F55DB1"/>
    <w:rsid w:val="00F63CB3"/>
    <w:rsid w:val="00F77D2D"/>
    <w:rsid w:val="00F821A3"/>
    <w:rsid w:val="00F9314A"/>
    <w:rsid w:val="00F940B2"/>
    <w:rsid w:val="00FA3687"/>
    <w:rsid w:val="00FC58EF"/>
    <w:rsid w:val="00FD33DF"/>
    <w:rsid w:val="00FE39D7"/>
    <w:rsid w:val="100D1D3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52B52E1-B7F7-4376-B2A6-1DDFFFB9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55"/>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B84525"/>
    <w:pPr>
      <w:spacing w:before="100" w:beforeAutospacing="1" w:after="100" w:afterAutospacing="1"/>
      <w:ind w:left="0"/>
    </w:pPr>
    <w:rPr>
      <w:rFonts w:eastAsiaTheme="minorEastAsia"/>
      <w:lang w:val="es-CO" w:eastAsia="es-CO"/>
    </w:rPr>
  </w:style>
  <w:style w:type="paragraph" w:styleId="Revisin">
    <w:name w:val="Revision"/>
    <w:hidden/>
    <w:uiPriority w:val="99"/>
    <w:semiHidden/>
    <w:rsid w:val="00B84525"/>
    <w:rPr>
      <w:sz w:val="24"/>
      <w:szCs w:val="24"/>
      <w:lang w:val="es-ES" w:eastAsia="es-ES"/>
    </w:rPr>
  </w:style>
  <w:style w:type="character" w:styleId="Hipervnculo">
    <w:name w:val="Hyperlink"/>
    <w:basedOn w:val="Fuentedeprrafopredeter"/>
    <w:uiPriority w:val="99"/>
    <w:unhideWhenUsed/>
    <w:rsid w:val="00B84525"/>
    <w:rPr>
      <w:color w:val="0563C1" w:themeColor="hyperlink"/>
      <w:u w:val="single"/>
    </w:rPr>
  </w:style>
  <w:style w:type="character" w:styleId="Mencinsinresolver">
    <w:name w:val="Unresolved Mention"/>
    <w:basedOn w:val="Fuentedeprrafopredeter"/>
    <w:uiPriority w:val="99"/>
    <w:semiHidden/>
    <w:unhideWhenUsed/>
    <w:rsid w:val="00B84525"/>
    <w:rPr>
      <w:color w:val="605E5C"/>
      <w:shd w:val="clear" w:color="auto" w:fill="E1DFDD"/>
    </w:rPr>
  </w:style>
  <w:style w:type="character" w:styleId="Refdecomentario">
    <w:name w:val="annotation reference"/>
    <w:basedOn w:val="Fuentedeprrafopredeter"/>
    <w:uiPriority w:val="99"/>
    <w:semiHidden/>
    <w:unhideWhenUsed/>
    <w:rsid w:val="00B84525"/>
    <w:rPr>
      <w:sz w:val="16"/>
      <w:szCs w:val="16"/>
    </w:rPr>
  </w:style>
  <w:style w:type="paragraph" w:styleId="Textocomentario">
    <w:name w:val="annotation text"/>
    <w:basedOn w:val="Normal"/>
    <w:link w:val="TextocomentarioCar"/>
    <w:uiPriority w:val="99"/>
    <w:unhideWhenUsed/>
    <w:rsid w:val="00B84525"/>
    <w:rPr>
      <w:sz w:val="20"/>
      <w:szCs w:val="20"/>
    </w:rPr>
  </w:style>
  <w:style w:type="character" w:customStyle="1" w:styleId="TextocomentarioCar">
    <w:name w:val="Texto comentario Car"/>
    <w:basedOn w:val="Fuentedeprrafopredeter"/>
    <w:link w:val="Textocomentario"/>
    <w:uiPriority w:val="99"/>
    <w:rsid w:val="00B84525"/>
    <w:rPr>
      <w:lang w:val="es-ES" w:eastAsia="es-ES"/>
    </w:rPr>
  </w:style>
  <w:style w:type="paragraph" w:styleId="Asuntodelcomentario">
    <w:name w:val="annotation subject"/>
    <w:basedOn w:val="Textocomentario"/>
    <w:next w:val="Textocomentario"/>
    <w:link w:val="AsuntodelcomentarioCar"/>
    <w:uiPriority w:val="99"/>
    <w:semiHidden/>
    <w:unhideWhenUsed/>
    <w:rsid w:val="00B84525"/>
    <w:rPr>
      <w:b/>
      <w:bCs/>
    </w:rPr>
  </w:style>
  <w:style w:type="character" w:customStyle="1" w:styleId="AsuntodelcomentarioCar">
    <w:name w:val="Asunto del comentario Car"/>
    <w:basedOn w:val="TextocomentarioCar"/>
    <w:link w:val="Asuntodelcomentario"/>
    <w:uiPriority w:val="99"/>
    <w:semiHidden/>
    <w:rsid w:val="00B84525"/>
    <w:rPr>
      <w:b/>
      <w:bCs/>
      <w:lang w:val="es-ES" w:eastAsia="es-ES"/>
    </w:rPr>
  </w:style>
  <w:style w:type="character" w:styleId="Textodelmarcadordeposicin">
    <w:name w:val="Placeholder Text"/>
    <w:basedOn w:val="Fuentedeprrafopredeter"/>
    <w:uiPriority w:val="99"/>
    <w:semiHidden/>
    <w:rsid w:val="00B845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g@creg.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936B-3C17-44FB-ADDE-633B0FF87AB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C3255E3D-FB8C-4D18-AF77-92F5E984D0C8}">
  <ds:schemaRefs>
    <ds:schemaRef ds:uri="http://schemas.microsoft.com/sharepoint/v3/contenttype/forms"/>
  </ds:schemaRefs>
</ds:datastoreItem>
</file>

<file path=customXml/itemProps3.xml><?xml version="1.0" encoding="utf-8"?>
<ds:datastoreItem xmlns:ds="http://schemas.openxmlformats.org/officeDocument/2006/customXml" ds:itemID="{F3E22E8B-4435-4BB7-90CA-94E36D866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4</TotalTime>
  <Pages>1</Pages>
  <Words>4270</Words>
  <Characters>23486</Characters>
  <Application>Microsoft Office Word</Application>
  <DocSecurity>0</DocSecurity>
  <Lines>195</Lines>
  <Paragraphs>55</Paragraphs>
  <ScaleCrop>false</ScaleCrop>
  <Company>CREG</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28</cp:revision>
  <cp:lastPrinted>2024-11-29T13:55:00Z</cp:lastPrinted>
  <dcterms:created xsi:type="dcterms:W3CDTF">2024-11-28T13:15:00Z</dcterms:created>
  <dcterms:modified xsi:type="dcterms:W3CDTF">2024-11-29T13:55:00Z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