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DC55" w14:textId="77777777" w:rsidR="00FA61FB" w:rsidRDefault="00FA61FB" w:rsidP="00F9521E">
      <w:pPr>
        <w:spacing w:line="240" w:lineRule="auto"/>
        <w:rPr>
          <w:rFonts w:ascii="Arial" w:hAnsi="Arial" w:cs="Arial"/>
          <w:sz w:val="22"/>
          <w:szCs w:val="22"/>
          <w:lang w:val="es-MX"/>
        </w:rPr>
      </w:pPr>
    </w:p>
    <w:p w14:paraId="43F8BB7E" w14:textId="2ED225B8" w:rsidR="00BA6D78" w:rsidRDefault="00BA6D78" w:rsidP="00F9521E">
      <w:pPr>
        <w:spacing w:line="240" w:lineRule="auto"/>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15 de noviembre de 2024</w:t>
      </w:r>
      <w:r>
        <w:rPr>
          <w:rFonts w:ascii="Arial" w:hAnsi="Arial" w:cs="Arial"/>
          <w:sz w:val="22"/>
          <w:szCs w:val="22"/>
          <w:lang w:val="es-MX"/>
        </w:rPr>
        <w:fldChar w:fldCharType="end"/>
      </w:r>
    </w:p>
    <w:p w14:paraId="4BF6BC04" w14:textId="77777777" w:rsidR="00BA6D78" w:rsidRDefault="00BA6D78" w:rsidP="00F9521E">
      <w:pPr>
        <w:spacing w:line="240" w:lineRule="auto"/>
        <w:rPr>
          <w:rFonts w:ascii="Arial" w:hAnsi="Arial" w:cs="Arial"/>
          <w:sz w:val="22"/>
          <w:szCs w:val="22"/>
          <w:lang w:val="es-MX"/>
        </w:rPr>
      </w:pPr>
    </w:p>
    <w:p w14:paraId="2DF36FC6" w14:textId="33257262" w:rsidR="00BA6D78" w:rsidRPr="00BA6D78" w:rsidRDefault="00BA6D78" w:rsidP="00F9521E">
      <w:pPr>
        <w:pStyle w:val="Ttulo5"/>
        <w:spacing w:before="0" w:line="240" w:lineRule="auto"/>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093 de 2024</w:t>
      </w:r>
      <w:r w:rsidRPr="00BA6D78">
        <w:rPr>
          <w:rFonts w:ascii="Arial" w:eastAsia="Times New Roman" w:hAnsi="Arial" w:cs="Arial"/>
          <w:b/>
          <w:bCs/>
          <w:i/>
          <w:iCs/>
          <w:noProof/>
          <w:color w:val="auto"/>
          <w:spacing w:val="-5"/>
          <w:kern w:val="60"/>
          <w:sz w:val="40"/>
          <w:szCs w:val="40"/>
        </w:rPr>
        <w:fldChar w:fldCharType="end"/>
      </w:r>
    </w:p>
    <w:p w14:paraId="6F13CDC0" w14:textId="77777777" w:rsidR="00BA6D78" w:rsidRPr="00BA6D78" w:rsidRDefault="00BA6D78" w:rsidP="00F9521E">
      <w:pPr>
        <w:pStyle w:val="Ttulo5"/>
        <w:spacing w:before="0" w:line="240" w:lineRule="auto"/>
        <w:ind w:left="720"/>
        <w:jc w:val="center"/>
        <w:rPr>
          <w:rFonts w:ascii="Arial" w:eastAsia="Times New Roman" w:hAnsi="Arial" w:cs="Arial"/>
          <w:b/>
          <w:bCs/>
          <w:i/>
          <w:iCs/>
          <w:noProof/>
          <w:color w:val="auto"/>
          <w:spacing w:val="-5"/>
          <w:kern w:val="60"/>
          <w:sz w:val="40"/>
          <w:szCs w:val="40"/>
        </w:rPr>
      </w:pPr>
    </w:p>
    <w:p w14:paraId="74FF62B2" w14:textId="545EC703" w:rsidR="00BA6D78" w:rsidRPr="00F9521E" w:rsidRDefault="00BA6D78" w:rsidP="00F9521E">
      <w:pPr>
        <w:tabs>
          <w:tab w:val="left" w:pos="709"/>
        </w:tabs>
        <w:spacing w:after="0" w:line="240" w:lineRule="auto"/>
        <w:ind w:left="1418" w:hanging="1418"/>
        <w:jc w:val="both"/>
        <w:rPr>
          <w:rFonts w:ascii="Arial" w:hAnsi="Arial" w:cs="Arial"/>
          <w:b/>
          <w:sz w:val="20"/>
          <w:szCs w:val="20"/>
        </w:rPr>
      </w:pPr>
      <w:r w:rsidRPr="00F9521E">
        <w:rPr>
          <w:rFonts w:ascii="Arial" w:hAnsi="Arial" w:cs="Arial"/>
          <w:b/>
          <w:sz w:val="20"/>
          <w:szCs w:val="20"/>
        </w:rPr>
        <w:t>PARA:</w:t>
      </w:r>
      <w:r w:rsidRPr="00F9521E">
        <w:rPr>
          <w:rFonts w:ascii="Arial" w:hAnsi="Arial" w:cs="Arial"/>
          <w:b/>
          <w:sz w:val="20"/>
          <w:szCs w:val="20"/>
        </w:rPr>
        <w:tab/>
      </w:r>
      <w:r w:rsidRPr="00F9521E">
        <w:rPr>
          <w:rFonts w:ascii="Arial" w:hAnsi="Arial" w:cs="Arial"/>
          <w:b/>
          <w:sz w:val="20"/>
          <w:szCs w:val="20"/>
        </w:rPr>
        <w:fldChar w:fldCharType="begin"/>
      </w:r>
      <w:r w:rsidRPr="00F9521E">
        <w:rPr>
          <w:rFonts w:ascii="Arial" w:hAnsi="Arial" w:cs="Arial"/>
          <w:b/>
          <w:sz w:val="20"/>
          <w:szCs w:val="20"/>
        </w:rPr>
        <w:instrText xml:space="preserve"> MERGEFIELD  Destinatario  \* MERGEFORMAT </w:instrText>
      </w:r>
      <w:r w:rsidRPr="00F9521E">
        <w:rPr>
          <w:rFonts w:ascii="Arial" w:hAnsi="Arial" w:cs="Arial"/>
          <w:b/>
          <w:sz w:val="20"/>
          <w:szCs w:val="20"/>
        </w:rPr>
        <w:fldChar w:fldCharType="separate"/>
      </w:r>
      <w:r w:rsidRPr="00F9521E">
        <w:rPr>
          <w:rFonts w:ascii="Arial" w:hAnsi="Arial" w:cs="Arial"/>
          <w:b/>
          <w:noProof/>
          <w:sz w:val="20"/>
          <w:szCs w:val="20"/>
        </w:rPr>
        <w:t>COMERCIALIZADORES MAYORISTAS, TRANSPORTADORES, DISTRIBUIDORES Y COMERCIALIZADORES MINORISTAS DE GLP Y DEMÁS INTERESADOS</w:t>
      </w:r>
      <w:r w:rsidRPr="00F9521E">
        <w:rPr>
          <w:rFonts w:ascii="Arial" w:hAnsi="Arial" w:cs="Arial"/>
          <w:b/>
          <w:sz w:val="20"/>
          <w:szCs w:val="20"/>
        </w:rPr>
        <w:fldChar w:fldCharType="end"/>
      </w:r>
    </w:p>
    <w:p w14:paraId="7C748CB4" w14:textId="77777777" w:rsidR="00F9521E" w:rsidRDefault="00F9521E" w:rsidP="00F9521E">
      <w:pPr>
        <w:pStyle w:val="Sangradetextonormal"/>
        <w:spacing w:after="0"/>
        <w:ind w:left="1410" w:hanging="1410"/>
        <w:rPr>
          <w:rFonts w:ascii="Arial" w:hAnsi="Arial" w:cs="Arial"/>
          <w:b/>
          <w:sz w:val="20"/>
          <w:szCs w:val="20"/>
        </w:rPr>
      </w:pPr>
    </w:p>
    <w:p w14:paraId="5ECA4954" w14:textId="2AC90293" w:rsidR="00BA6D78" w:rsidRPr="00F9521E" w:rsidRDefault="00BA6D78" w:rsidP="00F9521E">
      <w:pPr>
        <w:pStyle w:val="Sangradetextonormal"/>
        <w:spacing w:after="0"/>
        <w:ind w:left="1410" w:hanging="1410"/>
        <w:rPr>
          <w:rFonts w:ascii="Arial" w:hAnsi="Arial" w:cs="Arial"/>
          <w:b/>
          <w:sz w:val="20"/>
          <w:szCs w:val="20"/>
        </w:rPr>
      </w:pPr>
      <w:r w:rsidRPr="00F9521E">
        <w:rPr>
          <w:rFonts w:ascii="Arial" w:hAnsi="Arial" w:cs="Arial"/>
          <w:b/>
          <w:sz w:val="20"/>
          <w:szCs w:val="20"/>
        </w:rPr>
        <w:t>DE:</w:t>
      </w:r>
      <w:r w:rsidRPr="00F9521E">
        <w:rPr>
          <w:rFonts w:ascii="Arial" w:hAnsi="Arial" w:cs="Arial"/>
          <w:b/>
          <w:sz w:val="20"/>
          <w:szCs w:val="20"/>
        </w:rPr>
        <w:tab/>
      </w:r>
      <w:r w:rsidRPr="00F9521E">
        <w:rPr>
          <w:rFonts w:ascii="Arial" w:hAnsi="Arial" w:cs="Arial"/>
          <w:b/>
          <w:sz w:val="20"/>
          <w:szCs w:val="20"/>
        </w:rPr>
        <w:fldChar w:fldCharType="begin"/>
      </w:r>
      <w:r w:rsidRPr="00F9521E">
        <w:rPr>
          <w:rFonts w:ascii="Arial" w:hAnsi="Arial" w:cs="Arial"/>
          <w:b/>
          <w:sz w:val="20"/>
          <w:szCs w:val="20"/>
        </w:rPr>
        <w:instrText xml:space="preserve"> MERGEFIELD  Remitente  \* MERGEFORMAT </w:instrText>
      </w:r>
      <w:r w:rsidRPr="00F9521E">
        <w:rPr>
          <w:rFonts w:ascii="Arial" w:hAnsi="Arial" w:cs="Arial"/>
          <w:b/>
          <w:sz w:val="20"/>
          <w:szCs w:val="20"/>
        </w:rPr>
        <w:fldChar w:fldCharType="separate"/>
      </w:r>
      <w:r w:rsidRPr="00F9521E">
        <w:rPr>
          <w:rFonts w:ascii="Arial" w:hAnsi="Arial" w:cs="Arial"/>
          <w:b/>
          <w:noProof/>
          <w:sz w:val="20"/>
          <w:szCs w:val="20"/>
        </w:rPr>
        <w:t>DIRECCIÓN EJECUTIVA</w:t>
      </w:r>
      <w:r w:rsidRPr="00F9521E">
        <w:rPr>
          <w:rFonts w:ascii="Arial" w:hAnsi="Arial" w:cs="Arial"/>
          <w:b/>
          <w:sz w:val="20"/>
          <w:szCs w:val="20"/>
        </w:rPr>
        <w:fldChar w:fldCharType="end"/>
      </w:r>
    </w:p>
    <w:p w14:paraId="1BE4F7C4" w14:textId="77777777" w:rsidR="00F9521E" w:rsidRDefault="00F9521E" w:rsidP="00F9521E">
      <w:pPr>
        <w:pStyle w:val="Sangradetextonormal"/>
        <w:ind w:left="1410" w:hanging="1410"/>
        <w:rPr>
          <w:rFonts w:ascii="Arial" w:hAnsi="Arial" w:cs="Arial"/>
          <w:b/>
          <w:sz w:val="20"/>
          <w:szCs w:val="20"/>
        </w:rPr>
      </w:pPr>
    </w:p>
    <w:p w14:paraId="4AE7CAEE" w14:textId="3A01EC7A" w:rsidR="00BA6D78" w:rsidRPr="006048DD" w:rsidRDefault="00BA6D78" w:rsidP="00F9521E">
      <w:pPr>
        <w:pStyle w:val="Sangradetextonormal"/>
        <w:ind w:left="1410" w:hanging="1410"/>
        <w:rPr>
          <w:rFonts w:cs="Arial"/>
          <w:sz w:val="22"/>
          <w:szCs w:val="22"/>
        </w:rPr>
      </w:pPr>
      <w:r w:rsidRPr="00F9521E">
        <w:rPr>
          <w:rFonts w:ascii="Arial" w:hAnsi="Arial" w:cs="Arial"/>
          <w:b/>
          <w:sz w:val="20"/>
          <w:szCs w:val="20"/>
        </w:rPr>
        <w:t>ASUNTO:</w:t>
      </w:r>
      <w:r w:rsidRPr="00F9521E">
        <w:rPr>
          <w:rFonts w:ascii="Arial" w:hAnsi="Arial" w:cs="Arial"/>
          <w:b/>
          <w:sz w:val="20"/>
          <w:szCs w:val="20"/>
        </w:rPr>
        <w:tab/>
      </w:r>
      <w:r w:rsidRPr="00F9521E">
        <w:rPr>
          <w:rFonts w:ascii="Arial" w:hAnsi="Arial" w:cs="Arial"/>
          <w:b/>
          <w:sz w:val="20"/>
          <w:szCs w:val="20"/>
        </w:rPr>
        <w:fldChar w:fldCharType="begin"/>
      </w:r>
      <w:r w:rsidRPr="00F9521E">
        <w:rPr>
          <w:rFonts w:ascii="Arial" w:hAnsi="Arial" w:cs="Arial"/>
          <w:b/>
          <w:sz w:val="20"/>
          <w:szCs w:val="20"/>
        </w:rPr>
        <w:instrText xml:space="preserve"> MERGEFIELD  Asunto  \* MERGEFORMAT </w:instrText>
      </w:r>
      <w:r w:rsidRPr="00F9521E">
        <w:rPr>
          <w:rFonts w:ascii="Arial" w:hAnsi="Arial" w:cs="Arial"/>
          <w:b/>
          <w:sz w:val="20"/>
          <w:szCs w:val="20"/>
        </w:rPr>
        <w:fldChar w:fldCharType="separate"/>
      </w:r>
      <w:r w:rsidRPr="00F9521E">
        <w:rPr>
          <w:rFonts w:ascii="Arial" w:hAnsi="Arial" w:cs="Arial"/>
          <w:b/>
          <w:noProof/>
          <w:sz w:val="20"/>
          <w:szCs w:val="20"/>
        </w:rPr>
        <w:t xml:space="preserve">LISTADO DE MUNICIPIOS QUE CONFORMAN LAS ZONAS DE INFLUENCIA PARA OPC ADICIONAL FUENTE CUSIANA </w:t>
      </w:r>
      <w:r w:rsidR="00894B42" w:rsidRPr="00F9521E">
        <w:rPr>
          <w:rFonts w:ascii="Arial" w:hAnsi="Arial" w:cs="Arial"/>
          <w:b/>
          <w:noProof/>
          <w:sz w:val="20"/>
          <w:szCs w:val="20"/>
        </w:rPr>
        <w:t>DURANTE</w:t>
      </w:r>
      <w:r w:rsidRPr="00F9521E">
        <w:rPr>
          <w:rFonts w:ascii="Arial" w:hAnsi="Arial" w:cs="Arial"/>
          <w:b/>
          <w:noProof/>
          <w:sz w:val="20"/>
          <w:szCs w:val="20"/>
        </w:rPr>
        <w:t xml:space="preserve"> LOS MESES DE DICIEMBRE DE 2024, ENERO Y FEBRERO DE 2025.</w:t>
      </w:r>
      <w:r w:rsidRPr="00F9521E">
        <w:rPr>
          <w:rFonts w:ascii="Arial" w:hAnsi="Arial" w:cs="Arial"/>
          <w:b/>
          <w:sz w:val="20"/>
          <w:szCs w:val="20"/>
        </w:rPr>
        <w:fldChar w:fldCharType="end"/>
      </w:r>
    </w:p>
    <w:p w14:paraId="167E719E" w14:textId="7599BC1A" w:rsidR="00CA3DEB" w:rsidRDefault="00CA3DEB" w:rsidP="00F9521E">
      <w:pPr>
        <w:pBdr>
          <w:top w:val="nil"/>
          <w:left w:val="nil"/>
          <w:bottom w:val="nil"/>
          <w:right w:val="nil"/>
          <w:between w:val="nil"/>
        </w:pBdr>
        <w:spacing w:line="240" w:lineRule="auto"/>
        <w:jc w:val="both"/>
        <w:rPr>
          <w:rFonts w:ascii="Arial" w:eastAsia="Arial" w:hAnsi="Arial" w:cs="Arial"/>
          <w:color w:val="000000"/>
          <w:sz w:val="22"/>
          <w:szCs w:val="22"/>
        </w:rPr>
      </w:pPr>
      <w:r w:rsidRPr="006048DD">
        <w:rPr>
          <w:rFonts w:ascii="Arial" w:eastAsia="Arial" w:hAnsi="Arial" w:cs="Arial"/>
          <w:color w:val="000000"/>
          <w:sz w:val="22"/>
          <w:szCs w:val="22"/>
        </w:rPr>
        <w:t xml:space="preserve">Mediante comunicación con radicado CREG E2024017380 del 13 de noviembre de 2024, Ecopetrol </w:t>
      </w:r>
      <w:r w:rsidR="00894B42">
        <w:rPr>
          <w:rFonts w:ascii="Arial" w:eastAsia="Arial" w:hAnsi="Arial" w:cs="Arial"/>
          <w:color w:val="000000"/>
          <w:sz w:val="22"/>
          <w:szCs w:val="22"/>
        </w:rPr>
        <w:t xml:space="preserve">S.A. </w:t>
      </w:r>
      <w:r w:rsidRPr="006048DD">
        <w:rPr>
          <w:rFonts w:ascii="Arial" w:eastAsia="Arial" w:hAnsi="Arial" w:cs="Arial"/>
          <w:color w:val="000000"/>
          <w:sz w:val="22"/>
          <w:szCs w:val="22"/>
        </w:rPr>
        <w:t xml:space="preserve">informó a la </w:t>
      </w:r>
      <w:r w:rsidR="007B36C3" w:rsidRPr="006048DD">
        <w:rPr>
          <w:rFonts w:ascii="Arial" w:eastAsia="Arial" w:hAnsi="Arial" w:cs="Arial"/>
          <w:color w:val="000000"/>
          <w:sz w:val="22"/>
          <w:szCs w:val="22"/>
        </w:rPr>
        <w:t xml:space="preserve">Comisión de Regulación de Energía y Gas </w:t>
      </w:r>
      <w:r w:rsidR="007B36C3">
        <w:rPr>
          <w:rFonts w:ascii="Arial" w:eastAsia="Arial" w:hAnsi="Arial" w:cs="Arial"/>
          <w:color w:val="000000"/>
          <w:sz w:val="22"/>
          <w:szCs w:val="22"/>
        </w:rPr>
        <w:t>(</w:t>
      </w:r>
      <w:r w:rsidRPr="006048DD">
        <w:rPr>
          <w:rFonts w:ascii="Arial" w:eastAsia="Arial" w:hAnsi="Arial" w:cs="Arial"/>
          <w:color w:val="000000"/>
          <w:sz w:val="22"/>
          <w:szCs w:val="22"/>
        </w:rPr>
        <w:t>CREG</w:t>
      </w:r>
      <w:r w:rsidR="007B36C3">
        <w:rPr>
          <w:rFonts w:ascii="Arial" w:eastAsia="Arial" w:hAnsi="Arial" w:cs="Arial"/>
          <w:color w:val="000000"/>
          <w:sz w:val="22"/>
          <w:szCs w:val="22"/>
        </w:rPr>
        <w:t>)</w:t>
      </w:r>
      <w:r w:rsidRPr="006048DD">
        <w:rPr>
          <w:rFonts w:ascii="Arial" w:eastAsia="Arial" w:hAnsi="Arial" w:cs="Arial"/>
          <w:color w:val="000000"/>
          <w:sz w:val="22"/>
          <w:szCs w:val="22"/>
        </w:rPr>
        <w:t xml:space="preserve"> las cantidades de GLP que, por punto de producción, tiene disponibles para la venta en la OPC del asunto:</w:t>
      </w:r>
    </w:p>
    <w:p w14:paraId="4FB06C6E" w14:textId="77777777" w:rsidR="007B36C3" w:rsidRPr="006048DD" w:rsidRDefault="007B36C3" w:rsidP="00F9521E">
      <w:pPr>
        <w:pBdr>
          <w:top w:val="nil"/>
          <w:left w:val="nil"/>
          <w:bottom w:val="nil"/>
          <w:right w:val="nil"/>
          <w:between w:val="nil"/>
        </w:pBdr>
        <w:spacing w:line="240" w:lineRule="auto"/>
        <w:jc w:val="both"/>
        <w:rPr>
          <w:rFonts w:ascii="Arial" w:eastAsia="Arial" w:hAnsi="Arial" w:cs="Arial"/>
          <w:color w:val="000000"/>
          <w:sz w:val="22"/>
          <w:szCs w:val="22"/>
        </w:rPr>
      </w:pPr>
    </w:p>
    <w:tbl>
      <w:tblPr>
        <w:tblStyle w:val="Tablaconcuadrcula"/>
        <w:tblW w:w="8789" w:type="dxa"/>
        <w:jc w:val="center"/>
        <w:tblLook w:val="04A0" w:firstRow="1" w:lastRow="0" w:firstColumn="1" w:lastColumn="0" w:noHBand="0" w:noVBand="1"/>
      </w:tblPr>
      <w:tblGrid>
        <w:gridCol w:w="2830"/>
        <w:gridCol w:w="1561"/>
        <w:gridCol w:w="1274"/>
        <w:gridCol w:w="1843"/>
        <w:gridCol w:w="1281"/>
      </w:tblGrid>
      <w:tr w:rsidR="00A44C3E" w:rsidRPr="006048DD" w14:paraId="21A94EB8" w14:textId="77777777" w:rsidTr="00F9521E">
        <w:trPr>
          <w:trHeight w:val="317"/>
          <w:jc w:val="center"/>
        </w:trPr>
        <w:tc>
          <w:tcPr>
            <w:tcW w:w="2830" w:type="dxa"/>
            <w:vMerge w:val="restart"/>
            <w:shd w:val="clear" w:color="auto" w:fill="BFBFBF" w:themeFill="background1" w:themeFillShade="BF"/>
            <w:vAlign w:val="center"/>
          </w:tcPr>
          <w:p w14:paraId="05215859" w14:textId="6D6D6229" w:rsidR="00A44C3E" w:rsidRPr="006048DD" w:rsidRDefault="00A44C3E" w:rsidP="00F9521E">
            <w:pPr>
              <w:spacing w:before="0" w:after="0"/>
              <w:jc w:val="center"/>
              <w:rPr>
                <w:rFonts w:ascii="Arial" w:hAnsi="Arial" w:cs="Arial"/>
                <w:b/>
                <w:bCs/>
                <w:color w:val="000000"/>
                <w:sz w:val="22"/>
                <w:szCs w:val="22"/>
              </w:rPr>
            </w:pPr>
            <w:r>
              <w:rPr>
                <w:rFonts w:ascii="Arial" w:hAnsi="Arial" w:cs="Arial"/>
                <w:b/>
                <w:bCs/>
                <w:color w:val="000000"/>
                <w:sz w:val="22"/>
                <w:szCs w:val="22"/>
              </w:rPr>
              <w:t>Punto de producción</w:t>
            </w:r>
          </w:p>
        </w:tc>
        <w:tc>
          <w:tcPr>
            <w:tcW w:w="4678" w:type="dxa"/>
            <w:gridSpan w:val="3"/>
            <w:shd w:val="clear" w:color="auto" w:fill="BFBFBF" w:themeFill="background1" w:themeFillShade="BF"/>
            <w:noWrap/>
            <w:vAlign w:val="center"/>
          </w:tcPr>
          <w:p w14:paraId="67C19C93" w14:textId="5A13AF00" w:rsidR="00A44C3E" w:rsidRPr="006048DD" w:rsidRDefault="00A44C3E" w:rsidP="00F9521E">
            <w:pPr>
              <w:spacing w:before="0" w:after="0"/>
              <w:jc w:val="center"/>
              <w:rPr>
                <w:rFonts w:ascii="Arial" w:hAnsi="Arial" w:cs="Arial"/>
                <w:b/>
                <w:bCs/>
                <w:color w:val="000000"/>
                <w:sz w:val="22"/>
                <w:szCs w:val="22"/>
              </w:rPr>
            </w:pPr>
            <w:r w:rsidRPr="006048DD">
              <w:rPr>
                <w:rFonts w:ascii="Arial" w:hAnsi="Arial" w:cs="Arial"/>
                <w:b/>
                <w:bCs/>
                <w:color w:val="000000"/>
                <w:sz w:val="22"/>
                <w:szCs w:val="22"/>
              </w:rPr>
              <w:t>Cantidad disponible de GLP Kg/mes</w:t>
            </w:r>
          </w:p>
        </w:tc>
        <w:tc>
          <w:tcPr>
            <w:tcW w:w="1281" w:type="dxa"/>
            <w:vMerge w:val="restart"/>
            <w:shd w:val="clear" w:color="auto" w:fill="BFBFBF" w:themeFill="background1" w:themeFillShade="BF"/>
            <w:vAlign w:val="center"/>
          </w:tcPr>
          <w:p w14:paraId="0BC863CC" w14:textId="0400AB85" w:rsidR="00A44C3E" w:rsidRPr="006048DD" w:rsidRDefault="00A44C3E" w:rsidP="00F9521E">
            <w:pPr>
              <w:spacing w:before="0" w:after="0"/>
              <w:jc w:val="center"/>
              <w:rPr>
                <w:rFonts w:ascii="Arial" w:hAnsi="Arial" w:cs="Arial"/>
                <w:b/>
                <w:bCs/>
                <w:color w:val="000000"/>
                <w:sz w:val="22"/>
                <w:szCs w:val="22"/>
              </w:rPr>
            </w:pPr>
            <w:r w:rsidRPr="006048DD">
              <w:rPr>
                <w:rFonts w:ascii="Arial" w:hAnsi="Arial" w:cs="Arial"/>
                <w:b/>
                <w:bCs/>
                <w:color w:val="000000"/>
                <w:sz w:val="22"/>
                <w:szCs w:val="22"/>
              </w:rPr>
              <w:t>Total</w:t>
            </w:r>
          </w:p>
        </w:tc>
      </w:tr>
      <w:tr w:rsidR="00A44C3E" w:rsidRPr="006048DD" w14:paraId="48877C97" w14:textId="7641F788" w:rsidTr="00F9521E">
        <w:trPr>
          <w:trHeight w:val="97"/>
          <w:jc w:val="center"/>
        </w:trPr>
        <w:tc>
          <w:tcPr>
            <w:tcW w:w="2830" w:type="dxa"/>
            <w:vMerge/>
            <w:shd w:val="clear" w:color="auto" w:fill="BFBFBF" w:themeFill="background1" w:themeFillShade="BF"/>
            <w:vAlign w:val="center"/>
            <w:hideMark/>
          </w:tcPr>
          <w:p w14:paraId="32A61607" w14:textId="22A7CFEE" w:rsidR="00A44C3E" w:rsidRPr="006048DD" w:rsidRDefault="00A44C3E" w:rsidP="00F9521E">
            <w:pPr>
              <w:spacing w:before="0" w:after="0"/>
              <w:jc w:val="center"/>
              <w:rPr>
                <w:rFonts w:ascii="Arial" w:hAnsi="Arial" w:cs="Arial"/>
                <w:b/>
                <w:bCs/>
                <w:color w:val="000000"/>
                <w:sz w:val="22"/>
                <w:szCs w:val="22"/>
              </w:rPr>
            </w:pPr>
          </w:p>
        </w:tc>
        <w:tc>
          <w:tcPr>
            <w:tcW w:w="1561" w:type="dxa"/>
            <w:shd w:val="clear" w:color="auto" w:fill="BFBFBF" w:themeFill="background1" w:themeFillShade="BF"/>
            <w:noWrap/>
            <w:vAlign w:val="center"/>
            <w:hideMark/>
          </w:tcPr>
          <w:p w14:paraId="28A7CD9B" w14:textId="3C940654" w:rsidR="00A44C3E" w:rsidRPr="006048DD" w:rsidRDefault="00A44C3E" w:rsidP="00F9521E">
            <w:pPr>
              <w:spacing w:before="0" w:after="0"/>
              <w:jc w:val="center"/>
              <w:rPr>
                <w:rFonts w:ascii="Arial" w:hAnsi="Arial" w:cs="Arial"/>
                <w:b/>
                <w:bCs/>
                <w:color w:val="000000"/>
                <w:sz w:val="22"/>
                <w:szCs w:val="22"/>
              </w:rPr>
            </w:pPr>
            <w:r w:rsidRPr="006048DD">
              <w:rPr>
                <w:rFonts w:ascii="Arial" w:hAnsi="Arial" w:cs="Arial"/>
                <w:b/>
                <w:bCs/>
                <w:color w:val="000000"/>
                <w:sz w:val="22"/>
                <w:szCs w:val="22"/>
              </w:rPr>
              <w:t>Dic/2024</w:t>
            </w:r>
          </w:p>
        </w:tc>
        <w:tc>
          <w:tcPr>
            <w:tcW w:w="1274" w:type="dxa"/>
            <w:shd w:val="clear" w:color="auto" w:fill="BFBFBF" w:themeFill="background1" w:themeFillShade="BF"/>
            <w:vAlign w:val="center"/>
          </w:tcPr>
          <w:p w14:paraId="58A454ED" w14:textId="711CF8D0" w:rsidR="00A44C3E" w:rsidRPr="006048DD" w:rsidRDefault="00A44C3E" w:rsidP="00F9521E">
            <w:pPr>
              <w:spacing w:before="0" w:after="0"/>
              <w:jc w:val="center"/>
              <w:rPr>
                <w:rFonts w:ascii="Arial" w:hAnsi="Arial" w:cs="Arial"/>
                <w:b/>
                <w:bCs/>
                <w:color w:val="000000"/>
                <w:sz w:val="22"/>
                <w:szCs w:val="22"/>
              </w:rPr>
            </w:pPr>
            <w:r w:rsidRPr="006048DD">
              <w:rPr>
                <w:rFonts w:ascii="Arial" w:hAnsi="Arial" w:cs="Arial"/>
                <w:b/>
                <w:bCs/>
                <w:color w:val="000000"/>
                <w:sz w:val="22"/>
                <w:szCs w:val="22"/>
              </w:rPr>
              <w:t>Ene/2025</w:t>
            </w:r>
          </w:p>
        </w:tc>
        <w:tc>
          <w:tcPr>
            <w:tcW w:w="1843" w:type="dxa"/>
            <w:shd w:val="clear" w:color="auto" w:fill="BFBFBF" w:themeFill="background1" w:themeFillShade="BF"/>
            <w:vAlign w:val="center"/>
          </w:tcPr>
          <w:p w14:paraId="335AFBB7" w14:textId="40B6AEE3" w:rsidR="00A44C3E" w:rsidRPr="006048DD" w:rsidRDefault="00A44C3E" w:rsidP="00F9521E">
            <w:pPr>
              <w:spacing w:before="0" w:after="0"/>
              <w:jc w:val="center"/>
              <w:rPr>
                <w:rFonts w:ascii="Arial" w:hAnsi="Arial" w:cs="Arial"/>
                <w:b/>
                <w:bCs/>
                <w:color w:val="000000"/>
                <w:sz w:val="22"/>
                <w:szCs w:val="22"/>
              </w:rPr>
            </w:pPr>
            <w:r w:rsidRPr="006048DD">
              <w:rPr>
                <w:rFonts w:ascii="Arial" w:hAnsi="Arial" w:cs="Arial"/>
                <w:b/>
                <w:bCs/>
                <w:color w:val="000000"/>
                <w:sz w:val="22"/>
                <w:szCs w:val="22"/>
              </w:rPr>
              <w:t>Feb/2025</w:t>
            </w:r>
          </w:p>
        </w:tc>
        <w:tc>
          <w:tcPr>
            <w:tcW w:w="1281" w:type="dxa"/>
            <w:vMerge/>
            <w:shd w:val="clear" w:color="auto" w:fill="BFBFBF" w:themeFill="background1" w:themeFillShade="BF"/>
            <w:vAlign w:val="center"/>
          </w:tcPr>
          <w:p w14:paraId="5BC20322" w14:textId="310410AE" w:rsidR="00A44C3E" w:rsidRPr="006048DD" w:rsidRDefault="00A44C3E" w:rsidP="00F9521E">
            <w:pPr>
              <w:spacing w:before="0" w:after="0"/>
              <w:jc w:val="center"/>
              <w:rPr>
                <w:rFonts w:ascii="Arial" w:hAnsi="Arial" w:cs="Arial"/>
                <w:b/>
                <w:bCs/>
                <w:color w:val="000000"/>
                <w:sz w:val="22"/>
                <w:szCs w:val="22"/>
              </w:rPr>
            </w:pPr>
          </w:p>
        </w:tc>
      </w:tr>
      <w:tr w:rsidR="006048DD" w:rsidRPr="006048DD" w14:paraId="6C897087" w14:textId="5A7EB4CD" w:rsidTr="00F9521E">
        <w:trPr>
          <w:trHeight w:val="340"/>
          <w:jc w:val="center"/>
        </w:trPr>
        <w:tc>
          <w:tcPr>
            <w:tcW w:w="2830" w:type="dxa"/>
            <w:noWrap/>
          </w:tcPr>
          <w:p w14:paraId="10C37910" w14:textId="182CB098" w:rsidR="006048DD" w:rsidRPr="006048DD" w:rsidRDefault="006048DD" w:rsidP="00F9521E">
            <w:pPr>
              <w:jc w:val="center"/>
              <w:rPr>
                <w:rFonts w:ascii="Arial" w:hAnsi="Arial" w:cs="Arial"/>
                <w:color w:val="000000"/>
                <w:sz w:val="22"/>
                <w:szCs w:val="22"/>
              </w:rPr>
            </w:pPr>
            <w:r w:rsidRPr="006048DD">
              <w:rPr>
                <w:rFonts w:ascii="Arial" w:hAnsi="Arial" w:cs="Arial"/>
                <w:color w:val="000000"/>
                <w:sz w:val="22"/>
                <w:szCs w:val="22"/>
              </w:rPr>
              <w:t>Cusiana</w:t>
            </w:r>
          </w:p>
        </w:tc>
        <w:tc>
          <w:tcPr>
            <w:tcW w:w="1561" w:type="dxa"/>
            <w:noWrap/>
          </w:tcPr>
          <w:p w14:paraId="360803E0" w14:textId="2D00A544" w:rsidR="006048DD" w:rsidRPr="006048DD" w:rsidRDefault="006048DD" w:rsidP="00F9521E">
            <w:pPr>
              <w:jc w:val="center"/>
              <w:rPr>
                <w:rFonts w:ascii="Arial" w:hAnsi="Arial" w:cs="Arial"/>
                <w:color w:val="000000"/>
                <w:sz w:val="22"/>
                <w:szCs w:val="22"/>
              </w:rPr>
            </w:pPr>
            <w:r w:rsidRPr="006048DD">
              <w:rPr>
                <w:rFonts w:ascii="Arial" w:hAnsi="Arial" w:cs="Arial"/>
                <w:color w:val="000000"/>
                <w:sz w:val="22"/>
                <w:szCs w:val="22"/>
              </w:rPr>
              <w:t>2.434.215</w:t>
            </w:r>
          </w:p>
        </w:tc>
        <w:tc>
          <w:tcPr>
            <w:tcW w:w="1274" w:type="dxa"/>
          </w:tcPr>
          <w:p w14:paraId="31AC6CB3" w14:textId="118CE50F" w:rsidR="006048DD" w:rsidRPr="006048DD" w:rsidRDefault="006048DD" w:rsidP="00F9521E">
            <w:pPr>
              <w:jc w:val="center"/>
              <w:rPr>
                <w:rFonts w:ascii="Arial" w:hAnsi="Arial" w:cs="Arial"/>
                <w:color w:val="000000"/>
                <w:sz w:val="22"/>
                <w:szCs w:val="22"/>
              </w:rPr>
            </w:pPr>
            <w:r w:rsidRPr="006048DD">
              <w:rPr>
                <w:rFonts w:ascii="Arial" w:hAnsi="Arial" w:cs="Arial"/>
                <w:color w:val="000000"/>
                <w:sz w:val="22"/>
                <w:szCs w:val="22"/>
              </w:rPr>
              <w:t>1.477.916</w:t>
            </w:r>
          </w:p>
        </w:tc>
        <w:tc>
          <w:tcPr>
            <w:tcW w:w="1843" w:type="dxa"/>
          </w:tcPr>
          <w:p w14:paraId="3ED2EB0A" w14:textId="66B08323" w:rsidR="006048DD" w:rsidRPr="006048DD" w:rsidRDefault="006048DD" w:rsidP="00F9521E">
            <w:pPr>
              <w:jc w:val="center"/>
              <w:rPr>
                <w:rFonts w:ascii="Arial" w:hAnsi="Arial" w:cs="Arial"/>
                <w:color w:val="000000"/>
                <w:sz w:val="22"/>
                <w:szCs w:val="22"/>
              </w:rPr>
            </w:pPr>
            <w:r w:rsidRPr="006048DD">
              <w:rPr>
                <w:rFonts w:ascii="Arial" w:hAnsi="Arial" w:cs="Arial"/>
                <w:color w:val="000000"/>
                <w:sz w:val="22"/>
                <w:szCs w:val="22"/>
              </w:rPr>
              <w:t>1.999.534</w:t>
            </w:r>
          </w:p>
        </w:tc>
        <w:tc>
          <w:tcPr>
            <w:tcW w:w="1281" w:type="dxa"/>
          </w:tcPr>
          <w:p w14:paraId="49EAFC9B" w14:textId="7D629542" w:rsidR="006048DD" w:rsidRPr="006048DD" w:rsidRDefault="006048DD" w:rsidP="00F9521E">
            <w:pPr>
              <w:jc w:val="center"/>
              <w:rPr>
                <w:rFonts w:ascii="Arial" w:hAnsi="Arial" w:cs="Arial"/>
                <w:color w:val="000000"/>
                <w:sz w:val="22"/>
                <w:szCs w:val="22"/>
              </w:rPr>
            </w:pPr>
            <w:r w:rsidRPr="006048DD">
              <w:rPr>
                <w:rFonts w:ascii="Arial" w:hAnsi="Arial" w:cs="Arial"/>
                <w:color w:val="000000"/>
                <w:sz w:val="22"/>
                <w:szCs w:val="22"/>
              </w:rPr>
              <w:t>5.911.665</w:t>
            </w:r>
          </w:p>
        </w:tc>
      </w:tr>
    </w:tbl>
    <w:p w14:paraId="75BD981B" w14:textId="77777777" w:rsidR="007B36C3" w:rsidRDefault="007B36C3" w:rsidP="00F9521E">
      <w:pPr>
        <w:pBdr>
          <w:top w:val="nil"/>
          <w:left w:val="nil"/>
          <w:bottom w:val="nil"/>
          <w:right w:val="nil"/>
          <w:between w:val="nil"/>
        </w:pBdr>
        <w:spacing w:line="240" w:lineRule="auto"/>
        <w:jc w:val="both"/>
        <w:rPr>
          <w:rFonts w:ascii="Arial" w:eastAsia="Arial" w:hAnsi="Arial" w:cs="Arial"/>
          <w:color w:val="000000"/>
          <w:sz w:val="22"/>
          <w:szCs w:val="22"/>
        </w:rPr>
      </w:pPr>
    </w:p>
    <w:p w14:paraId="240DC703" w14:textId="66101897" w:rsidR="00CA3DEB" w:rsidRPr="006048DD" w:rsidRDefault="007B36C3" w:rsidP="00F9521E">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Conforme lo anterior</w:t>
      </w:r>
      <w:r w:rsidR="00CA3DEB" w:rsidRPr="006048DD">
        <w:rPr>
          <w:rFonts w:ascii="Arial" w:eastAsia="Arial" w:hAnsi="Arial" w:cs="Arial"/>
          <w:color w:val="000000"/>
          <w:sz w:val="22"/>
          <w:szCs w:val="22"/>
        </w:rPr>
        <w:t xml:space="preserve">, el </w:t>
      </w:r>
      <w:proofErr w:type="gramStart"/>
      <w:r w:rsidR="00CA3DEB" w:rsidRPr="006048DD">
        <w:rPr>
          <w:rFonts w:ascii="Arial" w:eastAsia="Arial" w:hAnsi="Arial" w:cs="Arial"/>
          <w:color w:val="000000"/>
          <w:sz w:val="22"/>
          <w:szCs w:val="22"/>
        </w:rPr>
        <w:t>Director Ejecutivo</w:t>
      </w:r>
      <w:proofErr w:type="gramEnd"/>
      <w:r w:rsidR="00CA3DEB" w:rsidRPr="006048DD">
        <w:rPr>
          <w:rFonts w:ascii="Arial" w:eastAsia="Arial" w:hAnsi="Arial" w:cs="Arial"/>
          <w:color w:val="000000"/>
          <w:sz w:val="22"/>
          <w:szCs w:val="22"/>
        </w:rPr>
        <w:t xml:space="preserve"> de la CREG dando cumplimento a lo establecido en el parágrafo 1 del artículo 14 de la Resolución CREG 053 de 2011, informa que para el desarrollo de la OPC del asunto se define una única zona de influencia conformada por todos los municipios del país.</w:t>
      </w:r>
    </w:p>
    <w:p w14:paraId="296CFDA7" w14:textId="1A8491A4" w:rsidR="006048DD" w:rsidRPr="006048DD" w:rsidRDefault="00CA3DEB" w:rsidP="00F9521E">
      <w:pPr>
        <w:pBdr>
          <w:top w:val="nil"/>
          <w:left w:val="nil"/>
          <w:bottom w:val="nil"/>
          <w:right w:val="nil"/>
          <w:between w:val="nil"/>
        </w:pBdr>
        <w:spacing w:line="240" w:lineRule="auto"/>
        <w:jc w:val="both"/>
        <w:rPr>
          <w:rFonts w:cs="Arial"/>
          <w:sz w:val="22"/>
          <w:szCs w:val="22"/>
        </w:rPr>
      </w:pPr>
      <w:r w:rsidRPr="006048DD">
        <w:rPr>
          <w:rFonts w:ascii="Arial" w:eastAsia="Arial" w:hAnsi="Arial" w:cs="Arial"/>
          <w:color w:val="000000"/>
          <w:sz w:val="22"/>
          <w:szCs w:val="22"/>
        </w:rPr>
        <w:t>Finalmente, Ecopetrol deberá dar un plazo mínimo de dos (2) días hábiles, contados a partir del día siguiente de la publicación de la OPC adicional del asunto, para que los interesados en participar presenten sus solicitudes de compra.</w:t>
      </w:r>
    </w:p>
    <w:p w14:paraId="5D3B937D" w14:textId="36880069" w:rsidR="00BA6D78" w:rsidRPr="006048DD" w:rsidRDefault="00BA6D78" w:rsidP="00F9521E">
      <w:pPr>
        <w:pStyle w:val="Textoindependiente"/>
        <w:spacing w:after="0" w:line="240" w:lineRule="auto"/>
        <w:rPr>
          <w:rFonts w:cs="Arial"/>
          <w:sz w:val="22"/>
          <w:szCs w:val="22"/>
        </w:rPr>
      </w:pPr>
      <w:r w:rsidRPr="006048DD">
        <w:rPr>
          <w:rFonts w:cs="Arial"/>
          <w:sz w:val="22"/>
          <w:szCs w:val="22"/>
        </w:rPr>
        <w:t>Cordialmente,</w:t>
      </w:r>
    </w:p>
    <w:p w14:paraId="1B894051" w14:textId="128C4894" w:rsidR="006048DD" w:rsidRPr="006048DD" w:rsidRDefault="006048DD" w:rsidP="00F9521E">
      <w:pPr>
        <w:pStyle w:val="Textoindependiente"/>
        <w:spacing w:after="0" w:line="240" w:lineRule="auto"/>
        <w:jc w:val="center"/>
        <w:rPr>
          <w:rFonts w:cs="Arial"/>
          <w:b/>
          <w:bCs/>
          <w:sz w:val="22"/>
          <w:szCs w:val="22"/>
        </w:rPr>
      </w:pPr>
      <w:r w:rsidRPr="006048DD">
        <w:rPr>
          <w:rFonts w:cs="Arial"/>
          <w:b/>
          <w:bCs/>
          <w:sz w:val="22"/>
          <w:szCs w:val="22"/>
        </w:rPr>
        <w:t>ANTONIO JIM</w:t>
      </w:r>
      <w:r w:rsidR="00A44C3E">
        <w:rPr>
          <w:rFonts w:cs="Arial"/>
          <w:b/>
          <w:bCs/>
          <w:sz w:val="22"/>
          <w:szCs w:val="22"/>
        </w:rPr>
        <w:t>É</w:t>
      </w:r>
      <w:r w:rsidRPr="006048DD">
        <w:rPr>
          <w:rFonts w:cs="Arial"/>
          <w:b/>
          <w:bCs/>
          <w:sz w:val="22"/>
          <w:szCs w:val="22"/>
        </w:rPr>
        <w:t>NEZ RIVERA</w:t>
      </w:r>
    </w:p>
    <w:p w14:paraId="0D80D79D" w14:textId="54659381" w:rsidR="00BA6D78" w:rsidRDefault="006048DD" w:rsidP="00F9521E">
      <w:pPr>
        <w:pStyle w:val="Textoindependiente"/>
        <w:spacing w:after="0" w:line="240" w:lineRule="auto"/>
        <w:jc w:val="center"/>
        <w:rPr>
          <w:rFonts w:cs="Arial"/>
          <w:sz w:val="22"/>
          <w:szCs w:val="22"/>
        </w:rPr>
      </w:pPr>
      <w:r w:rsidRPr="006048DD">
        <w:rPr>
          <w:rFonts w:cs="Arial"/>
          <w:sz w:val="22"/>
          <w:szCs w:val="22"/>
        </w:rPr>
        <w:t>Director Ejecutivo</w:t>
      </w:r>
    </w:p>
    <w:p w14:paraId="61B95E13" w14:textId="77777777" w:rsidR="00F9521E" w:rsidRPr="006048DD" w:rsidRDefault="00F9521E" w:rsidP="00F9521E">
      <w:pPr>
        <w:pStyle w:val="Textoindependiente"/>
        <w:spacing w:after="0" w:line="240" w:lineRule="auto"/>
        <w:jc w:val="center"/>
        <w:rPr>
          <w:rFonts w:cs="Arial"/>
          <w:b/>
          <w:bCs/>
          <w:sz w:val="22"/>
          <w:szCs w:val="22"/>
          <w:u w:val="single"/>
        </w:rPr>
      </w:pPr>
    </w:p>
    <w:sectPr w:rsidR="00F9521E" w:rsidRPr="006048DD" w:rsidSect="008B0943">
      <w:headerReference w:type="default" r:id="rId7"/>
      <w:footerReference w:type="default" r:id="rId8"/>
      <w:headerReference w:type="first" r:id="rId9"/>
      <w:footerReference w:type="first" r:id="rId10"/>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C059E" w14:textId="77777777" w:rsidR="0009504D" w:rsidRDefault="0009504D" w:rsidP="00AA0519">
      <w:r>
        <w:separator/>
      </w:r>
    </w:p>
  </w:endnote>
  <w:endnote w:type="continuationSeparator" w:id="0">
    <w:p w14:paraId="19A74804" w14:textId="77777777" w:rsidR="0009504D" w:rsidRDefault="0009504D"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90F57" w14:textId="77777777" w:rsidR="003B0CBA" w:rsidRDefault="003B0CBA" w:rsidP="003B0CBA">
    <w:pPr>
      <w:pBdr>
        <w:bottom w:val="single" w:sz="12" w:space="1" w:color="auto"/>
      </w:pBdr>
      <w:spacing w:after="0" w:line="276" w:lineRule="auto"/>
      <w:jc w:val="both"/>
      <w:rPr>
        <w:rFonts w:ascii="Helvetica" w:hAnsi="Helvetica"/>
        <w:b/>
        <w:bCs/>
        <w:sz w:val="20"/>
        <w:szCs w:val="20"/>
      </w:rPr>
    </w:pPr>
  </w:p>
  <w:p w14:paraId="077E21A0" w14:textId="77777777" w:rsidR="003B0CBA" w:rsidRPr="000774A9" w:rsidRDefault="003B0CBA" w:rsidP="003B0CBA">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0CDCABC3" w14:textId="77777777" w:rsidR="003B0CBA" w:rsidRPr="000774A9" w:rsidRDefault="003B0CBA" w:rsidP="003B0CBA">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08B607A1" w14:textId="77777777" w:rsidR="003B0CBA" w:rsidRPr="000774A9" w:rsidRDefault="003B0CBA" w:rsidP="003B0CBA">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4A4F6277" w14:textId="77777777" w:rsidR="003B0CBA" w:rsidRDefault="003B0CBA" w:rsidP="003B0CBA">
    <w:pPr>
      <w:spacing w:after="0" w:line="276" w:lineRule="auto"/>
      <w:jc w:val="both"/>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E5CC" w14:textId="241BC051" w:rsidR="00770299" w:rsidRDefault="00770299" w:rsidP="00770299">
    <w:pPr>
      <w:pBdr>
        <w:bottom w:val="single" w:sz="12" w:space="1" w:color="auto"/>
      </w:pBdr>
      <w:spacing w:after="0" w:line="276" w:lineRule="auto"/>
      <w:jc w:val="both"/>
      <w:rPr>
        <w:rFonts w:ascii="Helvetica" w:hAnsi="Helvetica"/>
        <w:b/>
        <w:bCs/>
        <w:sz w:val="20"/>
        <w:szCs w:val="20"/>
      </w:rPr>
    </w:pPr>
  </w:p>
  <w:p w14:paraId="1CD8B249" w14:textId="7D63CFE8" w:rsidR="00770299" w:rsidRPr="000774A9" w:rsidRDefault="00770299" w:rsidP="00770299">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403C4C1F" w14:textId="77777777" w:rsidR="00770299" w:rsidRPr="000774A9" w:rsidRDefault="00770299" w:rsidP="00770299">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6441248A" w14:textId="77777777" w:rsidR="00770299" w:rsidRPr="000774A9" w:rsidRDefault="00770299" w:rsidP="00770299">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726A889B" w14:textId="60986DF1" w:rsidR="003F2F4B" w:rsidRDefault="00770299" w:rsidP="00770299">
    <w:pPr>
      <w:spacing w:after="0" w:line="276" w:lineRule="auto"/>
      <w:jc w:val="both"/>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FDB74" w14:textId="77777777" w:rsidR="0009504D" w:rsidRDefault="0009504D" w:rsidP="00AA0519">
      <w:r>
        <w:separator/>
      </w:r>
    </w:p>
  </w:footnote>
  <w:footnote w:type="continuationSeparator" w:id="0">
    <w:p w14:paraId="1A39BE2E" w14:textId="77777777" w:rsidR="0009504D" w:rsidRDefault="0009504D"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73D54CE4" w:rsidR="003F2F4B" w:rsidRPr="008C0A5F" w:rsidRDefault="00770299" w:rsidP="00770299">
    <w:pPr>
      <w:pStyle w:val="Encabezado"/>
      <w:rPr>
        <w:sz w:val="22"/>
        <w:szCs w:val="22"/>
      </w:rPr>
    </w:pPr>
    <w:r w:rsidRPr="00770299">
      <w:rPr>
        <w:noProof/>
      </w:rPr>
      <w:drawing>
        <wp:anchor distT="0" distB="0" distL="114300" distR="114300" simplePos="0" relativeHeight="251671552" behindDoc="0" locked="0" layoutInCell="1" allowOverlap="1" wp14:anchorId="1A059398" wp14:editId="6DB59280">
          <wp:simplePos x="0" y="0"/>
          <wp:positionH relativeFrom="margin">
            <wp:posOffset>5219065</wp:posOffset>
          </wp:positionH>
          <wp:positionV relativeFrom="margin">
            <wp:posOffset>-895985</wp:posOffset>
          </wp:positionV>
          <wp:extent cx="644525" cy="360045"/>
          <wp:effectExtent l="0" t="0" r="3175" b="1905"/>
          <wp:wrapSquare wrapText="bothSides"/>
          <wp:docPr id="88051120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360045"/>
                  </a:xfrm>
                  <a:prstGeom prst="rect">
                    <a:avLst/>
                  </a:prstGeom>
                  <a:noFill/>
                </pic:spPr>
              </pic:pic>
            </a:graphicData>
          </a:graphic>
          <wp14:sizeRelH relativeFrom="page">
            <wp14:pctWidth>0</wp14:pctWidth>
          </wp14:sizeRelH>
          <wp14:sizeRelV relativeFrom="page">
            <wp14:pctHeight>0</wp14:pctHeight>
          </wp14:sizeRelV>
        </wp:anchor>
      </w:drawing>
    </w:r>
    <w:r w:rsidRPr="00770299">
      <w:rPr>
        <w:noProof/>
      </w:rPr>
      <w:drawing>
        <wp:anchor distT="0" distB="0" distL="114300" distR="114300" simplePos="0" relativeHeight="251672576" behindDoc="0" locked="0" layoutInCell="1" allowOverlap="1" wp14:anchorId="7869A028" wp14:editId="34EAB708">
          <wp:simplePos x="0" y="0"/>
          <wp:positionH relativeFrom="margin">
            <wp:posOffset>0</wp:posOffset>
          </wp:positionH>
          <wp:positionV relativeFrom="margin">
            <wp:posOffset>-904240</wp:posOffset>
          </wp:positionV>
          <wp:extent cx="1033145" cy="359410"/>
          <wp:effectExtent l="0" t="0" r="0" b="2540"/>
          <wp:wrapSquare wrapText="bothSides"/>
          <wp:docPr id="217292153" name="Imagen 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cara feliz&#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145" cy="3594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77F41FDB" w:rsidR="00F82573" w:rsidRPr="00770299" w:rsidRDefault="00770299" w:rsidP="00770299">
    <w:pPr>
      <w:pStyle w:val="Encabezado"/>
    </w:pPr>
    <w:r w:rsidRPr="00770299">
      <w:rPr>
        <w:noProof/>
      </w:rPr>
      <w:drawing>
        <wp:anchor distT="0" distB="0" distL="114300" distR="114300" simplePos="0" relativeHeight="251668480" behindDoc="0" locked="0" layoutInCell="1" allowOverlap="1" wp14:anchorId="0E0D6DDB" wp14:editId="55AE482E">
          <wp:simplePos x="0" y="0"/>
          <wp:positionH relativeFrom="margin">
            <wp:posOffset>5266690</wp:posOffset>
          </wp:positionH>
          <wp:positionV relativeFrom="margin">
            <wp:posOffset>-895985</wp:posOffset>
          </wp:positionV>
          <wp:extent cx="644525" cy="360045"/>
          <wp:effectExtent l="0" t="0" r="3175" b="1905"/>
          <wp:wrapSquare wrapText="bothSides"/>
          <wp:docPr id="1350968494"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360045"/>
                  </a:xfrm>
                  <a:prstGeom prst="rect">
                    <a:avLst/>
                  </a:prstGeom>
                  <a:noFill/>
                </pic:spPr>
              </pic:pic>
            </a:graphicData>
          </a:graphic>
          <wp14:sizeRelH relativeFrom="page">
            <wp14:pctWidth>0</wp14:pctWidth>
          </wp14:sizeRelH>
          <wp14:sizeRelV relativeFrom="page">
            <wp14:pctHeight>0</wp14:pctHeight>
          </wp14:sizeRelV>
        </wp:anchor>
      </w:drawing>
    </w:r>
    <w:r w:rsidRPr="00770299">
      <w:rPr>
        <w:noProof/>
      </w:rPr>
      <w:drawing>
        <wp:anchor distT="0" distB="0" distL="114300" distR="114300" simplePos="0" relativeHeight="251669504" behindDoc="0" locked="0" layoutInCell="1" allowOverlap="1" wp14:anchorId="3ACE0E75" wp14:editId="0C3D17C9">
          <wp:simplePos x="0" y="0"/>
          <wp:positionH relativeFrom="margin">
            <wp:posOffset>0</wp:posOffset>
          </wp:positionH>
          <wp:positionV relativeFrom="margin">
            <wp:posOffset>-895350</wp:posOffset>
          </wp:positionV>
          <wp:extent cx="1033145" cy="359410"/>
          <wp:effectExtent l="0" t="0" r="0" b="2540"/>
          <wp:wrapSquare wrapText="bothSides"/>
          <wp:docPr id="735963423" name="Imagen 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cara feliz&#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145" cy="35941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40E20"/>
    <w:rsid w:val="00046BDF"/>
    <w:rsid w:val="00071BA7"/>
    <w:rsid w:val="00074D17"/>
    <w:rsid w:val="0009504D"/>
    <w:rsid w:val="000B439A"/>
    <w:rsid w:val="000F11F6"/>
    <w:rsid w:val="000F38B4"/>
    <w:rsid w:val="001215BB"/>
    <w:rsid w:val="00124C31"/>
    <w:rsid w:val="0014353D"/>
    <w:rsid w:val="00153BE7"/>
    <w:rsid w:val="001E2DD2"/>
    <w:rsid w:val="001F303A"/>
    <w:rsid w:val="001F47AB"/>
    <w:rsid w:val="00212267"/>
    <w:rsid w:val="0024085D"/>
    <w:rsid w:val="00275278"/>
    <w:rsid w:val="002C26C3"/>
    <w:rsid w:val="00324760"/>
    <w:rsid w:val="00353D1D"/>
    <w:rsid w:val="0035632E"/>
    <w:rsid w:val="00361DFF"/>
    <w:rsid w:val="0038014E"/>
    <w:rsid w:val="003A3753"/>
    <w:rsid w:val="003A7FC9"/>
    <w:rsid w:val="003B0CBA"/>
    <w:rsid w:val="003B1FEC"/>
    <w:rsid w:val="003C7E1C"/>
    <w:rsid w:val="003F2F4B"/>
    <w:rsid w:val="00401E61"/>
    <w:rsid w:val="004142B1"/>
    <w:rsid w:val="004170AF"/>
    <w:rsid w:val="00456720"/>
    <w:rsid w:val="00457CC2"/>
    <w:rsid w:val="00483D6B"/>
    <w:rsid w:val="004A6CAB"/>
    <w:rsid w:val="004C0855"/>
    <w:rsid w:val="004C69B7"/>
    <w:rsid w:val="004E017D"/>
    <w:rsid w:val="00515BEF"/>
    <w:rsid w:val="0053330D"/>
    <w:rsid w:val="00534DC9"/>
    <w:rsid w:val="005604AC"/>
    <w:rsid w:val="005723D7"/>
    <w:rsid w:val="00587F12"/>
    <w:rsid w:val="005A4453"/>
    <w:rsid w:val="005B4F83"/>
    <w:rsid w:val="005B53D9"/>
    <w:rsid w:val="005B5736"/>
    <w:rsid w:val="005C287A"/>
    <w:rsid w:val="005C42EC"/>
    <w:rsid w:val="005D7D66"/>
    <w:rsid w:val="005E366C"/>
    <w:rsid w:val="005F6877"/>
    <w:rsid w:val="00602072"/>
    <w:rsid w:val="006048DD"/>
    <w:rsid w:val="00651863"/>
    <w:rsid w:val="006629AD"/>
    <w:rsid w:val="006E1726"/>
    <w:rsid w:val="006E22E8"/>
    <w:rsid w:val="00717096"/>
    <w:rsid w:val="007247FF"/>
    <w:rsid w:val="00735E1F"/>
    <w:rsid w:val="0074199A"/>
    <w:rsid w:val="00751973"/>
    <w:rsid w:val="00752DEC"/>
    <w:rsid w:val="00762CBD"/>
    <w:rsid w:val="00770299"/>
    <w:rsid w:val="0078631A"/>
    <w:rsid w:val="007A7C1D"/>
    <w:rsid w:val="007B36C3"/>
    <w:rsid w:val="007F42E3"/>
    <w:rsid w:val="007F4E31"/>
    <w:rsid w:val="008066FD"/>
    <w:rsid w:val="00823401"/>
    <w:rsid w:val="00847FE4"/>
    <w:rsid w:val="008776E3"/>
    <w:rsid w:val="00894B42"/>
    <w:rsid w:val="008B0943"/>
    <w:rsid w:val="008C0A5F"/>
    <w:rsid w:val="00902889"/>
    <w:rsid w:val="00930F73"/>
    <w:rsid w:val="00957BE3"/>
    <w:rsid w:val="00976702"/>
    <w:rsid w:val="009A3312"/>
    <w:rsid w:val="009E7865"/>
    <w:rsid w:val="009F3478"/>
    <w:rsid w:val="009F5428"/>
    <w:rsid w:val="00A15CDD"/>
    <w:rsid w:val="00A15D55"/>
    <w:rsid w:val="00A322E5"/>
    <w:rsid w:val="00A44C3E"/>
    <w:rsid w:val="00A66496"/>
    <w:rsid w:val="00A84924"/>
    <w:rsid w:val="00A90A86"/>
    <w:rsid w:val="00A92B44"/>
    <w:rsid w:val="00AA0519"/>
    <w:rsid w:val="00AA7A5F"/>
    <w:rsid w:val="00B37FAA"/>
    <w:rsid w:val="00B74DFE"/>
    <w:rsid w:val="00BA6D78"/>
    <w:rsid w:val="00BE238F"/>
    <w:rsid w:val="00C81E1F"/>
    <w:rsid w:val="00C9169C"/>
    <w:rsid w:val="00C93328"/>
    <w:rsid w:val="00CA3DEB"/>
    <w:rsid w:val="00CB3666"/>
    <w:rsid w:val="00CD6394"/>
    <w:rsid w:val="00CE66F4"/>
    <w:rsid w:val="00D31768"/>
    <w:rsid w:val="00D754A1"/>
    <w:rsid w:val="00D915DC"/>
    <w:rsid w:val="00DF79E2"/>
    <w:rsid w:val="00E035CC"/>
    <w:rsid w:val="00E56853"/>
    <w:rsid w:val="00E77923"/>
    <w:rsid w:val="00EC5291"/>
    <w:rsid w:val="00EF397D"/>
    <w:rsid w:val="00F02D43"/>
    <w:rsid w:val="00F13D47"/>
    <w:rsid w:val="00F33B83"/>
    <w:rsid w:val="00F35EFC"/>
    <w:rsid w:val="00F550C0"/>
    <w:rsid w:val="00F66BF3"/>
    <w:rsid w:val="00F80B1D"/>
    <w:rsid w:val="00F82573"/>
    <w:rsid w:val="00F9521E"/>
    <w:rsid w:val="00FA61FB"/>
    <w:rsid w:val="00FA6661"/>
    <w:rsid w:val="00FB07C1"/>
    <w:rsid w:val="00FC759B"/>
    <w:rsid w:val="00FD2A8B"/>
    <w:rsid w:val="00FD72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rsid w:val="00BA6D78"/>
    <w:rPr>
      <w:rFonts w:eastAsiaTheme="minorEastAsia"/>
      <w:lang w:val="es-ES_tradnl"/>
    </w:rPr>
  </w:style>
  <w:style w:type="table" w:customStyle="1" w:styleId="Tabladelista2-nfasis51">
    <w:name w:val="Tabla de lista 2 - Énfasis 51"/>
    <w:basedOn w:val="Tablanormal"/>
    <w:next w:val="Tabladelista2-nfasis5"/>
    <w:uiPriority w:val="47"/>
    <w:rsid w:val="00CA3DEB"/>
    <w:pPr>
      <w:spacing w:line="240" w:lineRule="auto"/>
    </w:pPr>
    <w:rPr>
      <w:rFonts w:ascii="Calibri" w:eastAsia="Times New Roman" w:hAnsi="Calibri" w:cs="Times New Roman"/>
      <w:lang w:val="es-ES_tradnl"/>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delista2-nfasis5">
    <w:name w:val="List Table 2 Accent 5"/>
    <w:basedOn w:val="Tablanormal"/>
    <w:uiPriority w:val="47"/>
    <w:rsid w:val="00CA3DEB"/>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
    <w:name w:val="Table Grid"/>
    <w:basedOn w:val="Tablanormal"/>
    <w:uiPriority w:val="39"/>
    <w:rsid w:val="006048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B36C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1131171362">
      <w:bodyDiv w:val="1"/>
      <w:marLeft w:val="0"/>
      <w:marRight w:val="0"/>
      <w:marTop w:val="0"/>
      <w:marBottom w:val="0"/>
      <w:divBdr>
        <w:top w:val="none" w:sz="0" w:space="0" w:color="auto"/>
        <w:left w:val="none" w:sz="0" w:space="0" w:color="auto"/>
        <w:bottom w:val="none" w:sz="0" w:space="0" w:color="auto"/>
        <w:right w:val="none" w:sz="0" w:space="0" w:color="auto"/>
      </w:divBdr>
    </w:div>
    <w:div w:id="1279488718">
      <w:bodyDiv w:val="1"/>
      <w:marLeft w:val="0"/>
      <w:marRight w:val="0"/>
      <w:marTop w:val="0"/>
      <w:marBottom w:val="0"/>
      <w:divBdr>
        <w:top w:val="none" w:sz="0" w:space="0" w:color="auto"/>
        <w:left w:val="none" w:sz="0" w:space="0" w:color="auto"/>
        <w:bottom w:val="none" w:sz="0" w:space="0" w:color="auto"/>
        <w:right w:val="none" w:sz="0" w:space="0" w:color="auto"/>
      </w:divBdr>
    </w:div>
    <w:div w:id="1362239640">
      <w:bodyDiv w:val="1"/>
      <w:marLeft w:val="0"/>
      <w:marRight w:val="0"/>
      <w:marTop w:val="0"/>
      <w:marBottom w:val="0"/>
      <w:divBdr>
        <w:top w:val="none" w:sz="0" w:space="0" w:color="auto"/>
        <w:left w:val="none" w:sz="0" w:space="0" w:color="auto"/>
        <w:bottom w:val="none" w:sz="0" w:space="0" w:color="auto"/>
        <w:right w:val="none" w:sz="0" w:space="0" w:color="auto"/>
      </w:divBdr>
    </w:div>
    <w:div w:id="15414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Jonathan Ramirez Ochoa</cp:lastModifiedBy>
  <cp:revision>5</cp:revision>
  <cp:lastPrinted>2024-11-15T15:14:00Z</cp:lastPrinted>
  <dcterms:created xsi:type="dcterms:W3CDTF">2024-11-14T19:26:00Z</dcterms:created>
  <dcterms:modified xsi:type="dcterms:W3CDTF">2024-11-15T15:15:00Z</dcterms:modified>
</cp:coreProperties>
</file>