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3EEB" w14:textId="77777777" w:rsidR="00625DC6" w:rsidRPr="00ED6681" w:rsidRDefault="00000000" w:rsidP="00ED6681">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22F2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1" o:title=""/>
          </v:shape>
          <o:OLEObject Type="Embed" ProgID="PBrush" ShapeID="_x0000_s2050" DrawAspect="Content" ObjectID="_1792914544" r:id="rId12"/>
        </w:object>
      </w:r>
    </w:p>
    <w:p w14:paraId="05D4A61F" w14:textId="77777777" w:rsidR="00CA77FB" w:rsidRPr="00ED6681" w:rsidRDefault="00CA77FB" w:rsidP="00ED6681">
      <w:pPr>
        <w:pStyle w:val="Ttulo4"/>
        <w:tabs>
          <w:tab w:val="left" w:pos="0"/>
          <w:tab w:val="right" w:pos="9356"/>
        </w:tabs>
        <w:ind w:left="0"/>
        <w:rPr>
          <w:rFonts w:ascii="Bookman Old Style" w:hAnsi="Bookman Old Style"/>
          <w:b w:val="0"/>
          <w:bCs/>
          <w:noProof/>
          <w:sz w:val="24"/>
          <w:szCs w:val="24"/>
          <w:lang w:val="es-ES"/>
        </w:rPr>
      </w:pPr>
      <w:r w:rsidRPr="00ED6681">
        <w:rPr>
          <w:rFonts w:ascii="Bookman Old Style" w:hAnsi="Bookman Old Style"/>
          <w:b w:val="0"/>
          <w:bCs/>
          <w:sz w:val="24"/>
          <w:szCs w:val="24"/>
        </w:rPr>
        <w:t>Ministerio de Minas y Energía</w:t>
      </w:r>
    </w:p>
    <w:p w14:paraId="49F599ED" w14:textId="77777777" w:rsidR="00CA77FB" w:rsidRPr="00ED6681" w:rsidRDefault="00CA77FB" w:rsidP="00ED6681">
      <w:pPr>
        <w:pStyle w:val="Ttulo4"/>
        <w:tabs>
          <w:tab w:val="left" w:pos="0"/>
          <w:tab w:val="right" w:pos="9356"/>
        </w:tabs>
        <w:ind w:left="0"/>
        <w:rPr>
          <w:rFonts w:ascii="Bookman Old Style" w:hAnsi="Bookman Old Style"/>
          <w:b w:val="0"/>
          <w:bCs/>
          <w:sz w:val="24"/>
          <w:szCs w:val="24"/>
        </w:rPr>
      </w:pPr>
    </w:p>
    <w:p w14:paraId="074B4AD3" w14:textId="77777777" w:rsidR="00794A58" w:rsidRPr="00ED6681" w:rsidRDefault="00794A58" w:rsidP="00ED6681">
      <w:pPr>
        <w:pStyle w:val="Ttulo3"/>
        <w:tabs>
          <w:tab w:val="left" w:pos="0"/>
          <w:tab w:val="right" w:pos="9356"/>
        </w:tabs>
        <w:ind w:left="0"/>
        <w:rPr>
          <w:rFonts w:ascii="Bookman Old Style" w:hAnsi="Bookman Old Style" w:cs="Arial"/>
          <w:spacing w:val="20"/>
          <w:szCs w:val="24"/>
        </w:rPr>
      </w:pPr>
    </w:p>
    <w:p w14:paraId="145304F3" w14:textId="77777777" w:rsidR="00794A58" w:rsidRPr="00ED6681" w:rsidRDefault="00794A58" w:rsidP="00ED6681">
      <w:pPr>
        <w:pStyle w:val="Ttulo3"/>
        <w:tabs>
          <w:tab w:val="left" w:pos="0"/>
          <w:tab w:val="right" w:pos="9356"/>
        </w:tabs>
        <w:ind w:left="0"/>
        <w:rPr>
          <w:rFonts w:ascii="Bookman Old Style" w:hAnsi="Bookman Old Style" w:cs="Arial"/>
          <w:spacing w:val="20"/>
          <w:szCs w:val="24"/>
        </w:rPr>
      </w:pPr>
    </w:p>
    <w:p w14:paraId="32C844F7" w14:textId="567360D6" w:rsidR="00CA77FB" w:rsidRPr="00ED6681" w:rsidRDefault="00CA77FB" w:rsidP="00020FDD">
      <w:pPr>
        <w:pStyle w:val="Ttulo3"/>
        <w:tabs>
          <w:tab w:val="left" w:pos="0"/>
          <w:tab w:val="right" w:pos="9356"/>
        </w:tabs>
        <w:ind w:left="0"/>
        <w:rPr>
          <w:rFonts w:ascii="Bookman Old Style" w:hAnsi="Bookman Old Style"/>
          <w:szCs w:val="24"/>
        </w:rPr>
      </w:pPr>
      <w:r w:rsidRPr="00ED6681">
        <w:rPr>
          <w:rFonts w:ascii="Bookman Old Style" w:hAnsi="Bookman Old Style" w:cs="Arial"/>
          <w:spacing w:val="20"/>
          <w:szCs w:val="24"/>
        </w:rPr>
        <w:t>COMISIÓN DE REGULACIÓN DE ENERGÍA Y GAS</w:t>
      </w:r>
    </w:p>
    <w:p w14:paraId="480A92C5" w14:textId="77777777" w:rsidR="00CA77FB" w:rsidRPr="00ED6681" w:rsidRDefault="00CA77FB" w:rsidP="00ED6681">
      <w:pPr>
        <w:pStyle w:val="Ttulo5"/>
        <w:tabs>
          <w:tab w:val="left" w:pos="0"/>
          <w:tab w:val="right" w:pos="9356"/>
        </w:tabs>
        <w:ind w:left="0"/>
        <w:rPr>
          <w:rFonts w:ascii="Bookman Old Style" w:hAnsi="Bookman Old Style"/>
          <w:sz w:val="24"/>
          <w:szCs w:val="24"/>
        </w:rPr>
      </w:pPr>
    </w:p>
    <w:p w14:paraId="7FEA7C5F" w14:textId="77777777" w:rsidR="00794A58" w:rsidRPr="00ED6681" w:rsidRDefault="00794A58" w:rsidP="00ED6681">
      <w:pPr>
        <w:rPr>
          <w:rFonts w:ascii="Bookman Old Style" w:hAnsi="Bookman Old Style"/>
          <w:lang w:val="es-ES_tradnl"/>
        </w:rPr>
      </w:pPr>
    </w:p>
    <w:p w14:paraId="58AD5DA4" w14:textId="2356C750" w:rsidR="00CA77FB" w:rsidRPr="00ED6681" w:rsidRDefault="00E44E72" w:rsidP="00ED6681">
      <w:pPr>
        <w:pStyle w:val="Ttulo3"/>
        <w:tabs>
          <w:tab w:val="left" w:pos="0"/>
          <w:tab w:val="right" w:pos="9356"/>
        </w:tabs>
        <w:ind w:left="0"/>
        <w:rPr>
          <w:rFonts w:ascii="Bookman Old Style" w:hAnsi="Bookman Old Style" w:cs="Arial"/>
          <w:spacing w:val="20"/>
          <w:szCs w:val="24"/>
        </w:rPr>
      </w:pPr>
      <w:r w:rsidRPr="00ED6681">
        <w:rPr>
          <w:rFonts w:ascii="Bookman Old Style" w:hAnsi="Bookman Old Style" w:cs="Arial"/>
          <w:spacing w:val="20"/>
          <w:szCs w:val="24"/>
        </w:rPr>
        <w:t xml:space="preserve">PROYECTO DE </w:t>
      </w:r>
      <w:r w:rsidR="00CA77FB" w:rsidRPr="00ED6681">
        <w:rPr>
          <w:rFonts w:ascii="Bookman Old Style" w:hAnsi="Bookman Old Style" w:cs="Arial"/>
          <w:spacing w:val="20"/>
          <w:szCs w:val="24"/>
        </w:rPr>
        <w:t xml:space="preserve">RESOLUCIÓN </w:t>
      </w:r>
      <w:proofErr w:type="spellStart"/>
      <w:r w:rsidR="00CA77FB" w:rsidRPr="00ED6681">
        <w:rPr>
          <w:rFonts w:ascii="Bookman Old Style" w:hAnsi="Bookman Old Style" w:cs="Arial"/>
          <w:spacing w:val="20"/>
          <w:szCs w:val="24"/>
        </w:rPr>
        <w:t>N</w:t>
      </w:r>
      <w:r w:rsidR="00591856" w:rsidRPr="00ED6681">
        <w:rPr>
          <w:rFonts w:ascii="Bookman Old Style" w:hAnsi="Bookman Old Style" w:cs="Arial"/>
          <w:spacing w:val="20"/>
          <w:szCs w:val="24"/>
        </w:rPr>
        <w:t>°</w:t>
      </w:r>
      <w:proofErr w:type="spellEnd"/>
      <w:r w:rsidR="00591856" w:rsidRPr="00ED6681">
        <w:rPr>
          <w:rFonts w:ascii="Bookman Old Style" w:hAnsi="Bookman Old Style" w:cs="Arial"/>
          <w:spacing w:val="20"/>
          <w:szCs w:val="24"/>
        </w:rPr>
        <w:t xml:space="preserve"> </w:t>
      </w:r>
      <w:r w:rsidR="00727915" w:rsidRPr="00020FDD">
        <w:rPr>
          <w:rFonts w:ascii="Bookman Old Style" w:hAnsi="Bookman Old Style" w:cs="Arial"/>
          <w:spacing w:val="20"/>
          <w:sz w:val="32"/>
          <w:szCs w:val="32"/>
        </w:rPr>
        <w:t>7</w:t>
      </w:r>
      <w:r w:rsidR="00997F3A" w:rsidRPr="00020FDD">
        <w:rPr>
          <w:rFonts w:ascii="Bookman Old Style" w:hAnsi="Bookman Old Style" w:cs="Arial"/>
          <w:spacing w:val="20"/>
          <w:sz w:val="32"/>
          <w:szCs w:val="32"/>
        </w:rPr>
        <w:t>05</w:t>
      </w:r>
      <w:r w:rsidR="00727915" w:rsidRPr="00020FDD">
        <w:rPr>
          <w:rFonts w:ascii="Bookman Old Style" w:hAnsi="Bookman Old Style" w:cs="Arial"/>
          <w:spacing w:val="20"/>
          <w:sz w:val="32"/>
          <w:szCs w:val="32"/>
        </w:rPr>
        <w:t xml:space="preserve"> </w:t>
      </w:r>
      <w:r w:rsidR="00020FDD">
        <w:rPr>
          <w:rFonts w:ascii="Bookman Old Style" w:hAnsi="Bookman Old Style" w:cs="Arial"/>
          <w:spacing w:val="20"/>
          <w:sz w:val="32"/>
          <w:szCs w:val="32"/>
        </w:rPr>
        <w:t>0</w:t>
      </w:r>
      <w:r w:rsidR="00232159" w:rsidRPr="00020FDD">
        <w:rPr>
          <w:rFonts w:ascii="Bookman Old Style" w:hAnsi="Bookman Old Style" w:cs="Arial"/>
          <w:spacing w:val="20"/>
          <w:sz w:val="32"/>
          <w:szCs w:val="32"/>
        </w:rPr>
        <w:t>0</w:t>
      </w:r>
      <w:r w:rsidR="00700C0F" w:rsidRPr="00020FDD">
        <w:rPr>
          <w:rFonts w:ascii="Bookman Old Style" w:hAnsi="Bookman Old Style" w:cs="Arial"/>
          <w:spacing w:val="20"/>
          <w:sz w:val="32"/>
          <w:szCs w:val="32"/>
        </w:rPr>
        <w:t>8</w:t>
      </w:r>
      <w:r w:rsidR="00093AE3" w:rsidRPr="00020FDD">
        <w:rPr>
          <w:rFonts w:ascii="Bookman Old Style" w:hAnsi="Bookman Old Style" w:cs="Arial"/>
          <w:spacing w:val="20"/>
          <w:sz w:val="32"/>
          <w:szCs w:val="32"/>
        </w:rPr>
        <w:t xml:space="preserve"> </w:t>
      </w:r>
      <w:r w:rsidR="00CA77FB" w:rsidRPr="00020FDD">
        <w:rPr>
          <w:rFonts w:ascii="Bookman Old Style" w:hAnsi="Bookman Old Style" w:cs="Arial"/>
          <w:spacing w:val="20"/>
          <w:sz w:val="32"/>
          <w:szCs w:val="32"/>
        </w:rPr>
        <w:t>DE 20</w:t>
      </w:r>
      <w:r w:rsidR="00591856" w:rsidRPr="00020FDD">
        <w:rPr>
          <w:rFonts w:ascii="Bookman Old Style" w:hAnsi="Bookman Old Style" w:cs="Arial"/>
          <w:spacing w:val="20"/>
          <w:sz w:val="32"/>
          <w:szCs w:val="32"/>
        </w:rPr>
        <w:t>2</w:t>
      </w:r>
      <w:r w:rsidR="00D260CE" w:rsidRPr="00020FDD">
        <w:rPr>
          <w:rFonts w:ascii="Bookman Old Style" w:hAnsi="Bookman Old Style" w:cs="Arial"/>
          <w:spacing w:val="20"/>
          <w:sz w:val="32"/>
          <w:szCs w:val="32"/>
        </w:rPr>
        <w:t>4</w:t>
      </w:r>
    </w:p>
    <w:p w14:paraId="0DEE40C3" w14:textId="77777777" w:rsidR="00CA77FB" w:rsidRPr="00924952" w:rsidRDefault="00CA77FB" w:rsidP="00ED6681">
      <w:pPr>
        <w:tabs>
          <w:tab w:val="left" w:pos="0"/>
          <w:tab w:val="right" w:pos="9356"/>
        </w:tabs>
        <w:ind w:left="0"/>
        <w:jc w:val="center"/>
        <w:rPr>
          <w:rFonts w:ascii="Bookman Old Style" w:hAnsi="Bookman Old Style" w:cs="Arial"/>
          <w:b/>
          <w:snapToGrid w:val="0"/>
          <w:lang w:val="es-ES_tradnl"/>
        </w:rPr>
      </w:pPr>
    </w:p>
    <w:p w14:paraId="083726B3" w14:textId="635B6883" w:rsidR="00CA77FB" w:rsidRPr="00020FDD" w:rsidRDefault="00CA77FB" w:rsidP="00ED6681">
      <w:pPr>
        <w:pStyle w:val="Ttulo3"/>
        <w:tabs>
          <w:tab w:val="left" w:pos="0"/>
          <w:tab w:val="right" w:pos="9356"/>
        </w:tabs>
        <w:ind w:left="0"/>
        <w:rPr>
          <w:rFonts w:ascii="Bookman Old Style" w:hAnsi="Bookman Old Style"/>
          <w:bCs/>
          <w:szCs w:val="24"/>
        </w:rPr>
      </w:pPr>
      <w:r w:rsidRPr="00020FDD">
        <w:rPr>
          <w:rFonts w:ascii="Bookman Old Style" w:hAnsi="Bookman Old Style"/>
          <w:bCs/>
          <w:color w:val="auto"/>
          <w:szCs w:val="24"/>
        </w:rPr>
        <w:t>(</w:t>
      </w:r>
      <w:r w:rsidR="00F24A2F" w:rsidRPr="00020FDD">
        <w:rPr>
          <w:rFonts w:ascii="Bookman Old Style" w:hAnsi="Bookman Old Style"/>
          <w:bCs/>
          <w:color w:val="auto"/>
          <w:szCs w:val="24"/>
        </w:rPr>
        <w:t>07</w:t>
      </w:r>
      <w:r w:rsidR="00426703" w:rsidRPr="00020FDD">
        <w:rPr>
          <w:rFonts w:ascii="Bookman Old Style" w:hAnsi="Bookman Old Style"/>
          <w:bCs/>
          <w:color w:val="auto"/>
          <w:szCs w:val="24"/>
        </w:rPr>
        <w:t xml:space="preserve"> </w:t>
      </w:r>
      <w:r w:rsidR="00C046C0" w:rsidRPr="00020FDD">
        <w:rPr>
          <w:rFonts w:ascii="Bookman Old Style" w:hAnsi="Bookman Old Style"/>
          <w:bCs/>
          <w:color w:val="auto"/>
          <w:szCs w:val="24"/>
        </w:rPr>
        <w:t>NOV</w:t>
      </w:r>
      <w:r w:rsidR="00AC77A5" w:rsidRPr="00020FDD">
        <w:rPr>
          <w:rFonts w:ascii="Bookman Old Style" w:hAnsi="Bookman Old Style"/>
          <w:bCs/>
          <w:color w:val="auto"/>
          <w:szCs w:val="24"/>
        </w:rPr>
        <w:t>.</w:t>
      </w:r>
      <w:r w:rsidR="00591856" w:rsidRPr="00020FDD">
        <w:rPr>
          <w:rFonts w:ascii="Bookman Old Style" w:hAnsi="Bookman Old Style"/>
          <w:bCs/>
          <w:color w:val="auto"/>
          <w:szCs w:val="24"/>
        </w:rPr>
        <w:t xml:space="preserve"> </w:t>
      </w:r>
      <w:r w:rsidR="00591856" w:rsidRPr="00020FDD">
        <w:rPr>
          <w:rFonts w:ascii="Bookman Old Style" w:hAnsi="Bookman Old Style"/>
          <w:bCs/>
          <w:szCs w:val="24"/>
        </w:rPr>
        <w:t>202</w:t>
      </w:r>
      <w:r w:rsidR="00F24A2F" w:rsidRPr="00020FDD">
        <w:rPr>
          <w:rFonts w:ascii="Bookman Old Style" w:hAnsi="Bookman Old Style"/>
          <w:bCs/>
          <w:szCs w:val="24"/>
        </w:rPr>
        <w:t>4</w:t>
      </w:r>
      <w:r w:rsidRPr="00020FDD">
        <w:rPr>
          <w:rFonts w:ascii="Bookman Old Style" w:hAnsi="Bookman Old Style"/>
          <w:bCs/>
          <w:szCs w:val="24"/>
        </w:rPr>
        <w:t>)</w:t>
      </w:r>
    </w:p>
    <w:p w14:paraId="46D45ACC" w14:textId="2B9ED7FA" w:rsidR="00CA77FB" w:rsidRPr="00ED6681" w:rsidRDefault="00CA77FB" w:rsidP="00ED6681">
      <w:pPr>
        <w:tabs>
          <w:tab w:val="left" w:pos="0"/>
          <w:tab w:val="right" w:pos="9356"/>
        </w:tabs>
        <w:ind w:left="0"/>
        <w:jc w:val="center"/>
        <w:rPr>
          <w:rFonts w:ascii="Bookman Old Style" w:hAnsi="Bookman Old Style"/>
          <w:lang w:val="es-ES_tradnl"/>
        </w:rPr>
      </w:pPr>
    </w:p>
    <w:p w14:paraId="0AEB051C" w14:textId="77777777" w:rsidR="001E4A38" w:rsidRPr="00ED6681" w:rsidRDefault="001E4A38" w:rsidP="00ED6681">
      <w:pPr>
        <w:ind w:left="0"/>
        <w:jc w:val="center"/>
        <w:rPr>
          <w:rFonts w:ascii="Bookman Old Style" w:hAnsi="Bookman Old Style"/>
        </w:rPr>
      </w:pPr>
    </w:p>
    <w:p w14:paraId="77C87D2B" w14:textId="43D8DAA2" w:rsidR="002D54FD" w:rsidRPr="00ED6681" w:rsidRDefault="00931A20" w:rsidP="00ED6681">
      <w:pPr>
        <w:ind w:left="0"/>
        <w:jc w:val="both"/>
        <w:rPr>
          <w:rFonts w:ascii="Bookman Old Style" w:hAnsi="Bookman Old Style"/>
        </w:rPr>
      </w:pPr>
      <w:r w:rsidRPr="00ED6681">
        <w:rPr>
          <w:rFonts w:ascii="Bookman Old Style" w:hAnsi="Bookman Old Style"/>
        </w:rPr>
        <w:t>La Comisión de Regulación de Energía y Gas – CREG</w:t>
      </w:r>
      <w:r w:rsidR="002D54FD" w:rsidRPr="00ED6681">
        <w:rPr>
          <w:rFonts w:ascii="Bookman Old Style" w:hAnsi="Bookman Old Style"/>
        </w:rPr>
        <w:t>, en su sesión No.</w:t>
      </w:r>
      <w:r w:rsidR="00F061B1" w:rsidRPr="00ED6681">
        <w:rPr>
          <w:rFonts w:ascii="Bookman Old Style" w:hAnsi="Bookman Old Style"/>
        </w:rPr>
        <w:t xml:space="preserve"> </w:t>
      </w:r>
      <w:r w:rsidR="0038102D" w:rsidRPr="00ED6681">
        <w:rPr>
          <w:rFonts w:ascii="Bookman Old Style" w:hAnsi="Bookman Old Style"/>
        </w:rPr>
        <w:t>135</w:t>
      </w:r>
      <w:r w:rsidR="000D1AAF">
        <w:rPr>
          <w:rFonts w:ascii="Bookman Old Style" w:hAnsi="Bookman Old Style"/>
        </w:rPr>
        <w:t>5</w:t>
      </w:r>
      <w:r w:rsidR="002D54FD" w:rsidRPr="00ED6681">
        <w:rPr>
          <w:rFonts w:ascii="Bookman Old Style" w:hAnsi="Bookman Old Style"/>
        </w:rPr>
        <w:t xml:space="preserve"> del </w:t>
      </w:r>
      <w:r w:rsidR="00D260CE">
        <w:rPr>
          <w:rFonts w:ascii="Bookman Old Style" w:hAnsi="Bookman Old Style"/>
        </w:rPr>
        <w:t>7</w:t>
      </w:r>
      <w:r w:rsidR="00320D87" w:rsidRPr="00ED6681">
        <w:rPr>
          <w:rFonts w:ascii="Bookman Old Style" w:hAnsi="Bookman Old Style"/>
          <w:color w:val="FF0000"/>
        </w:rPr>
        <w:t xml:space="preserve"> </w:t>
      </w:r>
      <w:r w:rsidR="00320D87" w:rsidRPr="00D260CE">
        <w:rPr>
          <w:rFonts w:ascii="Bookman Old Style" w:hAnsi="Bookman Old Style"/>
        </w:rPr>
        <w:t>de</w:t>
      </w:r>
      <w:r w:rsidR="001D62CA" w:rsidRPr="00D260CE">
        <w:rPr>
          <w:rFonts w:ascii="Bookman Old Style" w:hAnsi="Bookman Old Style"/>
        </w:rPr>
        <w:t xml:space="preserve"> </w:t>
      </w:r>
      <w:r w:rsidR="00D260CE">
        <w:rPr>
          <w:rFonts w:ascii="Bookman Old Style" w:hAnsi="Bookman Old Style"/>
        </w:rPr>
        <w:t>noviembre</w:t>
      </w:r>
      <w:r w:rsidR="00320D87" w:rsidRPr="00D260CE">
        <w:rPr>
          <w:rFonts w:ascii="Bookman Old Style" w:hAnsi="Bookman Old Style"/>
        </w:rPr>
        <w:t xml:space="preserve"> </w:t>
      </w:r>
      <w:r w:rsidR="002D54FD" w:rsidRPr="00D260CE">
        <w:rPr>
          <w:rFonts w:ascii="Bookman Old Style" w:hAnsi="Bookman Old Style"/>
        </w:rPr>
        <w:t>de 202</w:t>
      </w:r>
      <w:r w:rsidR="00BF2B4D" w:rsidRPr="00D260CE">
        <w:rPr>
          <w:rFonts w:ascii="Bookman Old Style" w:hAnsi="Bookman Old Style"/>
        </w:rPr>
        <w:t>4</w:t>
      </w:r>
      <w:r w:rsidR="002D54FD" w:rsidRPr="000D1AAF">
        <w:rPr>
          <w:rFonts w:ascii="Bookman Old Style" w:hAnsi="Bookman Old Style"/>
        </w:rPr>
        <w:t xml:space="preserve">, </w:t>
      </w:r>
      <w:r w:rsidR="002D54FD" w:rsidRPr="00ED6681">
        <w:rPr>
          <w:rFonts w:ascii="Bookman Old Style" w:hAnsi="Bookman Old Style"/>
        </w:rPr>
        <w:t xml:space="preserve">aprobó someter a consulta pública el presente proyecto de resolución por el término de diez (10) días hábiles, contados a partir del día siguiente a su publicación en el portal web de la </w:t>
      </w:r>
      <w:r w:rsidR="003720C2" w:rsidRPr="00ED6681">
        <w:rPr>
          <w:rFonts w:ascii="Bookman Old Style" w:hAnsi="Bookman Old Style"/>
        </w:rPr>
        <w:t>Entidad</w:t>
      </w:r>
      <w:r w:rsidR="002D54FD" w:rsidRPr="00ED6681">
        <w:rPr>
          <w:rFonts w:ascii="Bookman Old Style" w:hAnsi="Bookman Old Style"/>
        </w:rPr>
        <w:t>.</w:t>
      </w:r>
    </w:p>
    <w:p w14:paraId="6176CA56" w14:textId="77777777" w:rsidR="002D54FD" w:rsidRPr="00ED6681" w:rsidRDefault="002D54FD" w:rsidP="00ED6681">
      <w:pPr>
        <w:ind w:left="0"/>
        <w:jc w:val="both"/>
        <w:rPr>
          <w:rFonts w:ascii="Bookman Old Style" w:hAnsi="Bookman Old Style"/>
        </w:rPr>
      </w:pPr>
    </w:p>
    <w:p w14:paraId="30731567" w14:textId="5530BB22" w:rsidR="00C034CB" w:rsidRPr="00ED6681" w:rsidRDefault="002D54FD" w:rsidP="00ED6681">
      <w:pPr>
        <w:ind w:left="0"/>
        <w:jc w:val="both"/>
        <w:rPr>
          <w:rFonts w:ascii="Bookman Old Style" w:hAnsi="Bookman Old Style"/>
          <w:i/>
        </w:rPr>
      </w:pPr>
      <w:r w:rsidRPr="00ED6681">
        <w:rPr>
          <w:rFonts w:ascii="Bookman Old Style" w:hAnsi="Bookman Old Style"/>
        </w:rPr>
        <w:t xml:space="preserve">Se invita a los prestadores de los servicios públicos </w:t>
      </w:r>
      <w:r w:rsidR="00670D02" w:rsidRPr="00ED6681">
        <w:rPr>
          <w:rFonts w:ascii="Bookman Old Style" w:hAnsi="Bookman Old Style"/>
        </w:rPr>
        <w:t>domiciliarios</w:t>
      </w:r>
      <w:r w:rsidRPr="00ED6681">
        <w:rPr>
          <w:rFonts w:ascii="Bookman Old Style" w:hAnsi="Bookman Old Style"/>
        </w:rPr>
        <w:t xml:space="preserve"> suje</w:t>
      </w:r>
      <w:r w:rsidR="00670D02" w:rsidRPr="00ED6681">
        <w:rPr>
          <w:rFonts w:ascii="Bookman Old Style" w:hAnsi="Bookman Old Style"/>
        </w:rPr>
        <w:t xml:space="preserve">tos a la regulación de la </w:t>
      </w:r>
      <w:r w:rsidR="003720C2" w:rsidRPr="00ED6681">
        <w:rPr>
          <w:rFonts w:ascii="Bookman Old Style" w:hAnsi="Bookman Old Style"/>
        </w:rPr>
        <w:t>Comisión de Regulación de Energía y Gas – CREG</w:t>
      </w:r>
      <w:r w:rsidR="00C37EC8" w:rsidRPr="00ED6681">
        <w:rPr>
          <w:rFonts w:ascii="Bookman Old Style" w:hAnsi="Bookman Old Style"/>
        </w:rPr>
        <w:t>, los usuario</w:t>
      </w:r>
      <w:r w:rsidR="63A20792" w:rsidRPr="00ED6681">
        <w:rPr>
          <w:rFonts w:ascii="Bookman Old Style" w:hAnsi="Bookman Old Style"/>
        </w:rPr>
        <w:t>s</w:t>
      </w:r>
      <w:r w:rsidR="00C37EC8" w:rsidRPr="00ED6681">
        <w:rPr>
          <w:rFonts w:ascii="Bookman Old Style" w:hAnsi="Bookman Old Style"/>
        </w:rPr>
        <w:t>, las autoridades</w:t>
      </w:r>
      <w:r w:rsidR="00670D02" w:rsidRPr="00ED6681">
        <w:rPr>
          <w:rFonts w:ascii="Bookman Old Style" w:hAnsi="Bookman Old Style"/>
        </w:rPr>
        <w:t xml:space="preserve"> y</w:t>
      </w:r>
      <w:r w:rsidRPr="00ED6681">
        <w:rPr>
          <w:rFonts w:ascii="Bookman Old Style" w:hAnsi="Bookman Old Style"/>
        </w:rPr>
        <w:t xml:space="preserve"> demás </w:t>
      </w:r>
      <w:r w:rsidR="00C37EC8" w:rsidRPr="00ED6681">
        <w:rPr>
          <w:rFonts w:ascii="Bookman Old Style" w:hAnsi="Bookman Old Style"/>
        </w:rPr>
        <w:t xml:space="preserve">partes </w:t>
      </w:r>
      <w:r w:rsidRPr="00ED6681">
        <w:rPr>
          <w:rFonts w:ascii="Bookman Old Style" w:hAnsi="Bookman Old Style"/>
        </w:rPr>
        <w:t>interesad</w:t>
      </w:r>
      <w:r w:rsidR="00C37EC8" w:rsidRPr="00ED6681">
        <w:rPr>
          <w:rFonts w:ascii="Bookman Old Style" w:hAnsi="Bookman Old Style"/>
        </w:rPr>
        <w:t>as</w:t>
      </w:r>
      <w:r w:rsidRPr="00ED6681">
        <w:rPr>
          <w:rFonts w:ascii="Bookman Old Style" w:hAnsi="Bookman Old Style"/>
        </w:rPr>
        <w:t>, para que remitan s</w:t>
      </w:r>
      <w:r w:rsidR="2507BE79" w:rsidRPr="00ED6681">
        <w:rPr>
          <w:rFonts w:ascii="Bookman Old Style" w:hAnsi="Bookman Old Style"/>
        </w:rPr>
        <w:t xml:space="preserve">us </w:t>
      </w:r>
      <w:r w:rsidR="00C37EC8" w:rsidRPr="00ED6681">
        <w:rPr>
          <w:rFonts w:ascii="Bookman Old Style" w:hAnsi="Bookman Old Style"/>
        </w:rPr>
        <w:t xml:space="preserve"> </w:t>
      </w:r>
      <w:r w:rsidRPr="00ED6681">
        <w:rPr>
          <w:rFonts w:ascii="Bookman Old Style" w:hAnsi="Bookman Old Style"/>
        </w:rPr>
        <w:t xml:space="preserve">observaciones </w:t>
      </w:r>
      <w:r w:rsidR="00C37EC8" w:rsidRPr="00ED6681">
        <w:rPr>
          <w:rFonts w:ascii="Bookman Old Style" w:hAnsi="Bookman Old Style"/>
        </w:rPr>
        <w:t>y/</w:t>
      </w:r>
      <w:r w:rsidRPr="00ED6681">
        <w:rPr>
          <w:rFonts w:ascii="Bookman Old Style" w:hAnsi="Bookman Old Style"/>
        </w:rPr>
        <w:t xml:space="preserve">o sugerencias sobre </w:t>
      </w:r>
      <w:r w:rsidR="00C37EC8" w:rsidRPr="00ED6681">
        <w:rPr>
          <w:rFonts w:ascii="Bookman Old Style" w:hAnsi="Bookman Old Style"/>
        </w:rPr>
        <w:t>el proyecto de resolución</w:t>
      </w:r>
      <w:r w:rsidR="003E3FB3" w:rsidRPr="00ED6681">
        <w:rPr>
          <w:rFonts w:ascii="Bookman Old Style" w:hAnsi="Bookman Old Style"/>
        </w:rPr>
        <w:t xml:space="preserve"> </w:t>
      </w:r>
      <w:r w:rsidR="3AB5BAF7" w:rsidRPr="00ED6681">
        <w:rPr>
          <w:rFonts w:ascii="Bookman Old Style" w:hAnsi="Bookman Old Style"/>
        </w:rPr>
        <w:t xml:space="preserve">mediante comunicación </w:t>
      </w:r>
      <w:r w:rsidR="00C37EC8" w:rsidRPr="00ED6681">
        <w:rPr>
          <w:rFonts w:ascii="Bookman Old Style" w:hAnsi="Bookman Old Style"/>
        </w:rPr>
        <w:t xml:space="preserve">dirigida </w:t>
      </w:r>
      <w:r w:rsidRPr="00ED6681">
        <w:rPr>
          <w:rFonts w:ascii="Bookman Old Style" w:hAnsi="Bookman Old Style"/>
        </w:rPr>
        <w:t xml:space="preserve">al </w:t>
      </w:r>
      <w:r w:rsidR="00D924C4" w:rsidRPr="00ED6681">
        <w:rPr>
          <w:rFonts w:ascii="Bookman Old Style" w:hAnsi="Bookman Old Style"/>
        </w:rPr>
        <w:t>director ejecutivo</w:t>
      </w:r>
      <w:r w:rsidRPr="00ED6681">
        <w:rPr>
          <w:rFonts w:ascii="Bookman Old Style" w:hAnsi="Bookman Old Style"/>
        </w:rPr>
        <w:t>, al correo electrónico</w:t>
      </w:r>
      <w:r w:rsidR="00C37EC8" w:rsidRPr="00ED6681">
        <w:rPr>
          <w:rFonts w:ascii="Bookman Old Style" w:hAnsi="Bookman Old Style"/>
        </w:rPr>
        <w:t>:</w:t>
      </w:r>
      <w:r w:rsidRPr="00ED6681">
        <w:rPr>
          <w:rFonts w:ascii="Bookman Old Style" w:hAnsi="Bookman Old Style"/>
        </w:rPr>
        <w:t xml:space="preserve"> </w:t>
      </w:r>
      <w:r w:rsidRPr="00ED6681">
        <w:rPr>
          <w:rFonts w:ascii="Bookman Old Style" w:hAnsi="Bookman Old Style"/>
          <w:b/>
          <w:bCs/>
        </w:rPr>
        <w:t>creg@creg.gov.co</w:t>
      </w:r>
      <w:r w:rsidRPr="00ED6681">
        <w:rPr>
          <w:rFonts w:ascii="Bookman Old Style" w:hAnsi="Bookman Old Style"/>
        </w:rPr>
        <w:t xml:space="preserve">, </w:t>
      </w:r>
      <w:r w:rsidR="00DE3380" w:rsidRPr="00ED6681">
        <w:rPr>
          <w:rFonts w:ascii="Bookman Old Style" w:hAnsi="Bookman Old Style"/>
        </w:rPr>
        <w:t xml:space="preserve">dentro del plazo </w:t>
      </w:r>
      <w:r w:rsidR="494DFC1A" w:rsidRPr="00ED6681">
        <w:rPr>
          <w:rFonts w:ascii="Bookman Old Style" w:hAnsi="Bookman Old Style"/>
        </w:rPr>
        <w:t>señalado anterio</w:t>
      </w:r>
      <w:r w:rsidR="00751E9A" w:rsidRPr="00ED6681">
        <w:rPr>
          <w:rFonts w:ascii="Bookman Old Style" w:hAnsi="Bookman Old Style"/>
        </w:rPr>
        <w:t>r</w:t>
      </w:r>
      <w:r w:rsidR="494DFC1A" w:rsidRPr="00ED6681">
        <w:rPr>
          <w:rFonts w:ascii="Bookman Old Style" w:hAnsi="Bookman Old Style"/>
        </w:rPr>
        <w:t>mente</w:t>
      </w:r>
      <w:r w:rsidR="00DE3380" w:rsidRPr="00ED6681">
        <w:rPr>
          <w:rFonts w:ascii="Bookman Old Style" w:hAnsi="Bookman Old Style"/>
        </w:rPr>
        <w:t xml:space="preserve">, </w:t>
      </w:r>
      <w:r w:rsidRPr="00ED6681">
        <w:rPr>
          <w:rFonts w:ascii="Bookman Old Style" w:hAnsi="Bookman Old Style"/>
        </w:rPr>
        <w:t xml:space="preserve">identificando </w:t>
      </w:r>
      <w:r w:rsidR="002B06D3" w:rsidRPr="00ED6681">
        <w:rPr>
          <w:rFonts w:ascii="Bookman Old Style" w:hAnsi="Bookman Old Style"/>
        </w:rPr>
        <w:t xml:space="preserve">en </w:t>
      </w:r>
      <w:r w:rsidRPr="00ED6681">
        <w:rPr>
          <w:rFonts w:ascii="Bookman Old Style" w:hAnsi="Bookman Old Style"/>
        </w:rPr>
        <w:t xml:space="preserve">el </w:t>
      </w:r>
      <w:r w:rsidR="00C37EC8" w:rsidRPr="00ED6681">
        <w:rPr>
          <w:rFonts w:ascii="Bookman Old Style" w:hAnsi="Bookman Old Style"/>
        </w:rPr>
        <w:t>asunto de</w:t>
      </w:r>
      <w:r w:rsidR="1EA94471" w:rsidRPr="00ED6681">
        <w:rPr>
          <w:rFonts w:ascii="Bookman Old Style" w:hAnsi="Bookman Old Style"/>
        </w:rPr>
        <w:t xml:space="preserve"> </w:t>
      </w:r>
      <w:r w:rsidR="4AE9CC7B" w:rsidRPr="00ED6681">
        <w:rPr>
          <w:rFonts w:ascii="Bookman Old Style" w:hAnsi="Bookman Old Style"/>
        </w:rPr>
        <w:t>su comunicación</w:t>
      </w:r>
      <w:r w:rsidR="00C37EC8" w:rsidRPr="00ED6681">
        <w:rPr>
          <w:rFonts w:ascii="Bookman Old Style" w:hAnsi="Bookman Old Style"/>
        </w:rPr>
        <w:t xml:space="preserve"> </w:t>
      </w:r>
      <w:r w:rsidRPr="00ED6681">
        <w:rPr>
          <w:rFonts w:ascii="Bookman Old Style" w:hAnsi="Bookman Old Style"/>
        </w:rPr>
        <w:t xml:space="preserve">el siguiente </w:t>
      </w:r>
      <w:r w:rsidR="00C37EC8" w:rsidRPr="00ED6681">
        <w:rPr>
          <w:rFonts w:ascii="Bookman Old Style" w:hAnsi="Bookman Old Style"/>
        </w:rPr>
        <w:t>mensaje</w:t>
      </w:r>
      <w:r w:rsidR="00DE3380" w:rsidRPr="00ED6681">
        <w:rPr>
          <w:rFonts w:ascii="Bookman Old Style" w:hAnsi="Bookman Old Style"/>
        </w:rPr>
        <w:t xml:space="preserve">: </w:t>
      </w:r>
      <w:r w:rsidR="7DFBB709" w:rsidRPr="00ED6681">
        <w:rPr>
          <w:rFonts w:ascii="Bookman Old Style" w:hAnsi="Bookman Old Style"/>
          <w:i/>
          <w:iCs/>
        </w:rPr>
        <w:t>“</w:t>
      </w:r>
      <w:r w:rsidR="00C37EC8" w:rsidRPr="00ED6681">
        <w:rPr>
          <w:rFonts w:ascii="Bookman Old Style" w:hAnsi="Bookman Old Style"/>
          <w:i/>
        </w:rPr>
        <w:t xml:space="preserve">Proyecto </w:t>
      </w:r>
      <w:r w:rsidR="003657F7" w:rsidRPr="00ED6681">
        <w:rPr>
          <w:rFonts w:ascii="Bookman Old Style" w:hAnsi="Bookman Old Style"/>
          <w:i/>
        </w:rPr>
        <w:t xml:space="preserve">de </w:t>
      </w:r>
      <w:r w:rsidR="00C37EC8" w:rsidRPr="00ED6681">
        <w:rPr>
          <w:rFonts w:ascii="Bookman Old Style" w:hAnsi="Bookman Old Style"/>
          <w:i/>
        </w:rPr>
        <w:t xml:space="preserve">resolución </w:t>
      </w:r>
      <w:r w:rsidR="003657F7" w:rsidRPr="00ED6681">
        <w:rPr>
          <w:rFonts w:ascii="Bookman Old Style" w:hAnsi="Bookman Old Style"/>
          <w:i/>
        </w:rPr>
        <w:t xml:space="preserve">de </w:t>
      </w:r>
      <w:r w:rsidR="00C37EC8" w:rsidRPr="00ED6681">
        <w:rPr>
          <w:rFonts w:ascii="Bookman Old Style" w:hAnsi="Bookman Old Style"/>
          <w:i/>
        </w:rPr>
        <w:t>c</w:t>
      </w:r>
      <w:r w:rsidR="00DE3380" w:rsidRPr="00ED6681">
        <w:rPr>
          <w:rFonts w:ascii="Bookman Old Style" w:hAnsi="Bookman Old Style"/>
          <w:i/>
        </w:rPr>
        <w:t xml:space="preserve">ontribución especial </w:t>
      </w:r>
      <w:r w:rsidR="00C37EC8" w:rsidRPr="00ED6681">
        <w:rPr>
          <w:rFonts w:ascii="Bookman Old Style" w:hAnsi="Bookman Old Style"/>
          <w:i/>
        </w:rPr>
        <w:t xml:space="preserve">de </w:t>
      </w:r>
      <w:r w:rsidR="00DE3380" w:rsidRPr="00ED6681">
        <w:rPr>
          <w:rFonts w:ascii="Bookman Old Style" w:hAnsi="Bookman Old Style"/>
          <w:i/>
        </w:rPr>
        <w:t>202</w:t>
      </w:r>
      <w:r w:rsidR="004A3999" w:rsidRPr="00ED6681">
        <w:rPr>
          <w:rFonts w:ascii="Bookman Old Style" w:hAnsi="Bookman Old Style"/>
          <w:i/>
        </w:rPr>
        <w:t>3</w:t>
      </w:r>
      <w:r w:rsidR="5BC3108A" w:rsidRPr="00ED6681">
        <w:rPr>
          <w:rFonts w:ascii="Bookman Old Style" w:hAnsi="Bookman Old Style"/>
          <w:i/>
          <w:iCs/>
        </w:rPr>
        <w:t>”</w:t>
      </w:r>
      <w:r w:rsidR="00DE3380" w:rsidRPr="00ED6681">
        <w:rPr>
          <w:rFonts w:ascii="Bookman Old Style" w:hAnsi="Bookman Old Style"/>
          <w:i/>
          <w:iCs/>
        </w:rPr>
        <w:t>.</w:t>
      </w:r>
    </w:p>
    <w:p w14:paraId="5D8557C8" w14:textId="5F858D30" w:rsidR="00C37EC8" w:rsidRPr="00ED6681" w:rsidRDefault="00C37EC8" w:rsidP="00ED6681">
      <w:pPr>
        <w:ind w:left="0"/>
        <w:jc w:val="both"/>
        <w:rPr>
          <w:rFonts w:ascii="Bookman Old Style" w:hAnsi="Bookman Old Style"/>
        </w:rPr>
      </w:pPr>
    </w:p>
    <w:p w14:paraId="0D4C40DF" w14:textId="77777777" w:rsidR="00794A58" w:rsidRPr="00ED6681" w:rsidRDefault="00794A58" w:rsidP="00ED6681">
      <w:pPr>
        <w:widowControl w:val="0"/>
        <w:adjustRightInd w:val="0"/>
        <w:ind w:left="0" w:right="20"/>
        <w:jc w:val="center"/>
        <w:rPr>
          <w:rFonts w:ascii="Bookman Old Style" w:hAnsi="Bookman Old Style" w:cs="Arial"/>
          <w:b/>
          <w:bCs/>
          <w:lang w:val="es-ES_tradnl"/>
        </w:rPr>
      </w:pPr>
    </w:p>
    <w:p w14:paraId="7A13144B" w14:textId="61B23947" w:rsidR="00C37EC8" w:rsidRPr="00ED6681" w:rsidRDefault="00C37EC8" w:rsidP="00ED6681">
      <w:pPr>
        <w:widowControl w:val="0"/>
        <w:adjustRightInd w:val="0"/>
        <w:ind w:left="0" w:right="20"/>
        <w:jc w:val="center"/>
        <w:rPr>
          <w:rFonts w:ascii="Bookman Old Style" w:hAnsi="Bookman Old Style" w:cs="Arial"/>
          <w:b/>
          <w:bCs/>
          <w:lang w:val="es-ES_tradnl"/>
        </w:rPr>
      </w:pPr>
      <w:r w:rsidRPr="00ED6681">
        <w:rPr>
          <w:rFonts w:ascii="Bookman Old Style" w:hAnsi="Bookman Old Style" w:cs="Arial"/>
          <w:b/>
          <w:bCs/>
          <w:lang w:val="es-ES_tradnl"/>
        </w:rPr>
        <w:t>PROYECTO DE RESOLUCIÓN</w:t>
      </w:r>
    </w:p>
    <w:p w14:paraId="7E40D64B" w14:textId="77777777" w:rsidR="002D54FD" w:rsidRPr="00ED6681" w:rsidRDefault="002D54FD" w:rsidP="00ED6681">
      <w:pPr>
        <w:ind w:left="0"/>
        <w:rPr>
          <w:rFonts w:ascii="Bookman Old Style" w:hAnsi="Bookman Old Style"/>
          <w:bCs/>
          <w:color w:val="FF0000"/>
          <w:lang w:val="es-CO"/>
        </w:rPr>
      </w:pPr>
    </w:p>
    <w:p w14:paraId="386EF9AA" w14:textId="77777777" w:rsidR="00D51F38" w:rsidRPr="00ED6681" w:rsidRDefault="00D51F38" w:rsidP="00ED6681">
      <w:pPr>
        <w:spacing w:after="160"/>
        <w:ind w:left="0"/>
        <w:jc w:val="both"/>
        <w:rPr>
          <w:rFonts w:ascii="Bookman Old Style" w:eastAsia="Calibri" w:hAnsi="Bookman Old Style"/>
          <w:kern w:val="2"/>
          <w:lang w:val="es-CO" w:eastAsia="en-US"/>
          <w14:ligatures w14:val="standardContextual"/>
        </w:rPr>
      </w:pPr>
      <w:r w:rsidRPr="00ED6681">
        <w:rPr>
          <w:rFonts w:ascii="Bookman Old Style" w:eastAsia="Calibri" w:hAnsi="Bookman Old Style"/>
          <w:kern w:val="2"/>
          <w:lang w:val="es-CO" w:eastAsia="en-US"/>
          <w14:ligatures w14:val="standardContextual"/>
        </w:rPr>
        <w:t>“Por la cual se establece el porcentaje de la contribución especial a favor de la Comisión de Regulación de Energía y Gas, CREG, que deben pagar los prestadores de los servicios públicos domiciliarios de energía eléctrica, gas natural y gas licuado de petróleo (GLP) y sus actividades complementarias, sometidas al ámbito de regulación de la Comisión para el año 2024 y se dictan otras disposiciones.”</w:t>
      </w:r>
    </w:p>
    <w:p w14:paraId="146CAF46" w14:textId="77777777" w:rsidR="00D51F38" w:rsidRPr="00ED6681" w:rsidRDefault="00D51F38" w:rsidP="00ED6681">
      <w:pPr>
        <w:spacing w:after="160"/>
        <w:ind w:left="0"/>
        <w:jc w:val="both"/>
        <w:rPr>
          <w:rFonts w:ascii="Bookman Old Style" w:eastAsia="Calibri" w:hAnsi="Bookman Old Style"/>
          <w:kern w:val="2"/>
          <w:lang w:val="es-CO" w:eastAsia="en-US"/>
          <w14:ligatures w14:val="standardContextual"/>
        </w:rPr>
      </w:pPr>
    </w:p>
    <w:p w14:paraId="288CD2F8" w14:textId="77777777" w:rsidR="00D51F38" w:rsidRPr="00ED6681" w:rsidRDefault="00D51F38" w:rsidP="00ED6681">
      <w:pPr>
        <w:spacing w:after="160"/>
        <w:ind w:left="0"/>
        <w:jc w:val="center"/>
        <w:rPr>
          <w:rFonts w:ascii="Bookman Old Style" w:eastAsia="Calibri" w:hAnsi="Bookman Old Style"/>
          <w:b/>
          <w:kern w:val="2"/>
          <w:lang w:val="es-CO" w:eastAsia="en-US"/>
          <w14:ligatures w14:val="standardContextual"/>
        </w:rPr>
      </w:pPr>
      <w:r w:rsidRPr="00ED6681">
        <w:rPr>
          <w:rFonts w:ascii="Bookman Old Style" w:eastAsia="Calibri" w:hAnsi="Bookman Old Style"/>
          <w:b/>
          <w:kern w:val="2"/>
          <w:lang w:val="es-CO" w:eastAsia="en-US"/>
          <w14:ligatures w14:val="standardContextual"/>
        </w:rPr>
        <w:t>LA COMISIÓN DE REGULACIÓN DE ENERGÍA Y GAS - CREG</w:t>
      </w:r>
    </w:p>
    <w:p w14:paraId="605DCA0D" w14:textId="79E45B02" w:rsidR="00D51F38" w:rsidRDefault="00D51F38" w:rsidP="00ED6681">
      <w:pPr>
        <w:spacing w:after="160"/>
        <w:ind w:left="0"/>
        <w:jc w:val="center"/>
        <w:rPr>
          <w:rFonts w:ascii="Bookman Old Style" w:eastAsia="Calibri" w:hAnsi="Bookman Old Style"/>
          <w:bCs/>
          <w:kern w:val="2"/>
          <w:lang w:val="es-CO" w:eastAsia="en-US"/>
          <w14:ligatures w14:val="standardContextual"/>
        </w:rPr>
      </w:pPr>
      <w:r w:rsidRPr="00ED6681">
        <w:rPr>
          <w:rFonts w:ascii="Bookman Old Style" w:eastAsia="Calibri" w:hAnsi="Bookman Old Style"/>
          <w:bCs/>
          <w:kern w:val="2"/>
          <w:lang w:val="es-CO" w:eastAsia="en-US"/>
          <w14:ligatures w14:val="standardContextual"/>
        </w:rPr>
        <w:t>En ejercicio de sus atribuciones constitucionales y legales, en especial las conferidas por el artículo 85 de la Ley 142 de 1994 y el artículo 22 de la Ley 143 de 1994, y,</w:t>
      </w:r>
    </w:p>
    <w:p w14:paraId="1896AD7C" w14:textId="77777777" w:rsidR="00020FDD" w:rsidRPr="00ED6681" w:rsidRDefault="00020FDD" w:rsidP="00ED6681">
      <w:pPr>
        <w:spacing w:after="160"/>
        <w:ind w:left="0"/>
        <w:jc w:val="center"/>
        <w:rPr>
          <w:rFonts w:ascii="Bookman Old Style" w:eastAsia="Calibri" w:hAnsi="Bookman Old Style"/>
          <w:b/>
          <w:kern w:val="2"/>
          <w:lang w:val="es-CO" w:eastAsia="en-US"/>
          <w14:ligatures w14:val="standardContextual"/>
        </w:rPr>
      </w:pPr>
    </w:p>
    <w:p w14:paraId="435BB046" w14:textId="3D8030FE" w:rsidR="00D51F38" w:rsidRPr="00ED6681" w:rsidRDefault="00D51F38" w:rsidP="00ED6681">
      <w:pPr>
        <w:spacing w:after="160"/>
        <w:ind w:left="0"/>
        <w:jc w:val="center"/>
        <w:rPr>
          <w:rFonts w:ascii="Bookman Old Style" w:eastAsia="Calibri" w:hAnsi="Bookman Old Style"/>
          <w:b/>
          <w:kern w:val="2"/>
          <w:lang w:val="es-CO" w:eastAsia="en-US"/>
          <w14:ligatures w14:val="standardContextual"/>
        </w:rPr>
      </w:pPr>
      <w:r w:rsidRPr="00ED6681">
        <w:rPr>
          <w:rFonts w:ascii="Bookman Old Style" w:eastAsia="Calibri" w:hAnsi="Bookman Old Style"/>
          <w:b/>
          <w:kern w:val="2"/>
          <w:lang w:val="es-CO" w:eastAsia="en-US"/>
          <w14:ligatures w14:val="standardContextual"/>
        </w:rPr>
        <w:t>CONSIDERANDO:</w:t>
      </w:r>
    </w:p>
    <w:p w14:paraId="2F863AFB"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La Comisión de Regulación de Energía y Gas – CREG, es una entidad pública del nivel nacional, adscrita al Ministerio de Minas y Energía, organizada como Unidad Administrativa Especial (UAE), con autonomía administrativa, técnica y financiera, hace parte del Presupuesto General de la Nación (PGN) y es del ámbito del Sistema Integrado de Información Financiera de la Nación (SIIF).</w:t>
      </w:r>
    </w:p>
    <w:p w14:paraId="4B9188F3"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93F9CFC"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lastRenderedPageBreak/>
        <w:t>Las leyes 142 y 143 de 1994 le asignan a la Comisión de Regulación de Energía y Gas la función de regulación de los servicios públicos domiciliarios de energía eléctrica y gas combustible y el ejercicio de las actividades de estos sectores, para asegurar la prestación eficiente, continua, confiable y de calidad de estos servicios y la disponibilidad de una oferta energética eficiente.</w:t>
      </w:r>
    </w:p>
    <w:p w14:paraId="087626B3"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37B74884"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Con el fin de recuperar los costos del servicio de regulación que presta la Comisión, las citadas leyes crearon una tasa parafiscal de contribución especial de regulación que se debe liquidar y cobrar cada año, conforme las reglas que establecen los artículos 85 de la ley 142 y 22 de la ley 143 de 1994. Adicionalmente, para cubrir los costos de la regulación de las actividades de la cadena de combustibles líquidos, delegadas por el Ministerio de Minas y Energía y del Ministerio de Hacienda y Crédito Público, la CREG percibe sus recursos por colocación de fondos de la Dirección General de Crédito Público y Tesoro Nacional -DGCPTN, del Ministerio de Hacienda y Crédito Público -MHCP.</w:t>
      </w:r>
    </w:p>
    <w:p w14:paraId="0D65BF3B"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365F4A8"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De conformidad con lo dispuesto en las Leyes 142 de 1994, 143 de 1994, 689 de 2001, las disposiciones aquí descritas son aplicables a quienes ostenten la calidad de personas prestadoras de servicios públicos domiciliarios y aquellas que en general realicen actividades complementarias a los mismos.</w:t>
      </w:r>
    </w:p>
    <w:p w14:paraId="496789AD"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41997FA"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El artículo 85 de la Ley 142 de 1994, determina los aspectos básicos de la contribución y define los siguientes aspectos: los sujetos activos y pasivos del tributo, el hecho generador, la base gravable, la tarifa máxima y los elementos para determinarla, y la fuente de información para su cálculo.</w:t>
      </w:r>
    </w:p>
    <w:p w14:paraId="04E81B67" w14:textId="77777777" w:rsidR="00D51F38" w:rsidRPr="00ED6681" w:rsidRDefault="00D51F38" w:rsidP="00ED6681">
      <w:pPr>
        <w:ind w:left="0"/>
        <w:jc w:val="both"/>
        <w:rPr>
          <w:rFonts w:ascii="Bookman Old Style" w:eastAsia="Calibri" w:hAnsi="Bookman Old Style" w:cs="Arial"/>
          <w:i/>
          <w:iCs/>
          <w:kern w:val="2"/>
          <w:lang w:val="es-CO" w:eastAsia="en-US"/>
          <w14:ligatures w14:val="standardContextual"/>
        </w:rPr>
      </w:pPr>
    </w:p>
    <w:p w14:paraId="57700021"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El artículo 85 de la Ley 142 de 1994, establece las siguientes reglas para liquidar la contribución especial:</w:t>
      </w:r>
    </w:p>
    <w:p w14:paraId="7EC1D74A"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6D6D21E6"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85.1. Para definir los costos de los servicios que presten las Comisiones y la Superintendencia, se tendrán en cuenta todos los gastos de funcionamiento, y la depreciación, amortización u obsolescencia de sus activos, en el período anual respectivo.</w:t>
      </w:r>
    </w:p>
    <w:p w14:paraId="0EBA63AD"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F8EA5B6"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85.2. La superintendencia y las comisiones presupuestarán sus gastos cada año y cobrarán dentro de los límites que enseguida se señalan, solamente la tarifa que arroje el valor necesario para cubrir su presupuesto anual.</w:t>
      </w:r>
    </w:p>
    <w:p w14:paraId="3E7803FE"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D3E0F0D"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La tarifa máxima de cada contribución no podrá ser superior al uno por ciento (1%) del valor de los gastos de funcionamiento, asociados al servicio sometido a regulación, de la entidad contribuyente en el año anterior a aquel en el que se haga el cobro, de acuerdo con los estados financieros puestos a disposición de la Superintendencia y de las Comisiones, cada una de las cuales e independientemente y con base en su estudio fijarán la tarifa correspondiente.</w:t>
      </w:r>
    </w:p>
    <w:p w14:paraId="70D42F26"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721C54F"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85.3. Modificado parcialmente por el Artículo 132 de la Ley 812 de 2003. Si en algún momento las Comisiones o la Superintendencia tuvieren excedentes, deberán reembolsarlos a los contribuyentes, o abonarlos a las contribuciones del siguiente período, o transferirlos a la Nación, si las otras medidas no fueran posibles.</w:t>
      </w:r>
    </w:p>
    <w:p w14:paraId="059B2EF6"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D653CE1"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lastRenderedPageBreak/>
        <w:t>85.4. El cálculo de la suma a cargo de cada contribuyente, en cuanto a los costos de regulación, se hará teniendo en cuenta los costos de la comisión que regula el sector en el cual se desempeña; y el de los costos de vigilancia, atendiendo a los de la Superintendencia.</w:t>
      </w:r>
    </w:p>
    <w:p w14:paraId="1FDD4F58"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85.5. La liquidación y recaudo de las contribuciones correspondientes al servicio de regulación se efectuará por las comisiones respectivas y las correspondientes al servicio de inspección, control y vigilancia estarán a cargo de la Superintendencia.</w:t>
      </w:r>
    </w:p>
    <w:p w14:paraId="0839A103"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5E2B2DA"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85.6. Una vez en firme las liquidaciones deberán ser canceladas dentro del mes siguiente. Se aplicará el mismo régimen de sanción por mora aplicable al impuesto sobre la renta y complementarios, sin perjuicio de las demás sanciones de que trata esta Ley.</w:t>
      </w:r>
    </w:p>
    <w:p w14:paraId="04F428F8"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5D4686B"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PARÁGRAFO 1. Las Comisiones y la Superintendencia se financiarán exclusivamente con las contribuciones a las que se refiere este artículo y con la venta de sus publicaciones. Sin embargo, el gobierno incluirá en el presupuesto de la Nación apropiaciones suficientes para el funcionamiento de las Comisiones y de la Superintendencia durante los dos primeros años.</w:t>
      </w:r>
    </w:p>
    <w:p w14:paraId="60B69ECB"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58F6CE5A"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PARÁGRAFO 2. Al fijar las contribuciones especiales se eliminarán, de los gastos de funcionamiento, los gastos operativos; en las empresas del sector eléctrico, las compras de electricidad, las compras de combustibles y los peajes, cuando hubiere lugar a ello; y en las empresas de otros sectores los gastos de naturaleza similar a éstos. Estos rubros podrán ser adicionados en la misma proporción en que sean indispensables para cubrir faltantes presupuestales de las comisiones y la superintendencia.</w:t>
      </w:r>
    </w:p>
    <w:p w14:paraId="0F572F29"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EB8F0EB"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A su turno, el artículo 22 de la Ley 143 de 1994, ordena: </w:t>
      </w:r>
    </w:p>
    <w:p w14:paraId="37FF239D"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5206195F" w14:textId="77777777" w:rsidR="00D51F38" w:rsidRPr="00ED6681" w:rsidRDefault="00D51F38" w:rsidP="00ED6681">
      <w:pPr>
        <w:ind w:left="142"/>
        <w:jc w:val="both"/>
        <w:rPr>
          <w:rFonts w:ascii="Bookman Old Style" w:eastAsia="Calibri" w:hAnsi="Bookman Old Style" w:cs="Arial"/>
          <w:i/>
          <w:iCs/>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w:t>
      </w:r>
      <w:r w:rsidRPr="00ED6681">
        <w:rPr>
          <w:rFonts w:ascii="Bookman Old Style" w:eastAsia="Calibri" w:hAnsi="Bookman Old Style" w:cs="Arial"/>
          <w:i/>
          <w:iCs/>
          <w:kern w:val="2"/>
          <w:lang w:val="es-CO" w:eastAsia="en-US"/>
          <w14:ligatures w14:val="standardContextual"/>
        </w:rPr>
        <w:t xml:space="preserve">Los costos del servicio de regulación serán cubiertos por todas las entidades sometidas a su regulación y el monto total de la contribución no podrá ser superior al 1%, del valor de los gastos de funcionamiento excluyendo los gastos operativos, compras de electricidad, compras de combustibles y peajes, cuando hubiere lugar a ello, de la entidad regulada, incurrido el año anterior a aquel en que se haga el cobro, de acuerdo con los estados financieros puestos a disposición de la Superintendencia de Servicios Públicos y de la Comisión de Regulación de Energía y Gas. </w:t>
      </w:r>
    </w:p>
    <w:p w14:paraId="4F083B76" w14:textId="77777777" w:rsidR="00D51F38" w:rsidRPr="00ED6681" w:rsidRDefault="00D51F38" w:rsidP="00ED6681">
      <w:pPr>
        <w:ind w:left="142"/>
        <w:jc w:val="both"/>
        <w:rPr>
          <w:rFonts w:ascii="Bookman Old Style" w:eastAsia="Calibri" w:hAnsi="Bookman Old Style" w:cs="Arial"/>
          <w:i/>
          <w:iCs/>
          <w:kern w:val="2"/>
          <w:lang w:val="es-CO" w:eastAsia="en-US"/>
          <w14:ligatures w14:val="standardContextual"/>
        </w:rPr>
      </w:pPr>
    </w:p>
    <w:p w14:paraId="09DDF191" w14:textId="77777777" w:rsidR="00D51F38" w:rsidRPr="00ED6681" w:rsidRDefault="00D51F38" w:rsidP="00ED6681">
      <w:pPr>
        <w:ind w:left="142"/>
        <w:jc w:val="both"/>
        <w:rPr>
          <w:rFonts w:ascii="Bookman Old Style" w:eastAsia="Calibri" w:hAnsi="Bookman Old Style" w:cs="Arial"/>
          <w:i/>
          <w:iCs/>
          <w:kern w:val="2"/>
          <w:lang w:val="es-CO" w:eastAsia="en-US"/>
          <w14:ligatures w14:val="standardContextual"/>
        </w:rPr>
      </w:pPr>
      <w:r w:rsidRPr="00ED6681">
        <w:rPr>
          <w:rFonts w:ascii="Bookman Old Style" w:eastAsia="Calibri" w:hAnsi="Bookman Old Style" w:cs="Arial"/>
          <w:i/>
          <w:iCs/>
          <w:kern w:val="2"/>
          <w:lang w:val="es-CO" w:eastAsia="en-US"/>
          <w14:ligatures w14:val="standardContextual"/>
        </w:rPr>
        <w:t>El monto de la contribución que le corresponde pagar a cada entidad será liquidado por la Comisión de Regulación de Energía y Gas. Las contribuciones deberán ser pagadas dentro de los primeros treinta (30) días calendario siguientes al respectivo recaudo, en la entidad o entidades financieras señaladas para recibir este recaudo.</w:t>
      </w:r>
    </w:p>
    <w:p w14:paraId="2288F708" w14:textId="77777777" w:rsidR="00D51F38" w:rsidRPr="00ED6681" w:rsidRDefault="00D51F38" w:rsidP="00ED6681">
      <w:pPr>
        <w:ind w:left="142"/>
        <w:jc w:val="both"/>
        <w:rPr>
          <w:rFonts w:ascii="Bookman Old Style" w:eastAsia="Calibri" w:hAnsi="Bookman Old Style" w:cs="Arial"/>
          <w:i/>
          <w:iCs/>
          <w:kern w:val="2"/>
          <w:lang w:val="es-CO" w:eastAsia="en-US"/>
          <w14:ligatures w14:val="standardContextual"/>
        </w:rPr>
      </w:pPr>
    </w:p>
    <w:p w14:paraId="7B79BFF3" w14:textId="77777777" w:rsidR="00D51F38" w:rsidRPr="00ED6681" w:rsidRDefault="00D51F38" w:rsidP="00ED6681">
      <w:pPr>
        <w:ind w:left="142"/>
        <w:jc w:val="both"/>
        <w:rPr>
          <w:rFonts w:ascii="Bookman Old Style" w:eastAsia="Calibri" w:hAnsi="Bookman Old Style" w:cs="Arial"/>
          <w:i/>
          <w:iCs/>
          <w:kern w:val="2"/>
          <w:lang w:val="es-CO" w:eastAsia="en-US"/>
          <w14:ligatures w14:val="standardContextual"/>
        </w:rPr>
      </w:pPr>
      <w:r w:rsidRPr="00ED6681">
        <w:rPr>
          <w:rFonts w:ascii="Bookman Old Style" w:eastAsia="Calibri" w:hAnsi="Bookman Old Style" w:cs="Arial"/>
          <w:b/>
          <w:bCs/>
          <w:i/>
          <w:iCs/>
          <w:kern w:val="2"/>
          <w:lang w:val="es-CO" w:eastAsia="en-US"/>
          <w14:ligatures w14:val="standardContextual"/>
        </w:rPr>
        <w:t>Parágrafo.</w:t>
      </w:r>
      <w:r w:rsidRPr="00ED6681">
        <w:rPr>
          <w:rFonts w:ascii="Bookman Old Style" w:eastAsia="Calibri" w:hAnsi="Bookman Old Style" w:cs="Arial"/>
          <w:i/>
          <w:iCs/>
          <w:kern w:val="2"/>
          <w:lang w:val="es-CO" w:eastAsia="en-US"/>
          <w14:ligatures w14:val="standardContextual"/>
        </w:rPr>
        <w:t> La Comisión de Regulación de Energía y Gas fijará anualmente su presupuesto, el cual deberá ser aprobado por el Gobierno Nacional.”</w:t>
      </w:r>
    </w:p>
    <w:p w14:paraId="08C5C983"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6D0605D"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El artículo 11 de la Ley 142 de 1994 determina que: “</w:t>
      </w:r>
      <w:r w:rsidRPr="00ED6681">
        <w:rPr>
          <w:rFonts w:ascii="Bookman Old Style" w:eastAsia="Calibri" w:hAnsi="Bookman Old Style" w:cs="Arial"/>
          <w:i/>
          <w:iCs/>
          <w:kern w:val="2"/>
          <w:lang w:val="es-CO" w:eastAsia="en-US"/>
          <w14:ligatures w14:val="standardContextual"/>
        </w:rPr>
        <w:t>Para cumplir con la función social de la propiedad, pública o privada, las entidades que presten servicios públicos tienen las siguientes obligaciones</w:t>
      </w:r>
      <w:r w:rsidRPr="00ED6681">
        <w:rPr>
          <w:rFonts w:ascii="Bookman Old Style" w:eastAsia="Calibri" w:hAnsi="Bookman Old Style" w:cs="Arial"/>
          <w:kern w:val="2"/>
          <w:lang w:val="es-CO" w:eastAsia="en-US"/>
          <w14:ligatures w14:val="standardContextual"/>
        </w:rPr>
        <w:t xml:space="preserve">: </w:t>
      </w:r>
    </w:p>
    <w:p w14:paraId="230D84FD" w14:textId="77777777" w:rsidR="00D51F38" w:rsidRPr="00ED6681" w:rsidRDefault="00D51F38" w:rsidP="00ED6681">
      <w:pPr>
        <w:ind w:left="0"/>
        <w:jc w:val="both"/>
        <w:rPr>
          <w:rFonts w:ascii="Bookman Old Style" w:eastAsia="Calibri" w:hAnsi="Bookman Old Style" w:cs="Arial"/>
          <w:i/>
          <w:iCs/>
          <w:kern w:val="2"/>
          <w:lang w:val="es-CO" w:eastAsia="en-US"/>
          <w14:ligatures w14:val="standardContextual"/>
        </w:rPr>
      </w:pPr>
      <w:r w:rsidRPr="00ED6681">
        <w:rPr>
          <w:rFonts w:ascii="Bookman Old Style" w:eastAsia="Calibri" w:hAnsi="Bookman Old Style" w:cs="Arial"/>
          <w:i/>
          <w:iCs/>
          <w:kern w:val="2"/>
          <w:lang w:val="es-CO" w:eastAsia="en-US"/>
          <w14:ligatures w14:val="standardContextual"/>
        </w:rPr>
        <w:lastRenderedPageBreak/>
        <w:br/>
        <w:t>“11.8. Informar el inicio de sus actividades a la respectiva Comisión de Regulación, y a la Superintendencia de Servicios Públicos, para que esas autoridades puedan cumplir sus funciones”</w:t>
      </w:r>
    </w:p>
    <w:p w14:paraId="58B39009"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7BA996F6"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El artículo 79 de la Ley 142 de 1994 le asignó a la Superintendencia de Servicios Públicos Domiciliarios la función de:</w:t>
      </w:r>
      <w:r w:rsidRPr="00ED6681">
        <w:rPr>
          <w:rFonts w:ascii="Bookman Old Style" w:eastAsia="Calibri" w:hAnsi="Bookman Old Style" w:cs="Arial"/>
          <w:i/>
          <w:iCs/>
          <w:kern w:val="2"/>
          <w:lang w:val="es-CO" w:eastAsia="en-US"/>
          <w14:ligatures w14:val="standardContextual"/>
        </w:rPr>
        <w:t xml:space="preserve"> “4. Establecer los sistemas uniformes de información y contabilidad que deben aplicar quienes presten servicios públicos, según la naturaleza del servicio y el monto de sus activos, y con sujeción siempre a los principios de contabilidad generalmente aceptados.</w:t>
      </w:r>
      <w:r w:rsidRPr="00ED6681">
        <w:rPr>
          <w:rFonts w:ascii="Bookman Old Style" w:eastAsia="Calibri" w:hAnsi="Bookman Old Style" w:cs="Arial"/>
          <w:kern w:val="2"/>
          <w:lang w:val="es-CO" w:eastAsia="en-US"/>
          <w14:ligatures w14:val="standardContextual"/>
        </w:rPr>
        <w:t>”.</w:t>
      </w:r>
    </w:p>
    <w:p w14:paraId="34115893"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87FC6F6" w14:textId="77777777" w:rsidR="00D51F38" w:rsidRPr="00ED6681" w:rsidRDefault="00D51F38" w:rsidP="00ED6681">
      <w:pPr>
        <w:ind w:left="0"/>
        <w:jc w:val="both"/>
        <w:rPr>
          <w:rFonts w:ascii="Bookman Old Style" w:eastAsia="Calibri" w:hAnsi="Bookman Old Style" w:cs="Arial"/>
          <w:i/>
          <w:iCs/>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El numeral 36 del artículo 79 de la Ley 142 de 1994, adicionado por el artículo 14 de la ley 689 de 2001, ordena: “</w:t>
      </w:r>
      <w:r w:rsidRPr="00ED6681">
        <w:rPr>
          <w:rFonts w:ascii="Bookman Old Style" w:eastAsia="Calibri" w:hAnsi="Bookman Old Style" w:cs="Arial"/>
          <w:i/>
          <w:iCs/>
          <w:kern w:val="2"/>
          <w:lang w:val="es-CO" w:eastAsia="en-US"/>
          <w14:ligatures w14:val="standardContextual"/>
        </w:rPr>
        <w:t xml:space="preserve">Corresponde a la Superintendencia de Servicios Públicos Domiciliarios, en desarrollo de sus funciones de inspección y vigilancia, establecer, administrar, mantener y operar el Sistema Único de Información (SUI) de los Servicios Públicos Domiciliarios que se nutra con la información de los prestadores, auditores externos, entidades públicas, particulares, interventores y/o supervisores relacionados con la prestación de los servicios públicos domiciliarios. El SUI podrá interoperar con otras plataformas públicas y privadas y, adicionalmente, podrá compartir información, inclusive aquella que tenga el carácter de confidencial o reservado, garantizando la reserva y confidencialidad de </w:t>
      </w:r>
      <w:proofErr w:type="gramStart"/>
      <w:r w:rsidRPr="00ED6681">
        <w:rPr>
          <w:rFonts w:ascii="Bookman Old Style" w:eastAsia="Calibri" w:hAnsi="Bookman Old Style" w:cs="Arial"/>
          <w:i/>
          <w:iCs/>
          <w:kern w:val="2"/>
          <w:lang w:val="es-CO" w:eastAsia="en-US"/>
          <w14:ligatures w14:val="standardContextual"/>
        </w:rPr>
        <w:t>la misma</w:t>
      </w:r>
      <w:proofErr w:type="gramEnd"/>
      <w:r w:rsidRPr="00ED6681">
        <w:rPr>
          <w:rFonts w:ascii="Bookman Old Style" w:eastAsia="Calibri" w:hAnsi="Bookman Old Style" w:cs="Arial"/>
          <w:i/>
          <w:iCs/>
          <w:kern w:val="2"/>
          <w:lang w:val="es-CO" w:eastAsia="en-US"/>
          <w14:ligatures w14:val="standardContextual"/>
        </w:rPr>
        <w:t xml:space="preserve">”. </w:t>
      </w:r>
    </w:p>
    <w:p w14:paraId="790090BF"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5BDF73C"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De acuerdo con el inciso final del artículo 73 de la Ley 142 de 1994, “</w:t>
      </w:r>
      <w:r w:rsidRPr="00ED6681">
        <w:rPr>
          <w:rFonts w:ascii="Bookman Old Style" w:eastAsia="Calibri" w:hAnsi="Bookman Old Style" w:cs="Arial"/>
          <w:i/>
          <w:iCs/>
          <w:kern w:val="2"/>
          <w:lang w:val="es-CO" w:eastAsia="en-US"/>
          <w14:ligatures w14:val="standardContextual"/>
        </w:rPr>
        <w:t>Salvo cuando esta Ley diga lo contrario en forma explícita, no se requiere autorización previa de las comisiones para adelantar ninguna actividad o contrato relacionado con los servicios públicos; ni el envío rutinario de información. Pero las comisiones, tendrán facultad selectiva de pedir información amplia, exacta, veraz y oportuna a quienes prestan los servicios públicos a los que esta Ley se refiere, inclusive si sus tarifas no están sometidas a regulación. Quienes no la proporcionen, estarán sujetos a todas las sanciones que contempla el artículo 81 de la presente Ley. En todo caso, las comisiones podrán imponer por sí mismas las sanciones del caso, cuando no se atiendan en forma adecuada sus solicitudes de información</w:t>
      </w:r>
      <w:r w:rsidRPr="00ED6681">
        <w:rPr>
          <w:rFonts w:ascii="Bookman Old Style" w:eastAsia="Calibri" w:hAnsi="Bookman Old Style" w:cs="Arial"/>
          <w:kern w:val="2"/>
          <w:lang w:val="es-CO" w:eastAsia="en-US"/>
          <w14:ligatures w14:val="standardContextual"/>
        </w:rPr>
        <w:t>.”</w:t>
      </w:r>
    </w:p>
    <w:p w14:paraId="03C2786A"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56923626"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La Superintendencia de Servicios Públicos Domiciliarios reglamentará para cada año, los lineamentos para el reporte de información con los plazos y la estructura que debe cumplir cada uno de los regulados, así como el censo de cada vigencia. En efecto, cada reporte, basado en una taxonomía por grupo y tipo de reporte, permite reflejar los requerimientos de reconocimiento, medición (inicial y posterior), presentación y revelación de cada uno de los marcos normativos. Es así, que cada preparador de información, vigilado por la SSPD, podrá utilizar los mecanismos que considere más fiables y pertinentes para el registro de los hechos económicos en cumplimiento de los objetivos de la información contable, sin que estos sufran una modificación en su naturaleza.</w:t>
      </w:r>
    </w:p>
    <w:p w14:paraId="4234401F"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698CC9D0"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El artículo 18 de la Ley 142 de 1994 señala que: </w:t>
      </w:r>
      <w:r w:rsidRPr="00ED6681">
        <w:rPr>
          <w:rFonts w:ascii="Bookman Old Style" w:eastAsia="Calibri" w:hAnsi="Bookman Old Style" w:cs="Arial"/>
          <w:i/>
          <w:iCs/>
          <w:kern w:val="2"/>
          <w:lang w:val="es-CO" w:eastAsia="en-US"/>
          <w14:ligatures w14:val="standardContextual"/>
        </w:rPr>
        <w:t>“(…) En todo caso, las empresas de servicios públicos que tengan objeto social múltiple deberán llevar contabilidad separada para cada uno de los servicios que presten; y el costo y la modalidad de las operaciones entre cada servicio deben registrarse de manera explícita (...)”.</w:t>
      </w:r>
    </w:p>
    <w:p w14:paraId="5927279F"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4E27F0A7" w14:textId="77777777" w:rsidR="00D51F38" w:rsidRPr="00ED6681" w:rsidRDefault="00D51F38" w:rsidP="00ED6681">
      <w:pPr>
        <w:ind w:left="0"/>
        <w:jc w:val="both"/>
        <w:rPr>
          <w:rFonts w:ascii="Bookman Old Style" w:eastAsia="Calibri" w:hAnsi="Bookman Old Style" w:cs="Arial"/>
          <w:color w:val="000000"/>
          <w:kern w:val="2"/>
          <w:lang w:val="es-CO" w:eastAsia="en-US"/>
          <w14:ligatures w14:val="standardContextual"/>
        </w:rPr>
      </w:pPr>
      <w:r w:rsidRPr="00ED6681">
        <w:rPr>
          <w:rFonts w:ascii="Bookman Old Style" w:eastAsia="Calibri" w:hAnsi="Bookman Old Style" w:cs="Arial"/>
          <w:color w:val="000000"/>
          <w:kern w:val="2"/>
          <w:lang w:val="es-CO" w:eastAsia="en-US"/>
          <w14:ligatures w14:val="standardContextual"/>
        </w:rPr>
        <w:lastRenderedPageBreak/>
        <w:t>Para efectos de la presente resolución y del cálculo de la contribución especial en general, la</w:t>
      </w:r>
      <w:r w:rsidRPr="00ED6681">
        <w:rPr>
          <w:rFonts w:ascii="Bookman Old Style" w:eastAsia="Calibri" w:hAnsi="Bookman Old Style" w:cs="Arial"/>
          <w:kern w:val="2"/>
          <w:lang w:val="es-CO" w:eastAsia="en-US"/>
          <w14:ligatures w14:val="standardContextual"/>
        </w:rPr>
        <w:t xml:space="preserve"> CREG</w:t>
      </w:r>
      <w:r w:rsidRPr="00ED6681">
        <w:rPr>
          <w:rFonts w:ascii="Bookman Old Style" w:eastAsia="Calibri" w:hAnsi="Bookman Old Style" w:cs="Arial"/>
          <w:color w:val="000000"/>
          <w:kern w:val="2"/>
          <w:lang w:val="es-CO" w:eastAsia="en-US"/>
          <w14:ligatures w14:val="standardContextual"/>
        </w:rPr>
        <w:t xml:space="preserve"> ha adoptado la posición de “</w:t>
      </w:r>
      <w:r w:rsidRPr="00ED6681">
        <w:rPr>
          <w:rFonts w:ascii="Bookman Old Style" w:eastAsia="Calibri" w:hAnsi="Bookman Old Style" w:cs="Arial"/>
          <w:i/>
          <w:iCs/>
          <w:color w:val="000000"/>
          <w:kern w:val="2"/>
          <w:lang w:val="es-CO" w:eastAsia="en-US"/>
          <w14:ligatures w14:val="standardContextual"/>
        </w:rPr>
        <w:t>gastos de funcionamiento</w:t>
      </w:r>
      <w:r w:rsidRPr="00ED6681">
        <w:rPr>
          <w:rFonts w:ascii="Bookman Old Style" w:eastAsia="Calibri" w:hAnsi="Bookman Old Style" w:cs="Arial"/>
          <w:color w:val="000000"/>
          <w:kern w:val="2"/>
          <w:lang w:val="es-CO" w:eastAsia="en-US"/>
          <w14:ligatures w14:val="standardContextual"/>
        </w:rPr>
        <w:t xml:space="preserve">”, que ha desarrollado la Sección Cuarta del Consejo de Estado, según la cual deben entenderse como tales, únicamente aquellos que están relacionados con la prestación del servicio sujeto a regulación, la cual ha sido expuesta en sentencias de la Sección Cuarta del Consejo de Estado, C.P.: Martha Teresa Briceño de Valencia, Rad. 11001-03-27-000-2007-00049-00 (16874) del 23 de septiembre de 2010 y Rad.  25000-23-27-000-2012-00362-01 (20253) del 17 de septiembre de 2014, ratificando posiciones contenidas en fallos emitidos en años anteriores, entre estos: (i) Sentencia del Consejo de Estado, Sección Cuarta, de 9 de abril de 2001, </w:t>
      </w:r>
      <w:proofErr w:type="spellStart"/>
      <w:r w:rsidRPr="00ED6681">
        <w:rPr>
          <w:rFonts w:ascii="Bookman Old Style" w:eastAsia="Calibri" w:hAnsi="Bookman Old Style" w:cs="Arial"/>
          <w:color w:val="000000"/>
          <w:kern w:val="2"/>
          <w:lang w:val="es-CO" w:eastAsia="en-US"/>
          <w14:ligatures w14:val="standardContextual"/>
        </w:rPr>
        <w:t>Exp</w:t>
      </w:r>
      <w:proofErr w:type="spellEnd"/>
      <w:r w:rsidRPr="00ED6681">
        <w:rPr>
          <w:rFonts w:ascii="Bookman Old Style" w:eastAsia="Calibri" w:hAnsi="Bookman Old Style" w:cs="Arial"/>
          <w:color w:val="000000"/>
          <w:kern w:val="2"/>
          <w:lang w:val="es-CO" w:eastAsia="en-US"/>
          <w14:ligatures w14:val="standardContextual"/>
        </w:rPr>
        <w:t xml:space="preserve">. 11001-03-27-000-2000-1253-01(11790) - Sobre el alcance conceptual de los gastos de funcionamiento-, (ii) Sentencia del Consejo de Estado, Sección Cuarta de 17 de abril de 2008, </w:t>
      </w:r>
      <w:proofErr w:type="spellStart"/>
      <w:r w:rsidRPr="00ED6681">
        <w:rPr>
          <w:rFonts w:ascii="Bookman Old Style" w:eastAsia="Calibri" w:hAnsi="Bookman Old Style" w:cs="Arial"/>
          <w:color w:val="000000"/>
          <w:kern w:val="2"/>
          <w:lang w:val="es-CO" w:eastAsia="en-US"/>
          <w14:ligatures w14:val="standardContextual"/>
        </w:rPr>
        <w:t>Exp</w:t>
      </w:r>
      <w:proofErr w:type="spellEnd"/>
      <w:r w:rsidRPr="00ED6681">
        <w:rPr>
          <w:rFonts w:ascii="Bookman Old Style" w:eastAsia="Calibri" w:hAnsi="Bookman Old Style" w:cs="Arial"/>
          <w:color w:val="000000"/>
          <w:kern w:val="2"/>
          <w:lang w:val="es-CO" w:eastAsia="en-US"/>
          <w14:ligatures w14:val="standardContextual"/>
        </w:rPr>
        <w:t>. 11001-03-27-000-2005-00061-00(15771), C.P. María Inés Ortiz Barbosa - Sobre el alcance de la expresión funcionamiento y de la definición de gastos de funcionamiento.</w:t>
      </w:r>
    </w:p>
    <w:p w14:paraId="6D48141A" w14:textId="77777777" w:rsidR="00D51F38" w:rsidRPr="00ED6681" w:rsidRDefault="00D51F38" w:rsidP="00ED6681">
      <w:pPr>
        <w:ind w:left="0"/>
        <w:jc w:val="both"/>
        <w:rPr>
          <w:rFonts w:ascii="Bookman Old Style" w:eastAsia="Calibri" w:hAnsi="Bookman Old Style" w:cs="Arial"/>
          <w:color w:val="7030A0"/>
          <w:kern w:val="2"/>
          <w:lang w:val="es-CO" w:eastAsia="en-US"/>
          <w14:ligatures w14:val="standardContextual"/>
        </w:rPr>
      </w:pPr>
    </w:p>
    <w:p w14:paraId="013816B2"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De acuerdo con lo anterior, y con el fin de proyectar la tarifa para la liquidación de la Contribución Especial del año 2024, la CREG tomó la información financiera reportada y certificada con corte a 31 de diciembre de 2023 por las entidades sometidas al ámbito de regulación de la CREG.</w:t>
      </w:r>
    </w:p>
    <w:p w14:paraId="5FCB57D8" w14:textId="77777777" w:rsidR="00D51F38" w:rsidRPr="00ED6681" w:rsidRDefault="00D51F38" w:rsidP="00ED6681">
      <w:pPr>
        <w:ind w:left="0"/>
        <w:jc w:val="both"/>
        <w:rPr>
          <w:rFonts w:ascii="Bookman Old Style" w:eastAsia="Calibri" w:hAnsi="Bookman Old Style" w:cs="Arial"/>
          <w:color w:val="2F5496"/>
          <w:kern w:val="2"/>
          <w:lang w:val="es-CO" w:eastAsia="en-US"/>
          <w14:ligatures w14:val="standardContextual"/>
        </w:rPr>
      </w:pPr>
    </w:p>
    <w:p w14:paraId="16F5E79E"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En desarrollo del artículo 19 de la Ley 2342 del 15 de diciembre de 2023 y su Decreto de liquidación 2295 del 29 de diciembre de 2023, así como su modificación mediante el Decreto 0312 del 6 de marzo de 2024, las apropiaciones presupuestales aprobadas y vigentes a favor de la CREG para la vigencia fiscal 2024, ascendieron a la suma de CUARENTA Y SIETE MIL SETECIENTOS TREINTA Y CUATRO MILLONES DOSCIENTOS OCHENTA Y OCHO MIL NOVECIENTOS OCHENTA Y DOS PESOS M/CTE. ($47.734.288.982), como se detalla en el documento técnico que hace parte integral de esta resolución.</w:t>
      </w:r>
    </w:p>
    <w:p w14:paraId="72C357C9"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4B0BAD7C"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El valor que debe ser cubierto con el recaudo de la contribución especial de que trata el artículo 85 de la Ley 142 de 1994, son los aforados como recursos 16 – Fondos Especiales, Sin Situación de Fondos – SSF, que ascienden a la suma de $41.656.388.982, que restando las transferencias de excedentes al Fondo Empresarial, da como resultado un valor neto presupuestal base para la Contribución Especial 2024 por el valor de: TREINTA Y NUEVE MIL CUATROCIENTOS CUARENTA Y NUEVE MILLONES SETECIENTOS NOVENTA Y CINCO MIL NOVECIENTOS OCHENTA Y DOS PESOS M/CTE. ($39.449.795.982), como se detalla en el documento técnico que fija la tarifa de la presente contribución y que hace parte integral de esta resolución. </w:t>
      </w:r>
    </w:p>
    <w:p w14:paraId="1A0B4471"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3D4D6716"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Formarán parte de la base gravable de liquidación de la Contribución Especial 2024, la sumatoria de los valores certificados al SUI, por los prestadores en el Formato Complementario [900017] FC01-01 a FC01-07 “</w:t>
      </w:r>
      <w:r w:rsidRPr="00ED6681">
        <w:rPr>
          <w:rFonts w:ascii="Bookman Old Style" w:eastAsia="Calibri" w:hAnsi="Bookman Old Style" w:cs="Arial"/>
          <w:i/>
          <w:iCs/>
          <w:kern w:val="2"/>
          <w:lang w:val="es-CO" w:eastAsia="en-US"/>
          <w14:ligatures w14:val="standardContextual"/>
        </w:rPr>
        <w:t>Gastos de Servicios Públicos</w:t>
      </w:r>
      <w:r w:rsidRPr="00ED6681">
        <w:rPr>
          <w:rFonts w:ascii="Bookman Old Style" w:eastAsia="Calibri" w:hAnsi="Bookman Old Style" w:cs="Arial"/>
          <w:kern w:val="2"/>
          <w:lang w:val="es-CO" w:eastAsia="en-US"/>
          <w14:ligatures w14:val="standardContextual"/>
        </w:rPr>
        <w:t xml:space="preserve">”, en la columna gastos administrativos a 31 de diciembre de 2023, Concepto Total Gastos para cada servicio público objeto del servicio del ámbito de regulación de la CREG, tomando como corte el 25 de agosto de 2024, de la información reportada a la SSPD, consulta suministrada por esta a la CREG. </w:t>
      </w:r>
    </w:p>
    <w:p w14:paraId="5D788E22"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74F191B4"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No formarán parte de la base gravable de la contribución especial 2024 los siguientes conceptos incluidos en el Formato Complementario [900017] FC01-</w:t>
      </w:r>
      <w:r w:rsidRPr="00ED6681">
        <w:rPr>
          <w:rFonts w:ascii="Bookman Old Style" w:eastAsia="Calibri" w:hAnsi="Bookman Old Style" w:cs="Arial"/>
          <w:kern w:val="2"/>
          <w:lang w:val="es-CO" w:eastAsia="en-US"/>
          <w14:ligatures w14:val="standardContextual"/>
        </w:rPr>
        <w:lastRenderedPageBreak/>
        <w:t>01 a FC01-07 “</w:t>
      </w:r>
      <w:r w:rsidRPr="00ED6681">
        <w:rPr>
          <w:rFonts w:ascii="Bookman Old Style" w:eastAsia="Calibri" w:hAnsi="Bookman Old Style" w:cs="Arial"/>
          <w:i/>
          <w:iCs/>
          <w:kern w:val="2"/>
          <w:lang w:val="es-CO" w:eastAsia="en-US"/>
          <w14:ligatures w14:val="standardContextual"/>
        </w:rPr>
        <w:t>Gastos de Servicios Públicos</w:t>
      </w:r>
      <w:r w:rsidRPr="00ED6681">
        <w:rPr>
          <w:rFonts w:ascii="Bookman Old Style" w:eastAsia="Calibri" w:hAnsi="Bookman Old Style" w:cs="Arial"/>
          <w:kern w:val="2"/>
          <w:lang w:val="es-CO" w:eastAsia="en-US"/>
          <w14:ligatures w14:val="standardContextual"/>
        </w:rPr>
        <w:t>”, de la información financiera 2023 reportada por los regulados en el SUI.</w:t>
      </w:r>
    </w:p>
    <w:p w14:paraId="726FA10C"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3F823089" w14:textId="1B7042FC" w:rsidR="00D51F38" w:rsidRPr="00ED6681" w:rsidRDefault="00D51F38" w:rsidP="00ED6681">
      <w:pPr>
        <w:ind w:left="0"/>
        <w:jc w:val="both"/>
        <w:rPr>
          <w:rFonts w:ascii="Bookman Old Style" w:eastAsia="Calibri" w:hAnsi="Bookman Old Style" w:cs="Arial"/>
          <w:i/>
          <w:iCs/>
          <w:kern w:val="2"/>
          <w:lang w:val="es-CO" w:eastAsia="en-US"/>
          <w14:ligatures w14:val="standardContextual"/>
        </w:rPr>
      </w:pPr>
      <w:r w:rsidRPr="00ED6681">
        <w:rPr>
          <w:rFonts w:ascii="Bookman Old Style" w:eastAsia="Calibri" w:hAnsi="Bookman Old Style" w:cs="Arial"/>
          <w:i/>
          <w:iCs/>
          <w:kern w:val="2"/>
          <w:lang w:val="es-CO" w:eastAsia="en-US"/>
          <w14:ligatures w14:val="standardContextual"/>
        </w:rPr>
        <w:t xml:space="preserve">Tabla </w:t>
      </w:r>
      <w:r w:rsidRPr="00ED6681">
        <w:rPr>
          <w:rFonts w:ascii="Bookman Old Style" w:eastAsia="Calibri" w:hAnsi="Bookman Old Style" w:cs="Arial"/>
          <w:i/>
          <w:iCs/>
          <w:kern w:val="2"/>
          <w:lang w:val="es-CO" w:eastAsia="en-US"/>
          <w14:ligatures w14:val="standardContextual"/>
        </w:rPr>
        <w:fldChar w:fldCharType="begin"/>
      </w:r>
      <w:r w:rsidRPr="00ED6681">
        <w:rPr>
          <w:rFonts w:ascii="Bookman Old Style" w:eastAsia="Calibri" w:hAnsi="Bookman Old Style" w:cs="Arial"/>
          <w:i/>
          <w:iCs/>
          <w:kern w:val="2"/>
          <w:lang w:val="es-CO" w:eastAsia="en-US"/>
          <w14:ligatures w14:val="standardContextual"/>
        </w:rPr>
        <w:instrText xml:space="preserve"> SEQ Tabla \* ARABIC </w:instrText>
      </w:r>
      <w:r w:rsidRPr="00ED6681">
        <w:rPr>
          <w:rFonts w:ascii="Bookman Old Style" w:eastAsia="Calibri" w:hAnsi="Bookman Old Style" w:cs="Arial"/>
          <w:i/>
          <w:iCs/>
          <w:kern w:val="2"/>
          <w:lang w:val="es-CO" w:eastAsia="en-US"/>
          <w14:ligatures w14:val="standardContextual"/>
        </w:rPr>
        <w:fldChar w:fldCharType="separate"/>
      </w:r>
      <w:r w:rsidR="009D1222">
        <w:rPr>
          <w:rFonts w:ascii="Bookman Old Style" w:eastAsia="Calibri" w:hAnsi="Bookman Old Style" w:cs="Arial"/>
          <w:i/>
          <w:iCs/>
          <w:noProof/>
          <w:kern w:val="2"/>
          <w:lang w:val="es-CO" w:eastAsia="en-US"/>
          <w14:ligatures w14:val="standardContextual"/>
        </w:rPr>
        <w:t>1</w:t>
      </w:r>
      <w:r w:rsidRPr="00ED6681">
        <w:rPr>
          <w:rFonts w:ascii="Bookman Old Style" w:eastAsia="Calibri" w:hAnsi="Bookman Old Style" w:cs="Arial"/>
          <w:i/>
          <w:iCs/>
          <w:kern w:val="2"/>
          <w:lang w:val="es-CO" w:eastAsia="en-US"/>
          <w14:ligatures w14:val="standardContextual"/>
        </w:rPr>
        <w:fldChar w:fldCharType="end"/>
      </w:r>
      <w:r w:rsidRPr="00ED6681">
        <w:rPr>
          <w:rFonts w:ascii="Bookman Old Style" w:eastAsia="Calibri" w:hAnsi="Bookman Old Style" w:cs="Arial"/>
          <w:i/>
          <w:iCs/>
          <w:kern w:val="2"/>
          <w:lang w:val="es-CO" w:eastAsia="en-US"/>
          <w14:ligatures w14:val="standardContextual"/>
        </w:rPr>
        <w:t>. Relación de rubros exentos de gastos de funcionamiento.</w:t>
      </w:r>
    </w:p>
    <w:p w14:paraId="008CD642" w14:textId="77777777" w:rsidR="00D51F38" w:rsidRPr="00ED6681" w:rsidRDefault="00D51F38" w:rsidP="00ED6681">
      <w:pPr>
        <w:ind w:left="0"/>
        <w:rPr>
          <w:rFonts w:ascii="Bookman Old Style" w:eastAsia="Calibri" w:hAnsi="Bookman Old Style" w:cs="Arial"/>
          <w:i/>
          <w:iCs/>
          <w:kern w:val="2"/>
          <w:lang w:val="es-CO" w:eastAsia="en-US"/>
          <w14:ligatures w14:val="standardContextual"/>
        </w:rPr>
      </w:pPr>
    </w:p>
    <w:tbl>
      <w:tblPr>
        <w:tblStyle w:val="Tablaconcuadrcula1"/>
        <w:tblW w:w="0" w:type="auto"/>
        <w:jc w:val="center"/>
        <w:tblLook w:val="04A0" w:firstRow="1" w:lastRow="0" w:firstColumn="1" w:lastColumn="0" w:noHBand="0" w:noVBand="1"/>
      </w:tblPr>
      <w:tblGrid>
        <w:gridCol w:w="6532"/>
      </w:tblGrid>
      <w:tr w:rsidR="00ED6681" w:rsidRPr="00ED6681" w14:paraId="79CD2825" w14:textId="77777777" w:rsidTr="0046668C">
        <w:trPr>
          <w:jc w:val="center"/>
        </w:trPr>
        <w:tc>
          <w:tcPr>
            <w:tcW w:w="6532" w:type="dxa"/>
          </w:tcPr>
          <w:p w14:paraId="36045754"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Impuestos, tasas y contribuciones.</w:t>
            </w:r>
          </w:p>
          <w:p w14:paraId="5F96F194"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Impuestos a las ganancias corrientes.</w:t>
            </w:r>
          </w:p>
          <w:p w14:paraId="3CBEABAF"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Impuesto a las ganancias diferido.</w:t>
            </w:r>
          </w:p>
        </w:tc>
      </w:tr>
      <w:tr w:rsidR="00ED6681" w:rsidRPr="00ED6681" w14:paraId="556582B8" w14:textId="77777777" w:rsidTr="0046668C">
        <w:trPr>
          <w:jc w:val="center"/>
        </w:trPr>
        <w:tc>
          <w:tcPr>
            <w:tcW w:w="6532" w:type="dxa"/>
          </w:tcPr>
          <w:p w14:paraId="4E8A0FE6"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Deterioro.</w:t>
            </w:r>
          </w:p>
          <w:p w14:paraId="2190B928"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Depreciación.</w:t>
            </w:r>
          </w:p>
          <w:p w14:paraId="481BFBC3"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Amortización.</w:t>
            </w:r>
          </w:p>
          <w:p w14:paraId="74964592"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xml:space="preserve">(-) Provisiones: </w:t>
            </w:r>
          </w:p>
          <w:p w14:paraId="43F7FB28"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xml:space="preserve">Litigios y demandas, </w:t>
            </w:r>
          </w:p>
          <w:p w14:paraId="1B6B16F5"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xml:space="preserve">Garantías, </w:t>
            </w:r>
          </w:p>
          <w:p w14:paraId="765C7E48"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Diversas.</w:t>
            </w:r>
          </w:p>
        </w:tc>
      </w:tr>
      <w:tr w:rsidR="00ED6681" w:rsidRPr="00ED6681" w14:paraId="2859535F" w14:textId="77777777" w:rsidTr="0046668C">
        <w:trPr>
          <w:jc w:val="center"/>
        </w:trPr>
        <w:tc>
          <w:tcPr>
            <w:tcW w:w="6532" w:type="dxa"/>
          </w:tcPr>
          <w:p w14:paraId="3254C2B5"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 Otros gastos:</w:t>
            </w:r>
          </w:p>
          <w:p w14:paraId="78BE68E0"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Comisiones,</w:t>
            </w:r>
          </w:p>
          <w:p w14:paraId="3BCA5263"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Financieros,</w:t>
            </w:r>
          </w:p>
          <w:p w14:paraId="5BC760ED"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Ajuste por diferencia en cambio,</w:t>
            </w:r>
          </w:p>
          <w:p w14:paraId="0ADE5073"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Pérdidas por aplicación del método de participación,</w:t>
            </w:r>
          </w:p>
          <w:p w14:paraId="0DC0F1EB"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Gastos diversos,</w:t>
            </w:r>
          </w:p>
          <w:p w14:paraId="3E0D894E"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Donaciones.</w:t>
            </w:r>
          </w:p>
        </w:tc>
      </w:tr>
      <w:tr w:rsidR="00ED6681" w:rsidRPr="00ED6681" w14:paraId="032968D4" w14:textId="77777777" w:rsidTr="0046668C">
        <w:trPr>
          <w:jc w:val="center"/>
        </w:trPr>
        <w:tc>
          <w:tcPr>
            <w:tcW w:w="6532" w:type="dxa"/>
          </w:tcPr>
          <w:p w14:paraId="05E03BC8"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w:t>
            </w:r>
            <w:proofErr w:type="gramStart"/>
            <w:r w:rsidRPr="008856A1">
              <w:rPr>
                <w:rFonts w:ascii="Bookman Old Style" w:hAnsi="Bookman Old Style"/>
                <w:kern w:val="2"/>
                <w:sz w:val="22"/>
                <w:szCs w:val="22"/>
                <w:lang w:val="es-CO" w:eastAsia="en-US"/>
                <w14:ligatures w14:val="standardContextual"/>
              </w:rPr>
              <w:t>)  Licencias</w:t>
            </w:r>
            <w:proofErr w:type="gramEnd"/>
            <w:r w:rsidRPr="008856A1">
              <w:rPr>
                <w:rFonts w:ascii="Bookman Old Style" w:hAnsi="Bookman Old Style"/>
                <w:kern w:val="2"/>
                <w:sz w:val="22"/>
                <w:szCs w:val="22"/>
                <w:lang w:val="es-CO" w:eastAsia="en-US"/>
                <w14:ligatures w14:val="standardContextual"/>
              </w:rPr>
              <w:t>, contribuciones y regalías:</w:t>
            </w:r>
          </w:p>
          <w:p w14:paraId="06621A16"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Secretaría Distrital del Medio Ambiente,</w:t>
            </w:r>
          </w:p>
          <w:p w14:paraId="7C8F7AD5"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Ley 56 de 1981,</w:t>
            </w:r>
          </w:p>
          <w:p w14:paraId="27682A1A"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Medio ambiente – Ley 99 de 1993,</w:t>
            </w:r>
          </w:p>
          <w:p w14:paraId="6223F080"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Regalías,</w:t>
            </w:r>
          </w:p>
          <w:p w14:paraId="17CE3C2A"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Licencia de operación del servicio,</w:t>
            </w:r>
          </w:p>
          <w:p w14:paraId="5DE6CCAE"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FAZNI,</w:t>
            </w:r>
          </w:p>
          <w:p w14:paraId="7A471C9A"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FAER,</w:t>
            </w:r>
          </w:p>
          <w:p w14:paraId="152147A5"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Cuota de fomento de gas,</w:t>
            </w:r>
          </w:p>
          <w:p w14:paraId="38C6369F"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Comité de estratificación – Ley 505 de 1999,</w:t>
            </w:r>
          </w:p>
          <w:p w14:paraId="272A35A6"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Art. 25 – Ley 142 de Concesiones y permisos ambientales y sanitarios</w:t>
            </w:r>
          </w:p>
          <w:p w14:paraId="1958EA83" w14:textId="77777777" w:rsidR="00D51F38" w:rsidRPr="008856A1" w:rsidRDefault="00D51F38" w:rsidP="00ED6681">
            <w:pPr>
              <w:ind w:left="0"/>
              <w:rPr>
                <w:rFonts w:ascii="Bookman Old Style" w:hAnsi="Bookman Old Style"/>
                <w:kern w:val="2"/>
                <w:sz w:val="22"/>
                <w:szCs w:val="22"/>
                <w:lang w:val="es-CO" w:eastAsia="en-US"/>
                <w14:ligatures w14:val="standardContextual"/>
              </w:rPr>
            </w:pPr>
            <w:r w:rsidRPr="008856A1">
              <w:rPr>
                <w:rFonts w:ascii="Bookman Old Style" w:hAnsi="Bookman Old Style"/>
                <w:kern w:val="2"/>
                <w:sz w:val="22"/>
                <w:szCs w:val="22"/>
                <w:lang w:val="es-CO" w:eastAsia="en-US"/>
                <w14:ligatures w14:val="standardContextual"/>
              </w:rPr>
              <w:t>Otras licencias Ley 142 de 1994.</w:t>
            </w:r>
          </w:p>
        </w:tc>
      </w:tr>
    </w:tbl>
    <w:p w14:paraId="66A73A32"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38707E50"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El CENSO de regulados sujetos a la contribución especial a favor de la CREG, con corte al 25 de agosto de 2024 son 489 entidades activas en el RUPS para el año 2024, de las cuales 347 entidades reportaron la información financiera 2023 al SUI-SSPD (Se excluyen 3 reportados que cancelaron su RUPS en la vigencia 2023), 145 entidades no han realizado el cargue de la información financiera como se detalla a continuación:</w:t>
      </w:r>
    </w:p>
    <w:p w14:paraId="4EAA8DFD"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00161554"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La información financiera del año 2023 depurada, que conformará la base gravable, se detalla en las siguientes cuentas:</w:t>
      </w:r>
    </w:p>
    <w:p w14:paraId="6A3CF900"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40296BC3" w14:textId="55ECEDB6" w:rsidR="00D51F38" w:rsidRPr="00ED6681" w:rsidRDefault="00D51F38" w:rsidP="00ED6681">
      <w:pPr>
        <w:keepNext/>
        <w:ind w:left="0"/>
        <w:rPr>
          <w:rFonts w:ascii="Bookman Old Style" w:hAnsi="Bookman Old Style" w:cs="Arial"/>
          <w:i/>
          <w:iCs/>
        </w:rPr>
      </w:pPr>
      <w:bookmarkStart w:id="0" w:name="_Hlk152247364"/>
      <w:r w:rsidRPr="00ED6681">
        <w:rPr>
          <w:rFonts w:ascii="Bookman Old Style" w:hAnsi="Bookman Old Style" w:cs="Arial"/>
          <w:i/>
          <w:iCs/>
        </w:rPr>
        <w:t xml:space="preserve">Tabla </w:t>
      </w:r>
      <w:r w:rsidRPr="00ED6681">
        <w:rPr>
          <w:rFonts w:ascii="Bookman Old Style" w:hAnsi="Bookman Old Style" w:cs="Arial"/>
          <w:i/>
          <w:iCs/>
        </w:rPr>
        <w:fldChar w:fldCharType="begin"/>
      </w:r>
      <w:r w:rsidRPr="00ED6681">
        <w:rPr>
          <w:rFonts w:ascii="Bookman Old Style" w:hAnsi="Bookman Old Style" w:cs="Arial"/>
          <w:i/>
          <w:iCs/>
        </w:rPr>
        <w:instrText xml:space="preserve"> SEQ Tabla \* ARABIC </w:instrText>
      </w:r>
      <w:r w:rsidRPr="00ED6681">
        <w:rPr>
          <w:rFonts w:ascii="Bookman Old Style" w:hAnsi="Bookman Old Style" w:cs="Arial"/>
          <w:i/>
          <w:iCs/>
        </w:rPr>
        <w:fldChar w:fldCharType="separate"/>
      </w:r>
      <w:r w:rsidR="009D1222">
        <w:rPr>
          <w:rFonts w:ascii="Bookman Old Style" w:hAnsi="Bookman Old Style" w:cs="Arial"/>
          <w:i/>
          <w:iCs/>
          <w:noProof/>
        </w:rPr>
        <w:t>2</w:t>
      </w:r>
      <w:r w:rsidRPr="00ED6681">
        <w:rPr>
          <w:rFonts w:ascii="Bookman Old Style" w:hAnsi="Bookman Old Style" w:cs="Arial"/>
          <w:i/>
          <w:iCs/>
        </w:rPr>
        <w:fldChar w:fldCharType="end"/>
      </w:r>
      <w:r w:rsidRPr="00ED6681">
        <w:rPr>
          <w:rFonts w:ascii="Bookman Old Style" w:hAnsi="Bookman Old Style" w:cs="Arial"/>
          <w:i/>
          <w:iCs/>
        </w:rPr>
        <w:t>. C</w:t>
      </w:r>
      <w:bookmarkEnd w:id="0"/>
      <w:r w:rsidRPr="00ED6681">
        <w:rPr>
          <w:rFonts w:ascii="Bookman Old Style" w:hAnsi="Bookman Old Style" w:cs="Arial"/>
          <w:i/>
          <w:iCs/>
        </w:rPr>
        <w:t>onsolidado detallado de la base gravable contribución 2024.</w:t>
      </w:r>
      <w:r w:rsidRPr="00ED6681">
        <w:rPr>
          <w:rFonts w:ascii="Bookman Old Style" w:hAnsi="Bookman Old Style" w:cs="Arial"/>
          <w:i/>
          <w:iCs/>
        </w:rPr>
        <w:tab/>
      </w:r>
      <w:r w:rsidRPr="00ED6681">
        <w:rPr>
          <w:rFonts w:ascii="Bookman Old Style" w:hAnsi="Bookman Old Style" w:cs="Arial"/>
          <w:i/>
          <w:iCs/>
        </w:rPr>
        <w:tab/>
      </w:r>
      <w:r w:rsidRPr="00ED6681">
        <w:rPr>
          <w:rFonts w:ascii="Bookman Old Style" w:hAnsi="Bookman Old Style" w:cs="Arial"/>
          <w:i/>
          <w:iCs/>
        </w:rPr>
        <w:tab/>
      </w:r>
      <w:r w:rsidRPr="00ED6681">
        <w:rPr>
          <w:rFonts w:ascii="Bookman Old Style" w:hAnsi="Bookman Old Style" w:cs="Arial"/>
          <w:i/>
          <w:iCs/>
        </w:rPr>
        <w:tab/>
        <w:t xml:space="preserve">   En pesos corrientes.</w:t>
      </w:r>
    </w:p>
    <w:p w14:paraId="1017FB7F" w14:textId="77777777" w:rsidR="00D51F38" w:rsidRPr="00ED6681" w:rsidRDefault="00D51F38" w:rsidP="00ED6681">
      <w:pPr>
        <w:ind w:left="0"/>
        <w:rPr>
          <w:rFonts w:ascii="Bookman Old Style" w:eastAsia="Calibri" w:hAnsi="Bookman Old Style" w:cs="Arial"/>
          <w:kern w:val="2"/>
          <w:lang w:val="es-CO" w:eastAsia="en-US"/>
          <w14:ligatures w14:val="standardContextual"/>
        </w:rPr>
      </w:pPr>
    </w:p>
    <w:tbl>
      <w:tblPr>
        <w:tblW w:w="9629" w:type="dxa"/>
        <w:jc w:val="center"/>
        <w:tblCellMar>
          <w:left w:w="70" w:type="dxa"/>
          <w:right w:w="70" w:type="dxa"/>
        </w:tblCellMar>
        <w:tblLook w:val="04A0" w:firstRow="1" w:lastRow="0" w:firstColumn="1" w:lastColumn="0" w:noHBand="0" w:noVBand="1"/>
      </w:tblPr>
      <w:tblGrid>
        <w:gridCol w:w="2240"/>
        <w:gridCol w:w="4276"/>
        <w:gridCol w:w="3113"/>
      </w:tblGrid>
      <w:tr w:rsidR="00ED6681" w:rsidRPr="008856A1" w14:paraId="272BEC19" w14:textId="77777777" w:rsidTr="0046668C">
        <w:trPr>
          <w:trHeight w:val="300"/>
          <w:jc w:val="center"/>
        </w:trPr>
        <w:tc>
          <w:tcPr>
            <w:tcW w:w="224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031800F2" w14:textId="77777777" w:rsidR="00D51F38" w:rsidRPr="008856A1" w:rsidRDefault="00D51F38" w:rsidP="00ED6681">
            <w:pPr>
              <w:ind w:left="0"/>
              <w:rPr>
                <w:rFonts w:ascii="Bookman Old Style" w:eastAsia="Calibri" w:hAnsi="Bookman Old Style" w:cs="Arial"/>
                <w:b/>
                <w:bCs/>
                <w:color w:val="000000"/>
                <w:kern w:val="2"/>
                <w:sz w:val="20"/>
                <w:szCs w:val="20"/>
                <w:lang w:val="es-CO" w:eastAsia="es-CO"/>
                <w14:ligatures w14:val="standardContextual"/>
              </w:rPr>
            </w:pPr>
            <w:r w:rsidRPr="008856A1">
              <w:rPr>
                <w:rFonts w:ascii="Bookman Old Style" w:eastAsia="Calibri" w:hAnsi="Bookman Old Style" w:cs="Arial"/>
                <w:b/>
                <w:bCs/>
                <w:color w:val="000000"/>
                <w:kern w:val="2"/>
                <w:sz w:val="20"/>
                <w:szCs w:val="20"/>
                <w:lang w:val="es-CO" w:eastAsia="es-CO"/>
                <w14:ligatures w14:val="standardContextual"/>
              </w:rPr>
              <w:t>TIPO DE GASTO</w:t>
            </w:r>
          </w:p>
        </w:tc>
        <w:tc>
          <w:tcPr>
            <w:tcW w:w="4276" w:type="dxa"/>
            <w:tcBorders>
              <w:top w:val="single" w:sz="8" w:space="0" w:color="auto"/>
              <w:left w:val="nil"/>
              <w:bottom w:val="single" w:sz="8" w:space="0" w:color="auto"/>
              <w:right w:val="single" w:sz="8" w:space="0" w:color="auto"/>
            </w:tcBorders>
            <w:shd w:val="clear" w:color="000000" w:fill="E7E6E6"/>
            <w:noWrap/>
            <w:vAlign w:val="center"/>
            <w:hideMark/>
          </w:tcPr>
          <w:p w14:paraId="4AE8F42B" w14:textId="77777777" w:rsidR="00D51F38" w:rsidRPr="008856A1" w:rsidRDefault="00D51F38" w:rsidP="00ED6681">
            <w:pPr>
              <w:ind w:left="0"/>
              <w:rPr>
                <w:rFonts w:ascii="Bookman Old Style" w:eastAsia="Calibri" w:hAnsi="Bookman Old Style" w:cs="Arial"/>
                <w:b/>
                <w:bCs/>
                <w:color w:val="000000"/>
                <w:kern w:val="2"/>
                <w:sz w:val="20"/>
                <w:szCs w:val="20"/>
                <w:lang w:val="es-CO" w:eastAsia="es-CO"/>
                <w14:ligatures w14:val="standardContextual"/>
              </w:rPr>
            </w:pPr>
            <w:r w:rsidRPr="008856A1">
              <w:rPr>
                <w:rFonts w:ascii="Bookman Old Style" w:eastAsia="Calibri" w:hAnsi="Bookman Old Style" w:cs="Arial"/>
                <w:b/>
                <w:bCs/>
                <w:color w:val="000000"/>
                <w:kern w:val="2"/>
                <w:sz w:val="20"/>
                <w:szCs w:val="20"/>
                <w:lang w:val="es-CO" w:eastAsia="es-CO"/>
                <w14:ligatures w14:val="standardContextual"/>
              </w:rPr>
              <w:t xml:space="preserve"> CONCEPTOS </w:t>
            </w:r>
          </w:p>
        </w:tc>
        <w:tc>
          <w:tcPr>
            <w:tcW w:w="3113" w:type="dxa"/>
            <w:tcBorders>
              <w:top w:val="single" w:sz="8" w:space="0" w:color="auto"/>
              <w:left w:val="nil"/>
              <w:bottom w:val="single" w:sz="8" w:space="0" w:color="auto"/>
              <w:right w:val="single" w:sz="8" w:space="0" w:color="auto"/>
            </w:tcBorders>
            <w:shd w:val="clear" w:color="000000" w:fill="E7E6E6"/>
            <w:noWrap/>
            <w:vAlign w:val="center"/>
            <w:hideMark/>
          </w:tcPr>
          <w:p w14:paraId="65EBEE90" w14:textId="77777777" w:rsidR="00D51F38" w:rsidRPr="008856A1" w:rsidRDefault="00D51F38" w:rsidP="00ED6681">
            <w:pPr>
              <w:ind w:left="0"/>
              <w:jc w:val="center"/>
              <w:rPr>
                <w:rFonts w:ascii="Bookman Old Style" w:eastAsia="Calibri" w:hAnsi="Bookman Old Style" w:cs="Arial"/>
                <w:b/>
                <w:bCs/>
                <w:color w:val="000000"/>
                <w:kern w:val="2"/>
                <w:sz w:val="20"/>
                <w:szCs w:val="20"/>
                <w:lang w:val="es-CO" w:eastAsia="es-CO"/>
                <w14:ligatures w14:val="standardContextual"/>
              </w:rPr>
            </w:pPr>
            <w:r w:rsidRPr="008856A1">
              <w:rPr>
                <w:rFonts w:ascii="Bookman Old Style" w:eastAsia="Calibri" w:hAnsi="Bookman Old Style" w:cs="Arial"/>
                <w:b/>
                <w:bCs/>
                <w:color w:val="000000"/>
                <w:kern w:val="2"/>
                <w:sz w:val="20"/>
                <w:szCs w:val="20"/>
                <w:lang w:val="es-CO" w:eastAsia="es-CO"/>
                <w14:ligatures w14:val="standardContextual"/>
              </w:rPr>
              <w:t>VALORES EEFF 2023</w:t>
            </w:r>
          </w:p>
        </w:tc>
      </w:tr>
      <w:tr w:rsidR="00ED6681" w:rsidRPr="008856A1" w14:paraId="42EE70A7"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B0D3021"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3FC52E8"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w:t>
            </w:r>
            <w:proofErr w:type="gramStart"/>
            <w:r w:rsidRPr="008856A1">
              <w:rPr>
                <w:rFonts w:ascii="Bookman Old Style" w:eastAsia="Calibri" w:hAnsi="Bookman Old Style" w:cs="Arial"/>
                <w:color w:val="000000"/>
                <w:kern w:val="2"/>
                <w:sz w:val="20"/>
                <w:szCs w:val="20"/>
                <w:lang w:val="es-CO" w:eastAsia="es-CO"/>
                <w14:ligatures w14:val="standardContextual"/>
              </w:rPr>
              <w:t>Total</w:t>
            </w:r>
            <w:proofErr w:type="gramEnd"/>
            <w:r w:rsidRPr="008856A1">
              <w:rPr>
                <w:rFonts w:ascii="Bookman Old Style" w:eastAsia="Calibri" w:hAnsi="Bookman Old Style" w:cs="Arial"/>
                <w:color w:val="000000"/>
                <w:kern w:val="2"/>
                <w:sz w:val="20"/>
                <w:szCs w:val="20"/>
                <w:lang w:val="es-CO" w:eastAsia="es-CO"/>
                <w14:ligatures w14:val="standardContextual"/>
              </w:rPr>
              <w:t xml:space="preserve"> Gastos Administrativos </w:t>
            </w:r>
          </w:p>
        </w:tc>
        <w:tc>
          <w:tcPr>
            <w:tcW w:w="3113" w:type="dxa"/>
            <w:tcBorders>
              <w:top w:val="nil"/>
              <w:left w:val="nil"/>
              <w:bottom w:val="single" w:sz="8" w:space="0" w:color="auto"/>
              <w:right w:val="single" w:sz="8" w:space="0" w:color="auto"/>
            </w:tcBorders>
            <w:shd w:val="clear" w:color="auto" w:fill="auto"/>
            <w:noWrap/>
            <w:vAlign w:val="center"/>
            <w:hideMark/>
          </w:tcPr>
          <w:p w14:paraId="22055DDB"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$ 33.298.333.481.677</w:t>
            </w:r>
          </w:p>
        </w:tc>
      </w:tr>
      <w:tr w:rsidR="00ED6681" w:rsidRPr="008856A1" w14:paraId="3A2C4F86"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0648531"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3B56906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Ajustes Diferencia en Cambio </w:t>
            </w:r>
          </w:p>
        </w:tc>
        <w:tc>
          <w:tcPr>
            <w:tcW w:w="3113" w:type="dxa"/>
            <w:tcBorders>
              <w:top w:val="nil"/>
              <w:left w:val="nil"/>
              <w:bottom w:val="single" w:sz="8" w:space="0" w:color="auto"/>
              <w:right w:val="single" w:sz="8" w:space="0" w:color="auto"/>
            </w:tcBorders>
            <w:shd w:val="clear" w:color="auto" w:fill="auto"/>
            <w:noWrap/>
            <w:vAlign w:val="center"/>
            <w:hideMark/>
          </w:tcPr>
          <w:p w14:paraId="02EF8775"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-$ 2.357.090.726.570</w:t>
            </w:r>
          </w:p>
        </w:tc>
      </w:tr>
      <w:tr w:rsidR="00ED6681" w:rsidRPr="008856A1" w14:paraId="05FA231E"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0F38E1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A9FD57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Comisiones </w:t>
            </w:r>
          </w:p>
        </w:tc>
        <w:tc>
          <w:tcPr>
            <w:tcW w:w="3113" w:type="dxa"/>
            <w:tcBorders>
              <w:top w:val="nil"/>
              <w:left w:val="nil"/>
              <w:bottom w:val="single" w:sz="8" w:space="0" w:color="auto"/>
              <w:right w:val="single" w:sz="8" w:space="0" w:color="auto"/>
            </w:tcBorders>
            <w:shd w:val="clear" w:color="auto" w:fill="auto"/>
            <w:noWrap/>
            <w:vAlign w:val="center"/>
            <w:hideMark/>
          </w:tcPr>
          <w:p w14:paraId="50CDE5EA"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-$ 73.032.152.440</w:t>
            </w:r>
          </w:p>
        </w:tc>
      </w:tr>
      <w:tr w:rsidR="00ED6681" w:rsidRPr="008856A1" w14:paraId="654AF4B9"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6821F8F5"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lastRenderedPageBreak/>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7A58BEA5"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Donaciones </w:t>
            </w:r>
          </w:p>
        </w:tc>
        <w:tc>
          <w:tcPr>
            <w:tcW w:w="3113" w:type="dxa"/>
            <w:tcBorders>
              <w:top w:val="nil"/>
              <w:left w:val="nil"/>
              <w:bottom w:val="single" w:sz="8" w:space="0" w:color="auto"/>
              <w:right w:val="single" w:sz="8" w:space="0" w:color="auto"/>
            </w:tcBorders>
            <w:shd w:val="clear" w:color="auto" w:fill="auto"/>
            <w:noWrap/>
            <w:vAlign w:val="center"/>
            <w:hideMark/>
          </w:tcPr>
          <w:p w14:paraId="3996B282"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-$ 23.800.154.073</w:t>
            </w:r>
          </w:p>
        </w:tc>
      </w:tr>
      <w:tr w:rsidR="00ED6681" w:rsidRPr="008856A1" w14:paraId="6F1A49CD"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079B52B3"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6CC0494F"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Financieros </w:t>
            </w:r>
          </w:p>
        </w:tc>
        <w:tc>
          <w:tcPr>
            <w:tcW w:w="3113" w:type="dxa"/>
            <w:tcBorders>
              <w:top w:val="nil"/>
              <w:left w:val="nil"/>
              <w:bottom w:val="single" w:sz="8" w:space="0" w:color="auto"/>
              <w:right w:val="single" w:sz="8" w:space="0" w:color="auto"/>
            </w:tcBorders>
            <w:shd w:val="clear" w:color="auto" w:fill="auto"/>
            <w:noWrap/>
            <w:vAlign w:val="center"/>
            <w:hideMark/>
          </w:tcPr>
          <w:p w14:paraId="27C942F4"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-$ 10.065.187.967.868</w:t>
            </w:r>
          </w:p>
        </w:tc>
      </w:tr>
      <w:tr w:rsidR="00ED6681" w:rsidRPr="008856A1" w14:paraId="6D0F2888"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E8E4265"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1295FF86"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Perdida por el método de participación patrimonial </w:t>
            </w:r>
          </w:p>
        </w:tc>
        <w:tc>
          <w:tcPr>
            <w:tcW w:w="3113" w:type="dxa"/>
            <w:tcBorders>
              <w:top w:val="nil"/>
              <w:left w:val="nil"/>
              <w:bottom w:val="single" w:sz="8" w:space="0" w:color="auto"/>
              <w:right w:val="single" w:sz="8" w:space="0" w:color="auto"/>
            </w:tcBorders>
            <w:shd w:val="clear" w:color="auto" w:fill="auto"/>
            <w:noWrap/>
            <w:vAlign w:val="center"/>
            <w:hideMark/>
          </w:tcPr>
          <w:p w14:paraId="1F788190"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-$ 337.341.381.000</w:t>
            </w:r>
          </w:p>
        </w:tc>
      </w:tr>
      <w:tr w:rsidR="00ED6681" w:rsidRPr="008856A1" w14:paraId="7B2B8DEE"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7992E496"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13584003"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Litigios y/o demandas </w:t>
            </w:r>
          </w:p>
        </w:tc>
        <w:tc>
          <w:tcPr>
            <w:tcW w:w="3113" w:type="dxa"/>
            <w:tcBorders>
              <w:top w:val="nil"/>
              <w:left w:val="nil"/>
              <w:bottom w:val="single" w:sz="8" w:space="0" w:color="auto"/>
              <w:right w:val="single" w:sz="8" w:space="0" w:color="auto"/>
            </w:tcBorders>
            <w:shd w:val="clear" w:color="auto" w:fill="auto"/>
            <w:noWrap/>
            <w:vAlign w:val="center"/>
            <w:hideMark/>
          </w:tcPr>
          <w:p w14:paraId="3B9C6DC2"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-$ 955.381.197.000</w:t>
            </w:r>
          </w:p>
        </w:tc>
      </w:tr>
      <w:tr w:rsidR="00ED6681" w:rsidRPr="008856A1" w14:paraId="04A6E628"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0F0D739"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427D97F9"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Garantías </w:t>
            </w:r>
          </w:p>
        </w:tc>
        <w:tc>
          <w:tcPr>
            <w:tcW w:w="3113" w:type="dxa"/>
            <w:tcBorders>
              <w:top w:val="nil"/>
              <w:left w:val="nil"/>
              <w:bottom w:val="single" w:sz="8" w:space="0" w:color="auto"/>
              <w:right w:val="single" w:sz="8" w:space="0" w:color="auto"/>
            </w:tcBorders>
            <w:shd w:val="clear" w:color="auto" w:fill="auto"/>
            <w:noWrap/>
            <w:vAlign w:val="center"/>
            <w:hideMark/>
          </w:tcPr>
          <w:p w14:paraId="673C055E"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31DEEF46"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11D83B71"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F6D064A"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Diversas </w:t>
            </w:r>
          </w:p>
        </w:tc>
        <w:tc>
          <w:tcPr>
            <w:tcW w:w="3113" w:type="dxa"/>
            <w:tcBorders>
              <w:top w:val="nil"/>
              <w:left w:val="nil"/>
              <w:bottom w:val="single" w:sz="8" w:space="0" w:color="auto"/>
              <w:right w:val="single" w:sz="8" w:space="0" w:color="auto"/>
            </w:tcBorders>
            <w:shd w:val="clear" w:color="auto" w:fill="auto"/>
            <w:noWrap/>
            <w:vAlign w:val="center"/>
            <w:hideMark/>
          </w:tcPr>
          <w:p w14:paraId="04970D1E"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-$ 48.479.979.929</w:t>
            </w:r>
          </w:p>
        </w:tc>
      </w:tr>
      <w:tr w:rsidR="00ED6681" w:rsidRPr="008856A1" w14:paraId="7CB1D742"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08E0CD2"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748EBD8F"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Amortización </w:t>
            </w:r>
          </w:p>
        </w:tc>
        <w:tc>
          <w:tcPr>
            <w:tcW w:w="3113" w:type="dxa"/>
            <w:tcBorders>
              <w:top w:val="nil"/>
              <w:left w:val="nil"/>
              <w:bottom w:val="single" w:sz="8" w:space="0" w:color="auto"/>
              <w:right w:val="single" w:sz="8" w:space="0" w:color="auto"/>
            </w:tcBorders>
            <w:shd w:val="clear" w:color="auto" w:fill="auto"/>
            <w:noWrap/>
            <w:vAlign w:val="center"/>
            <w:hideMark/>
          </w:tcPr>
          <w:p w14:paraId="230B1F05"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-$ 188.744.468.080</w:t>
            </w:r>
          </w:p>
        </w:tc>
      </w:tr>
      <w:tr w:rsidR="00ED6681" w:rsidRPr="008856A1" w14:paraId="25A14D38"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4D9BF404"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72ED0CC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Depreciación </w:t>
            </w:r>
          </w:p>
        </w:tc>
        <w:tc>
          <w:tcPr>
            <w:tcW w:w="3113" w:type="dxa"/>
            <w:tcBorders>
              <w:top w:val="nil"/>
              <w:left w:val="nil"/>
              <w:bottom w:val="single" w:sz="8" w:space="0" w:color="auto"/>
              <w:right w:val="single" w:sz="8" w:space="0" w:color="auto"/>
            </w:tcBorders>
            <w:shd w:val="clear" w:color="auto" w:fill="auto"/>
            <w:noWrap/>
            <w:vAlign w:val="center"/>
            <w:hideMark/>
          </w:tcPr>
          <w:p w14:paraId="0B10FC07"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-$ 240.816.805.256</w:t>
            </w:r>
          </w:p>
        </w:tc>
      </w:tr>
      <w:tr w:rsidR="00ED6681" w:rsidRPr="008856A1" w14:paraId="23C6D7B0"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381C2B6B"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BBA8C0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Deterioro </w:t>
            </w:r>
          </w:p>
        </w:tc>
        <w:tc>
          <w:tcPr>
            <w:tcW w:w="3113" w:type="dxa"/>
            <w:tcBorders>
              <w:top w:val="nil"/>
              <w:left w:val="nil"/>
              <w:bottom w:val="single" w:sz="8" w:space="0" w:color="auto"/>
              <w:right w:val="single" w:sz="8" w:space="0" w:color="auto"/>
            </w:tcBorders>
            <w:shd w:val="clear" w:color="auto" w:fill="auto"/>
            <w:noWrap/>
            <w:vAlign w:val="center"/>
            <w:hideMark/>
          </w:tcPr>
          <w:p w14:paraId="2E9BA2F2"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-$ 4.061.807.035.688</w:t>
            </w:r>
          </w:p>
        </w:tc>
      </w:tr>
      <w:tr w:rsidR="00ED6681" w:rsidRPr="008856A1" w14:paraId="3F2B2856"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1E4D3024"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123C8735"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Impuesto a las Ganancias Corrientes </w:t>
            </w:r>
          </w:p>
        </w:tc>
        <w:tc>
          <w:tcPr>
            <w:tcW w:w="3113" w:type="dxa"/>
            <w:tcBorders>
              <w:top w:val="nil"/>
              <w:left w:val="nil"/>
              <w:bottom w:val="single" w:sz="8" w:space="0" w:color="auto"/>
              <w:right w:val="single" w:sz="8" w:space="0" w:color="auto"/>
            </w:tcBorders>
            <w:shd w:val="clear" w:color="auto" w:fill="auto"/>
            <w:noWrap/>
            <w:vAlign w:val="center"/>
            <w:hideMark/>
          </w:tcPr>
          <w:p w14:paraId="371BC396"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-$ 7.823.961.712.954</w:t>
            </w:r>
          </w:p>
        </w:tc>
      </w:tr>
      <w:tr w:rsidR="00ED6681" w:rsidRPr="008856A1" w14:paraId="15031B35"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75B732B9"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1021C7F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Impuesto a las Ganancias Diferido </w:t>
            </w:r>
          </w:p>
        </w:tc>
        <w:tc>
          <w:tcPr>
            <w:tcW w:w="3113" w:type="dxa"/>
            <w:tcBorders>
              <w:top w:val="nil"/>
              <w:left w:val="nil"/>
              <w:bottom w:val="single" w:sz="8" w:space="0" w:color="auto"/>
              <w:right w:val="single" w:sz="8" w:space="0" w:color="auto"/>
            </w:tcBorders>
            <w:shd w:val="clear" w:color="auto" w:fill="auto"/>
            <w:noWrap/>
            <w:vAlign w:val="center"/>
            <w:hideMark/>
          </w:tcPr>
          <w:p w14:paraId="7B01F439"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-$ 839.948.809.512</w:t>
            </w:r>
          </w:p>
        </w:tc>
      </w:tr>
      <w:tr w:rsidR="00ED6681" w:rsidRPr="008856A1" w14:paraId="6A3017F3"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33377455"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71769D91"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Impuestos Tasas y Contribuciones </w:t>
            </w:r>
          </w:p>
        </w:tc>
        <w:tc>
          <w:tcPr>
            <w:tcW w:w="3113" w:type="dxa"/>
            <w:tcBorders>
              <w:top w:val="nil"/>
              <w:left w:val="nil"/>
              <w:bottom w:val="single" w:sz="8" w:space="0" w:color="auto"/>
              <w:right w:val="single" w:sz="8" w:space="0" w:color="auto"/>
            </w:tcBorders>
            <w:shd w:val="clear" w:color="auto" w:fill="auto"/>
            <w:noWrap/>
            <w:vAlign w:val="center"/>
            <w:hideMark/>
          </w:tcPr>
          <w:p w14:paraId="6E87C8D2"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-$ 1.067.285.410.327</w:t>
            </w:r>
          </w:p>
        </w:tc>
      </w:tr>
      <w:tr w:rsidR="00ED6681" w:rsidRPr="008856A1" w14:paraId="5D1DEFB3"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5213A243"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5644CE23"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Gastos Diversos </w:t>
            </w:r>
          </w:p>
        </w:tc>
        <w:tc>
          <w:tcPr>
            <w:tcW w:w="3113" w:type="dxa"/>
            <w:tcBorders>
              <w:top w:val="nil"/>
              <w:left w:val="nil"/>
              <w:bottom w:val="single" w:sz="8" w:space="0" w:color="auto"/>
              <w:right w:val="single" w:sz="8" w:space="0" w:color="auto"/>
            </w:tcBorders>
            <w:shd w:val="clear" w:color="auto" w:fill="auto"/>
            <w:noWrap/>
            <w:vAlign w:val="center"/>
            <w:hideMark/>
          </w:tcPr>
          <w:p w14:paraId="28A500D7"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-$ 479.759.704.359</w:t>
            </w:r>
          </w:p>
        </w:tc>
      </w:tr>
      <w:tr w:rsidR="00ED6681" w:rsidRPr="008856A1" w14:paraId="5138DBA3"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60819DB0"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678B45D9"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Secretaría Distrital del Medio Ambiente </w:t>
            </w:r>
          </w:p>
        </w:tc>
        <w:tc>
          <w:tcPr>
            <w:tcW w:w="3113" w:type="dxa"/>
            <w:tcBorders>
              <w:top w:val="nil"/>
              <w:left w:val="nil"/>
              <w:bottom w:val="single" w:sz="8" w:space="0" w:color="auto"/>
              <w:right w:val="single" w:sz="8" w:space="0" w:color="auto"/>
            </w:tcBorders>
            <w:shd w:val="clear" w:color="auto" w:fill="auto"/>
            <w:noWrap/>
            <w:vAlign w:val="center"/>
            <w:hideMark/>
          </w:tcPr>
          <w:p w14:paraId="650378A9"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6A640402"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0D4ED9CE"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506624B"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Ley 56 de 1981 </w:t>
            </w:r>
          </w:p>
        </w:tc>
        <w:tc>
          <w:tcPr>
            <w:tcW w:w="3113" w:type="dxa"/>
            <w:tcBorders>
              <w:top w:val="nil"/>
              <w:left w:val="nil"/>
              <w:bottom w:val="single" w:sz="8" w:space="0" w:color="auto"/>
              <w:right w:val="single" w:sz="8" w:space="0" w:color="auto"/>
            </w:tcBorders>
            <w:shd w:val="clear" w:color="auto" w:fill="auto"/>
            <w:noWrap/>
            <w:vAlign w:val="center"/>
            <w:hideMark/>
          </w:tcPr>
          <w:p w14:paraId="00F5A267"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-$ 873.906.000</w:t>
            </w:r>
          </w:p>
        </w:tc>
      </w:tr>
      <w:tr w:rsidR="00ED6681" w:rsidRPr="008856A1" w14:paraId="1B9B1DFC"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19FAC295"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440784C0"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Medio Ambiente - Ley 99 de 1993 </w:t>
            </w:r>
          </w:p>
        </w:tc>
        <w:tc>
          <w:tcPr>
            <w:tcW w:w="3113" w:type="dxa"/>
            <w:tcBorders>
              <w:top w:val="nil"/>
              <w:left w:val="nil"/>
              <w:bottom w:val="single" w:sz="8" w:space="0" w:color="auto"/>
              <w:right w:val="single" w:sz="8" w:space="0" w:color="auto"/>
            </w:tcBorders>
            <w:shd w:val="clear" w:color="auto" w:fill="auto"/>
            <w:noWrap/>
            <w:vAlign w:val="center"/>
            <w:hideMark/>
          </w:tcPr>
          <w:p w14:paraId="6F7CA38C"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-$ 140.047.000</w:t>
            </w:r>
          </w:p>
        </w:tc>
      </w:tr>
      <w:tr w:rsidR="00ED6681" w:rsidRPr="008856A1" w14:paraId="78177712"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28DA0438"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4EE0B09C"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Regalías </w:t>
            </w:r>
          </w:p>
        </w:tc>
        <w:tc>
          <w:tcPr>
            <w:tcW w:w="3113" w:type="dxa"/>
            <w:tcBorders>
              <w:top w:val="nil"/>
              <w:left w:val="nil"/>
              <w:bottom w:val="single" w:sz="8" w:space="0" w:color="auto"/>
              <w:right w:val="single" w:sz="8" w:space="0" w:color="auto"/>
            </w:tcBorders>
            <w:shd w:val="clear" w:color="auto" w:fill="auto"/>
            <w:noWrap/>
            <w:vAlign w:val="center"/>
            <w:hideMark/>
          </w:tcPr>
          <w:p w14:paraId="1CE42977"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4C88457B"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373FDA43"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7A50566"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Licencia De Operación Del Servicio </w:t>
            </w:r>
          </w:p>
        </w:tc>
        <w:tc>
          <w:tcPr>
            <w:tcW w:w="3113" w:type="dxa"/>
            <w:tcBorders>
              <w:top w:val="nil"/>
              <w:left w:val="nil"/>
              <w:bottom w:val="single" w:sz="8" w:space="0" w:color="auto"/>
              <w:right w:val="single" w:sz="8" w:space="0" w:color="auto"/>
            </w:tcBorders>
            <w:shd w:val="clear" w:color="auto" w:fill="auto"/>
            <w:noWrap/>
            <w:vAlign w:val="center"/>
            <w:hideMark/>
          </w:tcPr>
          <w:p w14:paraId="00CCD15B"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10CAB96A"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22DE6D15"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4A0B8510"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FAZNI </w:t>
            </w:r>
          </w:p>
        </w:tc>
        <w:tc>
          <w:tcPr>
            <w:tcW w:w="3113" w:type="dxa"/>
            <w:tcBorders>
              <w:top w:val="nil"/>
              <w:left w:val="nil"/>
              <w:bottom w:val="single" w:sz="8" w:space="0" w:color="auto"/>
              <w:right w:val="single" w:sz="8" w:space="0" w:color="auto"/>
            </w:tcBorders>
            <w:shd w:val="clear" w:color="auto" w:fill="auto"/>
            <w:noWrap/>
            <w:vAlign w:val="center"/>
            <w:hideMark/>
          </w:tcPr>
          <w:p w14:paraId="36FC86C3"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233003F6"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4C37D16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146A2C1A"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FAER </w:t>
            </w:r>
          </w:p>
        </w:tc>
        <w:tc>
          <w:tcPr>
            <w:tcW w:w="3113" w:type="dxa"/>
            <w:tcBorders>
              <w:top w:val="nil"/>
              <w:left w:val="nil"/>
              <w:bottom w:val="single" w:sz="8" w:space="0" w:color="auto"/>
              <w:right w:val="single" w:sz="8" w:space="0" w:color="auto"/>
            </w:tcBorders>
            <w:shd w:val="clear" w:color="auto" w:fill="auto"/>
            <w:noWrap/>
            <w:vAlign w:val="center"/>
            <w:hideMark/>
          </w:tcPr>
          <w:p w14:paraId="482A8B54"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636BAF76" w14:textId="77777777" w:rsidTr="0046668C">
        <w:trPr>
          <w:trHeight w:val="3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0414C42B"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BB66A42"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Cuota de Fomento de gas </w:t>
            </w:r>
          </w:p>
        </w:tc>
        <w:tc>
          <w:tcPr>
            <w:tcW w:w="3113" w:type="dxa"/>
            <w:tcBorders>
              <w:top w:val="nil"/>
              <w:left w:val="nil"/>
              <w:bottom w:val="single" w:sz="8" w:space="0" w:color="auto"/>
              <w:right w:val="single" w:sz="8" w:space="0" w:color="auto"/>
            </w:tcBorders>
            <w:shd w:val="clear" w:color="auto" w:fill="auto"/>
            <w:noWrap/>
            <w:vAlign w:val="center"/>
            <w:hideMark/>
          </w:tcPr>
          <w:p w14:paraId="10172824"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6892EF0E"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35373F86"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238CC29C"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Comité De Estratificación -Ley 505 De 1999 </w:t>
            </w:r>
          </w:p>
        </w:tc>
        <w:tc>
          <w:tcPr>
            <w:tcW w:w="3113" w:type="dxa"/>
            <w:tcBorders>
              <w:top w:val="nil"/>
              <w:left w:val="nil"/>
              <w:bottom w:val="single" w:sz="8" w:space="0" w:color="auto"/>
              <w:right w:val="single" w:sz="8" w:space="0" w:color="auto"/>
            </w:tcBorders>
            <w:shd w:val="clear" w:color="auto" w:fill="auto"/>
            <w:noWrap/>
            <w:vAlign w:val="center"/>
            <w:hideMark/>
          </w:tcPr>
          <w:p w14:paraId="6A12A6B9"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37C72F7F" w14:textId="77777777" w:rsidTr="0046668C">
        <w:trPr>
          <w:trHeight w:val="70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67E9E2D8"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12B074DA"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Art 25 - Ley 142 - Concesiones, y permisos ambientales y sanitarios </w:t>
            </w:r>
          </w:p>
        </w:tc>
        <w:tc>
          <w:tcPr>
            <w:tcW w:w="3113" w:type="dxa"/>
            <w:tcBorders>
              <w:top w:val="nil"/>
              <w:left w:val="nil"/>
              <w:bottom w:val="single" w:sz="8" w:space="0" w:color="auto"/>
              <w:right w:val="single" w:sz="8" w:space="0" w:color="auto"/>
            </w:tcBorders>
            <w:shd w:val="clear" w:color="auto" w:fill="auto"/>
            <w:noWrap/>
            <w:vAlign w:val="center"/>
            <w:hideMark/>
          </w:tcPr>
          <w:p w14:paraId="167F96C1"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$ 0</w:t>
            </w:r>
          </w:p>
        </w:tc>
      </w:tr>
      <w:tr w:rsidR="00ED6681" w:rsidRPr="008856A1" w14:paraId="1D54492B" w14:textId="77777777" w:rsidTr="0046668C">
        <w:trPr>
          <w:trHeight w:val="470"/>
          <w:jc w:val="center"/>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6F75FC9E"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Administrativo</w:t>
            </w:r>
          </w:p>
        </w:tc>
        <w:tc>
          <w:tcPr>
            <w:tcW w:w="4276" w:type="dxa"/>
            <w:tcBorders>
              <w:top w:val="nil"/>
              <w:left w:val="nil"/>
              <w:bottom w:val="single" w:sz="8" w:space="0" w:color="auto"/>
              <w:right w:val="single" w:sz="8" w:space="0" w:color="auto"/>
            </w:tcBorders>
            <w:shd w:val="clear" w:color="auto" w:fill="auto"/>
            <w:noWrap/>
            <w:vAlign w:val="center"/>
            <w:hideMark/>
          </w:tcPr>
          <w:p w14:paraId="1C691F4E"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 xml:space="preserve"> (-) Otras licencias Ley 142 de 1994 </w:t>
            </w:r>
          </w:p>
        </w:tc>
        <w:tc>
          <w:tcPr>
            <w:tcW w:w="3113" w:type="dxa"/>
            <w:tcBorders>
              <w:top w:val="nil"/>
              <w:left w:val="nil"/>
              <w:bottom w:val="single" w:sz="8" w:space="0" w:color="auto"/>
              <w:right w:val="single" w:sz="8" w:space="0" w:color="auto"/>
            </w:tcBorders>
            <w:shd w:val="clear" w:color="auto" w:fill="auto"/>
            <w:noWrap/>
            <w:vAlign w:val="center"/>
            <w:hideMark/>
          </w:tcPr>
          <w:p w14:paraId="07E2A804"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s-CO"/>
                <w14:ligatures w14:val="standardContextual"/>
              </w:rPr>
              <w:t>-$ 1.041.823.000</w:t>
            </w:r>
          </w:p>
        </w:tc>
      </w:tr>
      <w:tr w:rsidR="00ED6681" w:rsidRPr="008856A1" w14:paraId="6D89A469" w14:textId="77777777" w:rsidTr="0046668C">
        <w:trPr>
          <w:trHeight w:val="300"/>
          <w:jc w:val="center"/>
        </w:trPr>
        <w:tc>
          <w:tcPr>
            <w:tcW w:w="651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87B470" w14:textId="77777777" w:rsidR="00D51F38" w:rsidRPr="008856A1" w:rsidRDefault="00D51F38" w:rsidP="00ED6681">
            <w:pPr>
              <w:ind w:left="0"/>
              <w:jc w:val="center"/>
              <w:rPr>
                <w:rFonts w:ascii="Bookman Old Style" w:eastAsia="Calibri" w:hAnsi="Bookman Old Style" w:cs="Arial"/>
                <w:b/>
                <w:bCs/>
                <w:color w:val="000000"/>
                <w:kern w:val="2"/>
                <w:sz w:val="20"/>
                <w:szCs w:val="20"/>
                <w:lang w:val="es-CO" w:eastAsia="es-CO"/>
                <w14:ligatures w14:val="standardContextual"/>
              </w:rPr>
            </w:pPr>
            <w:proofErr w:type="gramStart"/>
            <w:r w:rsidRPr="008856A1">
              <w:rPr>
                <w:rFonts w:ascii="Bookman Old Style" w:eastAsia="Calibri" w:hAnsi="Bookman Old Style" w:cs="Arial"/>
                <w:b/>
                <w:bCs/>
                <w:color w:val="000000"/>
                <w:kern w:val="2"/>
                <w:sz w:val="20"/>
                <w:szCs w:val="20"/>
                <w:lang w:val="es-CO" w:eastAsia="es-CO"/>
                <w14:ligatures w14:val="standardContextual"/>
              </w:rPr>
              <w:t>TOTAL</w:t>
            </w:r>
            <w:proofErr w:type="gramEnd"/>
            <w:r w:rsidRPr="008856A1">
              <w:rPr>
                <w:rFonts w:ascii="Bookman Old Style" w:eastAsia="Calibri" w:hAnsi="Bookman Old Style" w:cs="Arial"/>
                <w:b/>
                <w:bCs/>
                <w:color w:val="000000"/>
                <w:kern w:val="2"/>
                <w:sz w:val="20"/>
                <w:szCs w:val="20"/>
                <w:lang w:val="es-CO" w:eastAsia="es-CO"/>
                <w14:ligatures w14:val="standardContextual"/>
              </w:rPr>
              <w:t xml:space="preserve"> BASE GRAVABLE CON REPORTE</w:t>
            </w:r>
          </w:p>
        </w:tc>
        <w:tc>
          <w:tcPr>
            <w:tcW w:w="3113" w:type="dxa"/>
            <w:tcBorders>
              <w:top w:val="nil"/>
              <w:left w:val="nil"/>
              <w:bottom w:val="single" w:sz="8" w:space="0" w:color="auto"/>
              <w:right w:val="single" w:sz="8" w:space="0" w:color="auto"/>
            </w:tcBorders>
            <w:shd w:val="clear" w:color="auto" w:fill="auto"/>
            <w:noWrap/>
            <w:vAlign w:val="center"/>
            <w:hideMark/>
          </w:tcPr>
          <w:p w14:paraId="022200E9" w14:textId="77777777" w:rsidR="00D51F38" w:rsidRPr="008856A1" w:rsidRDefault="00D51F38" w:rsidP="00ED6681">
            <w:pPr>
              <w:ind w:left="0"/>
              <w:jc w:val="right"/>
              <w:rPr>
                <w:rFonts w:ascii="Bookman Old Style" w:eastAsia="Calibri" w:hAnsi="Bookman Old Style" w:cs="Arial"/>
                <w:b/>
                <w:bCs/>
                <w:color w:val="000000"/>
                <w:kern w:val="2"/>
                <w:sz w:val="20"/>
                <w:szCs w:val="20"/>
                <w:lang w:val="es-CO" w:eastAsia="es-CO"/>
                <w14:ligatures w14:val="standardContextual"/>
              </w:rPr>
            </w:pPr>
            <w:r w:rsidRPr="008856A1">
              <w:rPr>
                <w:rFonts w:ascii="Bookman Old Style" w:eastAsia="Calibri" w:hAnsi="Bookman Old Style" w:cs="Arial"/>
                <w:b/>
                <w:bCs/>
                <w:color w:val="000000"/>
                <w:kern w:val="2"/>
                <w:sz w:val="20"/>
                <w:szCs w:val="20"/>
                <w:lang w:val="es-CO" w:eastAsia="es-CO"/>
                <w14:ligatures w14:val="standardContextual"/>
              </w:rPr>
              <w:t>$ 4.733.640.200.621</w:t>
            </w:r>
          </w:p>
        </w:tc>
      </w:tr>
    </w:tbl>
    <w:p w14:paraId="54755212" w14:textId="77777777" w:rsidR="00D51F38" w:rsidRPr="008856A1" w:rsidRDefault="00D51F38" w:rsidP="00ED6681">
      <w:pPr>
        <w:ind w:left="0"/>
        <w:jc w:val="both"/>
        <w:rPr>
          <w:rFonts w:ascii="Bookman Old Style" w:eastAsia="Calibri" w:hAnsi="Bookman Old Style" w:cs="Arial"/>
          <w:kern w:val="2"/>
          <w:sz w:val="20"/>
          <w:szCs w:val="20"/>
          <w:lang w:val="es-CO" w:eastAsia="en-US"/>
          <w14:ligatures w14:val="standardContextual"/>
        </w:rPr>
      </w:pPr>
    </w:p>
    <w:p w14:paraId="33DA6C1C"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De conformidad con el artículo 85 de la Ley 142 de 1994 y el artículo 22 de la Ley 143 de 1994, la tarifa de la contribución especial de regulación es un porcentaje variable con el cual se determina el valor a pagar por cada contribuyente en una vigencia específica, la cual será hallada tomando el presupuesto vigente de la CREG, el cual será dividido sobre la sumatoria de las bases gravables de los sujetos pasivos. La tarifa no podrá ser superior al uno por ciento (1%) de las respectivas bases gravables. </w:t>
      </w:r>
    </w:p>
    <w:p w14:paraId="5D723367" w14:textId="77777777" w:rsidR="00D51F38" w:rsidRPr="00ED6681" w:rsidRDefault="00D51F38" w:rsidP="00ED6681">
      <w:pPr>
        <w:ind w:left="0"/>
        <w:rPr>
          <w:rFonts w:ascii="Bookman Old Style" w:eastAsia="Calibri" w:hAnsi="Bookman Old Style" w:cs="Arial"/>
          <w:kern w:val="2"/>
          <w:lang w:val="es-CO" w:eastAsia="en-US"/>
          <w14:ligatures w14:val="standardContextual"/>
        </w:rPr>
      </w:pPr>
    </w:p>
    <w:p w14:paraId="012AF055" w14:textId="77777777" w:rsidR="00D51F38" w:rsidRPr="00ED6681" w:rsidRDefault="00D51F38" w:rsidP="00ED6681">
      <w:pPr>
        <w:ind w:left="0"/>
        <w:rPr>
          <w:rFonts w:ascii="Bookman Old Style" w:hAnsi="Bookman Old Style" w:cs="Arial"/>
        </w:rPr>
      </w:pPr>
      <w:r w:rsidRPr="00ED6681">
        <w:rPr>
          <w:rFonts w:ascii="Bookman Old Style" w:hAnsi="Bookman Old Style" w:cs="Arial"/>
        </w:rPr>
        <w:t>La tarifa descrita se calculará de la siguiente manera:</w:t>
      </w:r>
    </w:p>
    <w:p w14:paraId="67528E4B" w14:textId="77777777" w:rsidR="00D51F38" w:rsidRPr="00ED6681" w:rsidRDefault="00D51F38" w:rsidP="00ED6681">
      <w:pPr>
        <w:ind w:left="142"/>
        <w:rPr>
          <w:rFonts w:ascii="Bookman Old Style" w:hAnsi="Bookman Old Style" w:cs="Arial"/>
          <w:b/>
          <w:bCs/>
        </w:rPr>
      </w:pPr>
    </w:p>
    <w:p w14:paraId="6529D3E6" w14:textId="6089B7E4" w:rsidR="00D51F38" w:rsidRPr="00ED6681" w:rsidRDefault="00020FDD" w:rsidP="00ED6681">
      <w:pPr>
        <w:ind w:left="142"/>
        <w:rPr>
          <w:rFonts w:ascii="Bookman Old Style" w:hAnsi="Bookman Old Style" w:cs="Arial"/>
          <w:b/>
          <w:bCs/>
        </w:rPr>
      </w:pPr>
      <w:r w:rsidRPr="00020FDD">
        <w:rPr>
          <w:rFonts w:ascii="Bookman Old Style" w:hAnsi="Bookman Old Style" w:cs="Arial"/>
          <w:b/>
          <w:bCs/>
        </w:rPr>
        <w:drawing>
          <wp:inline distT="0" distB="0" distL="0" distR="0" wp14:anchorId="1E6080DE" wp14:editId="773C92B8">
            <wp:extent cx="800212" cy="323895"/>
            <wp:effectExtent l="0" t="0" r="0" b="0"/>
            <wp:docPr id="18739357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35725" name=""/>
                    <pic:cNvPicPr/>
                  </pic:nvPicPr>
                  <pic:blipFill>
                    <a:blip r:embed="rId13"/>
                    <a:stretch>
                      <a:fillRect/>
                    </a:stretch>
                  </pic:blipFill>
                  <pic:spPr>
                    <a:xfrm>
                      <a:off x="0" y="0"/>
                      <a:ext cx="800212" cy="323895"/>
                    </a:xfrm>
                    <a:prstGeom prst="rect">
                      <a:avLst/>
                    </a:prstGeom>
                  </pic:spPr>
                </pic:pic>
              </a:graphicData>
            </a:graphic>
          </wp:inline>
        </w:drawing>
      </w:r>
    </w:p>
    <w:p w14:paraId="10B2FF24" w14:textId="77777777" w:rsidR="00D51F38" w:rsidRPr="00ED6681" w:rsidRDefault="00D51F38" w:rsidP="00ED6681">
      <w:pPr>
        <w:ind w:left="142"/>
        <w:rPr>
          <w:rFonts w:ascii="Bookman Old Style" w:hAnsi="Bookman Old Style" w:cs="Arial"/>
          <w:b/>
          <w:bCs/>
        </w:rPr>
      </w:pPr>
    </w:p>
    <w:p w14:paraId="3DF2C0B9" w14:textId="77777777" w:rsidR="00D51F38" w:rsidRPr="00ED6681" w:rsidRDefault="00D51F38" w:rsidP="00ED6681">
      <w:pPr>
        <w:ind w:left="142"/>
        <w:rPr>
          <w:rFonts w:ascii="Bookman Old Style" w:hAnsi="Bookman Old Style" w:cs="Arial"/>
        </w:rPr>
      </w:pPr>
      <w:r w:rsidRPr="00ED6681">
        <w:rPr>
          <w:rFonts w:ascii="Bookman Old Style" w:hAnsi="Bookman Old Style" w:cs="Arial"/>
        </w:rPr>
        <w:t>Donde:</w:t>
      </w:r>
    </w:p>
    <w:p w14:paraId="24D85F56" w14:textId="77777777" w:rsidR="00D51F38" w:rsidRPr="00ED6681" w:rsidRDefault="00D51F38" w:rsidP="00ED6681">
      <w:pPr>
        <w:ind w:left="708"/>
        <w:rPr>
          <w:rFonts w:ascii="Bookman Old Style" w:hAnsi="Bookman Old Style" w:cs="Arial"/>
        </w:rPr>
      </w:pPr>
    </w:p>
    <w:p w14:paraId="1BCE2FD3" w14:textId="77777777" w:rsidR="00D51F38" w:rsidRPr="00ED6681" w:rsidRDefault="00D51F38" w:rsidP="00ED6681">
      <w:pPr>
        <w:ind w:left="708"/>
        <w:rPr>
          <w:rFonts w:ascii="Bookman Old Style" w:hAnsi="Bookman Old Style" w:cs="Arial"/>
        </w:rPr>
      </w:pPr>
      <w:proofErr w:type="spellStart"/>
      <w:r w:rsidRPr="00ED6681">
        <w:rPr>
          <w:rFonts w:ascii="Bookman Old Style" w:hAnsi="Bookman Old Style" w:cs="Arial"/>
        </w:rPr>
        <w:t>Tce</w:t>
      </w:r>
      <w:proofErr w:type="spellEnd"/>
      <w:r w:rsidRPr="00ED6681">
        <w:rPr>
          <w:rFonts w:ascii="Bookman Old Style" w:hAnsi="Bookman Old Style" w:cs="Arial"/>
        </w:rPr>
        <w:t>: tarifa de la contribución especial.</w:t>
      </w:r>
    </w:p>
    <w:p w14:paraId="500D735D" w14:textId="77777777" w:rsidR="00D51F38" w:rsidRPr="00ED6681" w:rsidRDefault="00D51F38" w:rsidP="00ED6681">
      <w:pPr>
        <w:ind w:left="708"/>
        <w:rPr>
          <w:rFonts w:ascii="Bookman Old Style" w:hAnsi="Bookman Old Style" w:cs="Arial"/>
        </w:rPr>
      </w:pPr>
      <w:proofErr w:type="spellStart"/>
      <w:r w:rsidRPr="00ED6681">
        <w:rPr>
          <w:rFonts w:ascii="Bookman Old Style" w:hAnsi="Bookman Old Style" w:cs="Arial"/>
        </w:rPr>
        <w:lastRenderedPageBreak/>
        <w:t>PvC</w:t>
      </w:r>
      <w:proofErr w:type="spellEnd"/>
      <w:r w:rsidRPr="00ED6681">
        <w:rPr>
          <w:rFonts w:ascii="Bookman Old Style" w:hAnsi="Bookman Old Style" w:cs="Arial"/>
        </w:rPr>
        <w:t>: presupuesto vigente de la CREG</w:t>
      </w:r>
    </w:p>
    <w:p w14:paraId="2F0F9C17" w14:textId="77777777" w:rsidR="00D51F38" w:rsidRPr="00ED6681" w:rsidRDefault="00000000" w:rsidP="00ED6681">
      <w:pPr>
        <w:ind w:left="708"/>
        <w:rPr>
          <w:rFonts w:ascii="Bookman Old Style" w:hAnsi="Bookman Old Style" w:cs="Arial"/>
        </w:rPr>
      </w:pPr>
      <m:oMath>
        <m:nary>
          <m:naryPr>
            <m:chr m:val="∑"/>
            <m:subHide m:val="1"/>
            <m:supHide m:val="1"/>
            <m:ctrlPr>
              <w:rPr>
                <w:rFonts w:ascii="Cambria Math" w:hAnsi="Cambria Math" w:cs="Arial"/>
              </w:rPr>
            </m:ctrlPr>
          </m:naryPr>
          <m:sub/>
          <m:sup/>
          <m:e>
            <m:r>
              <m:rPr>
                <m:sty m:val="bi"/>
              </m:rPr>
              <w:rPr>
                <w:rFonts w:ascii="Cambria Math" w:hAnsi="Cambria Math" w:cs="Arial"/>
              </w:rPr>
              <m:t>bg</m:t>
            </m:r>
          </m:e>
        </m:nary>
        <m:r>
          <m:rPr>
            <m:sty m:val="b"/>
          </m:rPr>
          <w:rPr>
            <w:rFonts w:ascii="Cambria Math" w:hAnsi="Cambria Math" w:cs="Arial"/>
          </w:rPr>
          <m:t xml:space="preserve">: </m:t>
        </m:r>
      </m:oMath>
      <w:r w:rsidR="00D51F38" w:rsidRPr="00ED6681">
        <w:rPr>
          <w:rFonts w:ascii="Bookman Old Style" w:hAnsi="Bookman Old Style" w:cs="Arial"/>
        </w:rPr>
        <w:t xml:space="preserve">Sumatoria de las bases gravables de los sujetos pasivos. </w:t>
      </w:r>
    </w:p>
    <w:p w14:paraId="04E3E804" w14:textId="77777777" w:rsidR="00D51F38" w:rsidRPr="00ED6681" w:rsidRDefault="00D51F38" w:rsidP="00ED6681">
      <w:pPr>
        <w:ind w:left="142"/>
        <w:rPr>
          <w:rFonts w:ascii="Bookman Old Style" w:hAnsi="Bookman Old Style" w:cs="Arial"/>
          <w:b/>
          <w:bCs/>
        </w:rPr>
      </w:pPr>
    </w:p>
    <w:p w14:paraId="364883C5"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La CREG hizo el análisis de la información financiera 2023 reportada por los prestadores de los servicios públicos domiciliarios de energía eléctrica, gas natural y gas licuado de petróleo – GLP al SUI de la SSPD, con corte al 25 de agosto de 2024.</w:t>
      </w:r>
    </w:p>
    <w:p w14:paraId="16F3FDC0"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95A78C8" w14:textId="77777777" w:rsidR="00D51F38" w:rsidRPr="00ED6681" w:rsidRDefault="00D51F38" w:rsidP="00ED6681">
      <w:pPr>
        <w:ind w:left="0"/>
        <w:jc w:val="both"/>
        <w:rPr>
          <w:rFonts w:ascii="Bookman Old Style" w:eastAsia="Calibri" w:hAnsi="Bookman Old Style" w:cs="Arial"/>
          <w:b/>
          <w:bCs/>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La CREG depuró dicha información conforme a las disposiciones de los artículos 85 de la Ley 142 de 1994 y 22 de la Ley 143 de 1994, así como las precisiones realizadas por el Consejo de Estado en las sentencias antes citadas, y estableció que el valor neto de los gastos de funcionamiento de los regulados depurados asciende a la suma de </w:t>
      </w:r>
      <w:r w:rsidRPr="00ED6681">
        <w:rPr>
          <w:rFonts w:ascii="Bookman Old Style" w:eastAsia="Calibri" w:hAnsi="Bookman Old Style" w:cs="Arial"/>
          <w:b/>
          <w:bCs/>
          <w:kern w:val="2"/>
          <w:lang w:val="es-CO" w:eastAsia="en-US"/>
          <w14:ligatures w14:val="standardContextual"/>
        </w:rPr>
        <w:t xml:space="preserve">$ 4.733.640.200.621, </w:t>
      </w:r>
      <w:r w:rsidRPr="00ED6681">
        <w:rPr>
          <w:rFonts w:ascii="Bookman Old Style" w:eastAsia="Calibri" w:hAnsi="Bookman Old Style" w:cs="Arial"/>
          <w:kern w:val="2"/>
          <w:lang w:val="es-CO" w:eastAsia="en-US"/>
          <w14:ligatures w14:val="standardContextual"/>
        </w:rPr>
        <w:t>la cual se constituye en la base gravable inicial para la contribución especial de la vigencia 2024.</w:t>
      </w:r>
    </w:p>
    <w:p w14:paraId="0ED855D2"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C60FF81"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Lo anterior a efectos de depurar y establecer la base gravable y el monto de la tarifa de la contribución especial para la vigencia 2024, a partir del presupuesto base neto de la CREG a recuperar como costo de prestación del servicio de regulación por </w:t>
      </w:r>
      <w:r w:rsidRPr="00ED6681">
        <w:rPr>
          <w:rFonts w:ascii="Bookman Old Style" w:eastAsia="Calibri" w:hAnsi="Bookman Old Style" w:cs="Arial"/>
          <w:b/>
          <w:bCs/>
          <w:kern w:val="2"/>
          <w:lang w:val="es-CO" w:eastAsia="en-US"/>
          <w14:ligatures w14:val="standardContextual"/>
        </w:rPr>
        <w:t>$39.449.795.982</w:t>
      </w:r>
      <w:r w:rsidRPr="00ED6681">
        <w:rPr>
          <w:rFonts w:ascii="Bookman Old Style" w:eastAsia="Calibri" w:hAnsi="Bookman Old Style" w:cs="Arial"/>
          <w:kern w:val="2"/>
          <w:lang w:val="es-CO" w:eastAsia="en-US"/>
          <w14:ligatures w14:val="standardContextual"/>
        </w:rPr>
        <w:t xml:space="preserve">, tomando los gastos de administración 2023 reportados por las empresas, da como resultado del cálculo una tarifa de </w:t>
      </w:r>
      <w:r w:rsidRPr="00ED6681">
        <w:rPr>
          <w:rFonts w:ascii="Bookman Old Style" w:eastAsia="Calibri" w:hAnsi="Bookman Old Style" w:cs="Arial"/>
          <w:b/>
          <w:bCs/>
          <w:kern w:val="2"/>
          <w:lang w:val="es-CO" w:eastAsia="en-US"/>
          <w14:ligatures w14:val="standardContextual"/>
        </w:rPr>
        <w:t xml:space="preserve">0.833392% </w:t>
      </w:r>
      <w:r w:rsidRPr="00ED6681">
        <w:rPr>
          <w:rFonts w:ascii="Bookman Old Style" w:eastAsia="Calibri" w:hAnsi="Bookman Old Style" w:cs="Arial"/>
          <w:kern w:val="2"/>
          <w:lang w:val="es-CO" w:eastAsia="en-US"/>
          <w14:ligatures w14:val="standardContextual"/>
        </w:rPr>
        <w:t>el cual es inferior al máximo del 1%, a continuación, se presenta el detalle:</w:t>
      </w:r>
    </w:p>
    <w:p w14:paraId="5036C3C4"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6001101E" w14:textId="7932C76A" w:rsidR="00D51F38" w:rsidRDefault="00D51F38" w:rsidP="00ED6681">
      <w:pPr>
        <w:keepNext/>
        <w:rPr>
          <w:rFonts w:ascii="Bookman Old Style" w:hAnsi="Bookman Old Style" w:cs="Arial"/>
          <w:i/>
          <w:iCs/>
        </w:rPr>
      </w:pPr>
      <w:r w:rsidRPr="00ED6681">
        <w:rPr>
          <w:rFonts w:ascii="Bookman Old Style" w:hAnsi="Bookman Old Style" w:cs="Arial"/>
          <w:i/>
          <w:iCs/>
        </w:rPr>
        <w:t xml:space="preserve">Tabla </w:t>
      </w:r>
      <w:r w:rsidRPr="00ED6681">
        <w:rPr>
          <w:rFonts w:ascii="Bookman Old Style" w:hAnsi="Bookman Old Style" w:cs="Arial"/>
          <w:i/>
          <w:iCs/>
        </w:rPr>
        <w:fldChar w:fldCharType="begin"/>
      </w:r>
      <w:r w:rsidRPr="00ED6681">
        <w:rPr>
          <w:rFonts w:ascii="Bookman Old Style" w:hAnsi="Bookman Old Style" w:cs="Arial"/>
          <w:i/>
          <w:iCs/>
        </w:rPr>
        <w:instrText xml:space="preserve"> SEQ Tabla \* ARABIC </w:instrText>
      </w:r>
      <w:r w:rsidRPr="00ED6681">
        <w:rPr>
          <w:rFonts w:ascii="Bookman Old Style" w:hAnsi="Bookman Old Style" w:cs="Arial"/>
          <w:i/>
          <w:iCs/>
        </w:rPr>
        <w:fldChar w:fldCharType="separate"/>
      </w:r>
      <w:r w:rsidR="009D1222">
        <w:rPr>
          <w:rFonts w:ascii="Bookman Old Style" w:hAnsi="Bookman Old Style" w:cs="Arial"/>
          <w:i/>
          <w:iCs/>
          <w:noProof/>
        </w:rPr>
        <w:t>3</w:t>
      </w:r>
      <w:r w:rsidRPr="00ED6681">
        <w:rPr>
          <w:rFonts w:ascii="Bookman Old Style" w:hAnsi="Bookman Old Style" w:cs="Arial"/>
          <w:i/>
          <w:iCs/>
        </w:rPr>
        <w:fldChar w:fldCharType="end"/>
      </w:r>
      <w:r w:rsidRPr="00ED6681">
        <w:rPr>
          <w:rFonts w:ascii="Bookman Old Style" w:hAnsi="Bookman Old Style" w:cs="Arial"/>
          <w:i/>
          <w:iCs/>
        </w:rPr>
        <w:t>. Base Gravable 2024 gastos de administración.</w:t>
      </w:r>
    </w:p>
    <w:p w14:paraId="2D5AF04E" w14:textId="77777777" w:rsidR="008856A1" w:rsidRPr="00ED6681" w:rsidRDefault="008856A1" w:rsidP="00ED6681">
      <w:pPr>
        <w:keepNext/>
        <w:rPr>
          <w:rFonts w:ascii="Bookman Old Style" w:hAnsi="Bookman Old Style" w:cs="Arial"/>
          <w:i/>
          <w:iCs/>
        </w:rPr>
      </w:pPr>
    </w:p>
    <w:tbl>
      <w:tblPr>
        <w:tblW w:w="6799" w:type="dxa"/>
        <w:jc w:val="center"/>
        <w:tblCellMar>
          <w:left w:w="70" w:type="dxa"/>
          <w:right w:w="70" w:type="dxa"/>
        </w:tblCellMar>
        <w:tblLook w:val="04A0" w:firstRow="1" w:lastRow="0" w:firstColumn="1" w:lastColumn="0" w:noHBand="0" w:noVBand="1"/>
      </w:tblPr>
      <w:tblGrid>
        <w:gridCol w:w="3823"/>
        <w:gridCol w:w="2976"/>
      </w:tblGrid>
      <w:tr w:rsidR="00D51F38" w:rsidRPr="00ED6681" w14:paraId="4B187404" w14:textId="77777777" w:rsidTr="00D51F38">
        <w:trPr>
          <w:trHeight w:val="465"/>
          <w:jc w:val="center"/>
        </w:trPr>
        <w:tc>
          <w:tcPr>
            <w:tcW w:w="382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3D4278A" w14:textId="77777777" w:rsidR="00D51F38" w:rsidRPr="008856A1" w:rsidRDefault="00D51F38" w:rsidP="00ED6681">
            <w:pPr>
              <w:ind w:left="0"/>
              <w:jc w:val="center"/>
              <w:rPr>
                <w:rFonts w:ascii="Bookman Old Style" w:eastAsia="Calibri" w:hAnsi="Bookman Old Style" w:cs="Arial"/>
                <w:b/>
                <w:bCs/>
                <w:color w:val="000000"/>
                <w:kern w:val="2"/>
                <w:sz w:val="20"/>
                <w:szCs w:val="20"/>
                <w:lang w:val="es-CO" w:eastAsia="es-CO"/>
                <w14:ligatures w14:val="standardContextual"/>
              </w:rPr>
            </w:pPr>
            <w:r w:rsidRPr="008856A1">
              <w:rPr>
                <w:rFonts w:ascii="Bookman Old Style" w:eastAsia="Calibri" w:hAnsi="Bookman Old Style" w:cs="Arial"/>
                <w:b/>
                <w:bCs/>
                <w:color w:val="000000"/>
                <w:kern w:val="2"/>
                <w:sz w:val="20"/>
                <w:szCs w:val="20"/>
                <w:lang w:val="es-MX" w:eastAsia="es-CO"/>
                <w14:ligatures w14:val="standardContextual"/>
              </w:rPr>
              <w:t>CONCEPTOS</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14:paraId="1CFDAE67" w14:textId="77777777" w:rsidR="00D51F38" w:rsidRPr="008856A1" w:rsidRDefault="00D51F38" w:rsidP="00ED6681">
            <w:pPr>
              <w:ind w:left="0"/>
              <w:jc w:val="center"/>
              <w:rPr>
                <w:rFonts w:ascii="Bookman Old Style" w:eastAsia="Calibri" w:hAnsi="Bookman Old Style" w:cs="Arial"/>
                <w:b/>
                <w:bCs/>
                <w:color w:val="000000"/>
                <w:kern w:val="2"/>
                <w:sz w:val="20"/>
                <w:szCs w:val="20"/>
                <w:lang w:val="es-CO" w:eastAsia="es-CO"/>
                <w14:ligatures w14:val="standardContextual"/>
              </w:rPr>
            </w:pPr>
            <w:r w:rsidRPr="008856A1">
              <w:rPr>
                <w:rFonts w:ascii="Bookman Old Style" w:eastAsia="Calibri" w:hAnsi="Bookman Old Style" w:cs="Arial"/>
                <w:b/>
                <w:bCs/>
                <w:color w:val="000000"/>
                <w:kern w:val="2"/>
                <w:sz w:val="20"/>
                <w:szCs w:val="20"/>
                <w:lang w:val="es-MX" w:eastAsia="es-CO"/>
                <w14:ligatures w14:val="standardContextual"/>
              </w:rPr>
              <w:t>BASE GASTOS DE ADMINISTRACIÓN</w:t>
            </w:r>
          </w:p>
        </w:tc>
      </w:tr>
      <w:tr w:rsidR="00ED6681" w:rsidRPr="00ED6681" w14:paraId="7DC24979" w14:textId="77777777" w:rsidTr="0046668C">
        <w:trPr>
          <w:trHeight w:val="239"/>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427AC0D"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proofErr w:type="gramStart"/>
            <w:r w:rsidRPr="008856A1">
              <w:rPr>
                <w:rFonts w:ascii="Bookman Old Style" w:eastAsia="Calibri" w:hAnsi="Bookman Old Style" w:cs="Arial"/>
                <w:color w:val="000000"/>
                <w:kern w:val="2"/>
                <w:sz w:val="20"/>
                <w:szCs w:val="20"/>
                <w:lang w:val="es-CO" w:eastAsia="es-CO"/>
                <w14:ligatures w14:val="standardContextual"/>
              </w:rPr>
              <w:t>TOTAL</w:t>
            </w:r>
            <w:proofErr w:type="gramEnd"/>
            <w:r w:rsidRPr="008856A1">
              <w:rPr>
                <w:rFonts w:ascii="Bookman Old Style" w:eastAsia="Calibri" w:hAnsi="Bookman Old Style" w:cs="Arial"/>
                <w:color w:val="000000"/>
                <w:kern w:val="2"/>
                <w:sz w:val="20"/>
                <w:szCs w:val="20"/>
                <w:lang w:val="es-CO" w:eastAsia="es-CO"/>
                <w14:ligatures w14:val="standardContextual"/>
              </w:rPr>
              <w:t xml:space="preserve"> BASE GRAVABLE</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2619" w14:textId="77777777" w:rsidR="00D51F38" w:rsidRPr="008856A1" w:rsidRDefault="00D51F38" w:rsidP="00ED6681">
            <w:pPr>
              <w:ind w:left="0"/>
              <w:jc w:val="right"/>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n-US"/>
                <w14:ligatures w14:val="standardContextual"/>
              </w:rPr>
              <w:t>$ 4.733.640.200.621</w:t>
            </w:r>
          </w:p>
        </w:tc>
      </w:tr>
      <w:tr w:rsidR="00ED6681" w:rsidRPr="00ED6681" w14:paraId="017C0A7B" w14:textId="77777777" w:rsidTr="0046668C">
        <w:trPr>
          <w:trHeight w:val="271"/>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89903C" w14:textId="77777777" w:rsidR="00D51F38" w:rsidRPr="008856A1" w:rsidRDefault="00D51F38" w:rsidP="00ED6681">
            <w:pPr>
              <w:ind w:left="0"/>
              <w:rPr>
                <w:rFonts w:ascii="Bookman Old Style" w:eastAsia="Calibri" w:hAnsi="Bookman Old Style" w:cs="Arial"/>
                <w:b/>
                <w:bCs/>
                <w:color w:val="000000"/>
                <w:kern w:val="2"/>
                <w:sz w:val="20"/>
                <w:szCs w:val="20"/>
                <w:lang w:val="es-CO" w:eastAsia="es-CO"/>
                <w14:ligatures w14:val="standardContextual"/>
              </w:rPr>
            </w:pPr>
            <w:r w:rsidRPr="008856A1">
              <w:rPr>
                <w:rFonts w:ascii="Bookman Old Style" w:eastAsia="Calibri" w:hAnsi="Bookman Old Style" w:cs="Arial"/>
                <w:b/>
                <w:bCs/>
                <w:color w:val="000000"/>
                <w:kern w:val="2"/>
                <w:sz w:val="20"/>
                <w:szCs w:val="20"/>
                <w:lang w:val="es-CO" w:eastAsia="es-CO"/>
                <w14:ligatures w14:val="standardContextual"/>
              </w:rPr>
              <w:t>TARIFA 0,833392%</w:t>
            </w: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56F14C1" w14:textId="77777777" w:rsidR="00D51F38" w:rsidRPr="008856A1" w:rsidRDefault="00D51F38" w:rsidP="00ED6681">
            <w:pPr>
              <w:ind w:left="0"/>
              <w:jc w:val="right"/>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n-US"/>
                <w14:ligatures w14:val="standardContextual"/>
              </w:rPr>
              <w:t xml:space="preserve"> $ 39.449.795.982 </w:t>
            </w:r>
          </w:p>
        </w:tc>
      </w:tr>
      <w:tr w:rsidR="00ED6681" w:rsidRPr="00ED6681" w14:paraId="00924A4A" w14:textId="77777777" w:rsidTr="0046668C">
        <w:trPr>
          <w:trHeight w:val="275"/>
          <w:jc w:val="center"/>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AAC669" w14:textId="77777777" w:rsidR="00D51F38" w:rsidRPr="008856A1" w:rsidRDefault="00D51F38" w:rsidP="00ED6681">
            <w:pPr>
              <w:ind w:left="0"/>
              <w:rPr>
                <w:rFonts w:ascii="Bookman Old Style" w:eastAsia="Calibri" w:hAnsi="Bookman Old Style" w:cs="Arial"/>
                <w:color w:val="000000"/>
                <w:kern w:val="2"/>
                <w:sz w:val="20"/>
                <w:szCs w:val="20"/>
                <w:lang w:val="es-CO" w:eastAsia="es-CO"/>
                <w14:ligatures w14:val="standardContextual"/>
              </w:rPr>
            </w:pPr>
            <w:r w:rsidRPr="008856A1">
              <w:rPr>
                <w:rFonts w:ascii="Bookman Old Style" w:eastAsia="Calibri" w:hAnsi="Bookman Old Style" w:cs="Arial"/>
                <w:color w:val="000000"/>
                <w:kern w:val="2"/>
                <w:sz w:val="20"/>
                <w:szCs w:val="20"/>
                <w:lang w:val="es-CO" w:eastAsia="es-CO"/>
                <w14:ligatures w14:val="standardContextual"/>
              </w:rPr>
              <w:t>PORCENTAJE DEL PRESUPUESTO POR BASE</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488A66B0" w14:textId="77777777" w:rsidR="00D51F38" w:rsidRPr="008856A1" w:rsidRDefault="00D51F38" w:rsidP="00ED6681">
            <w:pPr>
              <w:ind w:left="0"/>
              <w:jc w:val="right"/>
              <w:rPr>
                <w:rFonts w:ascii="Bookman Old Style" w:eastAsia="Calibri" w:hAnsi="Bookman Old Style" w:cs="Arial"/>
                <w:kern w:val="2"/>
                <w:sz w:val="20"/>
                <w:szCs w:val="20"/>
                <w:lang w:val="es-CO" w:eastAsia="es-CO"/>
                <w14:ligatures w14:val="standardContextual"/>
              </w:rPr>
            </w:pPr>
            <w:r w:rsidRPr="008856A1">
              <w:rPr>
                <w:rFonts w:ascii="Bookman Old Style" w:eastAsia="Calibri" w:hAnsi="Bookman Old Style" w:cs="Arial"/>
                <w:kern w:val="2"/>
                <w:sz w:val="20"/>
                <w:szCs w:val="20"/>
                <w:lang w:val="es-CO" w:eastAsia="en-US"/>
                <w14:ligatures w14:val="standardContextual"/>
              </w:rPr>
              <w:t>100%</w:t>
            </w:r>
          </w:p>
        </w:tc>
      </w:tr>
    </w:tbl>
    <w:p w14:paraId="0738BAAC"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265E1E65"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La contribución especial será calculada por la Subdirección Administrativa y Financiera a través de una liquidación oficial para cada uno de los regulados, la cual será emitida por el director ejecutivo y notificada a la empresa regulada conforme a lo previsto en las disposiciones legales vigentes, y contra ella procede el recurso de reposición, el cual podrá interponerse dentro de los cinco (5) días hábiles siguientes a la diligencia de notificación por la CREG, conforme al artículo 113 de la Ley 142 de 1994.</w:t>
      </w:r>
    </w:p>
    <w:p w14:paraId="03C0D9BB"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186D8C47" w14:textId="2D15D23D"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El </w:t>
      </w:r>
      <w:r w:rsidR="008856A1">
        <w:rPr>
          <w:rFonts w:ascii="Bookman Old Style" w:eastAsia="Calibri" w:hAnsi="Bookman Old Style" w:cs="Arial"/>
          <w:kern w:val="2"/>
          <w:lang w:val="es-CO" w:eastAsia="en-US"/>
          <w14:ligatures w14:val="standardContextual"/>
        </w:rPr>
        <w:t>d</w:t>
      </w:r>
      <w:r w:rsidR="008856A1" w:rsidRPr="00ED6681">
        <w:rPr>
          <w:rFonts w:ascii="Bookman Old Style" w:eastAsia="Calibri" w:hAnsi="Bookman Old Style" w:cs="Arial"/>
          <w:kern w:val="2"/>
          <w:lang w:val="es-CO" w:eastAsia="en-US"/>
          <w14:ligatures w14:val="standardContextual"/>
        </w:rPr>
        <w:t xml:space="preserve">irector </w:t>
      </w:r>
      <w:r w:rsidR="008856A1">
        <w:rPr>
          <w:rFonts w:ascii="Bookman Old Style" w:eastAsia="Calibri" w:hAnsi="Bookman Old Style" w:cs="Arial"/>
          <w:kern w:val="2"/>
          <w:lang w:val="es-CO" w:eastAsia="en-US"/>
          <w14:ligatures w14:val="standardContextual"/>
        </w:rPr>
        <w:t>e</w:t>
      </w:r>
      <w:r w:rsidR="008856A1" w:rsidRPr="00ED6681">
        <w:rPr>
          <w:rFonts w:ascii="Bookman Old Style" w:eastAsia="Calibri" w:hAnsi="Bookman Old Style" w:cs="Arial"/>
          <w:kern w:val="2"/>
          <w:lang w:val="es-CO" w:eastAsia="en-US"/>
          <w14:ligatures w14:val="standardContextual"/>
        </w:rPr>
        <w:t>jecutivo</w:t>
      </w:r>
      <w:r w:rsidRPr="00ED6681">
        <w:rPr>
          <w:rFonts w:ascii="Bookman Old Style" w:eastAsia="Calibri" w:hAnsi="Bookman Old Style" w:cs="Arial"/>
          <w:kern w:val="2"/>
          <w:lang w:val="es-CO" w:eastAsia="en-US"/>
          <w14:ligatures w14:val="standardContextual"/>
        </w:rPr>
        <w:t>, tiene la función de impulsar las actuaciones administrativas de la Comisión, para posteriormente ser presentadas para aprobación de la CREG, instancia encargada de resolver las actuaciones administrativas de la comisión para el caso que nos compete la liquidación de la contribución, de acuerdo con lo dispuesto en el numeral 1 del artículo 7 del Decreto 1260 de 2013.</w:t>
      </w:r>
    </w:p>
    <w:p w14:paraId="3DAB3781"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p>
    <w:p w14:paraId="6C7D186E"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La liquidación individual debe contener los elementos mínimos para determinar el tributo, los cuales están determinados en el artículo 85 de la Ley 142 de 1994, donde se detallará la base gravable para cada uno de los regulados y la tarifa fijada en la presente resolución. </w:t>
      </w:r>
    </w:p>
    <w:p w14:paraId="161F1DEA" w14:textId="77777777"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 </w:t>
      </w:r>
    </w:p>
    <w:p w14:paraId="42CB477D" w14:textId="03C99C82" w:rsidR="00D51F38" w:rsidRPr="00ED6681" w:rsidRDefault="00D51F38" w:rsidP="00ED668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lastRenderedPageBreak/>
        <w:t>La Comisión de Regulación de Energía y Gas</w:t>
      </w:r>
      <w:r w:rsidR="008856A1">
        <w:rPr>
          <w:rFonts w:ascii="Bookman Old Style" w:eastAsia="Calibri" w:hAnsi="Bookman Old Style" w:cs="Arial"/>
          <w:kern w:val="2"/>
          <w:lang w:val="es-CO" w:eastAsia="en-US"/>
          <w14:ligatures w14:val="standardContextual"/>
        </w:rPr>
        <w:t xml:space="preserve"> </w:t>
      </w:r>
      <w:r w:rsidRPr="00ED6681">
        <w:rPr>
          <w:rFonts w:ascii="Bookman Old Style" w:eastAsia="Calibri" w:hAnsi="Bookman Old Style" w:cs="Arial"/>
          <w:kern w:val="2"/>
          <w:lang w:val="es-CO" w:eastAsia="en-US"/>
          <w14:ligatures w14:val="standardContextual"/>
        </w:rPr>
        <w:t>acordó expedir la presente resolución</w:t>
      </w:r>
      <w:r w:rsidR="008856A1">
        <w:rPr>
          <w:rFonts w:ascii="Bookman Old Style" w:eastAsia="Calibri" w:hAnsi="Bookman Old Style" w:cs="Arial"/>
          <w:kern w:val="2"/>
          <w:lang w:val="es-CO" w:eastAsia="en-US"/>
          <w14:ligatures w14:val="standardContextual"/>
        </w:rPr>
        <w:t>.</w:t>
      </w:r>
    </w:p>
    <w:p w14:paraId="252BD7FB" w14:textId="768A39A2" w:rsidR="00D51F38" w:rsidRPr="00ED6681" w:rsidRDefault="00D51F38" w:rsidP="00ED6681">
      <w:pPr>
        <w:shd w:val="clear" w:color="auto" w:fill="FFFFFF"/>
        <w:spacing w:after="160"/>
        <w:ind w:left="0"/>
        <w:jc w:val="both"/>
        <w:rPr>
          <w:rFonts w:ascii="Bookman Old Style" w:eastAsia="Calibri" w:hAnsi="Bookman Old Style" w:cs="Arial"/>
          <w:kern w:val="2"/>
          <w:lang w:val="es-CO" w:eastAsia="en-US"/>
          <w14:ligatures w14:val="standardContextual"/>
        </w:rPr>
      </w:pPr>
    </w:p>
    <w:p w14:paraId="6FB82769" w14:textId="77777777" w:rsidR="00D51F38" w:rsidRPr="00ED6681" w:rsidRDefault="00D51F38" w:rsidP="00ED6681">
      <w:pPr>
        <w:spacing w:after="160"/>
        <w:ind w:left="0"/>
        <w:jc w:val="center"/>
        <w:rPr>
          <w:rFonts w:ascii="Bookman Old Style" w:eastAsia="Calibri" w:hAnsi="Bookman Old Style"/>
          <w:b/>
          <w:kern w:val="2"/>
          <w:lang w:val="es-CO" w:eastAsia="en-US"/>
          <w14:ligatures w14:val="standardContextual"/>
        </w:rPr>
      </w:pPr>
      <w:r w:rsidRPr="00ED6681">
        <w:rPr>
          <w:rFonts w:ascii="Bookman Old Style" w:eastAsia="Calibri" w:hAnsi="Bookman Old Style"/>
          <w:b/>
          <w:kern w:val="2"/>
          <w:lang w:val="es-CO" w:eastAsia="en-US"/>
          <w14:ligatures w14:val="standardContextual"/>
        </w:rPr>
        <w:t>RESUELVE:</w:t>
      </w:r>
    </w:p>
    <w:p w14:paraId="06CCD84A" w14:textId="77777777" w:rsidR="00D51F38" w:rsidRPr="00ED6681" w:rsidRDefault="00D51F38" w:rsidP="00ED6681">
      <w:pPr>
        <w:spacing w:after="160"/>
        <w:ind w:left="0"/>
        <w:jc w:val="both"/>
        <w:rPr>
          <w:rFonts w:ascii="Bookman Old Style" w:eastAsia="Calibri" w:hAnsi="Bookman Old Style"/>
          <w:kern w:val="2"/>
          <w:lang w:val="es-CO" w:eastAsia="en-US"/>
          <w14:ligatures w14:val="standardContextual"/>
        </w:rPr>
      </w:pPr>
    </w:p>
    <w:p w14:paraId="7B924D25"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ARTÍCULO 1. TARIFA PARA LIQUIDAR LA CONTRIBUCIÓN ESPECIAL 2024.</w:t>
      </w:r>
      <w:r w:rsidRPr="00ED6681">
        <w:rPr>
          <w:rFonts w:ascii="Bookman Old Style" w:eastAsia="Calibri" w:hAnsi="Bookman Old Style" w:cs="Arial"/>
          <w:bCs/>
          <w:kern w:val="2"/>
          <w:lang w:val="es-CO" w:eastAsia="en-US"/>
          <w14:ligatures w14:val="standardContextual"/>
        </w:rPr>
        <w:t xml:space="preserve"> El porcentaje de la tarifa para la liquidación de la contribución especial a favor de la </w:t>
      </w:r>
      <w:r w:rsidRPr="00ED6681">
        <w:rPr>
          <w:rFonts w:ascii="Bookman Old Style" w:eastAsia="Calibri" w:hAnsi="Bookman Old Style" w:cs="Arial"/>
          <w:kern w:val="2"/>
          <w:lang w:val="es-CO" w:eastAsia="en-US"/>
          <w14:ligatures w14:val="standardContextual"/>
        </w:rPr>
        <w:t>Comisión de Regulación de Energía y Gas – CREG</w:t>
      </w:r>
      <w:r w:rsidRPr="00ED6681">
        <w:rPr>
          <w:rFonts w:ascii="Bookman Old Style" w:eastAsia="Calibri" w:hAnsi="Bookman Old Style" w:cs="Arial"/>
          <w:bCs/>
          <w:kern w:val="2"/>
          <w:lang w:val="es-CO" w:eastAsia="en-US"/>
          <w14:ligatures w14:val="standardContextual"/>
        </w:rPr>
        <w:t xml:space="preserve">, que deben pagar las empresas y entidades sometidas a su regulación, es del </w:t>
      </w:r>
      <w:r w:rsidRPr="00ED6681">
        <w:rPr>
          <w:rFonts w:ascii="Bookman Old Style" w:eastAsia="Calibri" w:hAnsi="Bookman Old Style" w:cs="Arial"/>
          <w:b/>
          <w:kern w:val="2"/>
          <w:lang w:val="es-CO" w:eastAsia="en-US"/>
          <w14:ligatures w14:val="standardContextual"/>
        </w:rPr>
        <w:t>(0,833392%)</w:t>
      </w:r>
      <w:r w:rsidRPr="00ED6681">
        <w:rPr>
          <w:rFonts w:ascii="Bookman Old Style" w:eastAsia="Calibri" w:hAnsi="Bookman Old Style" w:cs="Arial"/>
          <w:bCs/>
          <w:kern w:val="2"/>
          <w:lang w:val="es-CO" w:eastAsia="en-US"/>
          <w14:ligatures w14:val="standardContextual"/>
        </w:rPr>
        <w:t xml:space="preserve"> sobre el valor de los gastos de funcionamiento para cubrir el presupuesto del año 2024 de la </w:t>
      </w:r>
      <w:r w:rsidRPr="00ED6681">
        <w:rPr>
          <w:rFonts w:ascii="Bookman Old Style" w:eastAsia="Calibri" w:hAnsi="Bookman Old Style" w:cs="Arial"/>
          <w:kern w:val="2"/>
          <w:lang w:val="es-CO" w:eastAsia="en-US"/>
          <w14:ligatures w14:val="standardContextual"/>
        </w:rPr>
        <w:t>Comisión de Regulación de Energía y Gas – CREG</w:t>
      </w:r>
      <w:r w:rsidRPr="00ED6681">
        <w:rPr>
          <w:rFonts w:ascii="Bookman Old Style" w:eastAsia="Calibri" w:hAnsi="Bookman Old Style" w:cs="Arial"/>
          <w:bCs/>
          <w:kern w:val="2"/>
          <w:lang w:val="es-CO" w:eastAsia="en-US"/>
          <w14:ligatures w14:val="standardContextual"/>
        </w:rPr>
        <w:t xml:space="preserve"> que asciende al valor de </w:t>
      </w:r>
      <w:r w:rsidRPr="00ED6681">
        <w:rPr>
          <w:rFonts w:ascii="Bookman Old Style" w:eastAsia="Calibri" w:hAnsi="Bookman Old Style" w:cs="Arial"/>
          <w:b/>
          <w:kern w:val="2"/>
          <w:lang w:val="es-CO" w:eastAsia="en-US"/>
          <w14:ligatures w14:val="standardContextual"/>
        </w:rPr>
        <w:t>$39.449.795.982</w:t>
      </w:r>
      <w:r w:rsidRPr="00ED6681">
        <w:rPr>
          <w:rFonts w:ascii="Bookman Old Style" w:eastAsia="Calibri" w:hAnsi="Bookman Old Style" w:cs="Arial"/>
          <w:bCs/>
          <w:kern w:val="2"/>
          <w:lang w:val="es-CO" w:eastAsia="en-US"/>
          <w14:ligatures w14:val="standardContextual"/>
        </w:rPr>
        <w:t>, el cual es financiado por la contribución especial.</w:t>
      </w:r>
    </w:p>
    <w:p w14:paraId="36A68279" w14:textId="77777777" w:rsidR="00D51F38" w:rsidRPr="00ED6681" w:rsidRDefault="00D51F38" w:rsidP="00007C71">
      <w:pPr>
        <w:ind w:left="0"/>
        <w:rPr>
          <w:rFonts w:ascii="Bookman Old Style" w:eastAsia="Calibri" w:hAnsi="Bookman Old Style" w:cs="Arial"/>
          <w:bCs/>
          <w:kern w:val="2"/>
          <w:lang w:val="es-CO" w:eastAsia="en-US"/>
          <w14:ligatures w14:val="standardContextual"/>
        </w:rPr>
      </w:pPr>
    </w:p>
    <w:p w14:paraId="2CE82384"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 xml:space="preserve">PARÁGRAFO. </w:t>
      </w:r>
      <w:r w:rsidRPr="00ED6681">
        <w:rPr>
          <w:rFonts w:ascii="Bookman Old Style" w:eastAsia="Calibri" w:hAnsi="Bookman Old Style" w:cs="Arial"/>
          <w:bCs/>
          <w:kern w:val="2"/>
          <w:lang w:val="es-CO" w:eastAsia="en-US"/>
          <w14:ligatures w14:val="standardContextual"/>
        </w:rPr>
        <w:t>A las empresas reguladas que se encuentren en proceso de liquidación, cancelación, fusión, escisión, toma de posesión para administrar con fines liquidatarios, que hubieren operado al menos un día durante la vigencia 2024, se les liquidará la contribución especial de regulación proporcionalmente a la fracción del año 2024 que hubiere prestado el servicio público, con base en la información financiera de 2023 reportada en el SUI administrado por la Superintendencia de Servicios Públicos Domiciliarios.</w:t>
      </w:r>
    </w:p>
    <w:p w14:paraId="60A74456" w14:textId="77777777" w:rsidR="00D51F38" w:rsidRPr="00ED6681" w:rsidRDefault="00D51F38" w:rsidP="00007C71">
      <w:pPr>
        <w:ind w:left="0"/>
        <w:rPr>
          <w:rFonts w:ascii="Bookman Old Style" w:eastAsia="Calibri" w:hAnsi="Bookman Old Style" w:cs="Arial"/>
          <w:bCs/>
          <w:kern w:val="2"/>
          <w:lang w:val="es-CO" w:eastAsia="en-US"/>
          <w14:ligatures w14:val="standardContextual"/>
        </w:rPr>
      </w:pPr>
    </w:p>
    <w:p w14:paraId="0BF578BA"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 xml:space="preserve">ARTÍCULO 2. BASE GRAVABLE. </w:t>
      </w:r>
      <w:r w:rsidRPr="00ED6681">
        <w:rPr>
          <w:rFonts w:ascii="Bookman Old Style" w:eastAsia="Calibri" w:hAnsi="Bookman Old Style" w:cs="Arial"/>
          <w:bCs/>
          <w:kern w:val="2"/>
          <w:lang w:val="es-CO" w:eastAsia="en-US"/>
          <w14:ligatures w14:val="standardContextual"/>
        </w:rPr>
        <w:t>La base gravable incluye los gastos de funcionamiento (gastos administrativos) depurados que para la vigencia 2024 ascienden a la suma de $4.733.640.200.621</w:t>
      </w:r>
    </w:p>
    <w:p w14:paraId="6325371C"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p>
    <w:p w14:paraId="25C00836"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 xml:space="preserve">PARÁGRAFO 1. </w:t>
      </w:r>
      <w:r w:rsidRPr="00ED6681">
        <w:rPr>
          <w:rFonts w:ascii="Bookman Old Style" w:eastAsia="Calibri" w:hAnsi="Bookman Old Style" w:cs="Arial"/>
          <w:kern w:val="2"/>
          <w:lang w:val="es-CO" w:eastAsia="en-US"/>
          <w14:ligatures w14:val="standardContextual"/>
        </w:rPr>
        <w:t xml:space="preserve">La contribución especial será calculada y liquidada para cada uno de los sujetos pasivos mediante una liquidación oficial emitida por el director ejecutivo de la CREG, la cual será notificada conforme a lo previsto en las disposiciones legales vigentes. </w:t>
      </w:r>
    </w:p>
    <w:p w14:paraId="5307CDB1"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p>
    <w:p w14:paraId="6D6AE37A"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 xml:space="preserve">PARÁGRAFO 2. </w:t>
      </w:r>
      <w:r w:rsidRPr="00ED6681">
        <w:rPr>
          <w:rFonts w:ascii="Bookman Old Style" w:eastAsia="Calibri" w:hAnsi="Bookman Old Style" w:cs="Arial"/>
          <w:kern w:val="2"/>
          <w:lang w:val="es-CO" w:eastAsia="en-US"/>
          <w14:ligatures w14:val="standardContextual"/>
        </w:rPr>
        <w:t>Anticipo de la contribución especial 2025. Una vez en firme la liquidación oficial, los regulados deberán pagar por concepto de anticipo de contribución especial 2025, un SESENTA POR CIENTO (60%) sobre el valor de contribución especial 2024 determinada en la liquidación oficial notificada.</w:t>
      </w:r>
    </w:p>
    <w:p w14:paraId="38A5B9E7"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p>
    <w:p w14:paraId="48D9B30D"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La obligación del pago del anticipo por concepto de contribución especial se encuentra determinada en el segundo inciso del artículo 2.2.9.9.7 del Decreto 1150 del 18 de agosto de 2020. </w:t>
      </w:r>
    </w:p>
    <w:p w14:paraId="62B6D549"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p>
    <w:p w14:paraId="1B212A03" w14:textId="77777777" w:rsidR="00D51F38" w:rsidRPr="00ED6681" w:rsidRDefault="00D51F38" w:rsidP="00007C71">
      <w:pPr>
        <w:ind w:left="0"/>
        <w:jc w:val="both"/>
        <w:rPr>
          <w:rFonts w:ascii="Bookman Old Style" w:eastAsia="Calibri" w:hAnsi="Bookman Old Style" w:cs="Arial"/>
          <w:b/>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 xml:space="preserve">PARÁGRAFO 3. </w:t>
      </w:r>
      <w:r w:rsidRPr="00ED6681">
        <w:rPr>
          <w:rFonts w:ascii="Bookman Old Style" w:eastAsia="Calibri" w:hAnsi="Bookman Old Style" w:cs="Arial"/>
          <w:kern w:val="2"/>
          <w:lang w:val="es-CO" w:eastAsia="en-US"/>
          <w14:ligatures w14:val="standardContextual"/>
        </w:rPr>
        <w:t xml:space="preserve">Una vez el acto administrativo de la liquidación oficial de la contribución especial 2024 se encuentre debidamente ejecutoriado, la misma deberá ser pagada únicamente por el contribuyente dentro del mes siguiente, </w:t>
      </w:r>
      <w:bookmarkStart w:id="1" w:name="_Hlk152603052"/>
      <w:r w:rsidRPr="00ED6681">
        <w:rPr>
          <w:rFonts w:ascii="Bookman Old Style" w:eastAsia="Calibri" w:hAnsi="Bookman Old Style" w:cs="Arial"/>
          <w:kern w:val="2"/>
          <w:lang w:val="es-CO" w:eastAsia="en-US"/>
          <w14:ligatures w14:val="standardContextual"/>
        </w:rPr>
        <w:t xml:space="preserve">en la </w:t>
      </w:r>
      <w:r w:rsidRPr="00ED6681">
        <w:rPr>
          <w:rFonts w:ascii="Bookman Old Style" w:eastAsia="Calibri" w:hAnsi="Bookman Old Style" w:cs="Arial"/>
          <w:b/>
          <w:bCs/>
          <w:kern w:val="2"/>
          <w:lang w:val="es-CO" w:eastAsia="en-US"/>
          <w14:ligatures w14:val="standardContextual"/>
        </w:rPr>
        <w:t>cuenta corriente N° 285-863536</w:t>
      </w:r>
      <w:r w:rsidRPr="00ED6681">
        <w:rPr>
          <w:rFonts w:ascii="Bookman Old Style" w:eastAsia="Calibri" w:hAnsi="Bookman Old Style" w:cs="Arial"/>
          <w:kern w:val="2"/>
          <w:lang w:val="es-CO" w:eastAsia="en-US"/>
          <w14:ligatures w14:val="standardContextual"/>
        </w:rPr>
        <w:t xml:space="preserve"> del </w:t>
      </w:r>
      <w:r w:rsidRPr="00ED6681">
        <w:rPr>
          <w:rFonts w:ascii="Bookman Old Style" w:eastAsia="Calibri" w:hAnsi="Bookman Old Style" w:cs="Arial"/>
          <w:b/>
          <w:bCs/>
          <w:kern w:val="2"/>
          <w:lang w:val="es-CO" w:eastAsia="en-US"/>
          <w14:ligatures w14:val="standardContextual"/>
        </w:rPr>
        <w:t>Banco de Occidente</w:t>
      </w:r>
      <w:r w:rsidRPr="00ED6681">
        <w:rPr>
          <w:rFonts w:ascii="Bookman Old Style" w:eastAsia="Calibri" w:hAnsi="Bookman Old Style" w:cs="Arial"/>
          <w:kern w:val="2"/>
          <w:lang w:val="es-CO" w:eastAsia="en-US"/>
          <w14:ligatures w14:val="standardContextual"/>
        </w:rPr>
        <w:t xml:space="preserve">, mediante consignación directa o transferencia electrónica, a favor del titular de la cuenta: </w:t>
      </w:r>
      <w:r w:rsidRPr="00ED6681">
        <w:rPr>
          <w:rFonts w:ascii="Bookman Old Style" w:eastAsia="Calibri" w:hAnsi="Bookman Old Style" w:cs="Arial"/>
          <w:b/>
          <w:bCs/>
          <w:kern w:val="2"/>
          <w:lang w:val="es-CO" w:eastAsia="en-US"/>
          <w14:ligatures w14:val="standardContextual"/>
        </w:rPr>
        <w:t>COMISIÓN DE REGULACIÓN DE ENERGÍA Y GAS</w:t>
      </w:r>
      <w:r w:rsidRPr="00ED6681">
        <w:rPr>
          <w:rFonts w:ascii="Bookman Old Style" w:eastAsia="Calibri" w:hAnsi="Bookman Old Style" w:cs="Arial"/>
          <w:kern w:val="2"/>
          <w:lang w:val="es-CO" w:eastAsia="en-US"/>
          <w14:ligatures w14:val="standardContextual"/>
        </w:rPr>
        <w:t xml:space="preserve">, identificada con el </w:t>
      </w:r>
      <w:r w:rsidRPr="00ED6681">
        <w:rPr>
          <w:rFonts w:ascii="Bookman Old Style" w:eastAsia="Calibri" w:hAnsi="Bookman Old Style" w:cs="Arial"/>
          <w:b/>
          <w:bCs/>
          <w:kern w:val="2"/>
          <w:lang w:val="es-CO" w:eastAsia="en-US"/>
          <w14:ligatures w14:val="standardContextual"/>
        </w:rPr>
        <w:t>NIT 900034993-1</w:t>
      </w:r>
      <w:r w:rsidRPr="00ED6681">
        <w:rPr>
          <w:rFonts w:ascii="Bookman Old Style" w:eastAsia="Calibri" w:hAnsi="Bookman Old Style" w:cs="Arial"/>
          <w:kern w:val="2"/>
          <w:lang w:val="es-CO" w:eastAsia="en-US"/>
          <w14:ligatures w14:val="standardContextual"/>
        </w:rPr>
        <w:t xml:space="preserve">. </w:t>
      </w:r>
      <w:bookmarkEnd w:id="1"/>
      <w:r w:rsidRPr="00ED6681">
        <w:rPr>
          <w:rFonts w:ascii="Bookman Old Style" w:eastAsia="Calibri" w:hAnsi="Bookman Old Style" w:cs="Arial"/>
          <w:kern w:val="2"/>
          <w:lang w:val="es-CO" w:eastAsia="en-US"/>
          <w14:ligatures w14:val="standardContextual"/>
        </w:rPr>
        <w:t xml:space="preserve">Los contribuyentes deberán informar a la CREG que se efectuó el pago correspondiente, remitiendo el soporte de pago, escaneado legible en formato PDF al correo: </w:t>
      </w:r>
      <w:hyperlink r:id="rId14" w:history="1">
        <w:r w:rsidRPr="00ED6681">
          <w:rPr>
            <w:rFonts w:ascii="Bookman Old Style" w:eastAsia="Calibri" w:hAnsi="Bookman Old Style" w:cs="Arial"/>
            <w:b/>
            <w:bCs/>
            <w:color w:val="0000FF"/>
            <w:kern w:val="2"/>
            <w:u w:val="single"/>
            <w:lang w:val="es-CO" w:eastAsia="en-US"/>
            <w14:ligatures w14:val="standardContextual"/>
          </w:rPr>
          <w:t>creg@creg.gov.co</w:t>
        </w:r>
      </w:hyperlink>
      <w:r w:rsidRPr="00ED6681">
        <w:rPr>
          <w:rFonts w:ascii="Bookman Old Style" w:eastAsia="Calibri" w:hAnsi="Bookman Old Style" w:cs="Arial"/>
          <w:b/>
          <w:bCs/>
          <w:kern w:val="2"/>
          <w:lang w:val="es-CO" w:eastAsia="en-US"/>
          <w14:ligatures w14:val="standardContextual"/>
        </w:rPr>
        <w:t xml:space="preserve"> </w:t>
      </w:r>
    </w:p>
    <w:p w14:paraId="7B8DE8D3" w14:textId="77777777" w:rsidR="008856A1" w:rsidRDefault="008856A1" w:rsidP="008856A1">
      <w:pPr>
        <w:ind w:left="0"/>
        <w:jc w:val="both"/>
        <w:rPr>
          <w:rFonts w:ascii="Bookman Old Style" w:eastAsia="Calibri" w:hAnsi="Bookman Old Style" w:cs="Arial"/>
          <w:b/>
          <w:kern w:val="2"/>
          <w:lang w:val="es-CO" w:eastAsia="en-US"/>
          <w14:ligatures w14:val="standardContextual"/>
        </w:rPr>
      </w:pPr>
    </w:p>
    <w:p w14:paraId="04931215" w14:textId="6A9F47AF"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lastRenderedPageBreak/>
        <w:t xml:space="preserve">PARÁGRAFO 4. OMISOS Y MOROSOS. </w:t>
      </w:r>
      <w:r w:rsidRPr="00ED6681">
        <w:rPr>
          <w:rFonts w:ascii="Bookman Old Style" w:eastAsia="Calibri" w:hAnsi="Bookman Old Style" w:cs="Arial"/>
          <w:bCs/>
          <w:kern w:val="2"/>
          <w:lang w:val="es-CO" w:eastAsia="en-US"/>
          <w14:ligatures w14:val="standardContextual"/>
        </w:rPr>
        <w:t>Las empresas y entidades sujetas a la regulación de la CREG durante la vigencia 2024 que no han reportado la información financiera de la vigencia 2023 y que forman parte de la base para la liquidación de la contribución especial 2024 o que no se han inscrito en el registro único de prestadores de la Superintendencia (RUPS), serán tratadas como omisas, requeridas en fiscalización y se les liquidará  la contribución especial con base en la información de los últimos estados financieros presentados. Los gastos reportados serán indexados al 31 de diciembre de 2023, teniendo en cuenta la variación porcentual del IPC certificado por el DANE para los años objeto de indexación.</w:t>
      </w:r>
    </w:p>
    <w:p w14:paraId="192950C0"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p>
    <w:p w14:paraId="610B942A"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Las liquidaciones que no se paguen de conformidad a los términos señalados en el presente acto administrativo se constituirán en mora.</w:t>
      </w:r>
    </w:p>
    <w:p w14:paraId="143FF4DD" w14:textId="77777777" w:rsidR="00D51F38" w:rsidRPr="00ED6681" w:rsidRDefault="00D51F38" w:rsidP="00007C71">
      <w:pPr>
        <w:ind w:left="0"/>
        <w:jc w:val="both"/>
        <w:rPr>
          <w:rFonts w:ascii="Bookman Old Style" w:eastAsia="Calibri" w:hAnsi="Bookman Old Style" w:cs="Arial"/>
          <w:b/>
          <w:kern w:val="2"/>
          <w:lang w:val="es-CO" w:eastAsia="en-US"/>
          <w14:ligatures w14:val="standardContextual"/>
        </w:rPr>
      </w:pPr>
    </w:p>
    <w:p w14:paraId="74A18172"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ARTÍCULO 3. RELIQUIDACIÓN.</w:t>
      </w:r>
      <w:r w:rsidRPr="00ED6681">
        <w:rPr>
          <w:rFonts w:ascii="Bookman Old Style" w:eastAsia="Calibri" w:hAnsi="Bookman Old Style" w:cs="Arial"/>
          <w:bCs/>
          <w:kern w:val="2"/>
          <w:lang w:val="es-CO" w:eastAsia="en-US"/>
          <w14:ligatures w14:val="standardContextual"/>
        </w:rPr>
        <w:t xml:space="preserve"> Si después de liquidada la contribución especial, la SSPD autoriza o requiere cambios en la información financiera reportada y certificada por los prestadores, que genere variaciones a la base gravable de la liquidación </w:t>
      </w:r>
      <w:proofErr w:type="gramStart"/>
      <w:r w:rsidRPr="00ED6681">
        <w:rPr>
          <w:rFonts w:ascii="Bookman Old Style" w:eastAsia="Calibri" w:hAnsi="Bookman Old Style" w:cs="Arial"/>
          <w:bCs/>
          <w:kern w:val="2"/>
          <w:lang w:val="es-CO" w:eastAsia="en-US"/>
          <w14:ligatures w14:val="standardContextual"/>
        </w:rPr>
        <w:t>y</w:t>
      </w:r>
      <w:proofErr w:type="gramEnd"/>
      <w:r w:rsidRPr="00ED6681">
        <w:rPr>
          <w:rFonts w:ascii="Bookman Old Style" w:eastAsia="Calibri" w:hAnsi="Bookman Old Style" w:cs="Arial"/>
          <w:bCs/>
          <w:kern w:val="2"/>
          <w:lang w:val="es-CO" w:eastAsia="en-US"/>
          <w14:ligatures w14:val="standardContextual"/>
        </w:rPr>
        <w:t xml:space="preserve"> por ende, al valor del mencionado tributo, la CREG realizará la correspondiente reliquidación, conforme a lo establecido en la Ley 1437 de 2011.</w:t>
      </w:r>
    </w:p>
    <w:p w14:paraId="72EFF756"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p>
    <w:p w14:paraId="7AF08112"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PARÁGRAFO 1.</w:t>
      </w:r>
      <w:r w:rsidRPr="00ED6681">
        <w:rPr>
          <w:rFonts w:ascii="Bookman Old Style" w:eastAsia="Calibri" w:hAnsi="Bookman Old Style" w:cs="Arial"/>
          <w:bCs/>
          <w:kern w:val="2"/>
          <w:lang w:val="es-CO" w:eastAsia="en-US"/>
          <w14:ligatures w14:val="standardContextual"/>
        </w:rPr>
        <w:t xml:space="preserve"> La reliquidación de que trata el presente articulo no procederá, cuando el prestador no haya interpuesto los recursos procedentes contra la liquidación, ni cuando haya operado la caducidad para su control judicial.</w:t>
      </w:r>
    </w:p>
    <w:p w14:paraId="77947FDA"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p>
    <w:p w14:paraId="16F9D931" w14:textId="22BC68B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kern w:val="2"/>
          <w:lang w:val="es-CO" w:eastAsia="en-US"/>
          <w14:ligatures w14:val="standardContextual"/>
        </w:rPr>
        <w:t xml:space="preserve">ARTÍCULO 4. NOTIFICACIÓN Y RECURSOS. </w:t>
      </w:r>
      <w:r w:rsidRPr="00ED6681">
        <w:rPr>
          <w:rFonts w:ascii="Bookman Old Style" w:eastAsia="Calibri" w:hAnsi="Bookman Old Style" w:cs="Arial"/>
          <w:bCs/>
          <w:kern w:val="2"/>
          <w:lang w:val="es-CO" w:eastAsia="en-US"/>
          <w14:ligatures w14:val="standardContextual"/>
        </w:rPr>
        <w:t xml:space="preserve">La liquidación de la contribución especial se notificará de acuerdo con lo establecido por las normas legales vigentes y contra esta procederá el recurso de reposición ante el </w:t>
      </w:r>
      <w:r w:rsidR="00EE20B0" w:rsidRPr="00ED6681">
        <w:rPr>
          <w:rFonts w:ascii="Bookman Old Style" w:eastAsia="Calibri" w:hAnsi="Bookman Old Style" w:cs="Arial"/>
          <w:bCs/>
          <w:kern w:val="2"/>
          <w:lang w:val="es-CO" w:eastAsia="en-US"/>
          <w14:ligatures w14:val="standardContextual"/>
        </w:rPr>
        <w:t>director ejecutivo</w:t>
      </w:r>
      <w:r w:rsidRPr="00ED6681">
        <w:rPr>
          <w:rFonts w:ascii="Bookman Old Style" w:eastAsia="Calibri" w:hAnsi="Bookman Old Style" w:cs="Arial"/>
          <w:bCs/>
          <w:kern w:val="2"/>
          <w:lang w:val="es-CO" w:eastAsia="en-US"/>
          <w14:ligatures w14:val="standardContextual"/>
        </w:rPr>
        <w:t xml:space="preserve"> de la CREG, dentro de los cinco 5 días hábiles y condiciones establecidas en el Código de Procedimiento Administrativo y de lo Contencioso Administrativo.</w:t>
      </w:r>
    </w:p>
    <w:p w14:paraId="0A0DDE2F"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p>
    <w:p w14:paraId="51115916"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r w:rsidRPr="00ED6681">
        <w:rPr>
          <w:rFonts w:ascii="Bookman Old Style" w:eastAsia="Calibri" w:hAnsi="Bookman Old Style" w:cs="Arial"/>
          <w:b/>
          <w:bCs/>
          <w:kern w:val="2"/>
          <w:lang w:val="es-CO" w:eastAsia="en-US"/>
          <w14:ligatures w14:val="standardContextual"/>
        </w:rPr>
        <w:t>PARÁGRAFO 1. FIRMEZA Y EJECUTORIA</w:t>
      </w:r>
      <w:r w:rsidRPr="00ED6681">
        <w:rPr>
          <w:rFonts w:ascii="Bookman Old Style" w:eastAsia="Calibri" w:hAnsi="Bookman Old Style" w:cs="Arial"/>
          <w:kern w:val="2"/>
          <w:lang w:val="es-CO" w:eastAsia="en-US"/>
          <w14:ligatures w14:val="standardContextual"/>
        </w:rPr>
        <w:t>. La liquidación de la contribución especial quedará en firme de acuerdo con lo establecido en el artículo 87 del Código de Procedimiento Administrativo y de lo Contencioso Administrativo, y prestará mérito ejecutivo de conformidad con lo dispuesto en el artículo 99 del mismo compendio normativo.</w:t>
      </w:r>
    </w:p>
    <w:p w14:paraId="21937AAF" w14:textId="77777777" w:rsidR="00D51F38" w:rsidRPr="00ED6681" w:rsidRDefault="00D51F38" w:rsidP="00007C71">
      <w:pPr>
        <w:ind w:left="0"/>
        <w:jc w:val="both"/>
        <w:rPr>
          <w:rFonts w:ascii="Bookman Old Style" w:eastAsia="Calibri" w:hAnsi="Bookman Old Style" w:cs="Arial"/>
          <w:bCs/>
          <w:kern w:val="2"/>
          <w:lang w:val="es-CO" w:eastAsia="en-US"/>
          <w14:ligatures w14:val="standardContextual"/>
        </w:rPr>
      </w:pPr>
    </w:p>
    <w:p w14:paraId="31D64F50" w14:textId="77777777" w:rsidR="00D51F38" w:rsidRDefault="00D51F38" w:rsidP="00007C71">
      <w:pPr>
        <w:ind w:left="0"/>
        <w:jc w:val="both"/>
        <w:rPr>
          <w:rFonts w:ascii="Bookman Old Style" w:eastAsia="Calibri" w:hAnsi="Bookman Old Style" w:cs="Arial"/>
          <w:kern w:val="2"/>
          <w:lang w:val="es-CO" w:eastAsia="en-US"/>
          <w14:ligatures w14:val="standardContextual"/>
        </w:rPr>
      </w:pPr>
      <w:bookmarkStart w:id="2" w:name="_Hlk152060662"/>
      <w:r w:rsidRPr="00ED6681">
        <w:rPr>
          <w:rFonts w:ascii="Bookman Old Style" w:eastAsia="Calibri" w:hAnsi="Bookman Old Style" w:cs="Arial"/>
          <w:b/>
          <w:bCs/>
          <w:kern w:val="2"/>
          <w:lang w:val="es-CO" w:eastAsia="en-US"/>
          <w14:ligatures w14:val="standardContextual"/>
        </w:rPr>
        <w:t>ARTÍCULO 5. REPORTE AL BDME</w:t>
      </w:r>
      <w:r w:rsidRPr="00ED6681">
        <w:rPr>
          <w:rFonts w:ascii="Bookman Old Style" w:eastAsia="Calibri" w:hAnsi="Bookman Old Style" w:cs="Arial"/>
          <w:kern w:val="2"/>
          <w:lang w:val="es-CO" w:eastAsia="en-US"/>
          <w14:ligatures w14:val="standardContextual"/>
        </w:rPr>
        <w:t xml:space="preserve">. </w:t>
      </w:r>
      <w:bookmarkEnd w:id="2"/>
      <w:r w:rsidRPr="00ED6681">
        <w:rPr>
          <w:rFonts w:ascii="Bookman Old Style" w:eastAsia="Calibri" w:hAnsi="Bookman Old Style" w:cs="Arial"/>
          <w:kern w:val="2"/>
          <w:lang w:val="es-CO" w:eastAsia="en-US"/>
          <w14:ligatures w14:val="standardContextual"/>
        </w:rPr>
        <w:t>La CREG reportará en el Boletín de Deudores Morosos del Estado – BDME de la Contaduría General de la Nación – CGN, las personas naturales y jurídicas que, a cualquier título, a una fecha de corte, tienen contraída una obligación en mora a favor de la Comisión de Regulación de Energía y Gas – CREG, según lo dispuesto y en las condiciones establecidas en el parágrafo 3º del artículo 2º de la Ley 901 de 2004, y del numeral 5º del artículo 2º de la Ley 1066 de 2006; a través del sistema CHIP de la CGN, en los diez (10) primeros días de los meses de junio y de diciembre, con fecha de corte de obligación adeudada a 31 de mayo y 30 de noviembre respectivamente.</w:t>
      </w:r>
    </w:p>
    <w:p w14:paraId="46E4DB6F" w14:textId="77777777" w:rsidR="001322DF" w:rsidRPr="00ED6681" w:rsidRDefault="001322DF" w:rsidP="00007C71">
      <w:pPr>
        <w:ind w:left="0"/>
        <w:jc w:val="both"/>
        <w:rPr>
          <w:rFonts w:ascii="Bookman Old Style" w:eastAsia="Calibri" w:hAnsi="Bookman Old Style" w:cs="Arial"/>
          <w:kern w:val="2"/>
          <w:lang w:val="es-CO" w:eastAsia="en-US"/>
          <w14:ligatures w14:val="standardContextual"/>
        </w:rPr>
      </w:pPr>
    </w:p>
    <w:p w14:paraId="68FB695A"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b/>
          <w:bCs/>
          <w:kern w:val="2"/>
          <w:lang w:val="es-CO" w:eastAsia="en-US"/>
          <w14:ligatures w14:val="standardContextual"/>
        </w:rPr>
        <w:lastRenderedPageBreak/>
        <w:t xml:space="preserve">ARTÍCULO 6. PLAZO DE PAGO OPORTUNO E INTERESES POR MORA. </w:t>
      </w:r>
      <w:r w:rsidRPr="00ED6681">
        <w:rPr>
          <w:rFonts w:ascii="Bookman Old Style" w:eastAsia="Calibri" w:hAnsi="Bookman Old Style" w:cs="Arial"/>
          <w:kern w:val="2"/>
          <w:lang w:val="es-CO" w:eastAsia="en-US"/>
          <w14:ligatures w14:val="standardContextual"/>
        </w:rPr>
        <w:t>El valor de la contribución especial deberá ser pagado dentro del mes siguiente a la fecha en que quede en firme la liquidación.</w:t>
      </w:r>
      <w:r w:rsidRPr="00ED6681">
        <w:rPr>
          <w:rFonts w:ascii="Bookman Old Style" w:eastAsia="Calibri" w:hAnsi="Bookman Old Style" w:cs="Arial"/>
          <w:b/>
          <w:bCs/>
          <w:kern w:val="2"/>
          <w:lang w:val="es-CO" w:eastAsia="en-US"/>
          <w14:ligatures w14:val="standardContextual"/>
        </w:rPr>
        <w:t xml:space="preserve"> </w:t>
      </w:r>
      <w:r w:rsidRPr="00ED6681">
        <w:rPr>
          <w:rFonts w:ascii="Bookman Old Style" w:eastAsia="Calibri" w:hAnsi="Bookman Old Style" w:cs="Arial"/>
          <w:kern w:val="2"/>
          <w:lang w:val="es-CO" w:eastAsia="en-US"/>
          <w14:ligatures w14:val="standardContextual"/>
        </w:rPr>
        <w:t xml:space="preserve"> </w:t>
      </w:r>
    </w:p>
    <w:p w14:paraId="10059ADC"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p>
    <w:p w14:paraId="42129262"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El no pago oportuno de la contribución a cargo, generará intereses moratorios por cada día de mora o retardo según la tasa de interés que se fije para cada mes. En esta instancia, se iniciará la etapa de cobro coactivo, en donde la CREG en desarrollo de las facultades exorbitantes que le asisten buscará lograr la satisfacción de las obligaciones a su favor de manera persuasiva y/o coercitiva, de conformidad a su regulación normativa el Decreto 1066 de 2006, el Decreto 4473 de 2006, utilizando para ello el procedimiento descrito en el Estatuto Tributario Nacional, así como las remisiones normativas que en él se establezcan.</w:t>
      </w:r>
    </w:p>
    <w:p w14:paraId="5D8696BC"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p>
    <w:p w14:paraId="0F51A209"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r w:rsidRPr="00ED6681">
        <w:rPr>
          <w:rFonts w:ascii="Bookman Old Style" w:eastAsia="Calibri" w:hAnsi="Bookman Old Style" w:cs="Arial"/>
          <w:b/>
          <w:bCs/>
          <w:kern w:val="2"/>
          <w:lang w:val="es-CO" w:eastAsia="en-US"/>
          <w14:ligatures w14:val="standardContextual"/>
        </w:rPr>
        <w:t>ARTÍCULO 7. DEL RÉGIMEN SANCIONATORIO.</w:t>
      </w:r>
      <w:r w:rsidRPr="00ED6681">
        <w:rPr>
          <w:rFonts w:ascii="Bookman Old Style" w:eastAsia="Calibri" w:hAnsi="Bookman Old Style" w:cs="Arial"/>
          <w:kern w:val="2"/>
          <w:lang w:val="es-CO" w:eastAsia="en-US"/>
          <w14:ligatures w14:val="standardContextual"/>
        </w:rPr>
        <w:t xml:space="preserve"> Cualquier inconsistencia originada por irregularidades o incumplimientos en el reporte y certificación por los prestadores de servicios públicos domiciliarios en el SUI, será trasladada a la SSPD para lo de su competencia, y se dará aplicación en lo previsto en el artículo 73 y el artículo 81 de la Ley 142 de 1994, así como en la Resolución CREG N° 064 de 1998.</w:t>
      </w:r>
    </w:p>
    <w:p w14:paraId="49C1F0C9" w14:textId="77777777" w:rsidR="00D51F38" w:rsidRPr="00ED6681" w:rsidRDefault="00D51F38" w:rsidP="00007C71">
      <w:pPr>
        <w:ind w:left="0"/>
        <w:jc w:val="both"/>
        <w:rPr>
          <w:rFonts w:ascii="Bookman Old Style" w:eastAsia="Calibri" w:hAnsi="Bookman Old Style" w:cs="Arial"/>
          <w:kern w:val="2"/>
          <w:lang w:val="es-CO" w:eastAsia="en-US"/>
          <w14:ligatures w14:val="standardContextual"/>
        </w:rPr>
      </w:pPr>
    </w:p>
    <w:p w14:paraId="303F2DBB" w14:textId="77777777" w:rsidR="00D51F38" w:rsidRPr="00ED6681" w:rsidRDefault="00D51F38" w:rsidP="00007C71">
      <w:pPr>
        <w:ind w:left="0"/>
        <w:jc w:val="both"/>
        <w:rPr>
          <w:rFonts w:ascii="Bookman Old Style" w:eastAsia="Calibri" w:hAnsi="Bookman Old Style" w:cs="Arial"/>
          <w:b/>
          <w:bCs/>
          <w:kern w:val="2"/>
          <w:lang w:val="es-CO" w:eastAsia="en-US"/>
          <w14:ligatures w14:val="standardContextual"/>
        </w:rPr>
      </w:pPr>
      <w:r w:rsidRPr="00ED6681">
        <w:rPr>
          <w:rFonts w:ascii="Bookman Old Style" w:eastAsia="Calibri" w:hAnsi="Bookman Old Style" w:cs="Arial"/>
          <w:b/>
          <w:bCs/>
          <w:kern w:val="2"/>
          <w:lang w:val="es-CO" w:eastAsia="en-US"/>
          <w14:ligatures w14:val="standardContextual"/>
        </w:rPr>
        <w:t xml:space="preserve">ARTÍCULO 8. REMISIÓN NORMATIVA Y VIGENCIA. </w:t>
      </w:r>
      <w:r w:rsidRPr="00ED6681">
        <w:rPr>
          <w:rFonts w:ascii="Bookman Old Style" w:eastAsia="Calibri" w:hAnsi="Bookman Old Style" w:cs="Arial"/>
          <w:kern w:val="2"/>
          <w:lang w:val="es-CO" w:eastAsia="en-US"/>
          <w14:ligatures w14:val="standardContextual"/>
        </w:rPr>
        <w:t xml:space="preserve">Se aplicará lo establecido en la Ley 142 de 1994, en el Estatuto Tributario Nacional, en el Código de Procedimiento Administrativo y de lo Contencioso Administrativo, y demás normas concordantes, en lo </w:t>
      </w:r>
      <w:r w:rsidRPr="00ED6681">
        <w:rPr>
          <w:rFonts w:ascii="Bookman Old Style" w:eastAsia="Calibri" w:hAnsi="Bookman Old Style" w:cs="Arial"/>
          <w:b/>
          <w:bCs/>
          <w:kern w:val="2"/>
          <w:lang w:val="es-CO" w:eastAsia="en-US"/>
          <w14:ligatures w14:val="standardContextual"/>
        </w:rPr>
        <w:t>no</w:t>
      </w:r>
      <w:r w:rsidRPr="00ED6681">
        <w:rPr>
          <w:rFonts w:ascii="Bookman Old Style" w:eastAsia="Calibri" w:hAnsi="Bookman Old Style" w:cs="Arial"/>
          <w:kern w:val="2"/>
          <w:lang w:val="es-CO" w:eastAsia="en-US"/>
          <w14:ligatures w14:val="standardContextual"/>
        </w:rPr>
        <w:t xml:space="preserve"> previsto en la presente resolución. </w:t>
      </w:r>
    </w:p>
    <w:p w14:paraId="02CA2931" w14:textId="77777777" w:rsidR="00D51F38" w:rsidRPr="00ED6681" w:rsidRDefault="00D51F38" w:rsidP="00007C71">
      <w:pPr>
        <w:ind w:left="0"/>
        <w:jc w:val="both"/>
        <w:rPr>
          <w:rFonts w:ascii="Bookman Old Style" w:eastAsia="Calibri" w:hAnsi="Bookman Old Style" w:cs="Arial"/>
          <w:b/>
          <w:bCs/>
          <w:kern w:val="2"/>
          <w:lang w:val="es-CO" w:eastAsia="en-US"/>
          <w14:ligatures w14:val="standardContextual"/>
        </w:rPr>
      </w:pPr>
    </w:p>
    <w:p w14:paraId="209AF081" w14:textId="77777777" w:rsidR="00D51F38" w:rsidRPr="00C84C79" w:rsidRDefault="00D51F38" w:rsidP="00007C71">
      <w:pPr>
        <w:ind w:left="0"/>
        <w:jc w:val="both"/>
        <w:rPr>
          <w:rFonts w:ascii="Bookman Old Style" w:eastAsia="Calibri" w:hAnsi="Bookman Old Style" w:cs="Arial"/>
          <w:i/>
          <w:iCs/>
          <w:kern w:val="2"/>
          <w:lang w:val="es-CO" w:eastAsia="en-US"/>
          <w14:ligatures w14:val="standardContextual"/>
        </w:rPr>
      </w:pPr>
      <w:r w:rsidRPr="00ED6681">
        <w:rPr>
          <w:rFonts w:ascii="Bookman Old Style" w:eastAsia="Calibri" w:hAnsi="Bookman Old Style" w:cs="Arial"/>
          <w:kern w:val="2"/>
          <w:lang w:val="es-CO" w:eastAsia="en-US"/>
          <w14:ligatures w14:val="standardContextual"/>
        </w:rPr>
        <w:t xml:space="preserve">La presente resolución rige a partir de la fecha de su publicación en el </w:t>
      </w:r>
      <w:r w:rsidRPr="00C84C79">
        <w:rPr>
          <w:rFonts w:ascii="Bookman Old Style" w:eastAsia="Calibri" w:hAnsi="Bookman Old Style" w:cs="Arial"/>
          <w:i/>
          <w:iCs/>
          <w:kern w:val="2"/>
          <w:lang w:val="es-CO" w:eastAsia="en-US"/>
          <w14:ligatures w14:val="standardContextual"/>
        </w:rPr>
        <w:t>Diario Oficial.</w:t>
      </w:r>
    </w:p>
    <w:p w14:paraId="73094514" w14:textId="77777777" w:rsidR="00D51F38" w:rsidRPr="00ED6681" w:rsidRDefault="00D51F38" w:rsidP="00ED6681">
      <w:pPr>
        <w:spacing w:after="160"/>
        <w:ind w:left="0"/>
        <w:jc w:val="both"/>
        <w:rPr>
          <w:rFonts w:ascii="Bookman Old Style" w:eastAsia="Calibri" w:hAnsi="Bookman Old Style" w:cs="Arial"/>
          <w:kern w:val="2"/>
          <w:lang w:val="es-CO" w:eastAsia="en-US"/>
          <w14:ligatures w14:val="standardContextual"/>
        </w:rPr>
      </w:pPr>
    </w:p>
    <w:p w14:paraId="147F8CBB" w14:textId="77777777" w:rsidR="00967547" w:rsidRPr="00967547" w:rsidRDefault="00967547" w:rsidP="00967547">
      <w:pPr>
        <w:spacing w:after="160"/>
        <w:ind w:left="0"/>
        <w:jc w:val="center"/>
        <w:rPr>
          <w:rFonts w:ascii="Bookman Old Style" w:eastAsia="Calibri" w:hAnsi="Bookman Old Style"/>
          <w:kern w:val="2"/>
          <w:lang w:val="es-CO" w:eastAsia="en-US"/>
          <w14:ligatures w14:val="standardContextual"/>
        </w:rPr>
      </w:pPr>
      <w:r w:rsidRPr="00967547">
        <w:rPr>
          <w:rFonts w:ascii="Bookman Old Style" w:eastAsia="Calibri" w:hAnsi="Bookman Old Style"/>
          <w:b/>
          <w:bCs/>
          <w:kern w:val="2"/>
          <w:lang w:eastAsia="en-US"/>
          <w14:ligatures w14:val="standardContextual"/>
        </w:rPr>
        <w:t>PUBLÍQUESE Y CÚMPLASE</w:t>
      </w:r>
    </w:p>
    <w:p w14:paraId="7C4694BB" w14:textId="77777777" w:rsidR="00967547" w:rsidRDefault="00967547" w:rsidP="00967547">
      <w:pPr>
        <w:spacing w:after="160"/>
        <w:ind w:left="0"/>
        <w:jc w:val="both"/>
        <w:rPr>
          <w:rFonts w:ascii="Bookman Old Style" w:eastAsia="Calibri" w:hAnsi="Bookman Old Style"/>
          <w:kern w:val="2"/>
          <w:lang w:eastAsia="en-US"/>
          <w14:ligatures w14:val="standardContextual"/>
        </w:rPr>
      </w:pPr>
      <w:r w:rsidRPr="00967547">
        <w:rPr>
          <w:rFonts w:ascii="Bookman Old Style" w:eastAsia="Calibri" w:hAnsi="Bookman Old Style"/>
          <w:kern w:val="2"/>
          <w:lang w:eastAsia="en-US"/>
          <w14:ligatures w14:val="standardContextual"/>
        </w:rPr>
        <w:t> </w:t>
      </w:r>
    </w:p>
    <w:p w14:paraId="0FBBFF0B" w14:textId="77777777" w:rsidR="00967547" w:rsidRPr="00967547" w:rsidRDefault="00967547" w:rsidP="00967547">
      <w:pPr>
        <w:spacing w:after="160"/>
        <w:ind w:left="0"/>
        <w:jc w:val="both"/>
        <w:rPr>
          <w:rFonts w:ascii="Bookman Old Style" w:eastAsia="Calibri" w:hAnsi="Bookman Old Style"/>
          <w:kern w:val="2"/>
          <w:lang w:val="es-CO" w:eastAsia="en-US"/>
          <w14:ligatures w14:val="standardContextual"/>
        </w:rPr>
      </w:pPr>
    </w:p>
    <w:p w14:paraId="0E83C5DF" w14:textId="6320D724" w:rsidR="00D51F38" w:rsidRPr="00ED6681" w:rsidRDefault="00D51F38" w:rsidP="00ED6681">
      <w:pPr>
        <w:spacing w:after="160"/>
        <w:ind w:left="0"/>
        <w:jc w:val="both"/>
        <w:rPr>
          <w:rFonts w:ascii="Bookman Old Style" w:eastAsia="Calibri" w:hAnsi="Bookman Old Style"/>
          <w:kern w:val="2"/>
          <w:lang w:val="es-CO" w:eastAsia="en-US"/>
          <w14:ligatures w14:val="standardContextual"/>
        </w:rPr>
      </w:pPr>
    </w:p>
    <w:p w14:paraId="793858B3" w14:textId="7141EC0B" w:rsidR="00F317D2" w:rsidRPr="00ED6681" w:rsidRDefault="00F317D2" w:rsidP="00ED6681">
      <w:pPr>
        <w:jc w:val="center"/>
        <w:rPr>
          <w:rFonts w:ascii="Bookman Old Style" w:hAnsi="Bookman Old Style"/>
          <w:b/>
        </w:rPr>
      </w:pPr>
    </w:p>
    <w:p w14:paraId="09094581" w14:textId="77777777" w:rsidR="000B4FE8" w:rsidRPr="00ED6681" w:rsidRDefault="000B4FE8" w:rsidP="00ED6681">
      <w:pPr>
        <w:jc w:val="center"/>
        <w:rPr>
          <w:rFonts w:ascii="Bookman Old Style" w:hAnsi="Bookman Old Style"/>
          <w:b/>
        </w:rPr>
      </w:pPr>
    </w:p>
    <w:p w14:paraId="2366D77C" w14:textId="3B65640C" w:rsidR="00F317D2" w:rsidRPr="00ED6681" w:rsidRDefault="00F317D2" w:rsidP="00ED6681">
      <w:pPr>
        <w:jc w:val="center"/>
        <w:rPr>
          <w:rFonts w:ascii="Bookman Old Style" w:hAnsi="Bookman Old Style"/>
          <w:b/>
        </w:rPr>
      </w:pPr>
    </w:p>
    <w:p w14:paraId="1A7673C6" w14:textId="77777777" w:rsidR="00F317D2" w:rsidRPr="00ED6681" w:rsidRDefault="00F317D2" w:rsidP="00ED6681">
      <w:pPr>
        <w:widowControl w:val="0"/>
        <w:tabs>
          <w:tab w:val="left" w:pos="-720"/>
        </w:tabs>
        <w:suppressAutoHyphens/>
        <w:adjustRightInd w:val="0"/>
        <w:ind w:right="20"/>
        <w:rPr>
          <w:rFonts w:ascii="Bookman Old Style" w:hAnsi="Bookman Old Style" w:cs="Arial"/>
          <w:spacing w:val="-3"/>
        </w:rPr>
      </w:pPr>
    </w:p>
    <w:p w14:paraId="3BBBFC72" w14:textId="77777777" w:rsidR="00F317D2" w:rsidRPr="00ED6681" w:rsidRDefault="00F317D2" w:rsidP="00ED6681">
      <w:pPr>
        <w:rPr>
          <w:rFonts w:ascii="Bookman Old Style" w:hAnsi="Bookman Old Style"/>
          <w:b/>
          <w:lang w:val="es-MX"/>
        </w:rPr>
      </w:pPr>
    </w:p>
    <w:p w14:paraId="1C7DAFD8" w14:textId="77777777" w:rsidR="001059C9" w:rsidRPr="00ED6681" w:rsidRDefault="001059C9" w:rsidP="00ED6681">
      <w:pPr>
        <w:rPr>
          <w:rFonts w:ascii="Bookman Old Style" w:hAnsi="Bookman Old Style"/>
          <w:b/>
          <w:lang w:val="es-MX"/>
        </w:rPr>
      </w:pPr>
    </w:p>
    <w:p w14:paraId="4C89412D" w14:textId="77777777" w:rsidR="001059C9" w:rsidRPr="00ED6681" w:rsidRDefault="001059C9" w:rsidP="00ED6681">
      <w:pPr>
        <w:rPr>
          <w:rFonts w:ascii="Bookman Old Style" w:hAnsi="Bookman Old Style"/>
          <w:b/>
          <w:lang w:val="es-MX"/>
        </w:rPr>
      </w:pPr>
    </w:p>
    <w:p w14:paraId="3A5F39BD" w14:textId="77777777" w:rsidR="00F6472E" w:rsidRPr="00ED6681" w:rsidRDefault="00F6472E" w:rsidP="00ED6681">
      <w:pPr>
        <w:rPr>
          <w:rFonts w:ascii="Bookman Old Style" w:hAnsi="Bookman Old Style"/>
          <w:b/>
          <w:lang w:val="es-MX"/>
        </w:rPr>
      </w:pPr>
    </w:p>
    <w:p w14:paraId="1D93386C" w14:textId="38B7E1A3" w:rsidR="001059C9" w:rsidRPr="00EE20B0" w:rsidRDefault="002505E2" w:rsidP="00ED6681">
      <w:pPr>
        <w:rPr>
          <w:rFonts w:ascii="Bookman Old Style" w:hAnsi="Bookman Old Style"/>
          <w:bCs/>
          <w:sz w:val="16"/>
          <w:szCs w:val="16"/>
          <w:lang w:val="es-MX"/>
        </w:rPr>
      </w:pPr>
      <w:r w:rsidRPr="00EE20B0">
        <w:rPr>
          <w:rFonts w:ascii="Bookman Old Style" w:hAnsi="Bookman Old Style"/>
          <w:bCs/>
          <w:sz w:val="16"/>
          <w:szCs w:val="16"/>
          <w:lang w:val="es-MX"/>
        </w:rPr>
        <w:t>Aprobó:</w:t>
      </w:r>
      <w:r w:rsidR="001059C9" w:rsidRPr="00EE20B0">
        <w:rPr>
          <w:rFonts w:ascii="Bookman Old Style" w:hAnsi="Bookman Old Style"/>
          <w:bCs/>
          <w:sz w:val="16"/>
          <w:szCs w:val="16"/>
          <w:lang w:val="es-MX"/>
        </w:rPr>
        <w:t xml:space="preserve">   Verónica Ponce Vallejo - </w:t>
      </w:r>
      <w:r w:rsidR="006E1759" w:rsidRPr="00EE20B0">
        <w:rPr>
          <w:rFonts w:ascii="Bookman Old Style" w:hAnsi="Bookman Old Style"/>
          <w:bCs/>
          <w:sz w:val="16"/>
          <w:szCs w:val="16"/>
          <w:lang w:val="es-MX"/>
        </w:rPr>
        <w:t>subdirectora</w:t>
      </w:r>
      <w:r w:rsidR="001059C9" w:rsidRPr="00EE20B0">
        <w:rPr>
          <w:rFonts w:ascii="Bookman Old Style" w:hAnsi="Bookman Old Style"/>
          <w:bCs/>
          <w:sz w:val="16"/>
          <w:szCs w:val="16"/>
          <w:lang w:val="es-MX"/>
        </w:rPr>
        <w:t xml:space="preserve"> Administrativa y Financiera - CREG</w:t>
      </w:r>
    </w:p>
    <w:p w14:paraId="79C81EB5" w14:textId="47E394D4" w:rsidR="00F6472E" w:rsidRPr="00EE20B0" w:rsidRDefault="002505E2" w:rsidP="00ED6681">
      <w:pPr>
        <w:rPr>
          <w:rFonts w:ascii="Bookman Old Style" w:hAnsi="Bookman Old Style"/>
          <w:bCs/>
          <w:sz w:val="16"/>
          <w:szCs w:val="16"/>
          <w:lang w:val="es-MX"/>
        </w:rPr>
      </w:pPr>
      <w:r w:rsidRPr="00EE20B0">
        <w:rPr>
          <w:rFonts w:ascii="Bookman Old Style" w:hAnsi="Bookman Old Style"/>
          <w:bCs/>
          <w:sz w:val="16"/>
          <w:szCs w:val="16"/>
          <w:lang w:val="es-MX"/>
        </w:rPr>
        <w:t>Revisó:</w:t>
      </w:r>
      <w:r w:rsidR="001059C9" w:rsidRPr="00EE20B0">
        <w:rPr>
          <w:rFonts w:ascii="Bookman Old Style" w:hAnsi="Bookman Old Style"/>
          <w:bCs/>
          <w:sz w:val="16"/>
          <w:szCs w:val="16"/>
          <w:lang w:val="es-MX"/>
        </w:rPr>
        <w:t xml:space="preserve">    </w:t>
      </w:r>
      <w:r w:rsidR="00024E6B" w:rsidRPr="00EE20B0">
        <w:rPr>
          <w:rFonts w:ascii="Bookman Old Style" w:hAnsi="Bookman Old Style"/>
          <w:bCs/>
          <w:sz w:val="16"/>
          <w:szCs w:val="16"/>
          <w:lang w:val="es-MX"/>
        </w:rPr>
        <w:t xml:space="preserve">Hugo </w:t>
      </w:r>
      <w:r w:rsidR="00282D4A" w:rsidRPr="00EE20B0">
        <w:rPr>
          <w:rFonts w:ascii="Bookman Old Style" w:hAnsi="Bookman Old Style"/>
          <w:bCs/>
          <w:sz w:val="16"/>
          <w:szCs w:val="16"/>
          <w:lang w:val="es-MX"/>
        </w:rPr>
        <w:t xml:space="preserve">Enrique </w:t>
      </w:r>
      <w:r w:rsidR="00024E6B" w:rsidRPr="00EE20B0">
        <w:rPr>
          <w:rFonts w:ascii="Bookman Old Style" w:hAnsi="Bookman Old Style"/>
          <w:bCs/>
          <w:sz w:val="16"/>
          <w:szCs w:val="16"/>
          <w:lang w:val="es-MX"/>
        </w:rPr>
        <w:t>Pacheco</w:t>
      </w:r>
      <w:r w:rsidR="00282D4A" w:rsidRPr="00EE20B0">
        <w:rPr>
          <w:rFonts w:ascii="Bookman Old Style" w:hAnsi="Bookman Old Style"/>
          <w:bCs/>
          <w:sz w:val="16"/>
          <w:szCs w:val="16"/>
          <w:lang w:val="es-MX"/>
        </w:rPr>
        <w:t xml:space="preserve"> de León</w:t>
      </w:r>
      <w:r w:rsidR="00024E6B" w:rsidRPr="00EE20B0">
        <w:rPr>
          <w:rFonts w:ascii="Bookman Old Style" w:hAnsi="Bookman Old Style"/>
          <w:bCs/>
          <w:sz w:val="16"/>
          <w:szCs w:val="16"/>
          <w:lang w:val="es-MX"/>
        </w:rPr>
        <w:t xml:space="preserve"> </w:t>
      </w:r>
      <w:r w:rsidR="00282D4A" w:rsidRPr="00EE20B0">
        <w:rPr>
          <w:rFonts w:ascii="Bookman Old Style" w:hAnsi="Bookman Old Style"/>
          <w:bCs/>
          <w:sz w:val="16"/>
          <w:szCs w:val="16"/>
          <w:lang w:val="es-MX"/>
        </w:rPr>
        <w:t>–</w:t>
      </w:r>
      <w:r w:rsidR="00024E6B" w:rsidRPr="00EE20B0">
        <w:rPr>
          <w:rFonts w:ascii="Bookman Old Style" w:hAnsi="Bookman Old Style"/>
          <w:bCs/>
          <w:sz w:val="16"/>
          <w:szCs w:val="16"/>
          <w:lang w:val="es-MX"/>
        </w:rPr>
        <w:t xml:space="preserve"> </w:t>
      </w:r>
      <w:r w:rsidR="00282D4A" w:rsidRPr="00EE20B0">
        <w:rPr>
          <w:rFonts w:ascii="Bookman Old Style" w:hAnsi="Bookman Old Style"/>
          <w:bCs/>
          <w:sz w:val="16"/>
          <w:szCs w:val="16"/>
          <w:lang w:val="es-MX"/>
        </w:rPr>
        <w:t>Asesor CREG</w:t>
      </w:r>
    </w:p>
    <w:p w14:paraId="009D7273" w14:textId="3C52F0EB" w:rsidR="00C13A3B" w:rsidRPr="00EE20B0" w:rsidRDefault="00282D4A" w:rsidP="00ED6681">
      <w:pPr>
        <w:rPr>
          <w:rFonts w:ascii="Bookman Old Style" w:hAnsi="Bookman Old Style"/>
          <w:bCs/>
          <w:sz w:val="16"/>
          <w:szCs w:val="16"/>
          <w:lang w:val="es-MX"/>
        </w:rPr>
      </w:pPr>
      <w:r w:rsidRPr="00EE20B0">
        <w:rPr>
          <w:rFonts w:ascii="Bookman Old Style" w:hAnsi="Bookman Old Style"/>
          <w:bCs/>
          <w:sz w:val="16"/>
          <w:szCs w:val="16"/>
          <w:lang w:val="es-MX"/>
        </w:rPr>
        <w:t xml:space="preserve">           </w:t>
      </w:r>
      <w:r w:rsidR="001059C9" w:rsidRPr="00EE20B0">
        <w:rPr>
          <w:rFonts w:ascii="Bookman Old Style" w:hAnsi="Bookman Old Style"/>
          <w:bCs/>
          <w:sz w:val="16"/>
          <w:szCs w:val="16"/>
          <w:lang w:val="es-MX"/>
        </w:rPr>
        <w:t xml:space="preserve">    </w:t>
      </w:r>
      <w:r w:rsidRPr="00EE20B0">
        <w:rPr>
          <w:rFonts w:ascii="Bookman Old Style" w:hAnsi="Bookman Old Style"/>
          <w:bCs/>
          <w:sz w:val="16"/>
          <w:szCs w:val="16"/>
          <w:lang w:val="es-MX"/>
        </w:rPr>
        <w:t xml:space="preserve">Miguel Alejandro Jurado Erazo </w:t>
      </w:r>
      <w:r w:rsidR="00C13A3B" w:rsidRPr="00EE20B0">
        <w:rPr>
          <w:rFonts w:ascii="Bookman Old Style" w:hAnsi="Bookman Old Style"/>
          <w:bCs/>
          <w:sz w:val="16"/>
          <w:szCs w:val="16"/>
          <w:lang w:val="es-MX"/>
        </w:rPr>
        <w:t>–</w:t>
      </w:r>
      <w:r w:rsidRPr="00EE20B0">
        <w:rPr>
          <w:rFonts w:ascii="Bookman Old Style" w:hAnsi="Bookman Old Style"/>
          <w:bCs/>
          <w:sz w:val="16"/>
          <w:szCs w:val="16"/>
          <w:lang w:val="es-MX"/>
        </w:rPr>
        <w:t xml:space="preserve"> </w:t>
      </w:r>
      <w:r w:rsidR="00C13A3B" w:rsidRPr="00EE20B0">
        <w:rPr>
          <w:rFonts w:ascii="Bookman Old Style" w:hAnsi="Bookman Old Style"/>
          <w:bCs/>
          <w:sz w:val="16"/>
          <w:szCs w:val="16"/>
          <w:lang w:val="es-MX"/>
        </w:rPr>
        <w:t>Abogado Subdirección Administrativa y Financiera</w:t>
      </w:r>
    </w:p>
    <w:p w14:paraId="001A32F5" w14:textId="4CDBAD23" w:rsidR="001059C9" w:rsidRPr="00EE20B0" w:rsidRDefault="00C13A3B" w:rsidP="00ED6681">
      <w:pPr>
        <w:rPr>
          <w:rFonts w:ascii="Bookman Old Style" w:hAnsi="Bookman Old Style"/>
          <w:bCs/>
          <w:sz w:val="16"/>
          <w:szCs w:val="16"/>
          <w:lang w:val="es-MX"/>
        </w:rPr>
      </w:pPr>
      <w:r w:rsidRPr="00EE20B0">
        <w:rPr>
          <w:rFonts w:ascii="Bookman Old Style" w:hAnsi="Bookman Old Style"/>
          <w:bCs/>
          <w:sz w:val="16"/>
          <w:szCs w:val="16"/>
          <w:lang w:val="es-MX"/>
        </w:rPr>
        <w:t xml:space="preserve">           </w:t>
      </w:r>
      <w:r w:rsidR="001059C9" w:rsidRPr="00EE20B0">
        <w:rPr>
          <w:rFonts w:ascii="Bookman Old Style" w:hAnsi="Bookman Old Style"/>
          <w:bCs/>
          <w:sz w:val="16"/>
          <w:szCs w:val="16"/>
          <w:lang w:val="es-MX"/>
        </w:rPr>
        <w:t xml:space="preserve">    </w:t>
      </w:r>
      <w:r w:rsidRPr="00EE20B0">
        <w:rPr>
          <w:rFonts w:ascii="Bookman Old Style" w:hAnsi="Bookman Old Style"/>
          <w:bCs/>
          <w:sz w:val="16"/>
          <w:szCs w:val="16"/>
          <w:lang w:val="es-MX"/>
        </w:rPr>
        <w:t xml:space="preserve">Liliana Loaiza Machado </w:t>
      </w:r>
      <w:r w:rsidR="001059C9" w:rsidRPr="00EE20B0">
        <w:rPr>
          <w:rFonts w:ascii="Bookman Old Style" w:hAnsi="Bookman Old Style"/>
          <w:bCs/>
          <w:sz w:val="16"/>
          <w:szCs w:val="16"/>
          <w:lang w:val="es-MX"/>
        </w:rPr>
        <w:t>–</w:t>
      </w:r>
      <w:r w:rsidRPr="00EE20B0">
        <w:rPr>
          <w:rFonts w:ascii="Bookman Old Style" w:hAnsi="Bookman Old Style"/>
          <w:bCs/>
          <w:sz w:val="16"/>
          <w:szCs w:val="16"/>
          <w:lang w:val="es-MX"/>
        </w:rPr>
        <w:t xml:space="preserve"> </w:t>
      </w:r>
      <w:r w:rsidR="001059C9" w:rsidRPr="00EE20B0">
        <w:rPr>
          <w:rFonts w:ascii="Bookman Old Style" w:hAnsi="Bookman Old Style"/>
          <w:bCs/>
          <w:sz w:val="16"/>
          <w:szCs w:val="16"/>
          <w:lang w:val="es-MX"/>
        </w:rPr>
        <w:t>Profesional Subdirección Administrativa y Financiera</w:t>
      </w:r>
    </w:p>
    <w:p w14:paraId="2D25886C" w14:textId="5E7BA1E2" w:rsidR="00F6472E" w:rsidRPr="00EE20B0" w:rsidRDefault="00F6472E" w:rsidP="00ED6681">
      <w:pPr>
        <w:rPr>
          <w:rFonts w:ascii="Bookman Old Style" w:hAnsi="Bookman Old Style"/>
          <w:bCs/>
          <w:sz w:val="16"/>
          <w:szCs w:val="16"/>
          <w:lang w:val="es-MX"/>
        </w:rPr>
      </w:pPr>
      <w:r w:rsidRPr="00EE20B0">
        <w:rPr>
          <w:rFonts w:ascii="Bookman Old Style" w:hAnsi="Bookman Old Style"/>
          <w:bCs/>
          <w:sz w:val="16"/>
          <w:szCs w:val="16"/>
          <w:lang w:val="es-MX"/>
        </w:rPr>
        <w:t>Proyectó:</w:t>
      </w:r>
      <w:r w:rsidR="002505E2" w:rsidRPr="00EE20B0">
        <w:rPr>
          <w:rFonts w:ascii="Bookman Old Style" w:hAnsi="Bookman Old Style"/>
          <w:bCs/>
          <w:sz w:val="16"/>
          <w:szCs w:val="16"/>
          <w:lang w:val="es-MX"/>
        </w:rPr>
        <w:t xml:space="preserve"> </w:t>
      </w:r>
      <w:r w:rsidR="00A57CC9">
        <w:rPr>
          <w:rFonts w:ascii="Bookman Old Style" w:hAnsi="Bookman Old Style"/>
          <w:bCs/>
          <w:sz w:val="16"/>
          <w:szCs w:val="16"/>
          <w:lang w:val="es-MX"/>
        </w:rPr>
        <w:t>Jorge Ivan Pardo</w:t>
      </w:r>
      <w:r w:rsidR="00711A31" w:rsidRPr="00EE20B0">
        <w:rPr>
          <w:rFonts w:ascii="Bookman Old Style" w:hAnsi="Bookman Old Style"/>
          <w:bCs/>
          <w:sz w:val="16"/>
          <w:szCs w:val="16"/>
          <w:lang w:val="es-MX"/>
        </w:rPr>
        <w:t xml:space="preserve"> – Profesional Subdirección Administrativa y Financiera</w:t>
      </w:r>
    </w:p>
    <w:sectPr w:rsidR="00F6472E" w:rsidRPr="00EE20B0" w:rsidSect="005A59EF">
      <w:headerReference w:type="default" r:id="rId15"/>
      <w:headerReference w:type="first" r:id="rId16"/>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AA632" w14:textId="77777777" w:rsidR="00100F59" w:rsidRDefault="00100F59">
      <w:r>
        <w:separator/>
      </w:r>
    </w:p>
  </w:endnote>
  <w:endnote w:type="continuationSeparator" w:id="0">
    <w:p w14:paraId="7C110BED" w14:textId="77777777" w:rsidR="00100F59" w:rsidRDefault="00100F59">
      <w:r>
        <w:continuationSeparator/>
      </w:r>
    </w:p>
  </w:endnote>
  <w:endnote w:type="continuationNotice" w:id="1">
    <w:p w14:paraId="5FBA7635" w14:textId="77777777" w:rsidR="00100F59" w:rsidRDefault="0010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EAFD" w14:textId="77777777" w:rsidR="00100F59" w:rsidRDefault="00100F59">
      <w:r>
        <w:separator/>
      </w:r>
    </w:p>
  </w:footnote>
  <w:footnote w:type="continuationSeparator" w:id="0">
    <w:p w14:paraId="43FA8CD6" w14:textId="77777777" w:rsidR="00100F59" w:rsidRDefault="00100F59">
      <w:r>
        <w:continuationSeparator/>
      </w:r>
    </w:p>
  </w:footnote>
  <w:footnote w:type="continuationNotice" w:id="1">
    <w:p w14:paraId="71595D16" w14:textId="77777777" w:rsidR="00100F59" w:rsidRDefault="00100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04B7" w14:textId="3861A84A" w:rsidR="00353572" w:rsidRPr="00C41722" w:rsidRDefault="00353572" w:rsidP="00C41722">
    <w:pPr>
      <w:rPr>
        <w:lang w:val="es-CO"/>
      </w:rPr>
    </w:pPr>
  </w:p>
  <w:p w14:paraId="210E8845" w14:textId="310E7D95" w:rsidR="00353572" w:rsidRPr="003F6285" w:rsidRDefault="00C552A7"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353572" w:rsidRPr="00654384">
      <w:rPr>
        <w:rFonts w:ascii="Bookman Old Style" w:hAnsi="Bookman Old Style" w:cs="Arial"/>
        <w:b w:val="0"/>
        <w:sz w:val="22"/>
        <w:szCs w:val="22"/>
      </w:rPr>
      <w:t xml:space="preserve">RESOLUCIÓN </w:t>
    </w:r>
    <w:proofErr w:type="gramStart"/>
    <w:r w:rsidR="00353572" w:rsidRPr="00654384">
      <w:rPr>
        <w:rFonts w:ascii="Bookman Old Style" w:hAnsi="Bookman Old Style" w:cs="Arial"/>
        <w:b w:val="0"/>
        <w:sz w:val="22"/>
        <w:szCs w:val="22"/>
      </w:rPr>
      <w:t>N</w:t>
    </w:r>
    <w:r w:rsidR="00353572">
      <w:rPr>
        <w:rFonts w:ascii="Bookman Old Style" w:hAnsi="Bookman Old Style" w:cs="Arial"/>
        <w:b w:val="0"/>
        <w:sz w:val="22"/>
        <w:szCs w:val="22"/>
      </w:rPr>
      <w:t>o.</w:t>
    </w:r>
    <w:r w:rsidR="0088741A" w:rsidRPr="0088741A">
      <w:t xml:space="preserve"> </w:t>
    </w:r>
    <w:r w:rsidR="00020FDD">
      <w:t xml:space="preserve"> </w:t>
    </w:r>
    <w:r w:rsidR="0088741A" w:rsidRPr="0088741A">
      <w:rPr>
        <w:rFonts w:ascii="Bookman Old Style" w:hAnsi="Bookman Old Style" w:cs="Arial"/>
        <w:bCs/>
        <w:szCs w:val="24"/>
        <w:u w:val="single"/>
      </w:rPr>
      <w:t>705</w:t>
    </w:r>
    <w:proofErr w:type="gramEnd"/>
    <w:r w:rsidR="0088741A" w:rsidRPr="0088741A">
      <w:rPr>
        <w:rFonts w:ascii="Bookman Old Style" w:hAnsi="Bookman Old Style" w:cs="Arial"/>
        <w:bCs/>
        <w:szCs w:val="24"/>
        <w:u w:val="single"/>
      </w:rPr>
      <w:t xml:space="preserve"> </w:t>
    </w:r>
    <w:r w:rsidR="00020FDD">
      <w:rPr>
        <w:rFonts w:ascii="Bookman Old Style" w:hAnsi="Bookman Old Style" w:cs="Arial"/>
        <w:bCs/>
        <w:szCs w:val="24"/>
        <w:u w:val="single"/>
      </w:rPr>
      <w:t>0</w:t>
    </w:r>
    <w:r w:rsidR="003F6285" w:rsidRPr="00197525">
      <w:rPr>
        <w:rFonts w:ascii="Bookman Old Style" w:hAnsi="Bookman Old Style" w:cs="Arial"/>
        <w:bCs/>
        <w:szCs w:val="24"/>
        <w:u w:val="single"/>
      </w:rPr>
      <w:t>08</w:t>
    </w:r>
    <w:r w:rsidR="0088741A" w:rsidRPr="00020FDD">
      <w:rPr>
        <w:rFonts w:ascii="Bookman Old Style" w:hAnsi="Bookman Old Style" w:cs="Arial"/>
        <w:bCs/>
        <w:szCs w:val="24"/>
      </w:rPr>
      <w:t xml:space="preserve"> </w:t>
    </w:r>
    <w:r w:rsidR="00353572" w:rsidRPr="00020FDD">
      <w:rPr>
        <w:rFonts w:ascii="Bookman Old Style" w:hAnsi="Bookman Old Style" w:cs="Arial"/>
        <w:bCs/>
        <w:szCs w:val="24"/>
      </w:rPr>
      <w:t xml:space="preserve">  </w:t>
    </w:r>
    <w:r w:rsidR="00353572" w:rsidRPr="003F6285">
      <w:rPr>
        <w:rFonts w:ascii="Bookman Old Style" w:hAnsi="Bookman Old Style" w:cs="Arial"/>
        <w:b w:val="0"/>
        <w:sz w:val="22"/>
        <w:szCs w:val="22"/>
      </w:rPr>
      <w:t xml:space="preserve">DE  </w:t>
    </w:r>
    <w:r w:rsidR="00AB3D7F" w:rsidRPr="00020FDD">
      <w:rPr>
        <w:rFonts w:ascii="Bookman Old Style" w:hAnsi="Bookman Old Style" w:cs="Arial"/>
        <w:bCs/>
        <w:sz w:val="22"/>
        <w:szCs w:val="22"/>
        <w:u w:val="single"/>
      </w:rPr>
      <w:t>07</w:t>
    </w:r>
    <w:r w:rsidR="0038102D" w:rsidRPr="00020FDD">
      <w:rPr>
        <w:rFonts w:ascii="Bookman Old Style" w:hAnsi="Bookman Old Style" w:cs="Arial"/>
        <w:bCs/>
        <w:sz w:val="22"/>
        <w:szCs w:val="22"/>
        <w:u w:val="single"/>
      </w:rPr>
      <w:t xml:space="preserve"> </w:t>
    </w:r>
    <w:r w:rsidR="00AB3D7F" w:rsidRPr="00020FDD">
      <w:rPr>
        <w:rFonts w:ascii="Bookman Old Style" w:hAnsi="Bookman Old Style" w:cs="Arial"/>
        <w:bCs/>
        <w:sz w:val="22"/>
        <w:szCs w:val="22"/>
        <w:u w:val="single"/>
      </w:rPr>
      <w:t>NO</w:t>
    </w:r>
    <w:r w:rsidR="00D74B0D" w:rsidRPr="00020FDD">
      <w:rPr>
        <w:rFonts w:ascii="Bookman Old Style" w:hAnsi="Bookman Old Style" w:cs="Arial"/>
        <w:bCs/>
        <w:sz w:val="22"/>
        <w:szCs w:val="22"/>
        <w:u w:val="single"/>
      </w:rPr>
      <w:t>V</w:t>
    </w:r>
    <w:r w:rsidR="00020FDD" w:rsidRPr="00020FDD">
      <w:rPr>
        <w:rFonts w:ascii="Bookman Old Style" w:hAnsi="Bookman Old Style" w:cs="Arial"/>
        <w:bCs/>
        <w:sz w:val="22"/>
        <w:szCs w:val="22"/>
        <w:u w:val="single"/>
      </w:rPr>
      <w:t>.</w:t>
    </w:r>
    <w:r w:rsidR="00353572" w:rsidRPr="00020FDD">
      <w:rPr>
        <w:rFonts w:ascii="Bookman Old Style" w:hAnsi="Bookman Old Style" w:cs="Arial"/>
        <w:bCs/>
        <w:szCs w:val="24"/>
        <w:u w:val="single"/>
      </w:rPr>
      <w:t>202</w:t>
    </w:r>
    <w:r w:rsidR="0038102D" w:rsidRPr="00020FDD">
      <w:rPr>
        <w:rFonts w:ascii="Bookman Old Style" w:hAnsi="Bookman Old Style" w:cs="Arial"/>
        <w:bCs/>
        <w:szCs w:val="24"/>
        <w:u w:val="single"/>
      </w:rPr>
      <w:t>4</w:t>
    </w:r>
    <w:r w:rsidR="00353572" w:rsidRPr="003F6285">
      <w:rPr>
        <w:rFonts w:ascii="Bookman Old Style" w:hAnsi="Bookman Old Style" w:cs="Arial"/>
        <w:b w:val="0"/>
        <w:sz w:val="22"/>
        <w:szCs w:val="22"/>
      </w:rPr>
      <w:t xml:space="preserve">   </w:t>
    </w:r>
    <w:r w:rsidR="00AA5930" w:rsidRPr="003F6285">
      <w:rPr>
        <w:rFonts w:ascii="Bookman Old Style" w:hAnsi="Bookman Old Style" w:cs="Arial"/>
        <w:b w:val="0"/>
        <w:sz w:val="22"/>
        <w:szCs w:val="22"/>
      </w:rPr>
      <w:t xml:space="preserve"> </w:t>
    </w:r>
    <w:r w:rsidR="00353572" w:rsidRPr="003F6285">
      <w:rPr>
        <w:rFonts w:ascii="Bookman Old Style" w:hAnsi="Bookman Old Style" w:cs="Arial"/>
        <w:b w:val="0"/>
        <w:sz w:val="22"/>
        <w:szCs w:val="22"/>
      </w:rPr>
      <w:t xml:space="preserve">HOJA No. </w:t>
    </w:r>
    <w:r w:rsidR="00353572" w:rsidRPr="003F6285">
      <w:rPr>
        <w:rFonts w:ascii="Bookman Old Style" w:hAnsi="Bookman Old Style" w:cs="Arial"/>
        <w:b w:val="0"/>
        <w:sz w:val="22"/>
        <w:szCs w:val="22"/>
      </w:rPr>
      <w:fldChar w:fldCharType="begin"/>
    </w:r>
    <w:r w:rsidR="00353572" w:rsidRPr="003F6285">
      <w:rPr>
        <w:rFonts w:ascii="Bookman Old Style" w:hAnsi="Bookman Old Style" w:cs="Arial"/>
        <w:b w:val="0"/>
        <w:sz w:val="22"/>
        <w:szCs w:val="22"/>
      </w:rPr>
      <w:instrText xml:space="preserve"> PAGE   \* MERGEFORMAT </w:instrText>
    </w:r>
    <w:r w:rsidR="00353572" w:rsidRPr="003F6285">
      <w:rPr>
        <w:rFonts w:ascii="Bookman Old Style" w:hAnsi="Bookman Old Style" w:cs="Arial"/>
        <w:b w:val="0"/>
        <w:sz w:val="22"/>
        <w:szCs w:val="22"/>
      </w:rPr>
      <w:fldChar w:fldCharType="separate"/>
    </w:r>
    <w:r w:rsidR="00066B48" w:rsidRPr="003F6285">
      <w:rPr>
        <w:rFonts w:ascii="Bookman Old Style" w:hAnsi="Bookman Old Style" w:cs="Arial"/>
        <w:b w:val="0"/>
        <w:noProof/>
        <w:sz w:val="22"/>
        <w:szCs w:val="22"/>
      </w:rPr>
      <w:t>5</w:t>
    </w:r>
    <w:r w:rsidR="00353572" w:rsidRPr="003F6285">
      <w:rPr>
        <w:rFonts w:ascii="Bookman Old Style" w:hAnsi="Bookman Old Style" w:cs="Arial"/>
        <w:b w:val="0"/>
        <w:sz w:val="22"/>
        <w:szCs w:val="22"/>
      </w:rPr>
      <w:fldChar w:fldCharType="end"/>
    </w:r>
    <w:r w:rsidR="00353572" w:rsidRPr="003F6285">
      <w:rPr>
        <w:rFonts w:ascii="Bookman Old Style" w:hAnsi="Bookman Old Style" w:cs="Arial"/>
        <w:b w:val="0"/>
        <w:sz w:val="22"/>
        <w:szCs w:val="22"/>
      </w:rPr>
      <w:t>/</w:t>
    </w:r>
    <w:fldSimple w:instr="NUMPAGES  \* MERGEFORMAT">
      <w:r w:rsidR="00066B48" w:rsidRPr="003F6285">
        <w:rPr>
          <w:rFonts w:ascii="Bookman Old Style" w:hAnsi="Bookman Old Style" w:cs="Arial"/>
          <w:b w:val="0"/>
          <w:noProof/>
          <w:sz w:val="22"/>
          <w:szCs w:val="22"/>
        </w:rPr>
        <w:t>22</w:t>
      </w:r>
    </w:fldSimple>
  </w:p>
  <w:p w14:paraId="3829F39E" w14:textId="0C6BC063" w:rsidR="00020FDD" w:rsidRDefault="00020FDD" w:rsidP="00AD01E4">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1" behindDoc="0" locked="0" layoutInCell="1" allowOverlap="1" wp14:anchorId="5B3D4C5E" wp14:editId="727E07DE">
              <wp:simplePos x="0" y="0"/>
              <wp:positionH relativeFrom="margin">
                <wp:posOffset>-175260</wp:posOffset>
              </wp:positionH>
              <wp:positionV relativeFrom="paragraph">
                <wp:posOffset>138430</wp:posOffset>
              </wp:positionV>
              <wp:extent cx="6267450" cy="10139045"/>
              <wp:effectExtent l="0" t="0" r="19050"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1390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658D" id="Rectangle 1" o:spid="_x0000_s1026" style="position:absolute;margin-left:-13.8pt;margin-top:10.9pt;width:493.5pt;height:79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" filled="f" strokeweight="1.5pt">
              <w10:wrap anchorx="margin"/>
            </v:rect>
          </w:pict>
        </mc:Fallback>
      </mc:AlternateContent>
    </w:r>
  </w:p>
  <w:p w14:paraId="3C73D3B5" w14:textId="36330459" w:rsidR="00020FDD" w:rsidRPr="00F30572" w:rsidRDefault="00020FDD" w:rsidP="00020FDD">
    <w:pPr>
      <w:pBdr>
        <w:bottom w:val="single" w:sz="4" w:space="1" w:color="auto"/>
      </w:pBdr>
      <w:jc w:val="center"/>
      <w:rPr>
        <w:sz w:val="22"/>
        <w:szCs w:val="22"/>
      </w:rPr>
    </w:pPr>
  </w:p>
  <w:p w14:paraId="458E83DA" w14:textId="346E742D" w:rsidR="00353572" w:rsidRDefault="00353572" w:rsidP="00AD01E4">
    <w:pPr>
      <w:ind w:left="142" w:right="148"/>
      <w:rPr>
        <w:rFonts w:ascii="Bookman Old Style" w:hAnsi="Bookman Old Style"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156A" w14:textId="77777777" w:rsidR="00353572" w:rsidRDefault="00353572" w:rsidP="00025383">
    <w:pPr>
      <w:pStyle w:val="Encabezado"/>
      <w:jc w:val="both"/>
      <w:rPr>
        <w:rFonts w:ascii="Arial" w:hAnsi="Arial" w:cs="Arial"/>
        <w:spacing w:val="20"/>
        <w:sz w:val="20"/>
      </w:rPr>
    </w:pPr>
    <w:r>
      <w:rPr>
        <w:rFonts w:ascii="Arial" w:hAnsi="Arial" w:cs="Arial"/>
        <w:spacing w:val="20"/>
        <w:sz w:val="20"/>
      </w:rPr>
      <w:t xml:space="preserve">                                   República de Colombia</w:t>
    </w:r>
  </w:p>
  <w:p w14:paraId="581A7313" w14:textId="77777777" w:rsidR="00353572" w:rsidRDefault="00353572">
    <w:pPr>
      <w:pStyle w:val="Encabezado"/>
      <w:jc w:val="center"/>
      <w:rPr>
        <w:rFonts w:ascii="Arial" w:hAnsi="Arial" w:cs="Arial"/>
        <w:spacing w:val="20"/>
        <w:sz w:val="20"/>
      </w:rPr>
    </w:pPr>
  </w:p>
  <w:p w14:paraId="09BD8B81" w14:textId="59AFA550" w:rsidR="00353572" w:rsidRDefault="00353572" w:rsidP="00CA77FB">
    <w:pPr>
      <w:pStyle w:val="Encabezado"/>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0" behindDoc="0" locked="0" layoutInCell="1" allowOverlap="1" wp14:anchorId="59A78744" wp14:editId="034DC5F3">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2D11"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2E37F79"/>
    <w:multiLevelType w:val="hybridMultilevel"/>
    <w:tmpl w:val="0122CCAE"/>
    <w:lvl w:ilvl="0" w:tplc="15BC5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116E93"/>
    <w:multiLevelType w:val="hybridMultilevel"/>
    <w:tmpl w:val="A510CBC2"/>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5"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7" w15:restartNumberingAfterBreak="0">
    <w:nsid w:val="4B33262D"/>
    <w:multiLevelType w:val="hybridMultilevel"/>
    <w:tmpl w:val="A9B6600A"/>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444002D"/>
    <w:multiLevelType w:val="hybridMultilevel"/>
    <w:tmpl w:val="BF907182"/>
    <w:lvl w:ilvl="0" w:tplc="240A001B">
      <w:start w:val="1"/>
      <w:numFmt w:val="lowerRoman"/>
      <w:lvlText w:val="%1."/>
      <w:lvlJc w:val="right"/>
      <w:pPr>
        <w:ind w:left="699" w:hanging="360"/>
      </w:p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20" w15:restartNumberingAfterBreak="0">
    <w:nsid w:val="5673377B"/>
    <w:multiLevelType w:val="hybridMultilevel"/>
    <w:tmpl w:val="D7707E8A"/>
    <w:lvl w:ilvl="0" w:tplc="F30806E4">
      <w:start w:val="3"/>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AD2042F"/>
    <w:multiLevelType w:val="hybridMultilevel"/>
    <w:tmpl w:val="7F2AF9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4CB189D"/>
    <w:multiLevelType w:val="hybridMultilevel"/>
    <w:tmpl w:val="D6E47FC4"/>
    <w:lvl w:ilvl="0" w:tplc="E4227D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7"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8C24EB"/>
    <w:multiLevelType w:val="hybridMultilevel"/>
    <w:tmpl w:val="1CFC70E0"/>
    <w:lvl w:ilvl="0" w:tplc="E3B05582">
      <w:start w:val="1"/>
      <w:numFmt w:val="decimal"/>
      <w:lvlText w:val="%1."/>
      <w:lvlJc w:val="left"/>
      <w:pPr>
        <w:tabs>
          <w:tab w:val="num" w:pos="720"/>
        </w:tabs>
        <w:ind w:left="720" w:hanging="360"/>
      </w:pPr>
    </w:lvl>
    <w:lvl w:ilvl="1" w:tplc="C9AC5AA4" w:tentative="1">
      <w:start w:val="1"/>
      <w:numFmt w:val="decimal"/>
      <w:lvlText w:val="%2."/>
      <w:lvlJc w:val="left"/>
      <w:pPr>
        <w:tabs>
          <w:tab w:val="num" w:pos="1440"/>
        </w:tabs>
        <w:ind w:left="1440" w:hanging="360"/>
      </w:pPr>
    </w:lvl>
    <w:lvl w:ilvl="2" w:tplc="AE34A894" w:tentative="1">
      <w:start w:val="1"/>
      <w:numFmt w:val="decimal"/>
      <w:lvlText w:val="%3."/>
      <w:lvlJc w:val="left"/>
      <w:pPr>
        <w:tabs>
          <w:tab w:val="num" w:pos="2160"/>
        </w:tabs>
        <w:ind w:left="2160" w:hanging="360"/>
      </w:pPr>
    </w:lvl>
    <w:lvl w:ilvl="3" w:tplc="A8EC04D2" w:tentative="1">
      <w:start w:val="1"/>
      <w:numFmt w:val="decimal"/>
      <w:lvlText w:val="%4."/>
      <w:lvlJc w:val="left"/>
      <w:pPr>
        <w:tabs>
          <w:tab w:val="num" w:pos="2880"/>
        </w:tabs>
        <w:ind w:left="2880" w:hanging="360"/>
      </w:pPr>
    </w:lvl>
    <w:lvl w:ilvl="4" w:tplc="29E47756" w:tentative="1">
      <w:start w:val="1"/>
      <w:numFmt w:val="decimal"/>
      <w:lvlText w:val="%5."/>
      <w:lvlJc w:val="left"/>
      <w:pPr>
        <w:tabs>
          <w:tab w:val="num" w:pos="3600"/>
        </w:tabs>
        <w:ind w:left="3600" w:hanging="360"/>
      </w:pPr>
    </w:lvl>
    <w:lvl w:ilvl="5" w:tplc="916679A0" w:tentative="1">
      <w:start w:val="1"/>
      <w:numFmt w:val="decimal"/>
      <w:lvlText w:val="%6."/>
      <w:lvlJc w:val="left"/>
      <w:pPr>
        <w:tabs>
          <w:tab w:val="num" w:pos="4320"/>
        </w:tabs>
        <w:ind w:left="4320" w:hanging="360"/>
      </w:pPr>
    </w:lvl>
    <w:lvl w:ilvl="6" w:tplc="65CCC160" w:tentative="1">
      <w:start w:val="1"/>
      <w:numFmt w:val="decimal"/>
      <w:lvlText w:val="%7."/>
      <w:lvlJc w:val="left"/>
      <w:pPr>
        <w:tabs>
          <w:tab w:val="num" w:pos="5040"/>
        </w:tabs>
        <w:ind w:left="5040" w:hanging="360"/>
      </w:pPr>
    </w:lvl>
    <w:lvl w:ilvl="7" w:tplc="03B46100" w:tentative="1">
      <w:start w:val="1"/>
      <w:numFmt w:val="decimal"/>
      <w:lvlText w:val="%8."/>
      <w:lvlJc w:val="left"/>
      <w:pPr>
        <w:tabs>
          <w:tab w:val="num" w:pos="5760"/>
        </w:tabs>
        <w:ind w:left="5760" w:hanging="360"/>
      </w:pPr>
    </w:lvl>
    <w:lvl w:ilvl="8" w:tplc="D03C3456" w:tentative="1">
      <w:start w:val="1"/>
      <w:numFmt w:val="decimal"/>
      <w:lvlText w:val="%9."/>
      <w:lvlJc w:val="left"/>
      <w:pPr>
        <w:tabs>
          <w:tab w:val="num" w:pos="6480"/>
        </w:tabs>
        <w:ind w:left="6480" w:hanging="360"/>
      </w:pPr>
    </w:lvl>
  </w:abstractNum>
  <w:abstractNum w:abstractNumId="29" w15:restartNumberingAfterBreak="0">
    <w:nsid w:val="773625FB"/>
    <w:multiLevelType w:val="hybridMultilevel"/>
    <w:tmpl w:val="C76C26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80B10EA"/>
    <w:multiLevelType w:val="hybridMultilevel"/>
    <w:tmpl w:val="085C0F76"/>
    <w:lvl w:ilvl="0" w:tplc="638A4012">
      <w:start w:val="1"/>
      <w:numFmt w:val="decimal"/>
      <w:pStyle w:val="Artculo"/>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EA2EABE0">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90207E6"/>
    <w:multiLevelType w:val="hybridMultilevel"/>
    <w:tmpl w:val="407E9008"/>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5045451">
    <w:abstractNumId w:val="14"/>
  </w:num>
  <w:num w:numId="2" w16cid:durableId="776371093">
    <w:abstractNumId w:val="7"/>
  </w:num>
  <w:num w:numId="3" w16cid:durableId="908346157">
    <w:abstractNumId w:val="32"/>
  </w:num>
  <w:num w:numId="4" w16cid:durableId="1621842946">
    <w:abstractNumId w:val="8"/>
  </w:num>
  <w:num w:numId="5" w16cid:durableId="1660889350">
    <w:abstractNumId w:val="22"/>
  </w:num>
  <w:num w:numId="6" w16cid:durableId="914583701">
    <w:abstractNumId w:val="5"/>
  </w:num>
  <w:num w:numId="7" w16cid:durableId="661663193">
    <w:abstractNumId w:val="4"/>
  </w:num>
  <w:num w:numId="8" w16cid:durableId="1902598236">
    <w:abstractNumId w:val="24"/>
  </w:num>
  <w:num w:numId="9" w16cid:durableId="1126268104">
    <w:abstractNumId w:val="23"/>
  </w:num>
  <w:num w:numId="10" w16cid:durableId="392847532">
    <w:abstractNumId w:val="15"/>
  </w:num>
  <w:num w:numId="11" w16cid:durableId="481392605">
    <w:abstractNumId w:val="33"/>
  </w:num>
  <w:num w:numId="12" w16cid:durableId="1392463669">
    <w:abstractNumId w:val="27"/>
  </w:num>
  <w:num w:numId="13" w16cid:durableId="1216047324">
    <w:abstractNumId w:val="13"/>
  </w:num>
  <w:num w:numId="14" w16cid:durableId="399985315">
    <w:abstractNumId w:val="2"/>
  </w:num>
  <w:num w:numId="15" w16cid:durableId="6252434">
    <w:abstractNumId w:val="16"/>
  </w:num>
  <w:num w:numId="16" w16cid:durableId="377752327">
    <w:abstractNumId w:val="1"/>
  </w:num>
  <w:num w:numId="17" w16cid:durableId="1819766508">
    <w:abstractNumId w:val="12"/>
  </w:num>
  <w:num w:numId="18" w16cid:durableId="546647253">
    <w:abstractNumId w:val="0"/>
  </w:num>
  <w:num w:numId="19" w16cid:durableId="926812992">
    <w:abstractNumId w:val="26"/>
  </w:num>
  <w:num w:numId="20" w16cid:durableId="1971085377">
    <w:abstractNumId w:val="18"/>
  </w:num>
  <w:num w:numId="21" w16cid:durableId="96877346">
    <w:abstractNumId w:val="9"/>
  </w:num>
  <w:num w:numId="22" w16cid:durableId="2022465524">
    <w:abstractNumId w:val="11"/>
  </w:num>
  <w:num w:numId="23" w16cid:durableId="693118076">
    <w:abstractNumId w:val="19"/>
  </w:num>
  <w:num w:numId="24" w16cid:durableId="1968661556">
    <w:abstractNumId w:val="25"/>
  </w:num>
  <w:num w:numId="25" w16cid:durableId="194931870">
    <w:abstractNumId w:val="30"/>
  </w:num>
  <w:num w:numId="26" w16cid:durableId="513154636">
    <w:abstractNumId w:val="21"/>
  </w:num>
  <w:num w:numId="27" w16cid:durableId="443768999">
    <w:abstractNumId w:val="3"/>
  </w:num>
  <w:num w:numId="28" w16cid:durableId="671372227">
    <w:abstractNumId w:val="28"/>
  </w:num>
  <w:num w:numId="29" w16cid:durableId="303698486">
    <w:abstractNumId w:val="20"/>
  </w:num>
  <w:num w:numId="30" w16cid:durableId="1838229629">
    <w:abstractNumId w:val="10"/>
  </w:num>
  <w:num w:numId="31" w16cid:durableId="273482676">
    <w:abstractNumId w:val="31"/>
  </w:num>
  <w:num w:numId="32" w16cid:durableId="425614169">
    <w:abstractNumId w:val="17"/>
  </w:num>
  <w:num w:numId="33" w16cid:durableId="946540461">
    <w:abstractNumId w:val="6"/>
  </w:num>
  <w:num w:numId="34" w16cid:durableId="5726176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F53"/>
    <w:rsid w:val="00002854"/>
    <w:rsid w:val="00002B3B"/>
    <w:rsid w:val="00003375"/>
    <w:rsid w:val="0000605A"/>
    <w:rsid w:val="0000673E"/>
    <w:rsid w:val="00006A26"/>
    <w:rsid w:val="00006AE2"/>
    <w:rsid w:val="00006AE8"/>
    <w:rsid w:val="00007580"/>
    <w:rsid w:val="000076A1"/>
    <w:rsid w:val="00007C71"/>
    <w:rsid w:val="00011150"/>
    <w:rsid w:val="000114C6"/>
    <w:rsid w:val="00011C29"/>
    <w:rsid w:val="00012259"/>
    <w:rsid w:val="00013EC3"/>
    <w:rsid w:val="00013ECB"/>
    <w:rsid w:val="00014F18"/>
    <w:rsid w:val="000168A2"/>
    <w:rsid w:val="000207D6"/>
    <w:rsid w:val="00020E80"/>
    <w:rsid w:val="00020EB0"/>
    <w:rsid w:val="00020FDD"/>
    <w:rsid w:val="00024420"/>
    <w:rsid w:val="00024E23"/>
    <w:rsid w:val="00024E6B"/>
    <w:rsid w:val="00025383"/>
    <w:rsid w:val="000269F5"/>
    <w:rsid w:val="00034298"/>
    <w:rsid w:val="0003525C"/>
    <w:rsid w:val="000355F6"/>
    <w:rsid w:val="0003590F"/>
    <w:rsid w:val="00042C9B"/>
    <w:rsid w:val="0004318E"/>
    <w:rsid w:val="00043394"/>
    <w:rsid w:val="00045D3D"/>
    <w:rsid w:val="00047296"/>
    <w:rsid w:val="00047CB1"/>
    <w:rsid w:val="00050EDC"/>
    <w:rsid w:val="00050EF7"/>
    <w:rsid w:val="000513A3"/>
    <w:rsid w:val="00054330"/>
    <w:rsid w:val="00054A5C"/>
    <w:rsid w:val="00055C45"/>
    <w:rsid w:val="00057323"/>
    <w:rsid w:val="00057AB8"/>
    <w:rsid w:val="00060693"/>
    <w:rsid w:val="00063657"/>
    <w:rsid w:val="00064E9D"/>
    <w:rsid w:val="00065BD7"/>
    <w:rsid w:val="00065FF8"/>
    <w:rsid w:val="000668B7"/>
    <w:rsid w:val="00066B48"/>
    <w:rsid w:val="00067ABB"/>
    <w:rsid w:val="0007497B"/>
    <w:rsid w:val="000751CB"/>
    <w:rsid w:val="00075D7C"/>
    <w:rsid w:val="000760F6"/>
    <w:rsid w:val="00076324"/>
    <w:rsid w:val="000763BB"/>
    <w:rsid w:val="00076680"/>
    <w:rsid w:val="00076941"/>
    <w:rsid w:val="00076A1D"/>
    <w:rsid w:val="0007756B"/>
    <w:rsid w:val="00080673"/>
    <w:rsid w:val="0008073E"/>
    <w:rsid w:val="00081B80"/>
    <w:rsid w:val="00083F9C"/>
    <w:rsid w:val="000848C5"/>
    <w:rsid w:val="00086394"/>
    <w:rsid w:val="00086A19"/>
    <w:rsid w:val="00086B63"/>
    <w:rsid w:val="000877B4"/>
    <w:rsid w:val="000878FC"/>
    <w:rsid w:val="0009012D"/>
    <w:rsid w:val="00090DDA"/>
    <w:rsid w:val="00091446"/>
    <w:rsid w:val="00091804"/>
    <w:rsid w:val="00091CDB"/>
    <w:rsid w:val="00093AE3"/>
    <w:rsid w:val="00095D93"/>
    <w:rsid w:val="00096AC9"/>
    <w:rsid w:val="00097892"/>
    <w:rsid w:val="00097ACE"/>
    <w:rsid w:val="000A0340"/>
    <w:rsid w:val="000A0370"/>
    <w:rsid w:val="000A0E2C"/>
    <w:rsid w:val="000A1852"/>
    <w:rsid w:val="000A19AC"/>
    <w:rsid w:val="000A36A6"/>
    <w:rsid w:val="000A4C77"/>
    <w:rsid w:val="000A5106"/>
    <w:rsid w:val="000A70EC"/>
    <w:rsid w:val="000A7931"/>
    <w:rsid w:val="000B0F45"/>
    <w:rsid w:val="000B2EC9"/>
    <w:rsid w:val="000B3035"/>
    <w:rsid w:val="000B3049"/>
    <w:rsid w:val="000B34CF"/>
    <w:rsid w:val="000B3684"/>
    <w:rsid w:val="000B3C6D"/>
    <w:rsid w:val="000B4FE8"/>
    <w:rsid w:val="000B51A6"/>
    <w:rsid w:val="000C05F2"/>
    <w:rsid w:val="000C0FED"/>
    <w:rsid w:val="000C1C24"/>
    <w:rsid w:val="000C3CBB"/>
    <w:rsid w:val="000C3E6D"/>
    <w:rsid w:val="000C479A"/>
    <w:rsid w:val="000C47F9"/>
    <w:rsid w:val="000C74F4"/>
    <w:rsid w:val="000D02A6"/>
    <w:rsid w:val="000D14E2"/>
    <w:rsid w:val="000D1A3B"/>
    <w:rsid w:val="000D1AAF"/>
    <w:rsid w:val="000D1BD7"/>
    <w:rsid w:val="000D26F8"/>
    <w:rsid w:val="000D2B0C"/>
    <w:rsid w:val="000D4034"/>
    <w:rsid w:val="000D46E7"/>
    <w:rsid w:val="000D53F4"/>
    <w:rsid w:val="000D53FD"/>
    <w:rsid w:val="000D5D72"/>
    <w:rsid w:val="000D64C1"/>
    <w:rsid w:val="000E00EF"/>
    <w:rsid w:val="000E240E"/>
    <w:rsid w:val="000E3A03"/>
    <w:rsid w:val="000E5253"/>
    <w:rsid w:val="000E6CEF"/>
    <w:rsid w:val="000E72EB"/>
    <w:rsid w:val="000E780F"/>
    <w:rsid w:val="000E79BE"/>
    <w:rsid w:val="000F0566"/>
    <w:rsid w:val="000F0FE7"/>
    <w:rsid w:val="000F1E30"/>
    <w:rsid w:val="000F28B3"/>
    <w:rsid w:val="000F38F5"/>
    <w:rsid w:val="000F3DCD"/>
    <w:rsid w:val="000F5148"/>
    <w:rsid w:val="000F69BE"/>
    <w:rsid w:val="000F6C9E"/>
    <w:rsid w:val="000F74E3"/>
    <w:rsid w:val="000F7C2E"/>
    <w:rsid w:val="000F7D1B"/>
    <w:rsid w:val="0010033A"/>
    <w:rsid w:val="00100F59"/>
    <w:rsid w:val="00102FD6"/>
    <w:rsid w:val="001048EA"/>
    <w:rsid w:val="00104A06"/>
    <w:rsid w:val="001059C9"/>
    <w:rsid w:val="00105A45"/>
    <w:rsid w:val="00106654"/>
    <w:rsid w:val="00106C27"/>
    <w:rsid w:val="00113C08"/>
    <w:rsid w:val="00115628"/>
    <w:rsid w:val="0011574B"/>
    <w:rsid w:val="001157E0"/>
    <w:rsid w:val="0012001A"/>
    <w:rsid w:val="00120350"/>
    <w:rsid w:val="00121F74"/>
    <w:rsid w:val="00124454"/>
    <w:rsid w:val="00125960"/>
    <w:rsid w:val="00125A81"/>
    <w:rsid w:val="0012627C"/>
    <w:rsid w:val="0012686D"/>
    <w:rsid w:val="001309FD"/>
    <w:rsid w:val="00130B7E"/>
    <w:rsid w:val="00130EF6"/>
    <w:rsid w:val="0013194C"/>
    <w:rsid w:val="00131B7F"/>
    <w:rsid w:val="001322DF"/>
    <w:rsid w:val="001335C1"/>
    <w:rsid w:val="00134248"/>
    <w:rsid w:val="0013526C"/>
    <w:rsid w:val="00135C0F"/>
    <w:rsid w:val="001365FF"/>
    <w:rsid w:val="00136B7E"/>
    <w:rsid w:val="001405C6"/>
    <w:rsid w:val="00141013"/>
    <w:rsid w:val="00142B62"/>
    <w:rsid w:val="0014376D"/>
    <w:rsid w:val="0014435F"/>
    <w:rsid w:val="00145394"/>
    <w:rsid w:val="00145932"/>
    <w:rsid w:val="00152380"/>
    <w:rsid w:val="00152956"/>
    <w:rsid w:val="00153508"/>
    <w:rsid w:val="001536C7"/>
    <w:rsid w:val="00157B16"/>
    <w:rsid w:val="00160D4E"/>
    <w:rsid w:val="0016159D"/>
    <w:rsid w:val="0016330A"/>
    <w:rsid w:val="00163B2C"/>
    <w:rsid w:val="00163C79"/>
    <w:rsid w:val="001643ED"/>
    <w:rsid w:val="00165C55"/>
    <w:rsid w:val="001661D4"/>
    <w:rsid w:val="00167B2E"/>
    <w:rsid w:val="001704B6"/>
    <w:rsid w:val="00170548"/>
    <w:rsid w:val="00172CC4"/>
    <w:rsid w:val="00172DB8"/>
    <w:rsid w:val="00172F10"/>
    <w:rsid w:val="00173BDC"/>
    <w:rsid w:val="00174BC6"/>
    <w:rsid w:val="0017661E"/>
    <w:rsid w:val="00177179"/>
    <w:rsid w:val="00177425"/>
    <w:rsid w:val="00177890"/>
    <w:rsid w:val="001806D4"/>
    <w:rsid w:val="00180B4B"/>
    <w:rsid w:val="001828B2"/>
    <w:rsid w:val="00187A85"/>
    <w:rsid w:val="00192379"/>
    <w:rsid w:val="00192CBF"/>
    <w:rsid w:val="00192FF1"/>
    <w:rsid w:val="00194639"/>
    <w:rsid w:val="0019506D"/>
    <w:rsid w:val="00197A6D"/>
    <w:rsid w:val="00197E81"/>
    <w:rsid w:val="001A0907"/>
    <w:rsid w:val="001A0FBD"/>
    <w:rsid w:val="001A1838"/>
    <w:rsid w:val="001A2D9F"/>
    <w:rsid w:val="001A2DE1"/>
    <w:rsid w:val="001A5687"/>
    <w:rsid w:val="001A5BE5"/>
    <w:rsid w:val="001A5F1B"/>
    <w:rsid w:val="001A79F5"/>
    <w:rsid w:val="001A7F3B"/>
    <w:rsid w:val="001B1627"/>
    <w:rsid w:val="001B1B8B"/>
    <w:rsid w:val="001B1C22"/>
    <w:rsid w:val="001B2F15"/>
    <w:rsid w:val="001B3454"/>
    <w:rsid w:val="001B34C6"/>
    <w:rsid w:val="001B377E"/>
    <w:rsid w:val="001B380F"/>
    <w:rsid w:val="001B6156"/>
    <w:rsid w:val="001B68C0"/>
    <w:rsid w:val="001C2F6F"/>
    <w:rsid w:val="001C3211"/>
    <w:rsid w:val="001C36E9"/>
    <w:rsid w:val="001C5DFF"/>
    <w:rsid w:val="001C73A5"/>
    <w:rsid w:val="001C7680"/>
    <w:rsid w:val="001D0CCC"/>
    <w:rsid w:val="001D10AD"/>
    <w:rsid w:val="001D25D0"/>
    <w:rsid w:val="001D3C2F"/>
    <w:rsid w:val="001D62CA"/>
    <w:rsid w:val="001D6C12"/>
    <w:rsid w:val="001D7832"/>
    <w:rsid w:val="001D7C88"/>
    <w:rsid w:val="001E1496"/>
    <w:rsid w:val="001E30AB"/>
    <w:rsid w:val="001E4A38"/>
    <w:rsid w:val="001E7EA7"/>
    <w:rsid w:val="001F1FCE"/>
    <w:rsid w:val="001F6066"/>
    <w:rsid w:val="001F696F"/>
    <w:rsid w:val="001F6F5B"/>
    <w:rsid w:val="001F7582"/>
    <w:rsid w:val="00200336"/>
    <w:rsid w:val="00202031"/>
    <w:rsid w:val="00202B94"/>
    <w:rsid w:val="00203A71"/>
    <w:rsid w:val="00205A0B"/>
    <w:rsid w:val="00207E8C"/>
    <w:rsid w:val="002100A4"/>
    <w:rsid w:val="00210DC1"/>
    <w:rsid w:val="00211D34"/>
    <w:rsid w:val="002129C4"/>
    <w:rsid w:val="00214F04"/>
    <w:rsid w:val="00215766"/>
    <w:rsid w:val="00215B0C"/>
    <w:rsid w:val="00216829"/>
    <w:rsid w:val="002220E0"/>
    <w:rsid w:val="002255BF"/>
    <w:rsid w:val="00227605"/>
    <w:rsid w:val="002276B7"/>
    <w:rsid w:val="00227836"/>
    <w:rsid w:val="00231007"/>
    <w:rsid w:val="00231E1E"/>
    <w:rsid w:val="00232159"/>
    <w:rsid w:val="00232D3E"/>
    <w:rsid w:val="00233261"/>
    <w:rsid w:val="00234B7E"/>
    <w:rsid w:val="002352B9"/>
    <w:rsid w:val="00235698"/>
    <w:rsid w:val="002369BE"/>
    <w:rsid w:val="0024153B"/>
    <w:rsid w:val="00242185"/>
    <w:rsid w:val="002443AA"/>
    <w:rsid w:val="0024494C"/>
    <w:rsid w:val="00245F3B"/>
    <w:rsid w:val="00246D18"/>
    <w:rsid w:val="0024755A"/>
    <w:rsid w:val="002505E2"/>
    <w:rsid w:val="00250D36"/>
    <w:rsid w:val="00251DF2"/>
    <w:rsid w:val="00252B22"/>
    <w:rsid w:val="002558FB"/>
    <w:rsid w:val="00257DDA"/>
    <w:rsid w:val="00260478"/>
    <w:rsid w:val="002614EE"/>
    <w:rsid w:val="00261F7D"/>
    <w:rsid w:val="00262847"/>
    <w:rsid w:val="00263FC2"/>
    <w:rsid w:val="00264DC3"/>
    <w:rsid w:val="002652D6"/>
    <w:rsid w:val="002654C3"/>
    <w:rsid w:val="00265797"/>
    <w:rsid w:val="002658F8"/>
    <w:rsid w:val="00265BA0"/>
    <w:rsid w:val="0026688A"/>
    <w:rsid w:val="00266B7E"/>
    <w:rsid w:val="00266CD6"/>
    <w:rsid w:val="002673AC"/>
    <w:rsid w:val="00270441"/>
    <w:rsid w:val="00270DC2"/>
    <w:rsid w:val="0027452F"/>
    <w:rsid w:val="00275DAB"/>
    <w:rsid w:val="00277A13"/>
    <w:rsid w:val="002800C0"/>
    <w:rsid w:val="00280F45"/>
    <w:rsid w:val="00282D4A"/>
    <w:rsid w:val="002836D0"/>
    <w:rsid w:val="00283FA5"/>
    <w:rsid w:val="00284346"/>
    <w:rsid w:val="00285E80"/>
    <w:rsid w:val="0028795D"/>
    <w:rsid w:val="002903C0"/>
    <w:rsid w:val="002913C6"/>
    <w:rsid w:val="00291C1B"/>
    <w:rsid w:val="00291CE8"/>
    <w:rsid w:val="002920A0"/>
    <w:rsid w:val="002957BC"/>
    <w:rsid w:val="00295864"/>
    <w:rsid w:val="0029645A"/>
    <w:rsid w:val="002969C5"/>
    <w:rsid w:val="0029781D"/>
    <w:rsid w:val="00297A12"/>
    <w:rsid w:val="002A0C71"/>
    <w:rsid w:val="002A18F0"/>
    <w:rsid w:val="002A1A59"/>
    <w:rsid w:val="002A25FA"/>
    <w:rsid w:val="002A2869"/>
    <w:rsid w:val="002A2C4F"/>
    <w:rsid w:val="002A5D5A"/>
    <w:rsid w:val="002A5EB2"/>
    <w:rsid w:val="002A6504"/>
    <w:rsid w:val="002A6610"/>
    <w:rsid w:val="002A782A"/>
    <w:rsid w:val="002A7979"/>
    <w:rsid w:val="002B0169"/>
    <w:rsid w:val="002B06D3"/>
    <w:rsid w:val="002B0933"/>
    <w:rsid w:val="002B0D03"/>
    <w:rsid w:val="002B11E2"/>
    <w:rsid w:val="002B24B8"/>
    <w:rsid w:val="002B447E"/>
    <w:rsid w:val="002B4948"/>
    <w:rsid w:val="002B5672"/>
    <w:rsid w:val="002B699F"/>
    <w:rsid w:val="002B706D"/>
    <w:rsid w:val="002B71B5"/>
    <w:rsid w:val="002C0140"/>
    <w:rsid w:val="002C13FF"/>
    <w:rsid w:val="002C2B7D"/>
    <w:rsid w:val="002C5B32"/>
    <w:rsid w:val="002C5DBE"/>
    <w:rsid w:val="002D005C"/>
    <w:rsid w:val="002D0212"/>
    <w:rsid w:val="002D09F8"/>
    <w:rsid w:val="002D15C7"/>
    <w:rsid w:val="002D19BD"/>
    <w:rsid w:val="002D28A5"/>
    <w:rsid w:val="002D3AE9"/>
    <w:rsid w:val="002D3BC0"/>
    <w:rsid w:val="002D407F"/>
    <w:rsid w:val="002D4393"/>
    <w:rsid w:val="002D43D5"/>
    <w:rsid w:val="002D4510"/>
    <w:rsid w:val="002D5233"/>
    <w:rsid w:val="002D523D"/>
    <w:rsid w:val="002D54FD"/>
    <w:rsid w:val="002D57C1"/>
    <w:rsid w:val="002D6925"/>
    <w:rsid w:val="002D724C"/>
    <w:rsid w:val="002E3394"/>
    <w:rsid w:val="002E719A"/>
    <w:rsid w:val="002E7453"/>
    <w:rsid w:val="002E77E4"/>
    <w:rsid w:val="002E7996"/>
    <w:rsid w:val="002E7F2F"/>
    <w:rsid w:val="002F06D2"/>
    <w:rsid w:val="002F0734"/>
    <w:rsid w:val="002F140E"/>
    <w:rsid w:val="002F2104"/>
    <w:rsid w:val="002F31C8"/>
    <w:rsid w:val="002F46E7"/>
    <w:rsid w:val="002F479F"/>
    <w:rsid w:val="002F5E63"/>
    <w:rsid w:val="002F6115"/>
    <w:rsid w:val="002F6F0F"/>
    <w:rsid w:val="002F781D"/>
    <w:rsid w:val="002F7A5B"/>
    <w:rsid w:val="003013D7"/>
    <w:rsid w:val="00302878"/>
    <w:rsid w:val="003062C4"/>
    <w:rsid w:val="003069CF"/>
    <w:rsid w:val="00306C46"/>
    <w:rsid w:val="00307B73"/>
    <w:rsid w:val="003101DA"/>
    <w:rsid w:val="00310C44"/>
    <w:rsid w:val="003111C3"/>
    <w:rsid w:val="00313080"/>
    <w:rsid w:val="00313677"/>
    <w:rsid w:val="00314757"/>
    <w:rsid w:val="00315BE5"/>
    <w:rsid w:val="003161A2"/>
    <w:rsid w:val="00316350"/>
    <w:rsid w:val="003163BC"/>
    <w:rsid w:val="00316973"/>
    <w:rsid w:val="003174D0"/>
    <w:rsid w:val="00320ACD"/>
    <w:rsid w:val="00320B28"/>
    <w:rsid w:val="00320D87"/>
    <w:rsid w:val="003211CE"/>
    <w:rsid w:val="00323D94"/>
    <w:rsid w:val="00323EF6"/>
    <w:rsid w:val="00323FED"/>
    <w:rsid w:val="00324812"/>
    <w:rsid w:val="00324CB4"/>
    <w:rsid w:val="003252D8"/>
    <w:rsid w:val="00326548"/>
    <w:rsid w:val="0032722A"/>
    <w:rsid w:val="003306C2"/>
    <w:rsid w:val="00332E07"/>
    <w:rsid w:val="00333832"/>
    <w:rsid w:val="00334C70"/>
    <w:rsid w:val="00334CAE"/>
    <w:rsid w:val="00337053"/>
    <w:rsid w:val="00337B85"/>
    <w:rsid w:val="00341236"/>
    <w:rsid w:val="00341C43"/>
    <w:rsid w:val="003431FE"/>
    <w:rsid w:val="003434DF"/>
    <w:rsid w:val="00343E1F"/>
    <w:rsid w:val="00344B70"/>
    <w:rsid w:val="0034505B"/>
    <w:rsid w:val="0034621C"/>
    <w:rsid w:val="00346224"/>
    <w:rsid w:val="00352D17"/>
    <w:rsid w:val="00353057"/>
    <w:rsid w:val="00353572"/>
    <w:rsid w:val="0035403A"/>
    <w:rsid w:val="00354721"/>
    <w:rsid w:val="0035472E"/>
    <w:rsid w:val="00356A01"/>
    <w:rsid w:val="0036002D"/>
    <w:rsid w:val="003608B6"/>
    <w:rsid w:val="003618C4"/>
    <w:rsid w:val="003628A6"/>
    <w:rsid w:val="0036394B"/>
    <w:rsid w:val="003657F7"/>
    <w:rsid w:val="00366DB6"/>
    <w:rsid w:val="0036737B"/>
    <w:rsid w:val="00370889"/>
    <w:rsid w:val="003709B5"/>
    <w:rsid w:val="003720C2"/>
    <w:rsid w:val="003732C4"/>
    <w:rsid w:val="00373CB0"/>
    <w:rsid w:val="00374B94"/>
    <w:rsid w:val="003759C2"/>
    <w:rsid w:val="00380946"/>
    <w:rsid w:val="0038102D"/>
    <w:rsid w:val="00381C06"/>
    <w:rsid w:val="00383AF1"/>
    <w:rsid w:val="00385340"/>
    <w:rsid w:val="003855FE"/>
    <w:rsid w:val="00386011"/>
    <w:rsid w:val="00390DDC"/>
    <w:rsid w:val="003924CA"/>
    <w:rsid w:val="003926A5"/>
    <w:rsid w:val="0039276D"/>
    <w:rsid w:val="00393608"/>
    <w:rsid w:val="00393C6C"/>
    <w:rsid w:val="00393EFE"/>
    <w:rsid w:val="003941FE"/>
    <w:rsid w:val="00395F30"/>
    <w:rsid w:val="003970B7"/>
    <w:rsid w:val="00397365"/>
    <w:rsid w:val="003A31F6"/>
    <w:rsid w:val="003A3606"/>
    <w:rsid w:val="003A4432"/>
    <w:rsid w:val="003A595E"/>
    <w:rsid w:val="003A5E1C"/>
    <w:rsid w:val="003A6FCA"/>
    <w:rsid w:val="003A7FB8"/>
    <w:rsid w:val="003B0052"/>
    <w:rsid w:val="003B2652"/>
    <w:rsid w:val="003B2953"/>
    <w:rsid w:val="003B3CDB"/>
    <w:rsid w:val="003B473B"/>
    <w:rsid w:val="003B4CD6"/>
    <w:rsid w:val="003B5C83"/>
    <w:rsid w:val="003B7223"/>
    <w:rsid w:val="003B79D1"/>
    <w:rsid w:val="003B7B33"/>
    <w:rsid w:val="003C0416"/>
    <w:rsid w:val="003C1AFB"/>
    <w:rsid w:val="003C3102"/>
    <w:rsid w:val="003C3447"/>
    <w:rsid w:val="003C365A"/>
    <w:rsid w:val="003C4028"/>
    <w:rsid w:val="003C6DC3"/>
    <w:rsid w:val="003C7729"/>
    <w:rsid w:val="003C7807"/>
    <w:rsid w:val="003D076C"/>
    <w:rsid w:val="003D3139"/>
    <w:rsid w:val="003D3170"/>
    <w:rsid w:val="003D317B"/>
    <w:rsid w:val="003D32FB"/>
    <w:rsid w:val="003D40B7"/>
    <w:rsid w:val="003D458E"/>
    <w:rsid w:val="003D5A9D"/>
    <w:rsid w:val="003D67D8"/>
    <w:rsid w:val="003D7435"/>
    <w:rsid w:val="003E07C5"/>
    <w:rsid w:val="003E1A5D"/>
    <w:rsid w:val="003E1A9D"/>
    <w:rsid w:val="003E23A9"/>
    <w:rsid w:val="003E3BAE"/>
    <w:rsid w:val="003E3C44"/>
    <w:rsid w:val="003E3FB3"/>
    <w:rsid w:val="003E4D72"/>
    <w:rsid w:val="003E534F"/>
    <w:rsid w:val="003E78B5"/>
    <w:rsid w:val="003F25E1"/>
    <w:rsid w:val="003F2B10"/>
    <w:rsid w:val="003F317E"/>
    <w:rsid w:val="003F335A"/>
    <w:rsid w:val="003F539A"/>
    <w:rsid w:val="003F6285"/>
    <w:rsid w:val="0040073A"/>
    <w:rsid w:val="004015EB"/>
    <w:rsid w:val="00402134"/>
    <w:rsid w:val="00402135"/>
    <w:rsid w:val="004027D2"/>
    <w:rsid w:val="0040301E"/>
    <w:rsid w:val="00403323"/>
    <w:rsid w:val="00404CF1"/>
    <w:rsid w:val="00404F97"/>
    <w:rsid w:val="0040691A"/>
    <w:rsid w:val="00407976"/>
    <w:rsid w:val="004117E4"/>
    <w:rsid w:val="00411EDA"/>
    <w:rsid w:val="00412AFB"/>
    <w:rsid w:val="004130C0"/>
    <w:rsid w:val="00413EBB"/>
    <w:rsid w:val="004145D5"/>
    <w:rsid w:val="00415152"/>
    <w:rsid w:val="0041557D"/>
    <w:rsid w:val="00415B6E"/>
    <w:rsid w:val="00415BAB"/>
    <w:rsid w:val="00415ED2"/>
    <w:rsid w:val="0042068C"/>
    <w:rsid w:val="004213E0"/>
    <w:rsid w:val="004224B2"/>
    <w:rsid w:val="00423DFB"/>
    <w:rsid w:val="004246F4"/>
    <w:rsid w:val="00425125"/>
    <w:rsid w:val="00426122"/>
    <w:rsid w:val="004262F7"/>
    <w:rsid w:val="00426703"/>
    <w:rsid w:val="00426A7E"/>
    <w:rsid w:val="004275D5"/>
    <w:rsid w:val="004302A4"/>
    <w:rsid w:val="0043115E"/>
    <w:rsid w:val="00431A2A"/>
    <w:rsid w:val="00431C60"/>
    <w:rsid w:val="00433687"/>
    <w:rsid w:val="00434148"/>
    <w:rsid w:val="00435178"/>
    <w:rsid w:val="00436185"/>
    <w:rsid w:val="00436B04"/>
    <w:rsid w:val="004372FA"/>
    <w:rsid w:val="004408A1"/>
    <w:rsid w:val="00440DC9"/>
    <w:rsid w:val="00442999"/>
    <w:rsid w:val="0044318E"/>
    <w:rsid w:val="00443729"/>
    <w:rsid w:val="00443B35"/>
    <w:rsid w:val="00444704"/>
    <w:rsid w:val="004451D8"/>
    <w:rsid w:val="00445881"/>
    <w:rsid w:val="004463A2"/>
    <w:rsid w:val="004471F3"/>
    <w:rsid w:val="0044795C"/>
    <w:rsid w:val="00451FD3"/>
    <w:rsid w:val="00452B1A"/>
    <w:rsid w:val="004531D5"/>
    <w:rsid w:val="00454602"/>
    <w:rsid w:val="004567A4"/>
    <w:rsid w:val="00457344"/>
    <w:rsid w:val="00460EEB"/>
    <w:rsid w:val="00460F2B"/>
    <w:rsid w:val="004612CA"/>
    <w:rsid w:val="004627AA"/>
    <w:rsid w:val="00464BEB"/>
    <w:rsid w:val="004656D9"/>
    <w:rsid w:val="00465A0F"/>
    <w:rsid w:val="004668BF"/>
    <w:rsid w:val="004669CA"/>
    <w:rsid w:val="00466AE6"/>
    <w:rsid w:val="0047122B"/>
    <w:rsid w:val="004719C4"/>
    <w:rsid w:val="00471A35"/>
    <w:rsid w:val="00472268"/>
    <w:rsid w:val="00472804"/>
    <w:rsid w:val="00472FF1"/>
    <w:rsid w:val="00473B7A"/>
    <w:rsid w:val="004751B4"/>
    <w:rsid w:val="00475D73"/>
    <w:rsid w:val="00477404"/>
    <w:rsid w:val="00481CED"/>
    <w:rsid w:val="00481F04"/>
    <w:rsid w:val="004826ED"/>
    <w:rsid w:val="00484180"/>
    <w:rsid w:val="00484BB1"/>
    <w:rsid w:val="004853FE"/>
    <w:rsid w:val="0048573D"/>
    <w:rsid w:val="00486695"/>
    <w:rsid w:val="00490B9F"/>
    <w:rsid w:val="004925A5"/>
    <w:rsid w:val="00494CC4"/>
    <w:rsid w:val="004960E9"/>
    <w:rsid w:val="00496F41"/>
    <w:rsid w:val="004973AD"/>
    <w:rsid w:val="004977B6"/>
    <w:rsid w:val="004A17CF"/>
    <w:rsid w:val="004A1C2B"/>
    <w:rsid w:val="004A2E88"/>
    <w:rsid w:val="004A31AA"/>
    <w:rsid w:val="004A37ED"/>
    <w:rsid w:val="004A3999"/>
    <w:rsid w:val="004A5305"/>
    <w:rsid w:val="004A6E8F"/>
    <w:rsid w:val="004A7074"/>
    <w:rsid w:val="004A7B36"/>
    <w:rsid w:val="004B2CE7"/>
    <w:rsid w:val="004B35BD"/>
    <w:rsid w:val="004B6EE5"/>
    <w:rsid w:val="004B70B2"/>
    <w:rsid w:val="004B7544"/>
    <w:rsid w:val="004C0FA1"/>
    <w:rsid w:val="004C1336"/>
    <w:rsid w:val="004C181B"/>
    <w:rsid w:val="004C3053"/>
    <w:rsid w:val="004C3058"/>
    <w:rsid w:val="004C30BA"/>
    <w:rsid w:val="004C35B9"/>
    <w:rsid w:val="004C4748"/>
    <w:rsid w:val="004C494E"/>
    <w:rsid w:val="004C4C80"/>
    <w:rsid w:val="004C4F1A"/>
    <w:rsid w:val="004C6172"/>
    <w:rsid w:val="004C63F0"/>
    <w:rsid w:val="004C6D37"/>
    <w:rsid w:val="004C7D7D"/>
    <w:rsid w:val="004D05F0"/>
    <w:rsid w:val="004D0D1E"/>
    <w:rsid w:val="004D14A1"/>
    <w:rsid w:val="004D2687"/>
    <w:rsid w:val="004D3362"/>
    <w:rsid w:val="004D34A5"/>
    <w:rsid w:val="004D3D38"/>
    <w:rsid w:val="004D5826"/>
    <w:rsid w:val="004D7634"/>
    <w:rsid w:val="004D77D1"/>
    <w:rsid w:val="004E13A0"/>
    <w:rsid w:val="004E27F2"/>
    <w:rsid w:val="004E3059"/>
    <w:rsid w:val="004E5F38"/>
    <w:rsid w:val="004E611A"/>
    <w:rsid w:val="004E7000"/>
    <w:rsid w:val="004E7020"/>
    <w:rsid w:val="004F0F3C"/>
    <w:rsid w:val="004F3616"/>
    <w:rsid w:val="004F3B98"/>
    <w:rsid w:val="004F4FCB"/>
    <w:rsid w:val="004F51A1"/>
    <w:rsid w:val="004F6460"/>
    <w:rsid w:val="004F648A"/>
    <w:rsid w:val="005005DA"/>
    <w:rsid w:val="005013D0"/>
    <w:rsid w:val="00502482"/>
    <w:rsid w:val="00503EE6"/>
    <w:rsid w:val="0050424C"/>
    <w:rsid w:val="00504A49"/>
    <w:rsid w:val="005074DB"/>
    <w:rsid w:val="00510AEE"/>
    <w:rsid w:val="005118E6"/>
    <w:rsid w:val="00512CF6"/>
    <w:rsid w:val="0051479A"/>
    <w:rsid w:val="00514A68"/>
    <w:rsid w:val="0051506F"/>
    <w:rsid w:val="00516A4C"/>
    <w:rsid w:val="0052121C"/>
    <w:rsid w:val="0052191F"/>
    <w:rsid w:val="0052235F"/>
    <w:rsid w:val="00522397"/>
    <w:rsid w:val="00524022"/>
    <w:rsid w:val="00524B50"/>
    <w:rsid w:val="00525144"/>
    <w:rsid w:val="00526894"/>
    <w:rsid w:val="005300D3"/>
    <w:rsid w:val="00530530"/>
    <w:rsid w:val="005311AD"/>
    <w:rsid w:val="00531B26"/>
    <w:rsid w:val="00533D9D"/>
    <w:rsid w:val="00534230"/>
    <w:rsid w:val="005342E7"/>
    <w:rsid w:val="00534D05"/>
    <w:rsid w:val="005366A8"/>
    <w:rsid w:val="00536A10"/>
    <w:rsid w:val="00540A60"/>
    <w:rsid w:val="00541031"/>
    <w:rsid w:val="00542A10"/>
    <w:rsid w:val="00543D0A"/>
    <w:rsid w:val="00544F82"/>
    <w:rsid w:val="00545232"/>
    <w:rsid w:val="00545804"/>
    <w:rsid w:val="00545A6F"/>
    <w:rsid w:val="0054696E"/>
    <w:rsid w:val="005509D1"/>
    <w:rsid w:val="005509D2"/>
    <w:rsid w:val="00550C01"/>
    <w:rsid w:val="0055121F"/>
    <w:rsid w:val="0055261F"/>
    <w:rsid w:val="005526EF"/>
    <w:rsid w:val="0055379D"/>
    <w:rsid w:val="0055566F"/>
    <w:rsid w:val="00556AFB"/>
    <w:rsid w:val="00560566"/>
    <w:rsid w:val="005611AD"/>
    <w:rsid w:val="00561CAA"/>
    <w:rsid w:val="00566A3B"/>
    <w:rsid w:val="00566C9C"/>
    <w:rsid w:val="00566E21"/>
    <w:rsid w:val="0056766F"/>
    <w:rsid w:val="00570879"/>
    <w:rsid w:val="0057128F"/>
    <w:rsid w:val="00572B53"/>
    <w:rsid w:val="00572BB6"/>
    <w:rsid w:val="00573103"/>
    <w:rsid w:val="0057575E"/>
    <w:rsid w:val="00576927"/>
    <w:rsid w:val="00577FF6"/>
    <w:rsid w:val="00580CB0"/>
    <w:rsid w:val="0058237A"/>
    <w:rsid w:val="0058486A"/>
    <w:rsid w:val="00585C3D"/>
    <w:rsid w:val="00585D2C"/>
    <w:rsid w:val="005861CB"/>
    <w:rsid w:val="005866F4"/>
    <w:rsid w:val="0058747F"/>
    <w:rsid w:val="00587870"/>
    <w:rsid w:val="0059022E"/>
    <w:rsid w:val="00590300"/>
    <w:rsid w:val="005911D1"/>
    <w:rsid w:val="00591856"/>
    <w:rsid w:val="005929AB"/>
    <w:rsid w:val="00593326"/>
    <w:rsid w:val="00593C4F"/>
    <w:rsid w:val="005946A8"/>
    <w:rsid w:val="0059652B"/>
    <w:rsid w:val="00596FDC"/>
    <w:rsid w:val="00597100"/>
    <w:rsid w:val="00597FD8"/>
    <w:rsid w:val="005A1CCE"/>
    <w:rsid w:val="005A4407"/>
    <w:rsid w:val="005A57D9"/>
    <w:rsid w:val="005A585C"/>
    <w:rsid w:val="005A59EF"/>
    <w:rsid w:val="005A69DF"/>
    <w:rsid w:val="005A7FCA"/>
    <w:rsid w:val="005B05C4"/>
    <w:rsid w:val="005B082F"/>
    <w:rsid w:val="005B0B26"/>
    <w:rsid w:val="005B1913"/>
    <w:rsid w:val="005B1A09"/>
    <w:rsid w:val="005B1C7E"/>
    <w:rsid w:val="005B30E3"/>
    <w:rsid w:val="005B429A"/>
    <w:rsid w:val="005B7B4E"/>
    <w:rsid w:val="005C124A"/>
    <w:rsid w:val="005C183D"/>
    <w:rsid w:val="005C2962"/>
    <w:rsid w:val="005C2C6B"/>
    <w:rsid w:val="005C49B2"/>
    <w:rsid w:val="005C4C72"/>
    <w:rsid w:val="005C4D76"/>
    <w:rsid w:val="005C5258"/>
    <w:rsid w:val="005C618C"/>
    <w:rsid w:val="005C691A"/>
    <w:rsid w:val="005C6976"/>
    <w:rsid w:val="005C6A7A"/>
    <w:rsid w:val="005C764A"/>
    <w:rsid w:val="005D0107"/>
    <w:rsid w:val="005D1DA2"/>
    <w:rsid w:val="005D5928"/>
    <w:rsid w:val="005D5B89"/>
    <w:rsid w:val="005D6B33"/>
    <w:rsid w:val="005D6BC2"/>
    <w:rsid w:val="005D6DAA"/>
    <w:rsid w:val="005E054D"/>
    <w:rsid w:val="005E06E5"/>
    <w:rsid w:val="005E3812"/>
    <w:rsid w:val="005E4E17"/>
    <w:rsid w:val="005E4F02"/>
    <w:rsid w:val="005F0888"/>
    <w:rsid w:val="005F0C5B"/>
    <w:rsid w:val="005F21CA"/>
    <w:rsid w:val="005F25C2"/>
    <w:rsid w:val="005F571C"/>
    <w:rsid w:val="005F6110"/>
    <w:rsid w:val="005F6E8E"/>
    <w:rsid w:val="005F6F41"/>
    <w:rsid w:val="005F745A"/>
    <w:rsid w:val="00600F31"/>
    <w:rsid w:val="006026E8"/>
    <w:rsid w:val="006027EF"/>
    <w:rsid w:val="0060329F"/>
    <w:rsid w:val="00604324"/>
    <w:rsid w:val="00604432"/>
    <w:rsid w:val="00604A59"/>
    <w:rsid w:val="00605017"/>
    <w:rsid w:val="00605932"/>
    <w:rsid w:val="0060666E"/>
    <w:rsid w:val="00607A41"/>
    <w:rsid w:val="00607FB7"/>
    <w:rsid w:val="00611846"/>
    <w:rsid w:val="00611B12"/>
    <w:rsid w:val="006128CE"/>
    <w:rsid w:val="00613E03"/>
    <w:rsid w:val="0062044A"/>
    <w:rsid w:val="00621F47"/>
    <w:rsid w:val="00622879"/>
    <w:rsid w:val="00622F7B"/>
    <w:rsid w:val="006238B0"/>
    <w:rsid w:val="00623BBF"/>
    <w:rsid w:val="006245D9"/>
    <w:rsid w:val="00624813"/>
    <w:rsid w:val="00624B00"/>
    <w:rsid w:val="00624E3C"/>
    <w:rsid w:val="00625DC6"/>
    <w:rsid w:val="00626B32"/>
    <w:rsid w:val="00627654"/>
    <w:rsid w:val="00627AF7"/>
    <w:rsid w:val="006323DB"/>
    <w:rsid w:val="00633267"/>
    <w:rsid w:val="006334B4"/>
    <w:rsid w:val="00633BC3"/>
    <w:rsid w:val="00633D4A"/>
    <w:rsid w:val="0063423D"/>
    <w:rsid w:val="00634654"/>
    <w:rsid w:val="00634DEB"/>
    <w:rsid w:val="00634EF2"/>
    <w:rsid w:val="00636508"/>
    <w:rsid w:val="00637167"/>
    <w:rsid w:val="00637442"/>
    <w:rsid w:val="0063759A"/>
    <w:rsid w:val="0064109F"/>
    <w:rsid w:val="00641DAC"/>
    <w:rsid w:val="0064391D"/>
    <w:rsid w:val="0064395A"/>
    <w:rsid w:val="00644177"/>
    <w:rsid w:val="00644328"/>
    <w:rsid w:val="00644E11"/>
    <w:rsid w:val="006459F2"/>
    <w:rsid w:val="0064644E"/>
    <w:rsid w:val="00651821"/>
    <w:rsid w:val="006522A3"/>
    <w:rsid w:val="00652547"/>
    <w:rsid w:val="00652E90"/>
    <w:rsid w:val="006539EE"/>
    <w:rsid w:val="0065425D"/>
    <w:rsid w:val="00654384"/>
    <w:rsid w:val="006543B8"/>
    <w:rsid w:val="006547EB"/>
    <w:rsid w:val="006606F6"/>
    <w:rsid w:val="00661AB7"/>
    <w:rsid w:val="006652C6"/>
    <w:rsid w:val="00666FA2"/>
    <w:rsid w:val="00667021"/>
    <w:rsid w:val="006675CD"/>
    <w:rsid w:val="00667AD5"/>
    <w:rsid w:val="00667D9F"/>
    <w:rsid w:val="00670170"/>
    <w:rsid w:val="00670D02"/>
    <w:rsid w:val="006717CC"/>
    <w:rsid w:val="00671C5E"/>
    <w:rsid w:val="00671DC8"/>
    <w:rsid w:val="00673BF3"/>
    <w:rsid w:val="00674037"/>
    <w:rsid w:val="00674C42"/>
    <w:rsid w:val="00674F02"/>
    <w:rsid w:val="00675418"/>
    <w:rsid w:val="00681B60"/>
    <w:rsid w:val="00681F79"/>
    <w:rsid w:val="006824F4"/>
    <w:rsid w:val="00682C88"/>
    <w:rsid w:val="00684D9B"/>
    <w:rsid w:val="0068510A"/>
    <w:rsid w:val="006857AD"/>
    <w:rsid w:val="00685D35"/>
    <w:rsid w:val="00685F9D"/>
    <w:rsid w:val="00686DB9"/>
    <w:rsid w:val="00687F18"/>
    <w:rsid w:val="006911F0"/>
    <w:rsid w:val="00691464"/>
    <w:rsid w:val="00692D39"/>
    <w:rsid w:val="00692DD7"/>
    <w:rsid w:val="006931A9"/>
    <w:rsid w:val="00695BB0"/>
    <w:rsid w:val="00697556"/>
    <w:rsid w:val="00697648"/>
    <w:rsid w:val="00697B24"/>
    <w:rsid w:val="006A1065"/>
    <w:rsid w:val="006A1867"/>
    <w:rsid w:val="006A324F"/>
    <w:rsid w:val="006A3579"/>
    <w:rsid w:val="006A3C90"/>
    <w:rsid w:val="006A4B18"/>
    <w:rsid w:val="006A4C0E"/>
    <w:rsid w:val="006A7312"/>
    <w:rsid w:val="006B0FC6"/>
    <w:rsid w:val="006B24E0"/>
    <w:rsid w:val="006B403F"/>
    <w:rsid w:val="006B4647"/>
    <w:rsid w:val="006B4C2B"/>
    <w:rsid w:val="006B6194"/>
    <w:rsid w:val="006B651C"/>
    <w:rsid w:val="006B6D47"/>
    <w:rsid w:val="006B79CB"/>
    <w:rsid w:val="006C0C6F"/>
    <w:rsid w:val="006C176D"/>
    <w:rsid w:val="006C2959"/>
    <w:rsid w:val="006C2A84"/>
    <w:rsid w:val="006C455D"/>
    <w:rsid w:val="006C4E7E"/>
    <w:rsid w:val="006C5AFE"/>
    <w:rsid w:val="006C6BBF"/>
    <w:rsid w:val="006C79B7"/>
    <w:rsid w:val="006D0B46"/>
    <w:rsid w:val="006D2F34"/>
    <w:rsid w:val="006D5772"/>
    <w:rsid w:val="006D7E33"/>
    <w:rsid w:val="006E1759"/>
    <w:rsid w:val="006E4B49"/>
    <w:rsid w:val="006E50B7"/>
    <w:rsid w:val="006E7B40"/>
    <w:rsid w:val="006F0B65"/>
    <w:rsid w:val="006F1E45"/>
    <w:rsid w:val="006F20B3"/>
    <w:rsid w:val="006F2EC8"/>
    <w:rsid w:val="006F4ACA"/>
    <w:rsid w:val="006F4BF1"/>
    <w:rsid w:val="006F4D91"/>
    <w:rsid w:val="006F52F1"/>
    <w:rsid w:val="006F6D95"/>
    <w:rsid w:val="007007DC"/>
    <w:rsid w:val="00700C0F"/>
    <w:rsid w:val="00703534"/>
    <w:rsid w:val="00703A8A"/>
    <w:rsid w:val="00704A67"/>
    <w:rsid w:val="00705966"/>
    <w:rsid w:val="00706F13"/>
    <w:rsid w:val="00706FEE"/>
    <w:rsid w:val="007072E8"/>
    <w:rsid w:val="00711A31"/>
    <w:rsid w:val="00712C76"/>
    <w:rsid w:val="0071347D"/>
    <w:rsid w:val="00715A16"/>
    <w:rsid w:val="00716079"/>
    <w:rsid w:val="0071618D"/>
    <w:rsid w:val="0071669D"/>
    <w:rsid w:val="007172AE"/>
    <w:rsid w:val="00720000"/>
    <w:rsid w:val="007200D9"/>
    <w:rsid w:val="00720C54"/>
    <w:rsid w:val="00721350"/>
    <w:rsid w:val="00721E1F"/>
    <w:rsid w:val="00725992"/>
    <w:rsid w:val="00725AAF"/>
    <w:rsid w:val="00725FA4"/>
    <w:rsid w:val="00726A24"/>
    <w:rsid w:val="0072789D"/>
    <w:rsid w:val="007278CF"/>
    <w:rsid w:val="00727915"/>
    <w:rsid w:val="007279BD"/>
    <w:rsid w:val="00731175"/>
    <w:rsid w:val="00731CDE"/>
    <w:rsid w:val="00732FF2"/>
    <w:rsid w:val="007338C2"/>
    <w:rsid w:val="0073399B"/>
    <w:rsid w:val="007360DD"/>
    <w:rsid w:val="007361F5"/>
    <w:rsid w:val="00736C7B"/>
    <w:rsid w:val="00737576"/>
    <w:rsid w:val="00737956"/>
    <w:rsid w:val="00737B1E"/>
    <w:rsid w:val="00740446"/>
    <w:rsid w:val="0074213A"/>
    <w:rsid w:val="007438A9"/>
    <w:rsid w:val="0074491E"/>
    <w:rsid w:val="0074554A"/>
    <w:rsid w:val="00746E36"/>
    <w:rsid w:val="00747F55"/>
    <w:rsid w:val="007503E6"/>
    <w:rsid w:val="00751E9A"/>
    <w:rsid w:val="00753823"/>
    <w:rsid w:val="00755A0C"/>
    <w:rsid w:val="0075733F"/>
    <w:rsid w:val="0076046C"/>
    <w:rsid w:val="0076100F"/>
    <w:rsid w:val="007623A8"/>
    <w:rsid w:val="00762455"/>
    <w:rsid w:val="0076247A"/>
    <w:rsid w:val="00763595"/>
    <w:rsid w:val="00765378"/>
    <w:rsid w:val="00765F56"/>
    <w:rsid w:val="00767C81"/>
    <w:rsid w:val="00771347"/>
    <w:rsid w:val="00771999"/>
    <w:rsid w:val="007724C8"/>
    <w:rsid w:val="00772D68"/>
    <w:rsid w:val="00772E32"/>
    <w:rsid w:val="00773FD9"/>
    <w:rsid w:val="0077411D"/>
    <w:rsid w:val="00775964"/>
    <w:rsid w:val="00775ABF"/>
    <w:rsid w:val="00775AF7"/>
    <w:rsid w:val="007765FE"/>
    <w:rsid w:val="007766F2"/>
    <w:rsid w:val="00777885"/>
    <w:rsid w:val="007800E5"/>
    <w:rsid w:val="00781D76"/>
    <w:rsid w:val="00784F1C"/>
    <w:rsid w:val="00785659"/>
    <w:rsid w:val="00786F8E"/>
    <w:rsid w:val="00787EB9"/>
    <w:rsid w:val="00787FA4"/>
    <w:rsid w:val="007900F6"/>
    <w:rsid w:val="00790626"/>
    <w:rsid w:val="00793A8F"/>
    <w:rsid w:val="00794A58"/>
    <w:rsid w:val="00794E2E"/>
    <w:rsid w:val="0079508C"/>
    <w:rsid w:val="00795BFB"/>
    <w:rsid w:val="00796CC7"/>
    <w:rsid w:val="007A084E"/>
    <w:rsid w:val="007A13CF"/>
    <w:rsid w:val="007A4376"/>
    <w:rsid w:val="007A51C0"/>
    <w:rsid w:val="007A6097"/>
    <w:rsid w:val="007A63AC"/>
    <w:rsid w:val="007A6A69"/>
    <w:rsid w:val="007A789F"/>
    <w:rsid w:val="007A7C5C"/>
    <w:rsid w:val="007A7D0F"/>
    <w:rsid w:val="007B0B78"/>
    <w:rsid w:val="007B0DC1"/>
    <w:rsid w:val="007B12DE"/>
    <w:rsid w:val="007B2760"/>
    <w:rsid w:val="007B297E"/>
    <w:rsid w:val="007B2FB9"/>
    <w:rsid w:val="007B3AB2"/>
    <w:rsid w:val="007B4607"/>
    <w:rsid w:val="007B4F30"/>
    <w:rsid w:val="007B53DB"/>
    <w:rsid w:val="007B59E8"/>
    <w:rsid w:val="007B5A3D"/>
    <w:rsid w:val="007B6F4D"/>
    <w:rsid w:val="007B754E"/>
    <w:rsid w:val="007B7BB9"/>
    <w:rsid w:val="007C2044"/>
    <w:rsid w:val="007C42D4"/>
    <w:rsid w:val="007C4431"/>
    <w:rsid w:val="007C4F03"/>
    <w:rsid w:val="007C7CC3"/>
    <w:rsid w:val="007D60BD"/>
    <w:rsid w:val="007D689A"/>
    <w:rsid w:val="007D6DD0"/>
    <w:rsid w:val="007D7074"/>
    <w:rsid w:val="007D7821"/>
    <w:rsid w:val="007E44A6"/>
    <w:rsid w:val="007E4AAB"/>
    <w:rsid w:val="007E4DFC"/>
    <w:rsid w:val="007E5EF0"/>
    <w:rsid w:val="007E6505"/>
    <w:rsid w:val="007F1E6F"/>
    <w:rsid w:val="007F4298"/>
    <w:rsid w:val="007F4D1E"/>
    <w:rsid w:val="007F663E"/>
    <w:rsid w:val="007F6E7C"/>
    <w:rsid w:val="00800859"/>
    <w:rsid w:val="008009BC"/>
    <w:rsid w:val="00800D53"/>
    <w:rsid w:val="0080437E"/>
    <w:rsid w:val="0080540F"/>
    <w:rsid w:val="00805B5E"/>
    <w:rsid w:val="00806C01"/>
    <w:rsid w:val="00807385"/>
    <w:rsid w:val="00811581"/>
    <w:rsid w:val="00812A22"/>
    <w:rsid w:val="00812B34"/>
    <w:rsid w:val="00813DF2"/>
    <w:rsid w:val="008148CC"/>
    <w:rsid w:val="00815373"/>
    <w:rsid w:val="00816A86"/>
    <w:rsid w:val="00817CFD"/>
    <w:rsid w:val="00820194"/>
    <w:rsid w:val="008211A4"/>
    <w:rsid w:val="008248FE"/>
    <w:rsid w:val="00830A8D"/>
    <w:rsid w:val="00833D49"/>
    <w:rsid w:val="00835319"/>
    <w:rsid w:val="00837561"/>
    <w:rsid w:val="008416D8"/>
    <w:rsid w:val="00841A90"/>
    <w:rsid w:val="00842843"/>
    <w:rsid w:val="008434A5"/>
    <w:rsid w:val="0084662A"/>
    <w:rsid w:val="0084693A"/>
    <w:rsid w:val="00846E2A"/>
    <w:rsid w:val="00850FAC"/>
    <w:rsid w:val="0085195E"/>
    <w:rsid w:val="00851B02"/>
    <w:rsid w:val="00851E21"/>
    <w:rsid w:val="00854F44"/>
    <w:rsid w:val="008554FB"/>
    <w:rsid w:val="00855F17"/>
    <w:rsid w:val="008560BA"/>
    <w:rsid w:val="00856854"/>
    <w:rsid w:val="008609D7"/>
    <w:rsid w:val="00860A43"/>
    <w:rsid w:val="008639DC"/>
    <w:rsid w:val="00863C80"/>
    <w:rsid w:val="0086405F"/>
    <w:rsid w:val="0086475C"/>
    <w:rsid w:val="00865E9B"/>
    <w:rsid w:val="008667FC"/>
    <w:rsid w:val="00867443"/>
    <w:rsid w:val="008707CD"/>
    <w:rsid w:val="00871F89"/>
    <w:rsid w:val="008721F5"/>
    <w:rsid w:val="008728A7"/>
    <w:rsid w:val="00872AA4"/>
    <w:rsid w:val="00872B19"/>
    <w:rsid w:val="00873150"/>
    <w:rsid w:val="00873ED3"/>
    <w:rsid w:val="00874D8E"/>
    <w:rsid w:val="008754BA"/>
    <w:rsid w:val="008757A2"/>
    <w:rsid w:val="00875AEB"/>
    <w:rsid w:val="00876083"/>
    <w:rsid w:val="008764AB"/>
    <w:rsid w:val="0087657D"/>
    <w:rsid w:val="00876E2A"/>
    <w:rsid w:val="00877379"/>
    <w:rsid w:val="00877D6B"/>
    <w:rsid w:val="00877F1E"/>
    <w:rsid w:val="008807D5"/>
    <w:rsid w:val="00880832"/>
    <w:rsid w:val="00881CAA"/>
    <w:rsid w:val="00882101"/>
    <w:rsid w:val="008850F2"/>
    <w:rsid w:val="008856A1"/>
    <w:rsid w:val="00885AD0"/>
    <w:rsid w:val="00885BC2"/>
    <w:rsid w:val="00885C78"/>
    <w:rsid w:val="00886EE1"/>
    <w:rsid w:val="0088727D"/>
    <w:rsid w:val="0088741A"/>
    <w:rsid w:val="008876B4"/>
    <w:rsid w:val="008932BC"/>
    <w:rsid w:val="0089702B"/>
    <w:rsid w:val="00897C75"/>
    <w:rsid w:val="00897EB0"/>
    <w:rsid w:val="008A1761"/>
    <w:rsid w:val="008B1D0E"/>
    <w:rsid w:val="008B334E"/>
    <w:rsid w:val="008B3A84"/>
    <w:rsid w:val="008B3AFF"/>
    <w:rsid w:val="008B484C"/>
    <w:rsid w:val="008B4D34"/>
    <w:rsid w:val="008B60A2"/>
    <w:rsid w:val="008B6197"/>
    <w:rsid w:val="008B7CFE"/>
    <w:rsid w:val="008C0BC8"/>
    <w:rsid w:val="008C1130"/>
    <w:rsid w:val="008C1BB2"/>
    <w:rsid w:val="008C3FB6"/>
    <w:rsid w:val="008C6EAD"/>
    <w:rsid w:val="008C7193"/>
    <w:rsid w:val="008C7A99"/>
    <w:rsid w:val="008C7D5C"/>
    <w:rsid w:val="008D03E3"/>
    <w:rsid w:val="008D0642"/>
    <w:rsid w:val="008D0995"/>
    <w:rsid w:val="008D0F4E"/>
    <w:rsid w:val="008D18E6"/>
    <w:rsid w:val="008D2B82"/>
    <w:rsid w:val="008D42DA"/>
    <w:rsid w:val="008D4657"/>
    <w:rsid w:val="008D4BDA"/>
    <w:rsid w:val="008D76FF"/>
    <w:rsid w:val="008D7A9B"/>
    <w:rsid w:val="008E0060"/>
    <w:rsid w:val="008E0668"/>
    <w:rsid w:val="008E1A86"/>
    <w:rsid w:val="008E4D26"/>
    <w:rsid w:val="008E4D67"/>
    <w:rsid w:val="008E530F"/>
    <w:rsid w:val="008E5BC1"/>
    <w:rsid w:val="008E63C1"/>
    <w:rsid w:val="008E6F30"/>
    <w:rsid w:val="008E7091"/>
    <w:rsid w:val="008E7160"/>
    <w:rsid w:val="008E73C0"/>
    <w:rsid w:val="008E76AC"/>
    <w:rsid w:val="008F0675"/>
    <w:rsid w:val="008F1B4C"/>
    <w:rsid w:val="008F1D87"/>
    <w:rsid w:val="008F21F6"/>
    <w:rsid w:val="008F2FB1"/>
    <w:rsid w:val="008F57F2"/>
    <w:rsid w:val="00900970"/>
    <w:rsid w:val="00901023"/>
    <w:rsid w:val="00901B29"/>
    <w:rsid w:val="009021E1"/>
    <w:rsid w:val="0090227F"/>
    <w:rsid w:val="00904C21"/>
    <w:rsid w:val="009057A7"/>
    <w:rsid w:val="00905F4A"/>
    <w:rsid w:val="00906EA4"/>
    <w:rsid w:val="009102AE"/>
    <w:rsid w:val="00913A01"/>
    <w:rsid w:val="00914C84"/>
    <w:rsid w:val="00916342"/>
    <w:rsid w:val="0091699D"/>
    <w:rsid w:val="009175EB"/>
    <w:rsid w:val="0092108D"/>
    <w:rsid w:val="00922020"/>
    <w:rsid w:val="009225C2"/>
    <w:rsid w:val="00922660"/>
    <w:rsid w:val="00923680"/>
    <w:rsid w:val="00923DE9"/>
    <w:rsid w:val="00923F90"/>
    <w:rsid w:val="00924175"/>
    <w:rsid w:val="00924952"/>
    <w:rsid w:val="00926FC1"/>
    <w:rsid w:val="00931A20"/>
    <w:rsid w:val="0093456B"/>
    <w:rsid w:val="00937EFA"/>
    <w:rsid w:val="00937FA4"/>
    <w:rsid w:val="00942D3E"/>
    <w:rsid w:val="009457EA"/>
    <w:rsid w:val="00947AA8"/>
    <w:rsid w:val="00951F79"/>
    <w:rsid w:val="0095264E"/>
    <w:rsid w:val="009536ED"/>
    <w:rsid w:val="00957BEE"/>
    <w:rsid w:val="00961F21"/>
    <w:rsid w:val="009628FF"/>
    <w:rsid w:val="00964710"/>
    <w:rsid w:val="0096565B"/>
    <w:rsid w:val="00965F86"/>
    <w:rsid w:val="009668D0"/>
    <w:rsid w:val="00966B4B"/>
    <w:rsid w:val="00967547"/>
    <w:rsid w:val="0096779B"/>
    <w:rsid w:val="00972828"/>
    <w:rsid w:val="00974AB5"/>
    <w:rsid w:val="00975987"/>
    <w:rsid w:val="00975A33"/>
    <w:rsid w:val="0097606E"/>
    <w:rsid w:val="0098084D"/>
    <w:rsid w:val="00982084"/>
    <w:rsid w:val="009851BC"/>
    <w:rsid w:val="00986037"/>
    <w:rsid w:val="0098651A"/>
    <w:rsid w:val="0098706D"/>
    <w:rsid w:val="0099051E"/>
    <w:rsid w:val="009912B8"/>
    <w:rsid w:val="009935FB"/>
    <w:rsid w:val="009947C7"/>
    <w:rsid w:val="00996F2E"/>
    <w:rsid w:val="00997B14"/>
    <w:rsid w:val="00997F3A"/>
    <w:rsid w:val="009A08BC"/>
    <w:rsid w:val="009A1848"/>
    <w:rsid w:val="009A2DD1"/>
    <w:rsid w:val="009A4A75"/>
    <w:rsid w:val="009A698D"/>
    <w:rsid w:val="009B2502"/>
    <w:rsid w:val="009B3CF9"/>
    <w:rsid w:val="009B5C8F"/>
    <w:rsid w:val="009B5FA3"/>
    <w:rsid w:val="009B747F"/>
    <w:rsid w:val="009B7D81"/>
    <w:rsid w:val="009C0156"/>
    <w:rsid w:val="009C0514"/>
    <w:rsid w:val="009C11B2"/>
    <w:rsid w:val="009C178B"/>
    <w:rsid w:val="009C451F"/>
    <w:rsid w:val="009C54FB"/>
    <w:rsid w:val="009C785F"/>
    <w:rsid w:val="009D02E4"/>
    <w:rsid w:val="009D0C89"/>
    <w:rsid w:val="009D1222"/>
    <w:rsid w:val="009D15D1"/>
    <w:rsid w:val="009D47EA"/>
    <w:rsid w:val="009E2B5F"/>
    <w:rsid w:val="009E3D45"/>
    <w:rsid w:val="009E4210"/>
    <w:rsid w:val="009E6C05"/>
    <w:rsid w:val="009E74EB"/>
    <w:rsid w:val="009E7813"/>
    <w:rsid w:val="009E7C7B"/>
    <w:rsid w:val="009F049D"/>
    <w:rsid w:val="009F1C95"/>
    <w:rsid w:val="009F25A3"/>
    <w:rsid w:val="009F4732"/>
    <w:rsid w:val="009F4A54"/>
    <w:rsid w:val="009F4BEC"/>
    <w:rsid w:val="009F5874"/>
    <w:rsid w:val="00A00BEB"/>
    <w:rsid w:val="00A00E64"/>
    <w:rsid w:val="00A0162C"/>
    <w:rsid w:val="00A02A87"/>
    <w:rsid w:val="00A02BE1"/>
    <w:rsid w:val="00A02D39"/>
    <w:rsid w:val="00A052F3"/>
    <w:rsid w:val="00A0566B"/>
    <w:rsid w:val="00A05A5A"/>
    <w:rsid w:val="00A06CB7"/>
    <w:rsid w:val="00A0769F"/>
    <w:rsid w:val="00A07C67"/>
    <w:rsid w:val="00A10F88"/>
    <w:rsid w:val="00A1156C"/>
    <w:rsid w:val="00A13B00"/>
    <w:rsid w:val="00A14695"/>
    <w:rsid w:val="00A17439"/>
    <w:rsid w:val="00A23E62"/>
    <w:rsid w:val="00A24F35"/>
    <w:rsid w:val="00A2542E"/>
    <w:rsid w:val="00A25FD7"/>
    <w:rsid w:val="00A263C7"/>
    <w:rsid w:val="00A26EAE"/>
    <w:rsid w:val="00A30023"/>
    <w:rsid w:val="00A30751"/>
    <w:rsid w:val="00A30FB2"/>
    <w:rsid w:val="00A31B35"/>
    <w:rsid w:val="00A31C30"/>
    <w:rsid w:val="00A32474"/>
    <w:rsid w:val="00A32799"/>
    <w:rsid w:val="00A32889"/>
    <w:rsid w:val="00A33F2C"/>
    <w:rsid w:val="00A3441C"/>
    <w:rsid w:val="00A350AB"/>
    <w:rsid w:val="00A369A8"/>
    <w:rsid w:val="00A42B31"/>
    <w:rsid w:val="00A43AFF"/>
    <w:rsid w:val="00A44811"/>
    <w:rsid w:val="00A44C89"/>
    <w:rsid w:val="00A471DE"/>
    <w:rsid w:val="00A47C1C"/>
    <w:rsid w:val="00A515D6"/>
    <w:rsid w:val="00A52902"/>
    <w:rsid w:val="00A5323B"/>
    <w:rsid w:val="00A53BF1"/>
    <w:rsid w:val="00A5620B"/>
    <w:rsid w:val="00A56DAB"/>
    <w:rsid w:val="00A57CC9"/>
    <w:rsid w:val="00A6195B"/>
    <w:rsid w:val="00A61EF1"/>
    <w:rsid w:val="00A61F20"/>
    <w:rsid w:val="00A64E43"/>
    <w:rsid w:val="00A6662A"/>
    <w:rsid w:val="00A67A57"/>
    <w:rsid w:val="00A70642"/>
    <w:rsid w:val="00A706E4"/>
    <w:rsid w:val="00A70E4F"/>
    <w:rsid w:val="00A71A2F"/>
    <w:rsid w:val="00A71A50"/>
    <w:rsid w:val="00A71C1D"/>
    <w:rsid w:val="00A72BBD"/>
    <w:rsid w:val="00A74CC8"/>
    <w:rsid w:val="00A75A1C"/>
    <w:rsid w:val="00A7793A"/>
    <w:rsid w:val="00A81B03"/>
    <w:rsid w:val="00A81D4C"/>
    <w:rsid w:val="00A82DD7"/>
    <w:rsid w:val="00A8348D"/>
    <w:rsid w:val="00A843B9"/>
    <w:rsid w:val="00A849D3"/>
    <w:rsid w:val="00A84D66"/>
    <w:rsid w:val="00A85DE3"/>
    <w:rsid w:val="00A85F91"/>
    <w:rsid w:val="00A862D9"/>
    <w:rsid w:val="00A907FB"/>
    <w:rsid w:val="00A91021"/>
    <w:rsid w:val="00A91751"/>
    <w:rsid w:val="00A917D1"/>
    <w:rsid w:val="00A92211"/>
    <w:rsid w:val="00A93375"/>
    <w:rsid w:val="00A951F9"/>
    <w:rsid w:val="00A95EA3"/>
    <w:rsid w:val="00A95FD5"/>
    <w:rsid w:val="00A97E15"/>
    <w:rsid w:val="00AA05D7"/>
    <w:rsid w:val="00AA1682"/>
    <w:rsid w:val="00AA26CB"/>
    <w:rsid w:val="00AA39D3"/>
    <w:rsid w:val="00AA4307"/>
    <w:rsid w:val="00AA46BD"/>
    <w:rsid w:val="00AA4CC7"/>
    <w:rsid w:val="00AA5930"/>
    <w:rsid w:val="00AA5D44"/>
    <w:rsid w:val="00AA5E8E"/>
    <w:rsid w:val="00AB0F28"/>
    <w:rsid w:val="00AB184A"/>
    <w:rsid w:val="00AB2BAD"/>
    <w:rsid w:val="00AB3D7F"/>
    <w:rsid w:val="00AB3E7D"/>
    <w:rsid w:val="00AB6BA9"/>
    <w:rsid w:val="00AB6CA7"/>
    <w:rsid w:val="00AC0765"/>
    <w:rsid w:val="00AC10DD"/>
    <w:rsid w:val="00AC27B7"/>
    <w:rsid w:val="00AC3E3C"/>
    <w:rsid w:val="00AC4DD5"/>
    <w:rsid w:val="00AC56FD"/>
    <w:rsid w:val="00AC61DF"/>
    <w:rsid w:val="00AC712D"/>
    <w:rsid w:val="00AC77A5"/>
    <w:rsid w:val="00AC7F12"/>
    <w:rsid w:val="00AD01E4"/>
    <w:rsid w:val="00AD0858"/>
    <w:rsid w:val="00AD15C9"/>
    <w:rsid w:val="00AD1BAA"/>
    <w:rsid w:val="00AD1D9F"/>
    <w:rsid w:val="00AD626A"/>
    <w:rsid w:val="00AE02E3"/>
    <w:rsid w:val="00AE125F"/>
    <w:rsid w:val="00AE1337"/>
    <w:rsid w:val="00AE3D52"/>
    <w:rsid w:val="00AE6F72"/>
    <w:rsid w:val="00AE7340"/>
    <w:rsid w:val="00AE74FA"/>
    <w:rsid w:val="00AF03CC"/>
    <w:rsid w:val="00AF0E82"/>
    <w:rsid w:val="00AF1BBD"/>
    <w:rsid w:val="00AF4795"/>
    <w:rsid w:val="00AF5667"/>
    <w:rsid w:val="00AF6401"/>
    <w:rsid w:val="00AF74CE"/>
    <w:rsid w:val="00B01032"/>
    <w:rsid w:val="00B014C5"/>
    <w:rsid w:val="00B0170B"/>
    <w:rsid w:val="00B01BEE"/>
    <w:rsid w:val="00B02167"/>
    <w:rsid w:val="00B0329C"/>
    <w:rsid w:val="00B03E93"/>
    <w:rsid w:val="00B046D1"/>
    <w:rsid w:val="00B047CA"/>
    <w:rsid w:val="00B04A84"/>
    <w:rsid w:val="00B051D9"/>
    <w:rsid w:val="00B06E6A"/>
    <w:rsid w:val="00B10207"/>
    <w:rsid w:val="00B10E48"/>
    <w:rsid w:val="00B1137A"/>
    <w:rsid w:val="00B121BF"/>
    <w:rsid w:val="00B130A2"/>
    <w:rsid w:val="00B13EFC"/>
    <w:rsid w:val="00B141E7"/>
    <w:rsid w:val="00B14A22"/>
    <w:rsid w:val="00B174E8"/>
    <w:rsid w:val="00B179FA"/>
    <w:rsid w:val="00B2283D"/>
    <w:rsid w:val="00B25D73"/>
    <w:rsid w:val="00B277BB"/>
    <w:rsid w:val="00B324B9"/>
    <w:rsid w:val="00B33435"/>
    <w:rsid w:val="00B33B8D"/>
    <w:rsid w:val="00B34056"/>
    <w:rsid w:val="00B351B4"/>
    <w:rsid w:val="00B363D0"/>
    <w:rsid w:val="00B36D11"/>
    <w:rsid w:val="00B377DD"/>
    <w:rsid w:val="00B411B3"/>
    <w:rsid w:val="00B42580"/>
    <w:rsid w:val="00B4305E"/>
    <w:rsid w:val="00B44EA5"/>
    <w:rsid w:val="00B45967"/>
    <w:rsid w:val="00B45A4E"/>
    <w:rsid w:val="00B45E2F"/>
    <w:rsid w:val="00B46BCA"/>
    <w:rsid w:val="00B477EB"/>
    <w:rsid w:val="00B478AA"/>
    <w:rsid w:val="00B47FF0"/>
    <w:rsid w:val="00B50037"/>
    <w:rsid w:val="00B502B9"/>
    <w:rsid w:val="00B504A5"/>
    <w:rsid w:val="00B51C27"/>
    <w:rsid w:val="00B52EED"/>
    <w:rsid w:val="00B53A6D"/>
    <w:rsid w:val="00B53F6B"/>
    <w:rsid w:val="00B54CCE"/>
    <w:rsid w:val="00B55D07"/>
    <w:rsid w:val="00B560D2"/>
    <w:rsid w:val="00B61043"/>
    <w:rsid w:val="00B63799"/>
    <w:rsid w:val="00B63F2F"/>
    <w:rsid w:val="00B72444"/>
    <w:rsid w:val="00B734A5"/>
    <w:rsid w:val="00B73737"/>
    <w:rsid w:val="00B73C0A"/>
    <w:rsid w:val="00B73CF3"/>
    <w:rsid w:val="00B76292"/>
    <w:rsid w:val="00B77BF7"/>
    <w:rsid w:val="00B8000C"/>
    <w:rsid w:val="00B80344"/>
    <w:rsid w:val="00B80599"/>
    <w:rsid w:val="00B841B3"/>
    <w:rsid w:val="00B8421D"/>
    <w:rsid w:val="00B8431D"/>
    <w:rsid w:val="00B8477E"/>
    <w:rsid w:val="00B87806"/>
    <w:rsid w:val="00B87EC9"/>
    <w:rsid w:val="00B9105D"/>
    <w:rsid w:val="00B92D65"/>
    <w:rsid w:val="00B9378A"/>
    <w:rsid w:val="00B9488E"/>
    <w:rsid w:val="00B94CAA"/>
    <w:rsid w:val="00B9682E"/>
    <w:rsid w:val="00B973EB"/>
    <w:rsid w:val="00BA0027"/>
    <w:rsid w:val="00BA169E"/>
    <w:rsid w:val="00BA1B1E"/>
    <w:rsid w:val="00BA2DA2"/>
    <w:rsid w:val="00BA43E8"/>
    <w:rsid w:val="00BA547F"/>
    <w:rsid w:val="00BA57FA"/>
    <w:rsid w:val="00BA5C3C"/>
    <w:rsid w:val="00BA6EB3"/>
    <w:rsid w:val="00BA7B76"/>
    <w:rsid w:val="00BB254A"/>
    <w:rsid w:val="00BB2E43"/>
    <w:rsid w:val="00BB2F50"/>
    <w:rsid w:val="00BB31DC"/>
    <w:rsid w:val="00BB3C8C"/>
    <w:rsid w:val="00BB47C4"/>
    <w:rsid w:val="00BB4AA6"/>
    <w:rsid w:val="00BB4CB6"/>
    <w:rsid w:val="00BB61A5"/>
    <w:rsid w:val="00BC0240"/>
    <w:rsid w:val="00BC05C9"/>
    <w:rsid w:val="00BC1BAE"/>
    <w:rsid w:val="00BC26A9"/>
    <w:rsid w:val="00BC31CF"/>
    <w:rsid w:val="00BC38FD"/>
    <w:rsid w:val="00BC4076"/>
    <w:rsid w:val="00BC4A8E"/>
    <w:rsid w:val="00BC4C68"/>
    <w:rsid w:val="00BD312A"/>
    <w:rsid w:val="00BD32A2"/>
    <w:rsid w:val="00BD3C14"/>
    <w:rsid w:val="00BD4D39"/>
    <w:rsid w:val="00BD4E43"/>
    <w:rsid w:val="00BD4F81"/>
    <w:rsid w:val="00BD51FB"/>
    <w:rsid w:val="00BD6484"/>
    <w:rsid w:val="00BE0475"/>
    <w:rsid w:val="00BE0F60"/>
    <w:rsid w:val="00BE4B96"/>
    <w:rsid w:val="00BE5134"/>
    <w:rsid w:val="00BE5874"/>
    <w:rsid w:val="00BE587F"/>
    <w:rsid w:val="00BE7B03"/>
    <w:rsid w:val="00BF00AC"/>
    <w:rsid w:val="00BF15E7"/>
    <w:rsid w:val="00BF16D7"/>
    <w:rsid w:val="00BF19A9"/>
    <w:rsid w:val="00BF1C87"/>
    <w:rsid w:val="00BF2B4D"/>
    <w:rsid w:val="00BF477A"/>
    <w:rsid w:val="00BF47FD"/>
    <w:rsid w:val="00BF56C8"/>
    <w:rsid w:val="00BF5DA4"/>
    <w:rsid w:val="00C01EB7"/>
    <w:rsid w:val="00C034CB"/>
    <w:rsid w:val="00C03A9C"/>
    <w:rsid w:val="00C045F0"/>
    <w:rsid w:val="00C046C0"/>
    <w:rsid w:val="00C04C7D"/>
    <w:rsid w:val="00C0510F"/>
    <w:rsid w:val="00C051A8"/>
    <w:rsid w:val="00C054BC"/>
    <w:rsid w:val="00C05D73"/>
    <w:rsid w:val="00C1085E"/>
    <w:rsid w:val="00C11667"/>
    <w:rsid w:val="00C11BC0"/>
    <w:rsid w:val="00C137B4"/>
    <w:rsid w:val="00C139F5"/>
    <w:rsid w:val="00C13A3B"/>
    <w:rsid w:val="00C13E21"/>
    <w:rsid w:val="00C14451"/>
    <w:rsid w:val="00C14C5C"/>
    <w:rsid w:val="00C169F1"/>
    <w:rsid w:val="00C1710A"/>
    <w:rsid w:val="00C17897"/>
    <w:rsid w:val="00C20CFF"/>
    <w:rsid w:val="00C21F89"/>
    <w:rsid w:val="00C2506E"/>
    <w:rsid w:val="00C256DB"/>
    <w:rsid w:val="00C26900"/>
    <w:rsid w:val="00C26FED"/>
    <w:rsid w:val="00C2752B"/>
    <w:rsid w:val="00C3178B"/>
    <w:rsid w:val="00C32FD2"/>
    <w:rsid w:val="00C3571C"/>
    <w:rsid w:val="00C364A6"/>
    <w:rsid w:val="00C36725"/>
    <w:rsid w:val="00C37AD3"/>
    <w:rsid w:val="00C37C77"/>
    <w:rsid w:val="00C37EC8"/>
    <w:rsid w:val="00C409D5"/>
    <w:rsid w:val="00C409E5"/>
    <w:rsid w:val="00C41722"/>
    <w:rsid w:val="00C41F49"/>
    <w:rsid w:val="00C435C3"/>
    <w:rsid w:val="00C438DB"/>
    <w:rsid w:val="00C44E5F"/>
    <w:rsid w:val="00C4761E"/>
    <w:rsid w:val="00C5007C"/>
    <w:rsid w:val="00C50EA6"/>
    <w:rsid w:val="00C518FA"/>
    <w:rsid w:val="00C51B7C"/>
    <w:rsid w:val="00C526DF"/>
    <w:rsid w:val="00C5297A"/>
    <w:rsid w:val="00C52B6E"/>
    <w:rsid w:val="00C5358C"/>
    <w:rsid w:val="00C5402D"/>
    <w:rsid w:val="00C5508D"/>
    <w:rsid w:val="00C552A7"/>
    <w:rsid w:val="00C57859"/>
    <w:rsid w:val="00C60A7A"/>
    <w:rsid w:val="00C61372"/>
    <w:rsid w:val="00C61D2A"/>
    <w:rsid w:val="00C6234B"/>
    <w:rsid w:val="00C63A07"/>
    <w:rsid w:val="00C63C94"/>
    <w:rsid w:val="00C63EAE"/>
    <w:rsid w:val="00C66C4F"/>
    <w:rsid w:val="00C6730F"/>
    <w:rsid w:val="00C70165"/>
    <w:rsid w:val="00C70171"/>
    <w:rsid w:val="00C7323A"/>
    <w:rsid w:val="00C73260"/>
    <w:rsid w:val="00C73B84"/>
    <w:rsid w:val="00C74906"/>
    <w:rsid w:val="00C74F02"/>
    <w:rsid w:val="00C7583D"/>
    <w:rsid w:val="00C7629F"/>
    <w:rsid w:val="00C768CE"/>
    <w:rsid w:val="00C76E44"/>
    <w:rsid w:val="00C7726F"/>
    <w:rsid w:val="00C7740E"/>
    <w:rsid w:val="00C77D5A"/>
    <w:rsid w:val="00C77FF4"/>
    <w:rsid w:val="00C832C5"/>
    <w:rsid w:val="00C83D5E"/>
    <w:rsid w:val="00C84C73"/>
    <w:rsid w:val="00C84C79"/>
    <w:rsid w:val="00C852C1"/>
    <w:rsid w:val="00C85BE8"/>
    <w:rsid w:val="00C86482"/>
    <w:rsid w:val="00C865BA"/>
    <w:rsid w:val="00C8661B"/>
    <w:rsid w:val="00C8704B"/>
    <w:rsid w:val="00C87D8C"/>
    <w:rsid w:val="00C90885"/>
    <w:rsid w:val="00C911B9"/>
    <w:rsid w:val="00C911F2"/>
    <w:rsid w:val="00C9175D"/>
    <w:rsid w:val="00C919D9"/>
    <w:rsid w:val="00C91F54"/>
    <w:rsid w:val="00C92937"/>
    <w:rsid w:val="00C92DFF"/>
    <w:rsid w:val="00C93624"/>
    <w:rsid w:val="00C94618"/>
    <w:rsid w:val="00C94CD7"/>
    <w:rsid w:val="00C94CFB"/>
    <w:rsid w:val="00CA01FA"/>
    <w:rsid w:val="00CA03C8"/>
    <w:rsid w:val="00CA0E8A"/>
    <w:rsid w:val="00CA139A"/>
    <w:rsid w:val="00CA14EE"/>
    <w:rsid w:val="00CA2899"/>
    <w:rsid w:val="00CA29DB"/>
    <w:rsid w:val="00CA2A6C"/>
    <w:rsid w:val="00CA30CE"/>
    <w:rsid w:val="00CA3A3D"/>
    <w:rsid w:val="00CA3AA6"/>
    <w:rsid w:val="00CA40C0"/>
    <w:rsid w:val="00CA5060"/>
    <w:rsid w:val="00CA5DB0"/>
    <w:rsid w:val="00CA6E0D"/>
    <w:rsid w:val="00CA77FB"/>
    <w:rsid w:val="00CB0DCB"/>
    <w:rsid w:val="00CB10AB"/>
    <w:rsid w:val="00CB14D5"/>
    <w:rsid w:val="00CB168B"/>
    <w:rsid w:val="00CB2334"/>
    <w:rsid w:val="00CB3668"/>
    <w:rsid w:val="00CB379B"/>
    <w:rsid w:val="00CB4FB3"/>
    <w:rsid w:val="00CB5DD0"/>
    <w:rsid w:val="00CB5F9E"/>
    <w:rsid w:val="00CB74EA"/>
    <w:rsid w:val="00CB786F"/>
    <w:rsid w:val="00CC10D0"/>
    <w:rsid w:val="00CC1348"/>
    <w:rsid w:val="00CC229D"/>
    <w:rsid w:val="00CC2B9C"/>
    <w:rsid w:val="00CC3904"/>
    <w:rsid w:val="00CC4A99"/>
    <w:rsid w:val="00CC4C54"/>
    <w:rsid w:val="00CC51D4"/>
    <w:rsid w:val="00CC59D3"/>
    <w:rsid w:val="00CC65DA"/>
    <w:rsid w:val="00CC7C65"/>
    <w:rsid w:val="00CD149D"/>
    <w:rsid w:val="00CD21C3"/>
    <w:rsid w:val="00CD2B6C"/>
    <w:rsid w:val="00CD3C52"/>
    <w:rsid w:val="00CD3D76"/>
    <w:rsid w:val="00CD7534"/>
    <w:rsid w:val="00CD78BC"/>
    <w:rsid w:val="00CE057C"/>
    <w:rsid w:val="00CE0E34"/>
    <w:rsid w:val="00CE12DF"/>
    <w:rsid w:val="00CE1333"/>
    <w:rsid w:val="00CE23EF"/>
    <w:rsid w:val="00CE28F7"/>
    <w:rsid w:val="00CE3902"/>
    <w:rsid w:val="00CE482E"/>
    <w:rsid w:val="00CE69C4"/>
    <w:rsid w:val="00CE7DA8"/>
    <w:rsid w:val="00CF0F68"/>
    <w:rsid w:val="00CF192A"/>
    <w:rsid w:val="00CF214B"/>
    <w:rsid w:val="00CF21B9"/>
    <w:rsid w:val="00CF356F"/>
    <w:rsid w:val="00CF3E89"/>
    <w:rsid w:val="00CF4BC7"/>
    <w:rsid w:val="00CF6BF9"/>
    <w:rsid w:val="00CF7668"/>
    <w:rsid w:val="00D00A04"/>
    <w:rsid w:val="00D01784"/>
    <w:rsid w:val="00D01E87"/>
    <w:rsid w:val="00D021F9"/>
    <w:rsid w:val="00D022A2"/>
    <w:rsid w:val="00D03800"/>
    <w:rsid w:val="00D04CF3"/>
    <w:rsid w:val="00D05650"/>
    <w:rsid w:val="00D065D3"/>
    <w:rsid w:val="00D06817"/>
    <w:rsid w:val="00D07192"/>
    <w:rsid w:val="00D07EB9"/>
    <w:rsid w:val="00D114F7"/>
    <w:rsid w:val="00D12875"/>
    <w:rsid w:val="00D12BDB"/>
    <w:rsid w:val="00D14152"/>
    <w:rsid w:val="00D14327"/>
    <w:rsid w:val="00D14C94"/>
    <w:rsid w:val="00D20CB1"/>
    <w:rsid w:val="00D21693"/>
    <w:rsid w:val="00D228F9"/>
    <w:rsid w:val="00D254D6"/>
    <w:rsid w:val="00D257B3"/>
    <w:rsid w:val="00D25F7E"/>
    <w:rsid w:val="00D260CE"/>
    <w:rsid w:val="00D27F7B"/>
    <w:rsid w:val="00D3220A"/>
    <w:rsid w:val="00D33D39"/>
    <w:rsid w:val="00D342A6"/>
    <w:rsid w:val="00D342D3"/>
    <w:rsid w:val="00D348C5"/>
    <w:rsid w:val="00D34A66"/>
    <w:rsid w:val="00D3502C"/>
    <w:rsid w:val="00D35B67"/>
    <w:rsid w:val="00D3607C"/>
    <w:rsid w:val="00D37F55"/>
    <w:rsid w:val="00D400FD"/>
    <w:rsid w:val="00D40C67"/>
    <w:rsid w:val="00D424D1"/>
    <w:rsid w:val="00D42570"/>
    <w:rsid w:val="00D442E6"/>
    <w:rsid w:val="00D45CA6"/>
    <w:rsid w:val="00D464BF"/>
    <w:rsid w:val="00D47F93"/>
    <w:rsid w:val="00D47FF3"/>
    <w:rsid w:val="00D50041"/>
    <w:rsid w:val="00D50C39"/>
    <w:rsid w:val="00D51BE9"/>
    <w:rsid w:val="00D51F38"/>
    <w:rsid w:val="00D52341"/>
    <w:rsid w:val="00D53355"/>
    <w:rsid w:val="00D53E26"/>
    <w:rsid w:val="00D54821"/>
    <w:rsid w:val="00D54A67"/>
    <w:rsid w:val="00D57B6D"/>
    <w:rsid w:val="00D60194"/>
    <w:rsid w:val="00D62739"/>
    <w:rsid w:val="00D63812"/>
    <w:rsid w:val="00D6408E"/>
    <w:rsid w:val="00D6593C"/>
    <w:rsid w:val="00D6641E"/>
    <w:rsid w:val="00D70424"/>
    <w:rsid w:val="00D71346"/>
    <w:rsid w:val="00D741CE"/>
    <w:rsid w:val="00D747C8"/>
    <w:rsid w:val="00D74B0D"/>
    <w:rsid w:val="00D750ED"/>
    <w:rsid w:val="00D7588B"/>
    <w:rsid w:val="00D76803"/>
    <w:rsid w:val="00D77BC7"/>
    <w:rsid w:val="00D8019A"/>
    <w:rsid w:val="00D80711"/>
    <w:rsid w:val="00D808A3"/>
    <w:rsid w:val="00D813D6"/>
    <w:rsid w:val="00D81F8B"/>
    <w:rsid w:val="00D86244"/>
    <w:rsid w:val="00D866DB"/>
    <w:rsid w:val="00D87D41"/>
    <w:rsid w:val="00D9246A"/>
    <w:rsid w:val="00D924C4"/>
    <w:rsid w:val="00D9300F"/>
    <w:rsid w:val="00D939CE"/>
    <w:rsid w:val="00D93EE1"/>
    <w:rsid w:val="00D9469E"/>
    <w:rsid w:val="00D955AD"/>
    <w:rsid w:val="00DA0669"/>
    <w:rsid w:val="00DA226B"/>
    <w:rsid w:val="00DA3132"/>
    <w:rsid w:val="00DA4370"/>
    <w:rsid w:val="00DA5236"/>
    <w:rsid w:val="00DA5EFB"/>
    <w:rsid w:val="00DA7611"/>
    <w:rsid w:val="00DA770B"/>
    <w:rsid w:val="00DB182C"/>
    <w:rsid w:val="00DB26C9"/>
    <w:rsid w:val="00DB328D"/>
    <w:rsid w:val="00DB33BE"/>
    <w:rsid w:val="00DB3CB3"/>
    <w:rsid w:val="00DB6BFA"/>
    <w:rsid w:val="00DC05D4"/>
    <w:rsid w:val="00DC06E3"/>
    <w:rsid w:val="00DC0DBA"/>
    <w:rsid w:val="00DC0E47"/>
    <w:rsid w:val="00DC1A3C"/>
    <w:rsid w:val="00DC1AFC"/>
    <w:rsid w:val="00DC1C2B"/>
    <w:rsid w:val="00DC1F12"/>
    <w:rsid w:val="00DC348E"/>
    <w:rsid w:val="00DC5380"/>
    <w:rsid w:val="00DC5B0A"/>
    <w:rsid w:val="00DC6B15"/>
    <w:rsid w:val="00DD0117"/>
    <w:rsid w:val="00DD14F1"/>
    <w:rsid w:val="00DD1AC8"/>
    <w:rsid w:val="00DD34A1"/>
    <w:rsid w:val="00DD362B"/>
    <w:rsid w:val="00DD419C"/>
    <w:rsid w:val="00DD4F0E"/>
    <w:rsid w:val="00DD5DB5"/>
    <w:rsid w:val="00DD6477"/>
    <w:rsid w:val="00DD6AC3"/>
    <w:rsid w:val="00DD7452"/>
    <w:rsid w:val="00DE06D8"/>
    <w:rsid w:val="00DE2E36"/>
    <w:rsid w:val="00DE3380"/>
    <w:rsid w:val="00DE687E"/>
    <w:rsid w:val="00DE6C6F"/>
    <w:rsid w:val="00DF0BF0"/>
    <w:rsid w:val="00DF3CA2"/>
    <w:rsid w:val="00E00218"/>
    <w:rsid w:val="00E01463"/>
    <w:rsid w:val="00E02A77"/>
    <w:rsid w:val="00E03FCD"/>
    <w:rsid w:val="00E05114"/>
    <w:rsid w:val="00E05196"/>
    <w:rsid w:val="00E05206"/>
    <w:rsid w:val="00E05E0A"/>
    <w:rsid w:val="00E060BE"/>
    <w:rsid w:val="00E075BF"/>
    <w:rsid w:val="00E11269"/>
    <w:rsid w:val="00E14657"/>
    <w:rsid w:val="00E153B3"/>
    <w:rsid w:val="00E15B96"/>
    <w:rsid w:val="00E1736F"/>
    <w:rsid w:val="00E174BD"/>
    <w:rsid w:val="00E17BB6"/>
    <w:rsid w:val="00E2027B"/>
    <w:rsid w:val="00E2054B"/>
    <w:rsid w:val="00E2212F"/>
    <w:rsid w:val="00E24187"/>
    <w:rsid w:val="00E306DD"/>
    <w:rsid w:val="00E31589"/>
    <w:rsid w:val="00E353BE"/>
    <w:rsid w:val="00E36869"/>
    <w:rsid w:val="00E37064"/>
    <w:rsid w:val="00E37136"/>
    <w:rsid w:val="00E376B8"/>
    <w:rsid w:val="00E37E02"/>
    <w:rsid w:val="00E44E72"/>
    <w:rsid w:val="00E45BBA"/>
    <w:rsid w:val="00E472A5"/>
    <w:rsid w:val="00E50709"/>
    <w:rsid w:val="00E50A8C"/>
    <w:rsid w:val="00E50E1E"/>
    <w:rsid w:val="00E50FE5"/>
    <w:rsid w:val="00E51741"/>
    <w:rsid w:val="00E53256"/>
    <w:rsid w:val="00E534CF"/>
    <w:rsid w:val="00E53A08"/>
    <w:rsid w:val="00E551B7"/>
    <w:rsid w:val="00E55237"/>
    <w:rsid w:val="00E56065"/>
    <w:rsid w:val="00E56CC2"/>
    <w:rsid w:val="00E5763C"/>
    <w:rsid w:val="00E60491"/>
    <w:rsid w:val="00E60BA6"/>
    <w:rsid w:val="00E61451"/>
    <w:rsid w:val="00E626CA"/>
    <w:rsid w:val="00E638BD"/>
    <w:rsid w:val="00E644E8"/>
    <w:rsid w:val="00E64C46"/>
    <w:rsid w:val="00E7009A"/>
    <w:rsid w:val="00E704AA"/>
    <w:rsid w:val="00E71F79"/>
    <w:rsid w:val="00E7328C"/>
    <w:rsid w:val="00E740E6"/>
    <w:rsid w:val="00E7456A"/>
    <w:rsid w:val="00E75C01"/>
    <w:rsid w:val="00E81CB4"/>
    <w:rsid w:val="00E83FB5"/>
    <w:rsid w:val="00E8585B"/>
    <w:rsid w:val="00E85A1F"/>
    <w:rsid w:val="00E87F41"/>
    <w:rsid w:val="00E904F0"/>
    <w:rsid w:val="00E91574"/>
    <w:rsid w:val="00E91B6A"/>
    <w:rsid w:val="00E92EA2"/>
    <w:rsid w:val="00E95862"/>
    <w:rsid w:val="00E96244"/>
    <w:rsid w:val="00E971F9"/>
    <w:rsid w:val="00EA1D44"/>
    <w:rsid w:val="00EA2265"/>
    <w:rsid w:val="00EA338B"/>
    <w:rsid w:val="00EA3F15"/>
    <w:rsid w:val="00EA47E1"/>
    <w:rsid w:val="00EA506F"/>
    <w:rsid w:val="00EA6D9A"/>
    <w:rsid w:val="00EA7847"/>
    <w:rsid w:val="00EB0355"/>
    <w:rsid w:val="00EB0BED"/>
    <w:rsid w:val="00EB0D8B"/>
    <w:rsid w:val="00EB0DBC"/>
    <w:rsid w:val="00EB1318"/>
    <w:rsid w:val="00EB3BCA"/>
    <w:rsid w:val="00EB3CB3"/>
    <w:rsid w:val="00EB4C2F"/>
    <w:rsid w:val="00EB52B0"/>
    <w:rsid w:val="00EB587D"/>
    <w:rsid w:val="00EB785C"/>
    <w:rsid w:val="00EB7BB1"/>
    <w:rsid w:val="00EC1E48"/>
    <w:rsid w:val="00EC2583"/>
    <w:rsid w:val="00EC2B0B"/>
    <w:rsid w:val="00EC2DE7"/>
    <w:rsid w:val="00EC323E"/>
    <w:rsid w:val="00EC3845"/>
    <w:rsid w:val="00EC429D"/>
    <w:rsid w:val="00EC6992"/>
    <w:rsid w:val="00EC6CE6"/>
    <w:rsid w:val="00EC7621"/>
    <w:rsid w:val="00EC770F"/>
    <w:rsid w:val="00ED198A"/>
    <w:rsid w:val="00ED1BE7"/>
    <w:rsid w:val="00ED2606"/>
    <w:rsid w:val="00ED6681"/>
    <w:rsid w:val="00ED671C"/>
    <w:rsid w:val="00ED6BA7"/>
    <w:rsid w:val="00EE067B"/>
    <w:rsid w:val="00EE074C"/>
    <w:rsid w:val="00EE20B0"/>
    <w:rsid w:val="00EE2E6E"/>
    <w:rsid w:val="00EE4FF0"/>
    <w:rsid w:val="00EE57B1"/>
    <w:rsid w:val="00EE638C"/>
    <w:rsid w:val="00EE6B15"/>
    <w:rsid w:val="00EE77F8"/>
    <w:rsid w:val="00EF0542"/>
    <w:rsid w:val="00EF10A1"/>
    <w:rsid w:val="00EF15E0"/>
    <w:rsid w:val="00EF17DD"/>
    <w:rsid w:val="00EF1943"/>
    <w:rsid w:val="00EF23EC"/>
    <w:rsid w:val="00EF4704"/>
    <w:rsid w:val="00EF58B4"/>
    <w:rsid w:val="00EF6E18"/>
    <w:rsid w:val="00EF7A59"/>
    <w:rsid w:val="00F00097"/>
    <w:rsid w:val="00F01620"/>
    <w:rsid w:val="00F01C5E"/>
    <w:rsid w:val="00F01F2F"/>
    <w:rsid w:val="00F03D2F"/>
    <w:rsid w:val="00F052D5"/>
    <w:rsid w:val="00F059BF"/>
    <w:rsid w:val="00F05C55"/>
    <w:rsid w:val="00F061B1"/>
    <w:rsid w:val="00F072D5"/>
    <w:rsid w:val="00F0759E"/>
    <w:rsid w:val="00F1340D"/>
    <w:rsid w:val="00F1343F"/>
    <w:rsid w:val="00F13603"/>
    <w:rsid w:val="00F15E03"/>
    <w:rsid w:val="00F16A43"/>
    <w:rsid w:val="00F20F86"/>
    <w:rsid w:val="00F211A4"/>
    <w:rsid w:val="00F2256E"/>
    <w:rsid w:val="00F226F4"/>
    <w:rsid w:val="00F23031"/>
    <w:rsid w:val="00F2371D"/>
    <w:rsid w:val="00F249DB"/>
    <w:rsid w:val="00F24A2F"/>
    <w:rsid w:val="00F30BE1"/>
    <w:rsid w:val="00F317D2"/>
    <w:rsid w:val="00F3250F"/>
    <w:rsid w:val="00F34A6F"/>
    <w:rsid w:val="00F357BB"/>
    <w:rsid w:val="00F35C2E"/>
    <w:rsid w:val="00F378D6"/>
    <w:rsid w:val="00F37EFE"/>
    <w:rsid w:val="00F401B5"/>
    <w:rsid w:val="00F4038B"/>
    <w:rsid w:val="00F409F2"/>
    <w:rsid w:val="00F416AC"/>
    <w:rsid w:val="00F41E6D"/>
    <w:rsid w:val="00F44050"/>
    <w:rsid w:val="00F44751"/>
    <w:rsid w:val="00F44E1E"/>
    <w:rsid w:val="00F46780"/>
    <w:rsid w:val="00F528E5"/>
    <w:rsid w:val="00F54386"/>
    <w:rsid w:val="00F54E01"/>
    <w:rsid w:val="00F55CCC"/>
    <w:rsid w:val="00F57E40"/>
    <w:rsid w:val="00F60F15"/>
    <w:rsid w:val="00F62D83"/>
    <w:rsid w:val="00F630F8"/>
    <w:rsid w:val="00F6314F"/>
    <w:rsid w:val="00F6472E"/>
    <w:rsid w:val="00F659CB"/>
    <w:rsid w:val="00F671B1"/>
    <w:rsid w:val="00F67E6D"/>
    <w:rsid w:val="00F70D73"/>
    <w:rsid w:val="00F717B4"/>
    <w:rsid w:val="00F72D80"/>
    <w:rsid w:val="00F74F2B"/>
    <w:rsid w:val="00F77C04"/>
    <w:rsid w:val="00F77D2D"/>
    <w:rsid w:val="00F8089F"/>
    <w:rsid w:val="00F80E95"/>
    <w:rsid w:val="00F821A3"/>
    <w:rsid w:val="00F82ECE"/>
    <w:rsid w:val="00F84DEA"/>
    <w:rsid w:val="00F84FB2"/>
    <w:rsid w:val="00F86BD8"/>
    <w:rsid w:val="00F91BDF"/>
    <w:rsid w:val="00F92495"/>
    <w:rsid w:val="00F9314A"/>
    <w:rsid w:val="00F940B2"/>
    <w:rsid w:val="00F944B3"/>
    <w:rsid w:val="00F950B9"/>
    <w:rsid w:val="00F9562E"/>
    <w:rsid w:val="00F9647C"/>
    <w:rsid w:val="00F96B8B"/>
    <w:rsid w:val="00F971E0"/>
    <w:rsid w:val="00FA0032"/>
    <w:rsid w:val="00FA48D7"/>
    <w:rsid w:val="00FA5B79"/>
    <w:rsid w:val="00FA5CD2"/>
    <w:rsid w:val="00FA674B"/>
    <w:rsid w:val="00FB05EC"/>
    <w:rsid w:val="00FB1B54"/>
    <w:rsid w:val="00FB1BD8"/>
    <w:rsid w:val="00FB3666"/>
    <w:rsid w:val="00FB5C5B"/>
    <w:rsid w:val="00FB7AB5"/>
    <w:rsid w:val="00FB7D45"/>
    <w:rsid w:val="00FC1A80"/>
    <w:rsid w:val="00FC2F8E"/>
    <w:rsid w:val="00FC341F"/>
    <w:rsid w:val="00FC58EF"/>
    <w:rsid w:val="00FC5965"/>
    <w:rsid w:val="00FC5E88"/>
    <w:rsid w:val="00FD0219"/>
    <w:rsid w:val="00FD0DF7"/>
    <w:rsid w:val="00FD1243"/>
    <w:rsid w:val="00FD2156"/>
    <w:rsid w:val="00FD3171"/>
    <w:rsid w:val="00FD33DF"/>
    <w:rsid w:val="00FD3E0D"/>
    <w:rsid w:val="00FD4860"/>
    <w:rsid w:val="00FD4BC2"/>
    <w:rsid w:val="00FD52E8"/>
    <w:rsid w:val="00FD52EA"/>
    <w:rsid w:val="00FD7264"/>
    <w:rsid w:val="00FD75EC"/>
    <w:rsid w:val="00FE04C0"/>
    <w:rsid w:val="00FE0917"/>
    <w:rsid w:val="00FE1BBB"/>
    <w:rsid w:val="00FE2452"/>
    <w:rsid w:val="00FE2C52"/>
    <w:rsid w:val="00FE35B3"/>
    <w:rsid w:val="00FE39D7"/>
    <w:rsid w:val="00FE3B40"/>
    <w:rsid w:val="00FE5667"/>
    <w:rsid w:val="00FE744A"/>
    <w:rsid w:val="00FE7592"/>
    <w:rsid w:val="00FF099B"/>
    <w:rsid w:val="00FF299E"/>
    <w:rsid w:val="00FF2B96"/>
    <w:rsid w:val="00FF2F94"/>
    <w:rsid w:val="00FF3351"/>
    <w:rsid w:val="00FF3E09"/>
    <w:rsid w:val="00FF3F52"/>
    <w:rsid w:val="00FF4491"/>
    <w:rsid w:val="00FF601F"/>
    <w:rsid w:val="00FF75B1"/>
    <w:rsid w:val="00FF7F60"/>
    <w:rsid w:val="04FAED9E"/>
    <w:rsid w:val="18188C7F"/>
    <w:rsid w:val="19402F93"/>
    <w:rsid w:val="1EA94471"/>
    <w:rsid w:val="2132BF5B"/>
    <w:rsid w:val="2507BE79"/>
    <w:rsid w:val="2D4E26E4"/>
    <w:rsid w:val="31155052"/>
    <w:rsid w:val="3AB5BAF7"/>
    <w:rsid w:val="45AA1D9E"/>
    <w:rsid w:val="494DFC1A"/>
    <w:rsid w:val="4AE9CC7B"/>
    <w:rsid w:val="502E9A97"/>
    <w:rsid w:val="54052E4A"/>
    <w:rsid w:val="5BC3108A"/>
    <w:rsid w:val="6259739F"/>
    <w:rsid w:val="63A20792"/>
    <w:rsid w:val="704F5E38"/>
    <w:rsid w:val="736365EC"/>
    <w:rsid w:val="7DFBB7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D05B7"/>
  <w15:chartTrackingRefBased/>
  <w15:docId w15:val="{A0A9470B-866D-4B2F-BDFC-5BA57E4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9C9"/>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BC4076"/>
    <w:pPr>
      <w:spacing w:before="160" w:after="160"/>
      <w:ind w:left="0"/>
      <w:jc w:val="both"/>
    </w:pPr>
    <w:rPr>
      <w:rFonts w:ascii="Arial" w:hAnsi="Arial"/>
      <w:sz w:val="22"/>
      <w:szCs w:val="20"/>
      <w:lang w:val="es-CO"/>
    </w:rPr>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link w:val="Textonotapie"/>
    <w:uiPriority w:val="99"/>
    <w:rsid w:val="00BC4076"/>
    <w:rPr>
      <w:rFonts w:ascii="Arial" w:hAnsi="Arial"/>
      <w:sz w:val="22"/>
      <w:lang w:eastAsia="es-ES"/>
    </w:rPr>
  </w:style>
  <w:style w:type="character" w:styleId="Refdenotaalpie">
    <w:name w:val="footnote reference"/>
    <w:uiPriority w:val="99"/>
    <w:semiHidden/>
    <w:rsid w:val="00BC4076"/>
    <w:rPr>
      <w:vertAlign w:val="superscript"/>
    </w:rPr>
  </w:style>
  <w:style w:type="paragraph" w:customStyle="1" w:styleId="Artculo">
    <w:name w:val="Artículo"/>
    <w:basedOn w:val="Normal"/>
    <w:next w:val="Normal"/>
    <w:link w:val="ArtculoCar"/>
    <w:qFormat/>
    <w:rsid w:val="00C5402D"/>
    <w:pPr>
      <w:numPr>
        <w:numId w:val="25"/>
      </w:numPr>
      <w:spacing w:before="240" w:after="240"/>
      <w:ind w:left="0"/>
      <w:jc w:val="both"/>
    </w:pPr>
    <w:rPr>
      <w:rFonts w:ascii="Bookman Old Style" w:hAnsi="Bookman Old Style" w:cs="Arial"/>
      <w:b/>
    </w:rPr>
  </w:style>
  <w:style w:type="character" w:customStyle="1" w:styleId="ArtculoCar">
    <w:name w:val="Artículo Car"/>
    <w:link w:val="Artculo"/>
    <w:rsid w:val="00C5402D"/>
    <w:rPr>
      <w:rFonts w:ascii="Bookman Old Style" w:hAnsi="Bookman Old Style" w:cs="Arial"/>
      <w:b/>
      <w:sz w:val="24"/>
      <w:szCs w:val="24"/>
      <w:lang w:val="es-ES" w:eastAsia="es-ES"/>
    </w:rPr>
  </w:style>
  <w:style w:type="character" w:styleId="Refdecomentario">
    <w:name w:val="annotation reference"/>
    <w:basedOn w:val="Fuentedeprrafopredeter"/>
    <w:uiPriority w:val="99"/>
    <w:semiHidden/>
    <w:unhideWhenUsed/>
    <w:rsid w:val="00CC2B9C"/>
    <w:rPr>
      <w:sz w:val="16"/>
      <w:szCs w:val="16"/>
    </w:rPr>
  </w:style>
  <w:style w:type="paragraph" w:styleId="Textocomentario">
    <w:name w:val="annotation text"/>
    <w:basedOn w:val="Normal"/>
    <w:link w:val="TextocomentarioCar"/>
    <w:uiPriority w:val="99"/>
    <w:unhideWhenUsed/>
    <w:rsid w:val="00CC2B9C"/>
    <w:rPr>
      <w:sz w:val="20"/>
      <w:szCs w:val="20"/>
    </w:rPr>
  </w:style>
  <w:style w:type="character" w:customStyle="1" w:styleId="TextocomentarioCar">
    <w:name w:val="Texto comentario Car"/>
    <w:basedOn w:val="Fuentedeprrafopredeter"/>
    <w:link w:val="Textocomentario"/>
    <w:uiPriority w:val="99"/>
    <w:rsid w:val="00CC2B9C"/>
    <w:rPr>
      <w:lang w:val="es-ES" w:eastAsia="es-ES"/>
    </w:rPr>
  </w:style>
  <w:style w:type="paragraph" w:styleId="Asuntodelcomentario">
    <w:name w:val="annotation subject"/>
    <w:basedOn w:val="Textocomentario"/>
    <w:next w:val="Textocomentario"/>
    <w:link w:val="AsuntodelcomentarioCar"/>
    <w:uiPriority w:val="99"/>
    <w:semiHidden/>
    <w:unhideWhenUsed/>
    <w:rsid w:val="00CC2B9C"/>
    <w:rPr>
      <w:b/>
      <w:bCs/>
    </w:rPr>
  </w:style>
  <w:style w:type="character" w:customStyle="1" w:styleId="AsuntodelcomentarioCar">
    <w:name w:val="Asunto del comentario Car"/>
    <w:basedOn w:val="TextocomentarioCar"/>
    <w:link w:val="Asuntodelcomentario"/>
    <w:uiPriority w:val="99"/>
    <w:semiHidden/>
    <w:rsid w:val="00CC2B9C"/>
    <w:rPr>
      <w:b/>
      <w:bCs/>
      <w:lang w:val="es-ES" w:eastAsia="es-ES"/>
    </w:rPr>
  </w:style>
  <w:style w:type="paragraph" w:styleId="Revisin">
    <w:name w:val="Revision"/>
    <w:hidden/>
    <w:uiPriority w:val="99"/>
    <w:semiHidden/>
    <w:rsid w:val="00DD419C"/>
    <w:rPr>
      <w:sz w:val="24"/>
      <w:szCs w:val="24"/>
      <w:lang w:val="es-ES" w:eastAsia="es-ES"/>
    </w:rPr>
  </w:style>
  <w:style w:type="paragraph" w:styleId="NormalWeb">
    <w:name w:val="Normal (Web)"/>
    <w:basedOn w:val="Normal"/>
    <w:uiPriority w:val="99"/>
    <w:unhideWhenUsed/>
    <w:rsid w:val="007C7CC3"/>
    <w:pPr>
      <w:spacing w:before="100" w:beforeAutospacing="1" w:after="100" w:afterAutospacing="1"/>
      <w:ind w:left="0"/>
    </w:pPr>
    <w:rPr>
      <w:lang w:val="es-MX" w:eastAsia="es-MX"/>
    </w:rPr>
  </w:style>
  <w:style w:type="character" w:styleId="Hipervnculo">
    <w:name w:val="Hyperlink"/>
    <w:basedOn w:val="Fuentedeprrafopredeter"/>
    <w:uiPriority w:val="99"/>
    <w:unhideWhenUsed/>
    <w:rsid w:val="007C7CC3"/>
    <w:rPr>
      <w:color w:val="0000FF"/>
      <w:u w:val="single"/>
    </w:rPr>
  </w:style>
  <w:style w:type="character" w:customStyle="1" w:styleId="baj">
    <w:name w:val="b_aj"/>
    <w:basedOn w:val="Fuentedeprrafopredeter"/>
    <w:rsid w:val="007C7CC3"/>
  </w:style>
  <w:style w:type="character" w:styleId="Mencinsinresolver">
    <w:name w:val="Unresolved Mention"/>
    <w:basedOn w:val="Fuentedeprrafopredeter"/>
    <w:uiPriority w:val="99"/>
    <w:semiHidden/>
    <w:unhideWhenUsed/>
    <w:rsid w:val="00524022"/>
    <w:rPr>
      <w:color w:val="605E5C"/>
      <w:shd w:val="clear" w:color="auto" w:fill="E1DFDD"/>
    </w:rPr>
  </w:style>
  <w:style w:type="paragraph" w:customStyle="1" w:styleId="paragraph">
    <w:name w:val="paragraph"/>
    <w:basedOn w:val="Normal"/>
    <w:rsid w:val="00C11BC0"/>
    <w:pPr>
      <w:spacing w:before="100" w:beforeAutospacing="1" w:after="100" w:afterAutospacing="1"/>
      <w:ind w:left="0"/>
    </w:pPr>
    <w:rPr>
      <w:lang w:val="es-CO" w:eastAsia="es-CO"/>
    </w:rPr>
  </w:style>
  <w:style w:type="character" w:customStyle="1" w:styleId="normaltextrun">
    <w:name w:val="normaltextrun"/>
    <w:basedOn w:val="Fuentedeprrafopredeter"/>
    <w:rsid w:val="00C11BC0"/>
  </w:style>
  <w:style w:type="character" w:customStyle="1" w:styleId="eop">
    <w:name w:val="eop"/>
    <w:basedOn w:val="Fuentedeprrafopredeter"/>
    <w:rsid w:val="00C11BC0"/>
  </w:style>
  <w:style w:type="character" w:customStyle="1" w:styleId="scxw122996829">
    <w:name w:val="scxw122996829"/>
    <w:basedOn w:val="Fuentedeprrafopredeter"/>
    <w:rsid w:val="00C11BC0"/>
  </w:style>
  <w:style w:type="character" w:customStyle="1" w:styleId="xcontentpasted0">
    <w:name w:val="x_contentpasted0"/>
    <w:basedOn w:val="Fuentedeprrafopredeter"/>
    <w:rsid w:val="007279BD"/>
  </w:style>
  <w:style w:type="paragraph" w:styleId="Descripcin">
    <w:name w:val="caption"/>
    <w:basedOn w:val="Normal"/>
    <w:next w:val="Normal"/>
    <w:uiPriority w:val="35"/>
    <w:unhideWhenUsed/>
    <w:qFormat/>
    <w:rsid w:val="005D5928"/>
    <w:pPr>
      <w:spacing w:after="200"/>
    </w:pPr>
    <w:rPr>
      <w:i/>
      <w:iCs/>
      <w:color w:val="44546A" w:themeColor="text2"/>
      <w:sz w:val="18"/>
      <w:szCs w:val="18"/>
    </w:rPr>
  </w:style>
  <w:style w:type="table" w:customStyle="1" w:styleId="Tablaconcuadrcula1">
    <w:name w:val="Tabla con cuadrícula1"/>
    <w:basedOn w:val="Tablanormal"/>
    <w:next w:val="Tablaconcuadrcula"/>
    <w:uiPriority w:val="39"/>
    <w:rsid w:val="00D51F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6447">
      <w:bodyDiv w:val="1"/>
      <w:marLeft w:val="0"/>
      <w:marRight w:val="0"/>
      <w:marTop w:val="0"/>
      <w:marBottom w:val="0"/>
      <w:divBdr>
        <w:top w:val="none" w:sz="0" w:space="0" w:color="auto"/>
        <w:left w:val="none" w:sz="0" w:space="0" w:color="auto"/>
        <w:bottom w:val="none" w:sz="0" w:space="0" w:color="auto"/>
        <w:right w:val="none" w:sz="0" w:space="0" w:color="auto"/>
      </w:divBdr>
    </w:div>
    <w:div w:id="150341430">
      <w:bodyDiv w:val="1"/>
      <w:marLeft w:val="0"/>
      <w:marRight w:val="0"/>
      <w:marTop w:val="0"/>
      <w:marBottom w:val="0"/>
      <w:divBdr>
        <w:top w:val="none" w:sz="0" w:space="0" w:color="auto"/>
        <w:left w:val="none" w:sz="0" w:space="0" w:color="auto"/>
        <w:bottom w:val="none" w:sz="0" w:space="0" w:color="auto"/>
        <w:right w:val="none" w:sz="0" w:space="0" w:color="auto"/>
      </w:divBdr>
    </w:div>
    <w:div w:id="240873863">
      <w:bodyDiv w:val="1"/>
      <w:marLeft w:val="0"/>
      <w:marRight w:val="0"/>
      <w:marTop w:val="0"/>
      <w:marBottom w:val="0"/>
      <w:divBdr>
        <w:top w:val="none" w:sz="0" w:space="0" w:color="auto"/>
        <w:left w:val="none" w:sz="0" w:space="0" w:color="auto"/>
        <w:bottom w:val="none" w:sz="0" w:space="0" w:color="auto"/>
        <w:right w:val="none" w:sz="0" w:space="0" w:color="auto"/>
      </w:divBdr>
      <w:divsChild>
        <w:div w:id="1407142077">
          <w:marLeft w:val="446"/>
          <w:marRight w:val="0"/>
          <w:marTop w:val="60"/>
          <w:marBottom w:val="60"/>
          <w:divBdr>
            <w:top w:val="none" w:sz="0" w:space="0" w:color="auto"/>
            <w:left w:val="none" w:sz="0" w:space="0" w:color="auto"/>
            <w:bottom w:val="none" w:sz="0" w:space="0" w:color="auto"/>
            <w:right w:val="none" w:sz="0" w:space="0" w:color="auto"/>
          </w:divBdr>
        </w:div>
      </w:divsChild>
    </w:div>
    <w:div w:id="280192430">
      <w:bodyDiv w:val="1"/>
      <w:marLeft w:val="0"/>
      <w:marRight w:val="0"/>
      <w:marTop w:val="0"/>
      <w:marBottom w:val="0"/>
      <w:divBdr>
        <w:top w:val="none" w:sz="0" w:space="0" w:color="auto"/>
        <w:left w:val="none" w:sz="0" w:space="0" w:color="auto"/>
        <w:bottom w:val="none" w:sz="0" w:space="0" w:color="auto"/>
        <w:right w:val="none" w:sz="0" w:space="0" w:color="auto"/>
      </w:divBdr>
    </w:div>
    <w:div w:id="376706198">
      <w:bodyDiv w:val="1"/>
      <w:marLeft w:val="0"/>
      <w:marRight w:val="0"/>
      <w:marTop w:val="0"/>
      <w:marBottom w:val="0"/>
      <w:divBdr>
        <w:top w:val="none" w:sz="0" w:space="0" w:color="auto"/>
        <w:left w:val="none" w:sz="0" w:space="0" w:color="auto"/>
        <w:bottom w:val="none" w:sz="0" w:space="0" w:color="auto"/>
        <w:right w:val="none" w:sz="0" w:space="0" w:color="auto"/>
      </w:divBdr>
    </w:div>
    <w:div w:id="392774264">
      <w:bodyDiv w:val="1"/>
      <w:marLeft w:val="0"/>
      <w:marRight w:val="0"/>
      <w:marTop w:val="0"/>
      <w:marBottom w:val="0"/>
      <w:divBdr>
        <w:top w:val="none" w:sz="0" w:space="0" w:color="auto"/>
        <w:left w:val="none" w:sz="0" w:space="0" w:color="auto"/>
        <w:bottom w:val="none" w:sz="0" w:space="0" w:color="auto"/>
        <w:right w:val="none" w:sz="0" w:space="0" w:color="auto"/>
      </w:divBdr>
    </w:div>
    <w:div w:id="48073300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9">
          <w:marLeft w:val="547"/>
          <w:marRight w:val="0"/>
          <w:marTop w:val="240"/>
          <w:marBottom w:val="240"/>
          <w:divBdr>
            <w:top w:val="none" w:sz="0" w:space="0" w:color="auto"/>
            <w:left w:val="none" w:sz="0" w:space="0" w:color="auto"/>
            <w:bottom w:val="none" w:sz="0" w:space="0" w:color="auto"/>
            <w:right w:val="none" w:sz="0" w:space="0" w:color="auto"/>
          </w:divBdr>
        </w:div>
        <w:div w:id="1509563615">
          <w:marLeft w:val="547"/>
          <w:marRight w:val="0"/>
          <w:marTop w:val="240"/>
          <w:marBottom w:val="240"/>
          <w:divBdr>
            <w:top w:val="none" w:sz="0" w:space="0" w:color="auto"/>
            <w:left w:val="none" w:sz="0" w:space="0" w:color="auto"/>
            <w:bottom w:val="none" w:sz="0" w:space="0" w:color="auto"/>
            <w:right w:val="none" w:sz="0" w:space="0" w:color="auto"/>
          </w:divBdr>
        </w:div>
        <w:div w:id="1737360217">
          <w:marLeft w:val="547"/>
          <w:marRight w:val="0"/>
          <w:marTop w:val="240"/>
          <w:marBottom w:val="240"/>
          <w:divBdr>
            <w:top w:val="none" w:sz="0" w:space="0" w:color="auto"/>
            <w:left w:val="none" w:sz="0" w:space="0" w:color="auto"/>
            <w:bottom w:val="none" w:sz="0" w:space="0" w:color="auto"/>
            <w:right w:val="none" w:sz="0" w:space="0" w:color="auto"/>
          </w:divBdr>
        </w:div>
      </w:divsChild>
    </w:div>
    <w:div w:id="489248693">
      <w:bodyDiv w:val="1"/>
      <w:marLeft w:val="0"/>
      <w:marRight w:val="0"/>
      <w:marTop w:val="0"/>
      <w:marBottom w:val="0"/>
      <w:divBdr>
        <w:top w:val="none" w:sz="0" w:space="0" w:color="auto"/>
        <w:left w:val="none" w:sz="0" w:space="0" w:color="auto"/>
        <w:bottom w:val="none" w:sz="0" w:space="0" w:color="auto"/>
        <w:right w:val="none" w:sz="0" w:space="0" w:color="auto"/>
      </w:divBdr>
    </w:div>
    <w:div w:id="491262727">
      <w:bodyDiv w:val="1"/>
      <w:marLeft w:val="0"/>
      <w:marRight w:val="0"/>
      <w:marTop w:val="0"/>
      <w:marBottom w:val="0"/>
      <w:divBdr>
        <w:top w:val="none" w:sz="0" w:space="0" w:color="auto"/>
        <w:left w:val="none" w:sz="0" w:space="0" w:color="auto"/>
        <w:bottom w:val="none" w:sz="0" w:space="0" w:color="auto"/>
        <w:right w:val="none" w:sz="0" w:space="0" w:color="auto"/>
      </w:divBdr>
    </w:div>
    <w:div w:id="493373499">
      <w:bodyDiv w:val="1"/>
      <w:marLeft w:val="0"/>
      <w:marRight w:val="0"/>
      <w:marTop w:val="0"/>
      <w:marBottom w:val="0"/>
      <w:divBdr>
        <w:top w:val="none" w:sz="0" w:space="0" w:color="auto"/>
        <w:left w:val="none" w:sz="0" w:space="0" w:color="auto"/>
        <w:bottom w:val="none" w:sz="0" w:space="0" w:color="auto"/>
        <w:right w:val="none" w:sz="0" w:space="0" w:color="auto"/>
      </w:divBdr>
    </w:div>
    <w:div w:id="598804191">
      <w:bodyDiv w:val="1"/>
      <w:marLeft w:val="0"/>
      <w:marRight w:val="0"/>
      <w:marTop w:val="0"/>
      <w:marBottom w:val="0"/>
      <w:divBdr>
        <w:top w:val="none" w:sz="0" w:space="0" w:color="auto"/>
        <w:left w:val="none" w:sz="0" w:space="0" w:color="auto"/>
        <w:bottom w:val="none" w:sz="0" w:space="0" w:color="auto"/>
        <w:right w:val="none" w:sz="0" w:space="0" w:color="auto"/>
      </w:divBdr>
    </w:div>
    <w:div w:id="628240045">
      <w:bodyDiv w:val="1"/>
      <w:marLeft w:val="0"/>
      <w:marRight w:val="0"/>
      <w:marTop w:val="0"/>
      <w:marBottom w:val="0"/>
      <w:divBdr>
        <w:top w:val="none" w:sz="0" w:space="0" w:color="auto"/>
        <w:left w:val="none" w:sz="0" w:space="0" w:color="auto"/>
        <w:bottom w:val="none" w:sz="0" w:space="0" w:color="auto"/>
        <w:right w:val="none" w:sz="0" w:space="0" w:color="auto"/>
      </w:divBdr>
    </w:div>
    <w:div w:id="663317569">
      <w:bodyDiv w:val="1"/>
      <w:marLeft w:val="0"/>
      <w:marRight w:val="0"/>
      <w:marTop w:val="0"/>
      <w:marBottom w:val="0"/>
      <w:divBdr>
        <w:top w:val="none" w:sz="0" w:space="0" w:color="auto"/>
        <w:left w:val="none" w:sz="0" w:space="0" w:color="auto"/>
        <w:bottom w:val="none" w:sz="0" w:space="0" w:color="auto"/>
        <w:right w:val="none" w:sz="0" w:space="0" w:color="auto"/>
      </w:divBdr>
    </w:div>
    <w:div w:id="719522153">
      <w:bodyDiv w:val="1"/>
      <w:marLeft w:val="0"/>
      <w:marRight w:val="0"/>
      <w:marTop w:val="0"/>
      <w:marBottom w:val="0"/>
      <w:divBdr>
        <w:top w:val="none" w:sz="0" w:space="0" w:color="auto"/>
        <w:left w:val="none" w:sz="0" w:space="0" w:color="auto"/>
        <w:bottom w:val="none" w:sz="0" w:space="0" w:color="auto"/>
        <w:right w:val="none" w:sz="0" w:space="0" w:color="auto"/>
      </w:divBdr>
    </w:div>
    <w:div w:id="1124270258">
      <w:bodyDiv w:val="1"/>
      <w:marLeft w:val="0"/>
      <w:marRight w:val="0"/>
      <w:marTop w:val="0"/>
      <w:marBottom w:val="0"/>
      <w:divBdr>
        <w:top w:val="none" w:sz="0" w:space="0" w:color="auto"/>
        <w:left w:val="none" w:sz="0" w:space="0" w:color="auto"/>
        <w:bottom w:val="none" w:sz="0" w:space="0" w:color="auto"/>
        <w:right w:val="none" w:sz="0" w:space="0" w:color="auto"/>
      </w:divBdr>
    </w:div>
    <w:div w:id="1129320512">
      <w:bodyDiv w:val="1"/>
      <w:marLeft w:val="0"/>
      <w:marRight w:val="0"/>
      <w:marTop w:val="0"/>
      <w:marBottom w:val="0"/>
      <w:divBdr>
        <w:top w:val="none" w:sz="0" w:space="0" w:color="auto"/>
        <w:left w:val="none" w:sz="0" w:space="0" w:color="auto"/>
        <w:bottom w:val="none" w:sz="0" w:space="0" w:color="auto"/>
        <w:right w:val="none" w:sz="0" w:space="0" w:color="auto"/>
      </w:divBdr>
    </w:div>
    <w:div w:id="1146361001">
      <w:bodyDiv w:val="1"/>
      <w:marLeft w:val="0"/>
      <w:marRight w:val="0"/>
      <w:marTop w:val="0"/>
      <w:marBottom w:val="0"/>
      <w:divBdr>
        <w:top w:val="none" w:sz="0" w:space="0" w:color="auto"/>
        <w:left w:val="none" w:sz="0" w:space="0" w:color="auto"/>
        <w:bottom w:val="none" w:sz="0" w:space="0" w:color="auto"/>
        <w:right w:val="none" w:sz="0" w:space="0" w:color="auto"/>
      </w:divBdr>
    </w:div>
    <w:div w:id="1180124974">
      <w:bodyDiv w:val="1"/>
      <w:marLeft w:val="0"/>
      <w:marRight w:val="0"/>
      <w:marTop w:val="0"/>
      <w:marBottom w:val="0"/>
      <w:divBdr>
        <w:top w:val="none" w:sz="0" w:space="0" w:color="auto"/>
        <w:left w:val="none" w:sz="0" w:space="0" w:color="auto"/>
        <w:bottom w:val="none" w:sz="0" w:space="0" w:color="auto"/>
        <w:right w:val="none" w:sz="0" w:space="0" w:color="auto"/>
      </w:divBdr>
    </w:div>
    <w:div w:id="1197353548">
      <w:bodyDiv w:val="1"/>
      <w:marLeft w:val="0"/>
      <w:marRight w:val="0"/>
      <w:marTop w:val="0"/>
      <w:marBottom w:val="0"/>
      <w:divBdr>
        <w:top w:val="none" w:sz="0" w:space="0" w:color="auto"/>
        <w:left w:val="none" w:sz="0" w:space="0" w:color="auto"/>
        <w:bottom w:val="none" w:sz="0" w:space="0" w:color="auto"/>
        <w:right w:val="none" w:sz="0" w:space="0" w:color="auto"/>
      </w:divBdr>
    </w:div>
    <w:div w:id="1212811201">
      <w:bodyDiv w:val="1"/>
      <w:marLeft w:val="0"/>
      <w:marRight w:val="0"/>
      <w:marTop w:val="0"/>
      <w:marBottom w:val="0"/>
      <w:divBdr>
        <w:top w:val="none" w:sz="0" w:space="0" w:color="auto"/>
        <w:left w:val="none" w:sz="0" w:space="0" w:color="auto"/>
        <w:bottom w:val="none" w:sz="0" w:space="0" w:color="auto"/>
        <w:right w:val="none" w:sz="0" w:space="0" w:color="auto"/>
      </w:divBdr>
    </w:div>
    <w:div w:id="1265260187">
      <w:bodyDiv w:val="1"/>
      <w:marLeft w:val="0"/>
      <w:marRight w:val="0"/>
      <w:marTop w:val="0"/>
      <w:marBottom w:val="0"/>
      <w:divBdr>
        <w:top w:val="none" w:sz="0" w:space="0" w:color="auto"/>
        <w:left w:val="none" w:sz="0" w:space="0" w:color="auto"/>
        <w:bottom w:val="none" w:sz="0" w:space="0" w:color="auto"/>
        <w:right w:val="none" w:sz="0" w:space="0" w:color="auto"/>
      </w:divBdr>
    </w:div>
    <w:div w:id="1319335526">
      <w:bodyDiv w:val="1"/>
      <w:marLeft w:val="0"/>
      <w:marRight w:val="0"/>
      <w:marTop w:val="0"/>
      <w:marBottom w:val="0"/>
      <w:divBdr>
        <w:top w:val="none" w:sz="0" w:space="0" w:color="auto"/>
        <w:left w:val="none" w:sz="0" w:space="0" w:color="auto"/>
        <w:bottom w:val="none" w:sz="0" w:space="0" w:color="auto"/>
        <w:right w:val="none" w:sz="0" w:space="0" w:color="auto"/>
      </w:divBdr>
    </w:div>
    <w:div w:id="1370573199">
      <w:bodyDiv w:val="1"/>
      <w:marLeft w:val="0"/>
      <w:marRight w:val="0"/>
      <w:marTop w:val="0"/>
      <w:marBottom w:val="0"/>
      <w:divBdr>
        <w:top w:val="none" w:sz="0" w:space="0" w:color="auto"/>
        <w:left w:val="none" w:sz="0" w:space="0" w:color="auto"/>
        <w:bottom w:val="none" w:sz="0" w:space="0" w:color="auto"/>
        <w:right w:val="none" w:sz="0" w:space="0" w:color="auto"/>
      </w:divBdr>
    </w:div>
    <w:div w:id="1438713205">
      <w:bodyDiv w:val="1"/>
      <w:marLeft w:val="0"/>
      <w:marRight w:val="0"/>
      <w:marTop w:val="0"/>
      <w:marBottom w:val="0"/>
      <w:divBdr>
        <w:top w:val="none" w:sz="0" w:space="0" w:color="auto"/>
        <w:left w:val="none" w:sz="0" w:space="0" w:color="auto"/>
        <w:bottom w:val="none" w:sz="0" w:space="0" w:color="auto"/>
        <w:right w:val="none" w:sz="0" w:space="0" w:color="auto"/>
      </w:divBdr>
    </w:div>
    <w:div w:id="1549225630">
      <w:bodyDiv w:val="1"/>
      <w:marLeft w:val="0"/>
      <w:marRight w:val="0"/>
      <w:marTop w:val="0"/>
      <w:marBottom w:val="0"/>
      <w:divBdr>
        <w:top w:val="none" w:sz="0" w:space="0" w:color="auto"/>
        <w:left w:val="none" w:sz="0" w:space="0" w:color="auto"/>
        <w:bottom w:val="none" w:sz="0" w:space="0" w:color="auto"/>
        <w:right w:val="none" w:sz="0" w:space="0" w:color="auto"/>
      </w:divBdr>
    </w:div>
    <w:div w:id="1683848739">
      <w:bodyDiv w:val="1"/>
      <w:marLeft w:val="0"/>
      <w:marRight w:val="0"/>
      <w:marTop w:val="0"/>
      <w:marBottom w:val="0"/>
      <w:divBdr>
        <w:top w:val="none" w:sz="0" w:space="0" w:color="auto"/>
        <w:left w:val="none" w:sz="0" w:space="0" w:color="auto"/>
        <w:bottom w:val="none" w:sz="0" w:space="0" w:color="auto"/>
        <w:right w:val="none" w:sz="0" w:space="0" w:color="auto"/>
      </w:divBdr>
    </w:div>
    <w:div w:id="1704867067">
      <w:bodyDiv w:val="1"/>
      <w:marLeft w:val="0"/>
      <w:marRight w:val="0"/>
      <w:marTop w:val="0"/>
      <w:marBottom w:val="0"/>
      <w:divBdr>
        <w:top w:val="none" w:sz="0" w:space="0" w:color="auto"/>
        <w:left w:val="none" w:sz="0" w:space="0" w:color="auto"/>
        <w:bottom w:val="none" w:sz="0" w:space="0" w:color="auto"/>
        <w:right w:val="none" w:sz="0" w:space="0" w:color="auto"/>
      </w:divBdr>
    </w:div>
    <w:div w:id="1772317910">
      <w:bodyDiv w:val="1"/>
      <w:marLeft w:val="0"/>
      <w:marRight w:val="0"/>
      <w:marTop w:val="0"/>
      <w:marBottom w:val="0"/>
      <w:divBdr>
        <w:top w:val="none" w:sz="0" w:space="0" w:color="auto"/>
        <w:left w:val="none" w:sz="0" w:space="0" w:color="auto"/>
        <w:bottom w:val="none" w:sz="0" w:space="0" w:color="auto"/>
        <w:right w:val="none" w:sz="0" w:space="0" w:color="auto"/>
      </w:divBdr>
      <w:divsChild>
        <w:div w:id="1934313510">
          <w:marLeft w:val="0"/>
          <w:marRight w:val="0"/>
          <w:marTop w:val="0"/>
          <w:marBottom w:val="0"/>
          <w:divBdr>
            <w:top w:val="none" w:sz="0" w:space="0" w:color="auto"/>
            <w:left w:val="none" w:sz="0" w:space="0" w:color="auto"/>
            <w:bottom w:val="none" w:sz="0" w:space="0" w:color="auto"/>
            <w:right w:val="none" w:sz="0" w:space="0" w:color="auto"/>
          </w:divBdr>
          <w:divsChild>
            <w:div w:id="131557493">
              <w:marLeft w:val="0"/>
              <w:marRight w:val="0"/>
              <w:marTop w:val="0"/>
              <w:marBottom w:val="0"/>
              <w:divBdr>
                <w:top w:val="none" w:sz="0" w:space="0" w:color="auto"/>
                <w:left w:val="none" w:sz="0" w:space="0" w:color="auto"/>
                <w:bottom w:val="none" w:sz="0" w:space="0" w:color="auto"/>
                <w:right w:val="none" w:sz="0" w:space="0" w:color="auto"/>
              </w:divBdr>
            </w:div>
          </w:divsChild>
        </w:div>
        <w:div w:id="1461266283">
          <w:marLeft w:val="0"/>
          <w:marRight w:val="0"/>
          <w:marTop w:val="0"/>
          <w:marBottom w:val="0"/>
          <w:divBdr>
            <w:top w:val="none" w:sz="0" w:space="0" w:color="auto"/>
            <w:left w:val="none" w:sz="0" w:space="0" w:color="auto"/>
            <w:bottom w:val="none" w:sz="0" w:space="0" w:color="auto"/>
            <w:right w:val="none" w:sz="0" w:space="0" w:color="auto"/>
          </w:divBdr>
          <w:divsChild>
            <w:div w:id="104692603">
              <w:marLeft w:val="0"/>
              <w:marRight w:val="0"/>
              <w:marTop w:val="0"/>
              <w:marBottom w:val="0"/>
              <w:divBdr>
                <w:top w:val="none" w:sz="0" w:space="0" w:color="auto"/>
                <w:left w:val="none" w:sz="0" w:space="0" w:color="auto"/>
                <w:bottom w:val="none" w:sz="0" w:space="0" w:color="auto"/>
                <w:right w:val="none" w:sz="0" w:space="0" w:color="auto"/>
              </w:divBdr>
            </w:div>
          </w:divsChild>
        </w:div>
        <w:div w:id="325401601">
          <w:marLeft w:val="0"/>
          <w:marRight w:val="0"/>
          <w:marTop w:val="0"/>
          <w:marBottom w:val="0"/>
          <w:divBdr>
            <w:top w:val="none" w:sz="0" w:space="0" w:color="auto"/>
            <w:left w:val="none" w:sz="0" w:space="0" w:color="auto"/>
            <w:bottom w:val="none" w:sz="0" w:space="0" w:color="auto"/>
            <w:right w:val="none" w:sz="0" w:space="0" w:color="auto"/>
          </w:divBdr>
          <w:divsChild>
            <w:div w:id="963191537">
              <w:marLeft w:val="0"/>
              <w:marRight w:val="0"/>
              <w:marTop w:val="0"/>
              <w:marBottom w:val="0"/>
              <w:divBdr>
                <w:top w:val="none" w:sz="0" w:space="0" w:color="auto"/>
                <w:left w:val="none" w:sz="0" w:space="0" w:color="auto"/>
                <w:bottom w:val="none" w:sz="0" w:space="0" w:color="auto"/>
                <w:right w:val="none" w:sz="0" w:space="0" w:color="auto"/>
              </w:divBdr>
            </w:div>
          </w:divsChild>
        </w:div>
        <w:div w:id="353465413">
          <w:marLeft w:val="0"/>
          <w:marRight w:val="0"/>
          <w:marTop w:val="0"/>
          <w:marBottom w:val="0"/>
          <w:divBdr>
            <w:top w:val="none" w:sz="0" w:space="0" w:color="auto"/>
            <w:left w:val="none" w:sz="0" w:space="0" w:color="auto"/>
            <w:bottom w:val="none" w:sz="0" w:space="0" w:color="auto"/>
            <w:right w:val="none" w:sz="0" w:space="0" w:color="auto"/>
          </w:divBdr>
          <w:divsChild>
            <w:div w:id="427240538">
              <w:marLeft w:val="0"/>
              <w:marRight w:val="0"/>
              <w:marTop w:val="0"/>
              <w:marBottom w:val="0"/>
              <w:divBdr>
                <w:top w:val="none" w:sz="0" w:space="0" w:color="auto"/>
                <w:left w:val="none" w:sz="0" w:space="0" w:color="auto"/>
                <w:bottom w:val="none" w:sz="0" w:space="0" w:color="auto"/>
                <w:right w:val="none" w:sz="0" w:space="0" w:color="auto"/>
              </w:divBdr>
            </w:div>
          </w:divsChild>
        </w:div>
        <w:div w:id="698313093">
          <w:marLeft w:val="0"/>
          <w:marRight w:val="0"/>
          <w:marTop w:val="0"/>
          <w:marBottom w:val="0"/>
          <w:divBdr>
            <w:top w:val="none" w:sz="0" w:space="0" w:color="auto"/>
            <w:left w:val="none" w:sz="0" w:space="0" w:color="auto"/>
            <w:bottom w:val="none" w:sz="0" w:space="0" w:color="auto"/>
            <w:right w:val="none" w:sz="0" w:space="0" w:color="auto"/>
          </w:divBdr>
          <w:divsChild>
            <w:div w:id="930821438">
              <w:marLeft w:val="0"/>
              <w:marRight w:val="0"/>
              <w:marTop w:val="0"/>
              <w:marBottom w:val="0"/>
              <w:divBdr>
                <w:top w:val="none" w:sz="0" w:space="0" w:color="auto"/>
                <w:left w:val="none" w:sz="0" w:space="0" w:color="auto"/>
                <w:bottom w:val="none" w:sz="0" w:space="0" w:color="auto"/>
                <w:right w:val="none" w:sz="0" w:space="0" w:color="auto"/>
              </w:divBdr>
            </w:div>
          </w:divsChild>
        </w:div>
        <w:div w:id="1767993905">
          <w:marLeft w:val="0"/>
          <w:marRight w:val="0"/>
          <w:marTop w:val="0"/>
          <w:marBottom w:val="0"/>
          <w:divBdr>
            <w:top w:val="none" w:sz="0" w:space="0" w:color="auto"/>
            <w:left w:val="none" w:sz="0" w:space="0" w:color="auto"/>
            <w:bottom w:val="none" w:sz="0" w:space="0" w:color="auto"/>
            <w:right w:val="none" w:sz="0" w:space="0" w:color="auto"/>
          </w:divBdr>
          <w:divsChild>
            <w:div w:id="1089960060">
              <w:marLeft w:val="0"/>
              <w:marRight w:val="0"/>
              <w:marTop w:val="0"/>
              <w:marBottom w:val="0"/>
              <w:divBdr>
                <w:top w:val="none" w:sz="0" w:space="0" w:color="auto"/>
                <w:left w:val="none" w:sz="0" w:space="0" w:color="auto"/>
                <w:bottom w:val="none" w:sz="0" w:space="0" w:color="auto"/>
                <w:right w:val="none" w:sz="0" w:space="0" w:color="auto"/>
              </w:divBdr>
            </w:div>
          </w:divsChild>
        </w:div>
        <w:div w:id="1446848638">
          <w:marLeft w:val="0"/>
          <w:marRight w:val="0"/>
          <w:marTop w:val="0"/>
          <w:marBottom w:val="0"/>
          <w:divBdr>
            <w:top w:val="none" w:sz="0" w:space="0" w:color="auto"/>
            <w:left w:val="none" w:sz="0" w:space="0" w:color="auto"/>
            <w:bottom w:val="none" w:sz="0" w:space="0" w:color="auto"/>
            <w:right w:val="none" w:sz="0" w:space="0" w:color="auto"/>
          </w:divBdr>
          <w:divsChild>
            <w:div w:id="1505051615">
              <w:marLeft w:val="0"/>
              <w:marRight w:val="0"/>
              <w:marTop w:val="0"/>
              <w:marBottom w:val="0"/>
              <w:divBdr>
                <w:top w:val="none" w:sz="0" w:space="0" w:color="auto"/>
                <w:left w:val="none" w:sz="0" w:space="0" w:color="auto"/>
                <w:bottom w:val="none" w:sz="0" w:space="0" w:color="auto"/>
                <w:right w:val="none" w:sz="0" w:space="0" w:color="auto"/>
              </w:divBdr>
            </w:div>
          </w:divsChild>
        </w:div>
        <w:div w:id="493492129">
          <w:marLeft w:val="0"/>
          <w:marRight w:val="0"/>
          <w:marTop w:val="0"/>
          <w:marBottom w:val="0"/>
          <w:divBdr>
            <w:top w:val="none" w:sz="0" w:space="0" w:color="auto"/>
            <w:left w:val="none" w:sz="0" w:space="0" w:color="auto"/>
            <w:bottom w:val="none" w:sz="0" w:space="0" w:color="auto"/>
            <w:right w:val="none" w:sz="0" w:space="0" w:color="auto"/>
          </w:divBdr>
          <w:divsChild>
            <w:div w:id="1973822307">
              <w:marLeft w:val="0"/>
              <w:marRight w:val="0"/>
              <w:marTop w:val="0"/>
              <w:marBottom w:val="0"/>
              <w:divBdr>
                <w:top w:val="none" w:sz="0" w:space="0" w:color="auto"/>
                <w:left w:val="none" w:sz="0" w:space="0" w:color="auto"/>
                <w:bottom w:val="none" w:sz="0" w:space="0" w:color="auto"/>
                <w:right w:val="none" w:sz="0" w:space="0" w:color="auto"/>
              </w:divBdr>
            </w:div>
          </w:divsChild>
        </w:div>
        <w:div w:id="146286413">
          <w:marLeft w:val="0"/>
          <w:marRight w:val="0"/>
          <w:marTop w:val="0"/>
          <w:marBottom w:val="0"/>
          <w:divBdr>
            <w:top w:val="none" w:sz="0" w:space="0" w:color="auto"/>
            <w:left w:val="none" w:sz="0" w:space="0" w:color="auto"/>
            <w:bottom w:val="none" w:sz="0" w:space="0" w:color="auto"/>
            <w:right w:val="none" w:sz="0" w:space="0" w:color="auto"/>
          </w:divBdr>
          <w:divsChild>
            <w:div w:id="2008315592">
              <w:marLeft w:val="0"/>
              <w:marRight w:val="0"/>
              <w:marTop w:val="0"/>
              <w:marBottom w:val="0"/>
              <w:divBdr>
                <w:top w:val="none" w:sz="0" w:space="0" w:color="auto"/>
                <w:left w:val="none" w:sz="0" w:space="0" w:color="auto"/>
                <w:bottom w:val="none" w:sz="0" w:space="0" w:color="auto"/>
                <w:right w:val="none" w:sz="0" w:space="0" w:color="auto"/>
              </w:divBdr>
            </w:div>
          </w:divsChild>
        </w:div>
        <w:div w:id="1995644557">
          <w:marLeft w:val="0"/>
          <w:marRight w:val="0"/>
          <w:marTop w:val="0"/>
          <w:marBottom w:val="0"/>
          <w:divBdr>
            <w:top w:val="none" w:sz="0" w:space="0" w:color="auto"/>
            <w:left w:val="none" w:sz="0" w:space="0" w:color="auto"/>
            <w:bottom w:val="none" w:sz="0" w:space="0" w:color="auto"/>
            <w:right w:val="none" w:sz="0" w:space="0" w:color="auto"/>
          </w:divBdr>
          <w:divsChild>
            <w:div w:id="1015352624">
              <w:marLeft w:val="0"/>
              <w:marRight w:val="0"/>
              <w:marTop w:val="0"/>
              <w:marBottom w:val="0"/>
              <w:divBdr>
                <w:top w:val="none" w:sz="0" w:space="0" w:color="auto"/>
                <w:left w:val="none" w:sz="0" w:space="0" w:color="auto"/>
                <w:bottom w:val="none" w:sz="0" w:space="0" w:color="auto"/>
                <w:right w:val="none" w:sz="0" w:space="0" w:color="auto"/>
              </w:divBdr>
            </w:div>
          </w:divsChild>
        </w:div>
        <w:div w:id="982202158">
          <w:marLeft w:val="0"/>
          <w:marRight w:val="0"/>
          <w:marTop w:val="0"/>
          <w:marBottom w:val="0"/>
          <w:divBdr>
            <w:top w:val="none" w:sz="0" w:space="0" w:color="auto"/>
            <w:left w:val="none" w:sz="0" w:space="0" w:color="auto"/>
            <w:bottom w:val="none" w:sz="0" w:space="0" w:color="auto"/>
            <w:right w:val="none" w:sz="0" w:space="0" w:color="auto"/>
          </w:divBdr>
          <w:divsChild>
            <w:div w:id="239095792">
              <w:marLeft w:val="0"/>
              <w:marRight w:val="0"/>
              <w:marTop w:val="0"/>
              <w:marBottom w:val="0"/>
              <w:divBdr>
                <w:top w:val="none" w:sz="0" w:space="0" w:color="auto"/>
                <w:left w:val="none" w:sz="0" w:space="0" w:color="auto"/>
                <w:bottom w:val="none" w:sz="0" w:space="0" w:color="auto"/>
                <w:right w:val="none" w:sz="0" w:space="0" w:color="auto"/>
              </w:divBdr>
            </w:div>
          </w:divsChild>
        </w:div>
        <w:div w:id="247202544">
          <w:marLeft w:val="0"/>
          <w:marRight w:val="0"/>
          <w:marTop w:val="0"/>
          <w:marBottom w:val="0"/>
          <w:divBdr>
            <w:top w:val="none" w:sz="0" w:space="0" w:color="auto"/>
            <w:left w:val="none" w:sz="0" w:space="0" w:color="auto"/>
            <w:bottom w:val="none" w:sz="0" w:space="0" w:color="auto"/>
            <w:right w:val="none" w:sz="0" w:space="0" w:color="auto"/>
          </w:divBdr>
          <w:divsChild>
            <w:div w:id="1882594817">
              <w:marLeft w:val="0"/>
              <w:marRight w:val="0"/>
              <w:marTop w:val="0"/>
              <w:marBottom w:val="0"/>
              <w:divBdr>
                <w:top w:val="none" w:sz="0" w:space="0" w:color="auto"/>
                <w:left w:val="none" w:sz="0" w:space="0" w:color="auto"/>
                <w:bottom w:val="none" w:sz="0" w:space="0" w:color="auto"/>
                <w:right w:val="none" w:sz="0" w:space="0" w:color="auto"/>
              </w:divBdr>
            </w:div>
          </w:divsChild>
        </w:div>
        <w:div w:id="1270820864">
          <w:marLeft w:val="0"/>
          <w:marRight w:val="0"/>
          <w:marTop w:val="0"/>
          <w:marBottom w:val="0"/>
          <w:divBdr>
            <w:top w:val="none" w:sz="0" w:space="0" w:color="auto"/>
            <w:left w:val="none" w:sz="0" w:space="0" w:color="auto"/>
            <w:bottom w:val="none" w:sz="0" w:space="0" w:color="auto"/>
            <w:right w:val="none" w:sz="0" w:space="0" w:color="auto"/>
          </w:divBdr>
          <w:divsChild>
            <w:div w:id="1124620960">
              <w:marLeft w:val="0"/>
              <w:marRight w:val="0"/>
              <w:marTop w:val="0"/>
              <w:marBottom w:val="0"/>
              <w:divBdr>
                <w:top w:val="none" w:sz="0" w:space="0" w:color="auto"/>
                <w:left w:val="none" w:sz="0" w:space="0" w:color="auto"/>
                <w:bottom w:val="none" w:sz="0" w:space="0" w:color="auto"/>
                <w:right w:val="none" w:sz="0" w:space="0" w:color="auto"/>
              </w:divBdr>
            </w:div>
          </w:divsChild>
        </w:div>
        <w:div w:id="1385641350">
          <w:marLeft w:val="0"/>
          <w:marRight w:val="0"/>
          <w:marTop w:val="0"/>
          <w:marBottom w:val="0"/>
          <w:divBdr>
            <w:top w:val="none" w:sz="0" w:space="0" w:color="auto"/>
            <w:left w:val="none" w:sz="0" w:space="0" w:color="auto"/>
            <w:bottom w:val="none" w:sz="0" w:space="0" w:color="auto"/>
            <w:right w:val="none" w:sz="0" w:space="0" w:color="auto"/>
          </w:divBdr>
          <w:divsChild>
            <w:div w:id="100803745">
              <w:marLeft w:val="0"/>
              <w:marRight w:val="0"/>
              <w:marTop w:val="0"/>
              <w:marBottom w:val="0"/>
              <w:divBdr>
                <w:top w:val="none" w:sz="0" w:space="0" w:color="auto"/>
                <w:left w:val="none" w:sz="0" w:space="0" w:color="auto"/>
                <w:bottom w:val="none" w:sz="0" w:space="0" w:color="auto"/>
                <w:right w:val="none" w:sz="0" w:space="0" w:color="auto"/>
              </w:divBdr>
            </w:div>
          </w:divsChild>
        </w:div>
        <w:div w:id="1884754271">
          <w:marLeft w:val="0"/>
          <w:marRight w:val="0"/>
          <w:marTop w:val="0"/>
          <w:marBottom w:val="0"/>
          <w:divBdr>
            <w:top w:val="none" w:sz="0" w:space="0" w:color="auto"/>
            <w:left w:val="none" w:sz="0" w:space="0" w:color="auto"/>
            <w:bottom w:val="none" w:sz="0" w:space="0" w:color="auto"/>
            <w:right w:val="none" w:sz="0" w:space="0" w:color="auto"/>
          </w:divBdr>
          <w:divsChild>
            <w:div w:id="1951234977">
              <w:marLeft w:val="0"/>
              <w:marRight w:val="0"/>
              <w:marTop w:val="0"/>
              <w:marBottom w:val="0"/>
              <w:divBdr>
                <w:top w:val="none" w:sz="0" w:space="0" w:color="auto"/>
                <w:left w:val="none" w:sz="0" w:space="0" w:color="auto"/>
                <w:bottom w:val="none" w:sz="0" w:space="0" w:color="auto"/>
                <w:right w:val="none" w:sz="0" w:space="0" w:color="auto"/>
              </w:divBdr>
            </w:div>
          </w:divsChild>
        </w:div>
        <w:div w:id="810287156">
          <w:marLeft w:val="0"/>
          <w:marRight w:val="0"/>
          <w:marTop w:val="0"/>
          <w:marBottom w:val="0"/>
          <w:divBdr>
            <w:top w:val="none" w:sz="0" w:space="0" w:color="auto"/>
            <w:left w:val="none" w:sz="0" w:space="0" w:color="auto"/>
            <w:bottom w:val="none" w:sz="0" w:space="0" w:color="auto"/>
            <w:right w:val="none" w:sz="0" w:space="0" w:color="auto"/>
          </w:divBdr>
          <w:divsChild>
            <w:div w:id="2081439913">
              <w:marLeft w:val="0"/>
              <w:marRight w:val="0"/>
              <w:marTop w:val="0"/>
              <w:marBottom w:val="0"/>
              <w:divBdr>
                <w:top w:val="none" w:sz="0" w:space="0" w:color="auto"/>
                <w:left w:val="none" w:sz="0" w:space="0" w:color="auto"/>
                <w:bottom w:val="none" w:sz="0" w:space="0" w:color="auto"/>
                <w:right w:val="none" w:sz="0" w:space="0" w:color="auto"/>
              </w:divBdr>
            </w:div>
          </w:divsChild>
        </w:div>
        <w:div w:id="664632273">
          <w:marLeft w:val="0"/>
          <w:marRight w:val="0"/>
          <w:marTop w:val="0"/>
          <w:marBottom w:val="0"/>
          <w:divBdr>
            <w:top w:val="none" w:sz="0" w:space="0" w:color="auto"/>
            <w:left w:val="none" w:sz="0" w:space="0" w:color="auto"/>
            <w:bottom w:val="none" w:sz="0" w:space="0" w:color="auto"/>
            <w:right w:val="none" w:sz="0" w:space="0" w:color="auto"/>
          </w:divBdr>
          <w:divsChild>
            <w:div w:id="1196650475">
              <w:marLeft w:val="0"/>
              <w:marRight w:val="0"/>
              <w:marTop w:val="0"/>
              <w:marBottom w:val="0"/>
              <w:divBdr>
                <w:top w:val="none" w:sz="0" w:space="0" w:color="auto"/>
                <w:left w:val="none" w:sz="0" w:space="0" w:color="auto"/>
                <w:bottom w:val="none" w:sz="0" w:space="0" w:color="auto"/>
                <w:right w:val="none" w:sz="0" w:space="0" w:color="auto"/>
              </w:divBdr>
            </w:div>
          </w:divsChild>
        </w:div>
        <w:div w:id="1592203647">
          <w:marLeft w:val="0"/>
          <w:marRight w:val="0"/>
          <w:marTop w:val="0"/>
          <w:marBottom w:val="0"/>
          <w:divBdr>
            <w:top w:val="none" w:sz="0" w:space="0" w:color="auto"/>
            <w:left w:val="none" w:sz="0" w:space="0" w:color="auto"/>
            <w:bottom w:val="none" w:sz="0" w:space="0" w:color="auto"/>
            <w:right w:val="none" w:sz="0" w:space="0" w:color="auto"/>
          </w:divBdr>
          <w:divsChild>
            <w:div w:id="615674934">
              <w:marLeft w:val="0"/>
              <w:marRight w:val="0"/>
              <w:marTop w:val="0"/>
              <w:marBottom w:val="0"/>
              <w:divBdr>
                <w:top w:val="none" w:sz="0" w:space="0" w:color="auto"/>
                <w:left w:val="none" w:sz="0" w:space="0" w:color="auto"/>
                <w:bottom w:val="none" w:sz="0" w:space="0" w:color="auto"/>
                <w:right w:val="none" w:sz="0" w:space="0" w:color="auto"/>
              </w:divBdr>
            </w:div>
          </w:divsChild>
        </w:div>
        <w:div w:id="1886747691">
          <w:marLeft w:val="0"/>
          <w:marRight w:val="0"/>
          <w:marTop w:val="0"/>
          <w:marBottom w:val="0"/>
          <w:divBdr>
            <w:top w:val="none" w:sz="0" w:space="0" w:color="auto"/>
            <w:left w:val="none" w:sz="0" w:space="0" w:color="auto"/>
            <w:bottom w:val="none" w:sz="0" w:space="0" w:color="auto"/>
            <w:right w:val="none" w:sz="0" w:space="0" w:color="auto"/>
          </w:divBdr>
          <w:divsChild>
            <w:div w:id="432438847">
              <w:marLeft w:val="0"/>
              <w:marRight w:val="0"/>
              <w:marTop w:val="0"/>
              <w:marBottom w:val="0"/>
              <w:divBdr>
                <w:top w:val="none" w:sz="0" w:space="0" w:color="auto"/>
                <w:left w:val="none" w:sz="0" w:space="0" w:color="auto"/>
                <w:bottom w:val="none" w:sz="0" w:space="0" w:color="auto"/>
                <w:right w:val="none" w:sz="0" w:space="0" w:color="auto"/>
              </w:divBdr>
            </w:div>
          </w:divsChild>
        </w:div>
        <w:div w:id="721365950">
          <w:marLeft w:val="0"/>
          <w:marRight w:val="0"/>
          <w:marTop w:val="0"/>
          <w:marBottom w:val="0"/>
          <w:divBdr>
            <w:top w:val="none" w:sz="0" w:space="0" w:color="auto"/>
            <w:left w:val="none" w:sz="0" w:space="0" w:color="auto"/>
            <w:bottom w:val="none" w:sz="0" w:space="0" w:color="auto"/>
            <w:right w:val="none" w:sz="0" w:space="0" w:color="auto"/>
          </w:divBdr>
          <w:divsChild>
            <w:div w:id="709453415">
              <w:marLeft w:val="0"/>
              <w:marRight w:val="0"/>
              <w:marTop w:val="0"/>
              <w:marBottom w:val="0"/>
              <w:divBdr>
                <w:top w:val="none" w:sz="0" w:space="0" w:color="auto"/>
                <w:left w:val="none" w:sz="0" w:space="0" w:color="auto"/>
                <w:bottom w:val="none" w:sz="0" w:space="0" w:color="auto"/>
                <w:right w:val="none" w:sz="0" w:space="0" w:color="auto"/>
              </w:divBdr>
            </w:div>
          </w:divsChild>
        </w:div>
        <w:div w:id="1335105633">
          <w:marLeft w:val="0"/>
          <w:marRight w:val="0"/>
          <w:marTop w:val="0"/>
          <w:marBottom w:val="0"/>
          <w:divBdr>
            <w:top w:val="none" w:sz="0" w:space="0" w:color="auto"/>
            <w:left w:val="none" w:sz="0" w:space="0" w:color="auto"/>
            <w:bottom w:val="none" w:sz="0" w:space="0" w:color="auto"/>
            <w:right w:val="none" w:sz="0" w:space="0" w:color="auto"/>
          </w:divBdr>
          <w:divsChild>
            <w:div w:id="702292506">
              <w:marLeft w:val="0"/>
              <w:marRight w:val="0"/>
              <w:marTop w:val="0"/>
              <w:marBottom w:val="0"/>
              <w:divBdr>
                <w:top w:val="none" w:sz="0" w:space="0" w:color="auto"/>
                <w:left w:val="none" w:sz="0" w:space="0" w:color="auto"/>
                <w:bottom w:val="none" w:sz="0" w:space="0" w:color="auto"/>
                <w:right w:val="none" w:sz="0" w:space="0" w:color="auto"/>
              </w:divBdr>
            </w:div>
          </w:divsChild>
        </w:div>
        <w:div w:id="1449817112">
          <w:marLeft w:val="0"/>
          <w:marRight w:val="0"/>
          <w:marTop w:val="0"/>
          <w:marBottom w:val="0"/>
          <w:divBdr>
            <w:top w:val="none" w:sz="0" w:space="0" w:color="auto"/>
            <w:left w:val="none" w:sz="0" w:space="0" w:color="auto"/>
            <w:bottom w:val="none" w:sz="0" w:space="0" w:color="auto"/>
            <w:right w:val="none" w:sz="0" w:space="0" w:color="auto"/>
          </w:divBdr>
          <w:divsChild>
            <w:div w:id="1297178646">
              <w:marLeft w:val="0"/>
              <w:marRight w:val="0"/>
              <w:marTop w:val="0"/>
              <w:marBottom w:val="0"/>
              <w:divBdr>
                <w:top w:val="none" w:sz="0" w:space="0" w:color="auto"/>
                <w:left w:val="none" w:sz="0" w:space="0" w:color="auto"/>
                <w:bottom w:val="none" w:sz="0" w:space="0" w:color="auto"/>
                <w:right w:val="none" w:sz="0" w:space="0" w:color="auto"/>
              </w:divBdr>
            </w:div>
          </w:divsChild>
        </w:div>
        <w:div w:id="1291472903">
          <w:marLeft w:val="0"/>
          <w:marRight w:val="0"/>
          <w:marTop w:val="0"/>
          <w:marBottom w:val="0"/>
          <w:divBdr>
            <w:top w:val="none" w:sz="0" w:space="0" w:color="auto"/>
            <w:left w:val="none" w:sz="0" w:space="0" w:color="auto"/>
            <w:bottom w:val="none" w:sz="0" w:space="0" w:color="auto"/>
            <w:right w:val="none" w:sz="0" w:space="0" w:color="auto"/>
          </w:divBdr>
          <w:divsChild>
            <w:div w:id="2053382645">
              <w:marLeft w:val="0"/>
              <w:marRight w:val="0"/>
              <w:marTop w:val="0"/>
              <w:marBottom w:val="0"/>
              <w:divBdr>
                <w:top w:val="none" w:sz="0" w:space="0" w:color="auto"/>
                <w:left w:val="none" w:sz="0" w:space="0" w:color="auto"/>
                <w:bottom w:val="none" w:sz="0" w:space="0" w:color="auto"/>
                <w:right w:val="none" w:sz="0" w:space="0" w:color="auto"/>
              </w:divBdr>
            </w:div>
          </w:divsChild>
        </w:div>
        <w:div w:id="1511601863">
          <w:marLeft w:val="0"/>
          <w:marRight w:val="0"/>
          <w:marTop w:val="0"/>
          <w:marBottom w:val="0"/>
          <w:divBdr>
            <w:top w:val="none" w:sz="0" w:space="0" w:color="auto"/>
            <w:left w:val="none" w:sz="0" w:space="0" w:color="auto"/>
            <w:bottom w:val="none" w:sz="0" w:space="0" w:color="auto"/>
            <w:right w:val="none" w:sz="0" w:space="0" w:color="auto"/>
          </w:divBdr>
          <w:divsChild>
            <w:div w:id="1129393351">
              <w:marLeft w:val="0"/>
              <w:marRight w:val="0"/>
              <w:marTop w:val="0"/>
              <w:marBottom w:val="0"/>
              <w:divBdr>
                <w:top w:val="none" w:sz="0" w:space="0" w:color="auto"/>
                <w:left w:val="none" w:sz="0" w:space="0" w:color="auto"/>
                <w:bottom w:val="none" w:sz="0" w:space="0" w:color="auto"/>
                <w:right w:val="none" w:sz="0" w:space="0" w:color="auto"/>
              </w:divBdr>
            </w:div>
          </w:divsChild>
        </w:div>
        <w:div w:id="576205043">
          <w:marLeft w:val="0"/>
          <w:marRight w:val="0"/>
          <w:marTop w:val="0"/>
          <w:marBottom w:val="0"/>
          <w:divBdr>
            <w:top w:val="none" w:sz="0" w:space="0" w:color="auto"/>
            <w:left w:val="none" w:sz="0" w:space="0" w:color="auto"/>
            <w:bottom w:val="none" w:sz="0" w:space="0" w:color="auto"/>
            <w:right w:val="none" w:sz="0" w:space="0" w:color="auto"/>
          </w:divBdr>
          <w:divsChild>
            <w:div w:id="32001644">
              <w:marLeft w:val="0"/>
              <w:marRight w:val="0"/>
              <w:marTop w:val="0"/>
              <w:marBottom w:val="0"/>
              <w:divBdr>
                <w:top w:val="none" w:sz="0" w:space="0" w:color="auto"/>
                <w:left w:val="none" w:sz="0" w:space="0" w:color="auto"/>
                <w:bottom w:val="none" w:sz="0" w:space="0" w:color="auto"/>
                <w:right w:val="none" w:sz="0" w:space="0" w:color="auto"/>
              </w:divBdr>
            </w:div>
          </w:divsChild>
        </w:div>
        <w:div w:id="362289866">
          <w:marLeft w:val="0"/>
          <w:marRight w:val="0"/>
          <w:marTop w:val="0"/>
          <w:marBottom w:val="0"/>
          <w:divBdr>
            <w:top w:val="none" w:sz="0" w:space="0" w:color="auto"/>
            <w:left w:val="none" w:sz="0" w:space="0" w:color="auto"/>
            <w:bottom w:val="none" w:sz="0" w:space="0" w:color="auto"/>
            <w:right w:val="none" w:sz="0" w:space="0" w:color="auto"/>
          </w:divBdr>
          <w:divsChild>
            <w:div w:id="1689408061">
              <w:marLeft w:val="0"/>
              <w:marRight w:val="0"/>
              <w:marTop w:val="0"/>
              <w:marBottom w:val="0"/>
              <w:divBdr>
                <w:top w:val="none" w:sz="0" w:space="0" w:color="auto"/>
                <w:left w:val="none" w:sz="0" w:space="0" w:color="auto"/>
                <w:bottom w:val="none" w:sz="0" w:space="0" w:color="auto"/>
                <w:right w:val="none" w:sz="0" w:space="0" w:color="auto"/>
              </w:divBdr>
            </w:div>
          </w:divsChild>
        </w:div>
        <w:div w:id="1075392248">
          <w:marLeft w:val="0"/>
          <w:marRight w:val="0"/>
          <w:marTop w:val="0"/>
          <w:marBottom w:val="0"/>
          <w:divBdr>
            <w:top w:val="none" w:sz="0" w:space="0" w:color="auto"/>
            <w:left w:val="none" w:sz="0" w:space="0" w:color="auto"/>
            <w:bottom w:val="none" w:sz="0" w:space="0" w:color="auto"/>
            <w:right w:val="none" w:sz="0" w:space="0" w:color="auto"/>
          </w:divBdr>
          <w:divsChild>
            <w:div w:id="1237865359">
              <w:marLeft w:val="0"/>
              <w:marRight w:val="0"/>
              <w:marTop w:val="0"/>
              <w:marBottom w:val="0"/>
              <w:divBdr>
                <w:top w:val="none" w:sz="0" w:space="0" w:color="auto"/>
                <w:left w:val="none" w:sz="0" w:space="0" w:color="auto"/>
                <w:bottom w:val="none" w:sz="0" w:space="0" w:color="auto"/>
                <w:right w:val="none" w:sz="0" w:space="0" w:color="auto"/>
              </w:divBdr>
            </w:div>
          </w:divsChild>
        </w:div>
        <w:div w:id="510536600">
          <w:marLeft w:val="0"/>
          <w:marRight w:val="0"/>
          <w:marTop w:val="0"/>
          <w:marBottom w:val="0"/>
          <w:divBdr>
            <w:top w:val="none" w:sz="0" w:space="0" w:color="auto"/>
            <w:left w:val="none" w:sz="0" w:space="0" w:color="auto"/>
            <w:bottom w:val="none" w:sz="0" w:space="0" w:color="auto"/>
            <w:right w:val="none" w:sz="0" w:space="0" w:color="auto"/>
          </w:divBdr>
          <w:divsChild>
            <w:div w:id="2049064191">
              <w:marLeft w:val="0"/>
              <w:marRight w:val="0"/>
              <w:marTop w:val="0"/>
              <w:marBottom w:val="0"/>
              <w:divBdr>
                <w:top w:val="none" w:sz="0" w:space="0" w:color="auto"/>
                <w:left w:val="none" w:sz="0" w:space="0" w:color="auto"/>
                <w:bottom w:val="none" w:sz="0" w:space="0" w:color="auto"/>
                <w:right w:val="none" w:sz="0" w:space="0" w:color="auto"/>
              </w:divBdr>
            </w:div>
          </w:divsChild>
        </w:div>
        <w:div w:id="1090811640">
          <w:marLeft w:val="0"/>
          <w:marRight w:val="0"/>
          <w:marTop w:val="0"/>
          <w:marBottom w:val="0"/>
          <w:divBdr>
            <w:top w:val="none" w:sz="0" w:space="0" w:color="auto"/>
            <w:left w:val="none" w:sz="0" w:space="0" w:color="auto"/>
            <w:bottom w:val="none" w:sz="0" w:space="0" w:color="auto"/>
            <w:right w:val="none" w:sz="0" w:space="0" w:color="auto"/>
          </w:divBdr>
          <w:divsChild>
            <w:div w:id="71507348">
              <w:marLeft w:val="0"/>
              <w:marRight w:val="0"/>
              <w:marTop w:val="0"/>
              <w:marBottom w:val="0"/>
              <w:divBdr>
                <w:top w:val="none" w:sz="0" w:space="0" w:color="auto"/>
                <w:left w:val="none" w:sz="0" w:space="0" w:color="auto"/>
                <w:bottom w:val="none" w:sz="0" w:space="0" w:color="auto"/>
                <w:right w:val="none" w:sz="0" w:space="0" w:color="auto"/>
              </w:divBdr>
            </w:div>
          </w:divsChild>
        </w:div>
        <w:div w:id="1718503615">
          <w:marLeft w:val="0"/>
          <w:marRight w:val="0"/>
          <w:marTop w:val="0"/>
          <w:marBottom w:val="0"/>
          <w:divBdr>
            <w:top w:val="none" w:sz="0" w:space="0" w:color="auto"/>
            <w:left w:val="none" w:sz="0" w:space="0" w:color="auto"/>
            <w:bottom w:val="none" w:sz="0" w:space="0" w:color="auto"/>
            <w:right w:val="none" w:sz="0" w:space="0" w:color="auto"/>
          </w:divBdr>
          <w:divsChild>
            <w:div w:id="868370056">
              <w:marLeft w:val="0"/>
              <w:marRight w:val="0"/>
              <w:marTop w:val="0"/>
              <w:marBottom w:val="0"/>
              <w:divBdr>
                <w:top w:val="none" w:sz="0" w:space="0" w:color="auto"/>
                <w:left w:val="none" w:sz="0" w:space="0" w:color="auto"/>
                <w:bottom w:val="none" w:sz="0" w:space="0" w:color="auto"/>
                <w:right w:val="none" w:sz="0" w:space="0" w:color="auto"/>
              </w:divBdr>
            </w:div>
          </w:divsChild>
        </w:div>
        <w:div w:id="1704014647">
          <w:marLeft w:val="0"/>
          <w:marRight w:val="0"/>
          <w:marTop w:val="0"/>
          <w:marBottom w:val="0"/>
          <w:divBdr>
            <w:top w:val="none" w:sz="0" w:space="0" w:color="auto"/>
            <w:left w:val="none" w:sz="0" w:space="0" w:color="auto"/>
            <w:bottom w:val="none" w:sz="0" w:space="0" w:color="auto"/>
            <w:right w:val="none" w:sz="0" w:space="0" w:color="auto"/>
          </w:divBdr>
          <w:divsChild>
            <w:div w:id="1896817395">
              <w:marLeft w:val="0"/>
              <w:marRight w:val="0"/>
              <w:marTop w:val="0"/>
              <w:marBottom w:val="0"/>
              <w:divBdr>
                <w:top w:val="none" w:sz="0" w:space="0" w:color="auto"/>
                <w:left w:val="none" w:sz="0" w:space="0" w:color="auto"/>
                <w:bottom w:val="none" w:sz="0" w:space="0" w:color="auto"/>
                <w:right w:val="none" w:sz="0" w:space="0" w:color="auto"/>
              </w:divBdr>
            </w:div>
          </w:divsChild>
        </w:div>
        <w:div w:id="690566246">
          <w:marLeft w:val="0"/>
          <w:marRight w:val="0"/>
          <w:marTop w:val="0"/>
          <w:marBottom w:val="0"/>
          <w:divBdr>
            <w:top w:val="none" w:sz="0" w:space="0" w:color="auto"/>
            <w:left w:val="none" w:sz="0" w:space="0" w:color="auto"/>
            <w:bottom w:val="none" w:sz="0" w:space="0" w:color="auto"/>
            <w:right w:val="none" w:sz="0" w:space="0" w:color="auto"/>
          </w:divBdr>
          <w:divsChild>
            <w:div w:id="1255091137">
              <w:marLeft w:val="0"/>
              <w:marRight w:val="0"/>
              <w:marTop w:val="0"/>
              <w:marBottom w:val="0"/>
              <w:divBdr>
                <w:top w:val="none" w:sz="0" w:space="0" w:color="auto"/>
                <w:left w:val="none" w:sz="0" w:space="0" w:color="auto"/>
                <w:bottom w:val="none" w:sz="0" w:space="0" w:color="auto"/>
                <w:right w:val="none" w:sz="0" w:space="0" w:color="auto"/>
              </w:divBdr>
            </w:div>
          </w:divsChild>
        </w:div>
        <w:div w:id="1723670564">
          <w:marLeft w:val="0"/>
          <w:marRight w:val="0"/>
          <w:marTop w:val="0"/>
          <w:marBottom w:val="0"/>
          <w:divBdr>
            <w:top w:val="none" w:sz="0" w:space="0" w:color="auto"/>
            <w:left w:val="none" w:sz="0" w:space="0" w:color="auto"/>
            <w:bottom w:val="none" w:sz="0" w:space="0" w:color="auto"/>
            <w:right w:val="none" w:sz="0" w:space="0" w:color="auto"/>
          </w:divBdr>
          <w:divsChild>
            <w:div w:id="1099761931">
              <w:marLeft w:val="0"/>
              <w:marRight w:val="0"/>
              <w:marTop w:val="0"/>
              <w:marBottom w:val="0"/>
              <w:divBdr>
                <w:top w:val="none" w:sz="0" w:space="0" w:color="auto"/>
                <w:left w:val="none" w:sz="0" w:space="0" w:color="auto"/>
                <w:bottom w:val="none" w:sz="0" w:space="0" w:color="auto"/>
                <w:right w:val="none" w:sz="0" w:space="0" w:color="auto"/>
              </w:divBdr>
            </w:div>
          </w:divsChild>
        </w:div>
        <w:div w:id="2109159194">
          <w:marLeft w:val="0"/>
          <w:marRight w:val="0"/>
          <w:marTop w:val="0"/>
          <w:marBottom w:val="0"/>
          <w:divBdr>
            <w:top w:val="none" w:sz="0" w:space="0" w:color="auto"/>
            <w:left w:val="none" w:sz="0" w:space="0" w:color="auto"/>
            <w:bottom w:val="none" w:sz="0" w:space="0" w:color="auto"/>
            <w:right w:val="none" w:sz="0" w:space="0" w:color="auto"/>
          </w:divBdr>
          <w:divsChild>
            <w:div w:id="588121832">
              <w:marLeft w:val="0"/>
              <w:marRight w:val="0"/>
              <w:marTop w:val="0"/>
              <w:marBottom w:val="0"/>
              <w:divBdr>
                <w:top w:val="none" w:sz="0" w:space="0" w:color="auto"/>
                <w:left w:val="none" w:sz="0" w:space="0" w:color="auto"/>
                <w:bottom w:val="none" w:sz="0" w:space="0" w:color="auto"/>
                <w:right w:val="none" w:sz="0" w:space="0" w:color="auto"/>
              </w:divBdr>
            </w:div>
          </w:divsChild>
        </w:div>
        <w:div w:id="1445685410">
          <w:marLeft w:val="0"/>
          <w:marRight w:val="0"/>
          <w:marTop w:val="0"/>
          <w:marBottom w:val="0"/>
          <w:divBdr>
            <w:top w:val="none" w:sz="0" w:space="0" w:color="auto"/>
            <w:left w:val="none" w:sz="0" w:space="0" w:color="auto"/>
            <w:bottom w:val="none" w:sz="0" w:space="0" w:color="auto"/>
            <w:right w:val="none" w:sz="0" w:space="0" w:color="auto"/>
          </w:divBdr>
          <w:divsChild>
            <w:div w:id="1889803705">
              <w:marLeft w:val="0"/>
              <w:marRight w:val="0"/>
              <w:marTop w:val="0"/>
              <w:marBottom w:val="0"/>
              <w:divBdr>
                <w:top w:val="none" w:sz="0" w:space="0" w:color="auto"/>
                <w:left w:val="none" w:sz="0" w:space="0" w:color="auto"/>
                <w:bottom w:val="none" w:sz="0" w:space="0" w:color="auto"/>
                <w:right w:val="none" w:sz="0" w:space="0" w:color="auto"/>
              </w:divBdr>
            </w:div>
          </w:divsChild>
        </w:div>
        <w:div w:id="1207371360">
          <w:marLeft w:val="0"/>
          <w:marRight w:val="0"/>
          <w:marTop w:val="0"/>
          <w:marBottom w:val="0"/>
          <w:divBdr>
            <w:top w:val="none" w:sz="0" w:space="0" w:color="auto"/>
            <w:left w:val="none" w:sz="0" w:space="0" w:color="auto"/>
            <w:bottom w:val="none" w:sz="0" w:space="0" w:color="auto"/>
            <w:right w:val="none" w:sz="0" w:space="0" w:color="auto"/>
          </w:divBdr>
          <w:divsChild>
            <w:div w:id="668485842">
              <w:marLeft w:val="0"/>
              <w:marRight w:val="0"/>
              <w:marTop w:val="0"/>
              <w:marBottom w:val="0"/>
              <w:divBdr>
                <w:top w:val="none" w:sz="0" w:space="0" w:color="auto"/>
                <w:left w:val="none" w:sz="0" w:space="0" w:color="auto"/>
                <w:bottom w:val="none" w:sz="0" w:space="0" w:color="auto"/>
                <w:right w:val="none" w:sz="0" w:space="0" w:color="auto"/>
              </w:divBdr>
            </w:div>
          </w:divsChild>
        </w:div>
        <w:div w:id="1195776244">
          <w:marLeft w:val="0"/>
          <w:marRight w:val="0"/>
          <w:marTop w:val="0"/>
          <w:marBottom w:val="0"/>
          <w:divBdr>
            <w:top w:val="none" w:sz="0" w:space="0" w:color="auto"/>
            <w:left w:val="none" w:sz="0" w:space="0" w:color="auto"/>
            <w:bottom w:val="none" w:sz="0" w:space="0" w:color="auto"/>
            <w:right w:val="none" w:sz="0" w:space="0" w:color="auto"/>
          </w:divBdr>
          <w:divsChild>
            <w:div w:id="357003754">
              <w:marLeft w:val="0"/>
              <w:marRight w:val="0"/>
              <w:marTop w:val="0"/>
              <w:marBottom w:val="0"/>
              <w:divBdr>
                <w:top w:val="none" w:sz="0" w:space="0" w:color="auto"/>
                <w:left w:val="none" w:sz="0" w:space="0" w:color="auto"/>
                <w:bottom w:val="none" w:sz="0" w:space="0" w:color="auto"/>
                <w:right w:val="none" w:sz="0" w:space="0" w:color="auto"/>
              </w:divBdr>
            </w:div>
          </w:divsChild>
        </w:div>
        <w:div w:id="1095828842">
          <w:marLeft w:val="0"/>
          <w:marRight w:val="0"/>
          <w:marTop w:val="0"/>
          <w:marBottom w:val="0"/>
          <w:divBdr>
            <w:top w:val="none" w:sz="0" w:space="0" w:color="auto"/>
            <w:left w:val="none" w:sz="0" w:space="0" w:color="auto"/>
            <w:bottom w:val="none" w:sz="0" w:space="0" w:color="auto"/>
            <w:right w:val="none" w:sz="0" w:space="0" w:color="auto"/>
          </w:divBdr>
          <w:divsChild>
            <w:div w:id="1228763249">
              <w:marLeft w:val="0"/>
              <w:marRight w:val="0"/>
              <w:marTop w:val="0"/>
              <w:marBottom w:val="0"/>
              <w:divBdr>
                <w:top w:val="none" w:sz="0" w:space="0" w:color="auto"/>
                <w:left w:val="none" w:sz="0" w:space="0" w:color="auto"/>
                <w:bottom w:val="none" w:sz="0" w:space="0" w:color="auto"/>
                <w:right w:val="none" w:sz="0" w:space="0" w:color="auto"/>
              </w:divBdr>
            </w:div>
          </w:divsChild>
        </w:div>
        <w:div w:id="2095542381">
          <w:marLeft w:val="0"/>
          <w:marRight w:val="0"/>
          <w:marTop w:val="0"/>
          <w:marBottom w:val="0"/>
          <w:divBdr>
            <w:top w:val="none" w:sz="0" w:space="0" w:color="auto"/>
            <w:left w:val="none" w:sz="0" w:space="0" w:color="auto"/>
            <w:bottom w:val="none" w:sz="0" w:space="0" w:color="auto"/>
            <w:right w:val="none" w:sz="0" w:space="0" w:color="auto"/>
          </w:divBdr>
          <w:divsChild>
            <w:div w:id="1117021194">
              <w:marLeft w:val="0"/>
              <w:marRight w:val="0"/>
              <w:marTop w:val="0"/>
              <w:marBottom w:val="0"/>
              <w:divBdr>
                <w:top w:val="none" w:sz="0" w:space="0" w:color="auto"/>
                <w:left w:val="none" w:sz="0" w:space="0" w:color="auto"/>
                <w:bottom w:val="none" w:sz="0" w:space="0" w:color="auto"/>
                <w:right w:val="none" w:sz="0" w:space="0" w:color="auto"/>
              </w:divBdr>
            </w:div>
          </w:divsChild>
        </w:div>
        <w:div w:id="878325278">
          <w:marLeft w:val="0"/>
          <w:marRight w:val="0"/>
          <w:marTop w:val="0"/>
          <w:marBottom w:val="0"/>
          <w:divBdr>
            <w:top w:val="none" w:sz="0" w:space="0" w:color="auto"/>
            <w:left w:val="none" w:sz="0" w:space="0" w:color="auto"/>
            <w:bottom w:val="none" w:sz="0" w:space="0" w:color="auto"/>
            <w:right w:val="none" w:sz="0" w:space="0" w:color="auto"/>
          </w:divBdr>
          <w:divsChild>
            <w:div w:id="811406849">
              <w:marLeft w:val="0"/>
              <w:marRight w:val="0"/>
              <w:marTop w:val="0"/>
              <w:marBottom w:val="0"/>
              <w:divBdr>
                <w:top w:val="none" w:sz="0" w:space="0" w:color="auto"/>
                <w:left w:val="none" w:sz="0" w:space="0" w:color="auto"/>
                <w:bottom w:val="none" w:sz="0" w:space="0" w:color="auto"/>
                <w:right w:val="none" w:sz="0" w:space="0" w:color="auto"/>
              </w:divBdr>
            </w:div>
          </w:divsChild>
        </w:div>
        <w:div w:id="2067364932">
          <w:marLeft w:val="0"/>
          <w:marRight w:val="0"/>
          <w:marTop w:val="0"/>
          <w:marBottom w:val="0"/>
          <w:divBdr>
            <w:top w:val="none" w:sz="0" w:space="0" w:color="auto"/>
            <w:left w:val="none" w:sz="0" w:space="0" w:color="auto"/>
            <w:bottom w:val="none" w:sz="0" w:space="0" w:color="auto"/>
            <w:right w:val="none" w:sz="0" w:space="0" w:color="auto"/>
          </w:divBdr>
          <w:divsChild>
            <w:div w:id="1013340089">
              <w:marLeft w:val="0"/>
              <w:marRight w:val="0"/>
              <w:marTop w:val="0"/>
              <w:marBottom w:val="0"/>
              <w:divBdr>
                <w:top w:val="none" w:sz="0" w:space="0" w:color="auto"/>
                <w:left w:val="none" w:sz="0" w:space="0" w:color="auto"/>
                <w:bottom w:val="none" w:sz="0" w:space="0" w:color="auto"/>
                <w:right w:val="none" w:sz="0" w:space="0" w:color="auto"/>
              </w:divBdr>
            </w:div>
          </w:divsChild>
        </w:div>
        <w:div w:id="1249538581">
          <w:marLeft w:val="0"/>
          <w:marRight w:val="0"/>
          <w:marTop w:val="0"/>
          <w:marBottom w:val="0"/>
          <w:divBdr>
            <w:top w:val="none" w:sz="0" w:space="0" w:color="auto"/>
            <w:left w:val="none" w:sz="0" w:space="0" w:color="auto"/>
            <w:bottom w:val="none" w:sz="0" w:space="0" w:color="auto"/>
            <w:right w:val="none" w:sz="0" w:space="0" w:color="auto"/>
          </w:divBdr>
          <w:divsChild>
            <w:div w:id="1946304648">
              <w:marLeft w:val="0"/>
              <w:marRight w:val="0"/>
              <w:marTop w:val="0"/>
              <w:marBottom w:val="0"/>
              <w:divBdr>
                <w:top w:val="none" w:sz="0" w:space="0" w:color="auto"/>
                <w:left w:val="none" w:sz="0" w:space="0" w:color="auto"/>
                <w:bottom w:val="none" w:sz="0" w:space="0" w:color="auto"/>
                <w:right w:val="none" w:sz="0" w:space="0" w:color="auto"/>
              </w:divBdr>
            </w:div>
          </w:divsChild>
        </w:div>
        <w:div w:id="1176068974">
          <w:marLeft w:val="0"/>
          <w:marRight w:val="0"/>
          <w:marTop w:val="0"/>
          <w:marBottom w:val="0"/>
          <w:divBdr>
            <w:top w:val="none" w:sz="0" w:space="0" w:color="auto"/>
            <w:left w:val="none" w:sz="0" w:space="0" w:color="auto"/>
            <w:bottom w:val="none" w:sz="0" w:space="0" w:color="auto"/>
            <w:right w:val="none" w:sz="0" w:space="0" w:color="auto"/>
          </w:divBdr>
          <w:divsChild>
            <w:div w:id="879517804">
              <w:marLeft w:val="0"/>
              <w:marRight w:val="0"/>
              <w:marTop w:val="0"/>
              <w:marBottom w:val="0"/>
              <w:divBdr>
                <w:top w:val="none" w:sz="0" w:space="0" w:color="auto"/>
                <w:left w:val="none" w:sz="0" w:space="0" w:color="auto"/>
                <w:bottom w:val="none" w:sz="0" w:space="0" w:color="auto"/>
                <w:right w:val="none" w:sz="0" w:space="0" w:color="auto"/>
              </w:divBdr>
            </w:div>
          </w:divsChild>
        </w:div>
        <w:div w:id="2068721543">
          <w:marLeft w:val="0"/>
          <w:marRight w:val="0"/>
          <w:marTop w:val="0"/>
          <w:marBottom w:val="0"/>
          <w:divBdr>
            <w:top w:val="none" w:sz="0" w:space="0" w:color="auto"/>
            <w:left w:val="none" w:sz="0" w:space="0" w:color="auto"/>
            <w:bottom w:val="none" w:sz="0" w:space="0" w:color="auto"/>
            <w:right w:val="none" w:sz="0" w:space="0" w:color="auto"/>
          </w:divBdr>
          <w:divsChild>
            <w:div w:id="507332319">
              <w:marLeft w:val="0"/>
              <w:marRight w:val="0"/>
              <w:marTop w:val="0"/>
              <w:marBottom w:val="0"/>
              <w:divBdr>
                <w:top w:val="none" w:sz="0" w:space="0" w:color="auto"/>
                <w:left w:val="none" w:sz="0" w:space="0" w:color="auto"/>
                <w:bottom w:val="none" w:sz="0" w:space="0" w:color="auto"/>
                <w:right w:val="none" w:sz="0" w:space="0" w:color="auto"/>
              </w:divBdr>
            </w:div>
          </w:divsChild>
        </w:div>
        <w:div w:id="1210266771">
          <w:marLeft w:val="0"/>
          <w:marRight w:val="0"/>
          <w:marTop w:val="0"/>
          <w:marBottom w:val="0"/>
          <w:divBdr>
            <w:top w:val="none" w:sz="0" w:space="0" w:color="auto"/>
            <w:left w:val="none" w:sz="0" w:space="0" w:color="auto"/>
            <w:bottom w:val="none" w:sz="0" w:space="0" w:color="auto"/>
            <w:right w:val="none" w:sz="0" w:space="0" w:color="auto"/>
          </w:divBdr>
          <w:divsChild>
            <w:div w:id="1667706545">
              <w:marLeft w:val="0"/>
              <w:marRight w:val="0"/>
              <w:marTop w:val="0"/>
              <w:marBottom w:val="0"/>
              <w:divBdr>
                <w:top w:val="none" w:sz="0" w:space="0" w:color="auto"/>
                <w:left w:val="none" w:sz="0" w:space="0" w:color="auto"/>
                <w:bottom w:val="none" w:sz="0" w:space="0" w:color="auto"/>
                <w:right w:val="none" w:sz="0" w:space="0" w:color="auto"/>
              </w:divBdr>
            </w:div>
          </w:divsChild>
        </w:div>
        <w:div w:id="1169172890">
          <w:marLeft w:val="0"/>
          <w:marRight w:val="0"/>
          <w:marTop w:val="0"/>
          <w:marBottom w:val="0"/>
          <w:divBdr>
            <w:top w:val="none" w:sz="0" w:space="0" w:color="auto"/>
            <w:left w:val="none" w:sz="0" w:space="0" w:color="auto"/>
            <w:bottom w:val="none" w:sz="0" w:space="0" w:color="auto"/>
            <w:right w:val="none" w:sz="0" w:space="0" w:color="auto"/>
          </w:divBdr>
          <w:divsChild>
            <w:div w:id="158926109">
              <w:marLeft w:val="0"/>
              <w:marRight w:val="0"/>
              <w:marTop w:val="0"/>
              <w:marBottom w:val="0"/>
              <w:divBdr>
                <w:top w:val="none" w:sz="0" w:space="0" w:color="auto"/>
                <w:left w:val="none" w:sz="0" w:space="0" w:color="auto"/>
                <w:bottom w:val="none" w:sz="0" w:space="0" w:color="auto"/>
                <w:right w:val="none" w:sz="0" w:space="0" w:color="auto"/>
              </w:divBdr>
            </w:div>
          </w:divsChild>
        </w:div>
        <w:div w:id="1724481249">
          <w:marLeft w:val="0"/>
          <w:marRight w:val="0"/>
          <w:marTop w:val="0"/>
          <w:marBottom w:val="0"/>
          <w:divBdr>
            <w:top w:val="none" w:sz="0" w:space="0" w:color="auto"/>
            <w:left w:val="none" w:sz="0" w:space="0" w:color="auto"/>
            <w:bottom w:val="none" w:sz="0" w:space="0" w:color="auto"/>
            <w:right w:val="none" w:sz="0" w:space="0" w:color="auto"/>
          </w:divBdr>
          <w:divsChild>
            <w:div w:id="367534629">
              <w:marLeft w:val="0"/>
              <w:marRight w:val="0"/>
              <w:marTop w:val="0"/>
              <w:marBottom w:val="0"/>
              <w:divBdr>
                <w:top w:val="none" w:sz="0" w:space="0" w:color="auto"/>
                <w:left w:val="none" w:sz="0" w:space="0" w:color="auto"/>
                <w:bottom w:val="none" w:sz="0" w:space="0" w:color="auto"/>
                <w:right w:val="none" w:sz="0" w:space="0" w:color="auto"/>
              </w:divBdr>
            </w:div>
          </w:divsChild>
        </w:div>
        <w:div w:id="1479691101">
          <w:marLeft w:val="0"/>
          <w:marRight w:val="0"/>
          <w:marTop w:val="0"/>
          <w:marBottom w:val="0"/>
          <w:divBdr>
            <w:top w:val="none" w:sz="0" w:space="0" w:color="auto"/>
            <w:left w:val="none" w:sz="0" w:space="0" w:color="auto"/>
            <w:bottom w:val="none" w:sz="0" w:space="0" w:color="auto"/>
            <w:right w:val="none" w:sz="0" w:space="0" w:color="auto"/>
          </w:divBdr>
          <w:divsChild>
            <w:div w:id="1009259483">
              <w:marLeft w:val="0"/>
              <w:marRight w:val="0"/>
              <w:marTop w:val="0"/>
              <w:marBottom w:val="0"/>
              <w:divBdr>
                <w:top w:val="none" w:sz="0" w:space="0" w:color="auto"/>
                <w:left w:val="none" w:sz="0" w:space="0" w:color="auto"/>
                <w:bottom w:val="none" w:sz="0" w:space="0" w:color="auto"/>
                <w:right w:val="none" w:sz="0" w:space="0" w:color="auto"/>
              </w:divBdr>
            </w:div>
          </w:divsChild>
        </w:div>
        <w:div w:id="1097604893">
          <w:marLeft w:val="0"/>
          <w:marRight w:val="0"/>
          <w:marTop w:val="0"/>
          <w:marBottom w:val="0"/>
          <w:divBdr>
            <w:top w:val="none" w:sz="0" w:space="0" w:color="auto"/>
            <w:left w:val="none" w:sz="0" w:space="0" w:color="auto"/>
            <w:bottom w:val="none" w:sz="0" w:space="0" w:color="auto"/>
            <w:right w:val="none" w:sz="0" w:space="0" w:color="auto"/>
          </w:divBdr>
          <w:divsChild>
            <w:div w:id="1594706434">
              <w:marLeft w:val="0"/>
              <w:marRight w:val="0"/>
              <w:marTop w:val="0"/>
              <w:marBottom w:val="0"/>
              <w:divBdr>
                <w:top w:val="none" w:sz="0" w:space="0" w:color="auto"/>
                <w:left w:val="none" w:sz="0" w:space="0" w:color="auto"/>
                <w:bottom w:val="none" w:sz="0" w:space="0" w:color="auto"/>
                <w:right w:val="none" w:sz="0" w:space="0" w:color="auto"/>
              </w:divBdr>
            </w:div>
          </w:divsChild>
        </w:div>
        <w:div w:id="1835604424">
          <w:marLeft w:val="0"/>
          <w:marRight w:val="0"/>
          <w:marTop w:val="0"/>
          <w:marBottom w:val="0"/>
          <w:divBdr>
            <w:top w:val="none" w:sz="0" w:space="0" w:color="auto"/>
            <w:left w:val="none" w:sz="0" w:space="0" w:color="auto"/>
            <w:bottom w:val="none" w:sz="0" w:space="0" w:color="auto"/>
            <w:right w:val="none" w:sz="0" w:space="0" w:color="auto"/>
          </w:divBdr>
          <w:divsChild>
            <w:div w:id="516886562">
              <w:marLeft w:val="0"/>
              <w:marRight w:val="0"/>
              <w:marTop w:val="0"/>
              <w:marBottom w:val="0"/>
              <w:divBdr>
                <w:top w:val="none" w:sz="0" w:space="0" w:color="auto"/>
                <w:left w:val="none" w:sz="0" w:space="0" w:color="auto"/>
                <w:bottom w:val="none" w:sz="0" w:space="0" w:color="auto"/>
                <w:right w:val="none" w:sz="0" w:space="0" w:color="auto"/>
              </w:divBdr>
            </w:div>
          </w:divsChild>
        </w:div>
        <w:div w:id="52779676">
          <w:marLeft w:val="0"/>
          <w:marRight w:val="0"/>
          <w:marTop w:val="0"/>
          <w:marBottom w:val="0"/>
          <w:divBdr>
            <w:top w:val="none" w:sz="0" w:space="0" w:color="auto"/>
            <w:left w:val="none" w:sz="0" w:space="0" w:color="auto"/>
            <w:bottom w:val="none" w:sz="0" w:space="0" w:color="auto"/>
            <w:right w:val="none" w:sz="0" w:space="0" w:color="auto"/>
          </w:divBdr>
          <w:divsChild>
            <w:div w:id="663972094">
              <w:marLeft w:val="0"/>
              <w:marRight w:val="0"/>
              <w:marTop w:val="0"/>
              <w:marBottom w:val="0"/>
              <w:divBdr>
                <w:top w:val="none" w:sz="0" w:space="0" w:color="auto"/>
                <w:left w:val="none" w:sz="0" w:space="0" w:color="auto"/>
                <w:bottom w:val="none" w:sz="0" w:space="0" w:color="auto"/>
                <w:right w:val="none" w:sz="0" w:space="0" w:color="auto"/>
              </w:divBdr>
            </w:div>
          </w:divsChild>
        </w:div>
        <w:div w:id="1312951410">
          <w:marLeft w:val="0"/>
          <w:marRight w:val="0"/>
          <w:marTop w:val="0"/>
          <w:marBottom w:val="0"/>
          <w:divBdr>
            <w:top w:val="none" w:sz="0" w:space="0" w:color="auto"/>
            <w:left w:val="none" w:sz="0" w:space="0" w:color="auto"/>
            <w:bottom w:val="none" w:sz="0" w:space="0" w:color="auto"/>
            <w:right w:val="none" w:sz="0" w:space="0" w:color="auto"/>
          </w:divBdr>
          <w:divsChild>
            <w:div w:id="942028315">
              <w:marLeft w:val="0"/>
              <w:marRight w:val="0"/>
              <w:marTop w:val="0"/>
              <w:marBottom w:val="0"/>
              <w:divBdr>
                <w:top w:val="none" w:sz="0" w:space="0" w:color="auto"/>
                <w:left w:val="none" w:sz="0" w:space="0" w:color="auto"/>
                <w:bottom w:val="none" w:sz="0" w:space="0" w:color="auto"/>
                <w:right w:val="none" w:sz="0" w:space="0" w:color="auto"/>
              </w:divBdr>
            </w:div>
          </w:divsChild>
        </w:div>
        <w:div w:id="77406982">
          <w:marLeft w:val="0"/>
          <w:marRight w:val="0"/>
          <w:marTop w:val="0"/>
          <w:marBottom w:val="0"/>
          <w:divBdr>
            <w:top w:val="none" w:sz="0" w:space="0" w:color="auto"/>
            <w:left w:val="none" w:sz="0" w:space="0" w:color="auto"/>
            <w:bottom w:val="none" w:sz="0" w:space="0" w:color="auto"/>
            <w:right w:val="none" w:sz="0" w:space="0" w:color="auto"/>
          </w:divBdr>
          <w:divsChild>
            <w:div w:id="1873837178">
              <w:marLeft w:val="0"/>
              <w:marRight w:val="0"/>
              <w:marTop w:val="0"/>
              <w:marBottom w:val="0"/>
              <w:divBdr>
                <w:top w:val="none" w:sz="0" w:space="0" w:color="auto"/>
                <w:left w:val="none" w:sz="0" w:space="0" w:color="auto"/>
                <w:bottom w:val="none" w:sz="0" w:space="0" w:color="auto"/>
                <w:right w:val="none" w:sz="0" w:space="0" w:color="auto"/>
              </w:divBdr>
            </w:div>
          </w:divsChild>
        </w:div>
        <w:div w:id="2071229484">
          <w:marLeft w:val="0"/>
          <w:marRight w:val="0"/>
          <w:marTop w:val="0"/>
          <w:marBottom w:val="0"/>
          <w:divBdr>
            <w:top w:val="none" w:sz="0" w:space="0" w:color="auto"/>
            <w:left w:val="none" w:sz="0" w:space="0" w:color="auto"/>
            <w:bottom w:val="none" w:sz="0" w:space="0" w:color="auto"/>
            <w:right w:val="none" w:sz="0" w:space="0" w:color="auto"/>
          </w:divBdr>
          <w:divsChild>
            <w:div w:id="504830821">
              <w:marLeft w:val="0"/>
              <w:marRight w:val="0"/>
              <w:marTop w:val="0"/>
              <w:marBottom w:val="0"/>
              <w:divBdr>
                <w:top w:val="none" w:sz="0" w:space="0" w:color="auto"/>
                <w:left w:val="none" w:sz="0" w:space="0" w:color="auto"/>
                <w:bottom w:val="none" w:sz="0" w:space="0" w:color="auto"/>
                <w:right w:val="none" w:sz="0" w:space="0" w:color="auto"/>
              </w:divBdr>
            </w:div>
          </w:divsChild>
        </w:div>
        <w:div w:id="724566708">
          <w:marLeft w:val="0"/>
          <w:marRight w:val="0"/>
          <w:marTop w:val="0"/>
          <w:marBottom w:val="0"/>
          <w:divBdr>
            <w:top w:val="none" w:sz="0" w:space="0" w:color="auto"/>
            <w:left w:val="none" w:sz="0" w:space="0" w:color="auto"/>
            <w:bottom w:val="none" w:sz="0" w:space="0" w:color="auto"/>
            <w:right w:val="none" w:sz="0" w:space="0" w:color="auto"/>
          </w:divBdr>
          <w:divsChild>
            <w:div w:id="1945769980">
              <w:marLeft w:val="0"/>
              <w:marRight w:val="0"/>
              <w:marTop w:val="0"/>
              <w:marBottom w:val="0"/>
              <w:divBdr>
                <w:top w:val="none" w:sz="0" w:space="0" w:color="auto"/>
                <w:left w:val="none" w:sz="0" w:space="0" w:color="auto"/>
                <w:bottom w:val="none" w:sz="0" w:space="0" w:color="auto"/>
                <w:right w:val="none" w:sz="0" w:space="0" w:color="auto"/>
              </w:divBdr>
            </w:div>
          </w:divsChild>
        </w:div>
        <w:div w:id="1346132563">
          <w:marLeft w:val="0"/>
          <w:marRight w:val="0"/>
          <w:marTop w:val="0"/>
          <w:marBottom w:val="0"/>
          <w:divBdr>
            <w:top w:val="none" w:sz="0" w:space="0" w:color="auto"/>
            <w:left w:val="none" w:sz="0" w:space="0" w:color="auto"/>
            <w:bottom w:val="none" w:sz="0" w:space="0" w:color="auto"/>
            <w:right w:val="none" w:sz="0" w:space="0" w:color="auto"/>
          </w:divBdr>
          <w:divsChild>
            <w:div w:id="1003975043">
              <w:marLeft w:val="0"/>
              <w:marRight w:val="0"/>
              <w:marTop w:val="0"/>
              <w:marBottom w:val="0"/>
              <w:divBdr>
                <w:top w:val="none" w:sz="0" w:space="0" w:color="auto"/>
                <w:left w:val="none" w:sz="0" w:space="0" w:color="auto"/>
                <w:bottom w:val="none" w:sz="0" w:space="0" w:color="auto"/>
                <w:right w:val="none" w:sz="0" w:space="0" w:color="auto"/>
              </w:divBdr>
            </w:div>
          </w:divsChild>
        </w:div>
        <w:div w:id="713772501">
          <w:marLeft w:val="0"/>
          <w:marRight w:val="0"/>
          <w:marTop w:val="0"/>
          <w:marBottom w:val="0"/>
          <w:divBdr>
            <w:top w:val="none" w:sz="0" w:space="0" w:color="auto"/>
            <w:left w:val="none" w:sz="0" w:space="0" w:color="auto"/>
            <w:bottom w:val="none" w:sz="0" w:space="0" w:color="auto"/>
            <w:right w:val="none" w:sz="0" w:space="0" w:color="auto"/>
          </w:divBdr>
          <w:divsChild>
            <w:div w:id="886406878">
              <w:marLeft w:val="0"/>
              <w:marRight w:val="0"/>
              <w:marTop w:val="0"/>
              <w:marBottom w:val="0"/>
              <w:divBdr>
                <w:top w:val="none" w:sz="0" w:space="0" w:color="auto"/>
                <w:left w:val="none" w:sz="0" w:space="0" w:color="auto"/>
                <w:bottom w:val="none" w:sz="0" w:space="0" w:color="auto"/>
                <w:right w:val="none" w:sz="0" w:space="0" w:color="auto"/>
              </w:divBdr>
            </w:div>
          </w:divsChild>
        </w:div>
        <w:div w:id="604002334">
          <w:marLeft w:val="0"/>
          <w:marRight w:val="0"/>
          <w:marTop w:val="0"/>
          <w:marBottom w:val="0"/>
          <w:divBdr>
            <w:top w:val="none" w:sz="0" w:space="0" w:color="auto"/>
            <w:left w:val="none" w:sz="0" w:space="0" w:color="auto"/>
            <w:bottom w:val="none" w:sz="0" w:space="0" w:color="auto"/>
            <w:right w:val="none" w:sz="0" w:space="0" w:color="auto"/>
          </w:divBdr>
          <w:divsChild>
            <w:div w:id="300037018">
              <w:marLeft w:val="0"/>
              <w:marRight w:val="0"/>
              <w:marTop w:val="0"/>
              <w:marBottom w:val="0"/>
              <w:divBdr>
                <w:top w:val="none" w:sz="0" w:space="0" w:color="auto"/>
                <w:left w:val="none" w:sz="0" w:space="0" w:color="auto"/>
                <w:bottom w:val="none" w:sz="0" w:space="0" w:color="auto"/>
                <w:right w:val="none" w:sz="0" w:space="0" w:color="auto"/>
              </w:divBdr>
            </w:div>
          </w:divsChild>
        </w:div>
        <w:div w:id="887885698">
          <w:marLeft w:val="0"/>
          <w:marRight w:val="0"/>
          <w:marTop w:val="0"/>
          <w:marBottom w:val="0"/>
          <w:divBdr>
            <w:top w:val="none" w:sz="0" w:space="0" w:color="auto"/>
            <w:left w:val="none" w:sz="0" w:space="0" w:color="auto"/>
            <w:bottom w:val="none" w:sz="0" w:space="0" w:color="auto"/>
            <w:right w:val="none" w:sz="0" w:space="0" w:color="auto"/>
          </w:divBdr>
          <w:divsChild>
            <w:div w:id="494611914">
              <w:marLeft w:val="0"/>
              <w:marRight w:val="0"/>
              <w:marTop w:val="0"/>
              <w:marBottom w:val="0"/>
              <w:divBdr>
                <w:top w:val="none" w:sz="0" w:space="0" w:color="auto"/>
                <w:left w:val="none" w:sz="0" w:space="0" w:color="auto"/>
                <w:bottom w:val="none" w:sz="0" w:space="0" w:color="auto"/>
                <w:right w:val="none" w:sz="0" w:space="0" w:color="auto"/>
              </w:divBdr>
            </w:div>
          </w:divsChild>
        </w:div>
        <w:div w:id="1095519177">
          <w:marLeft w:val="0"/>
          <w:marRight w:val="0"/>
          <w:marTop w:val="0"/>
          <w:marBottom w:val="0"/>
          <w:divBdr>
            <w:top w:val="none" w:sz="0" w:space="0" w:color="auto"/>
            <w:left w:val="none" w:sz="0" w:space="0" w:color="auto"/>
            <w:bottom w:val="none" w:sz="0" w:space="0" w:color="auto"/>
            <w:right w:val="none" w:sz="0" w:space="0" w:color="auto"/>
          </w:divBdr>
          <w:divsChild>
            <w:div w:id="1807817615">
              <w:marLeft w:val="0"/>
              <w:marRight w:val="0"/>
              <w:marTop w:val="0"/>
              <w:marBottom w:val="0"/>
              <w:divBdr>
                <w:top w:val="none" w:sz="0" w:space="0" w:color="auto"/>
                <w:left w:val="none" w:sz="0" w:space="0" w:color="auto"/>
                <w:bottom w:val="none" w:sz="0" w:space="0" w:color="auto"/>
                <w:right w:val="none" w:sz="0" w:space="0" w:color="auto"/>
              </w:divBdr>
            </w:div>
          </w:divsChild>
        </w:div>
        <w:div w:id="1054354902">
          <w:marLeft w:val="0"/>
          <w:marRight w:val="0"/>
          <w:marTop w:val="0"/>
          <w:marBottom w:val="0"/>
          <w:divBdr>
            <w:top w:val="none" w:sz="0" w:space="0" w:color="auto"/>
            <w:left w:val="none" w:sz="0" w:space="0" w:color="auto"/>
            <w:bottom w:val="none" w:sz="0" w:space="0" w:color="auto"/>
            <w:right w:val="none" w:sz="0" w:space="0" w:color="auto"/>
          </w:divBdr>
          <w:divsChild>
            <w:div w:id="1826819168">
              <w:marLeft w:val="0"/>
              <w:marRight w:val="0"/>
              <w:marTop w:val="0"/>
              <w:marBottom w:val="0"/>
              <w:divBdr>
                <w:top w:val="none" w:sz="0" w:space="0" w:color="auto"/>
                <w:left w:val="none" w:sz="0" w:space="0" w:color="auto"/>
                <w:bottom w:val="none" w:sz="0" w:space="0" w:color="auto"/>
                <w:right w:val="none" w:sz="0" w:space="0" w:color="auto"/>
              </w:divBdr>
            </w:div>
          </w:divsChild>
        </w:div>
        <w:div w:id="1696344218">
          <w:marLeft w:val="0"/>
          <w:marRight w:val="0"/>
          <w:marTop w:val="0"/>
          <w:marBottom w:val="0"/>
          <w:divBdr>
            <w:top w:val="none" w:sz="0" w:space="0" w:color="auto"/>
            <w:left w:val="none" w:sz="0" w:space="0" w:color="auto"/>
            <w:bottom w:val="none" w:sz="0" w:space="0" w:color="auto"/>
            <w:right w:val="none" w:sz="0" w:space="0" w:color="auto"/>
          </w:divBdr>
          <w:divsChild>
            <w:div w:id="3630830">
              <w:marLeft w:val="0"/>
              <w:marRight w:val="0"/>
              <w:marTop w:val="0"/>
              <w:marBottom w:val="0"/>
              <w:divBdr>
                <w:top w:val="none" w:sz="0" w:space="0" w:color="auto"/>
                <w:left w:val="none" w:sz="0" w:space="0" w:color="auto"/>
                <w:bottom w:val="none" w:sz="0" w:space="0" w:color="auto"/>
                <w:right w:val="none" w:sz="0" w:space="0" w:color="auto"/>
              </w:divBdr>
            </w:div>
          </w:divsChild>
        </w:div>
        <w:div w:id="1166822938">
          <w:marLeft w:val="0"/>
          <w:marRight w:val="0"/>
          <w:marTop w:val="0"/>
          <w:marBottom w:val="0"/>
          <w:divBdr>
            <w:top w:val="none" w:sz="0" w:space="0" w:color="auto"/>
            <w:left w:val="none" w:sz="0" w:space="0" w:color="auto"/>
            <w:bottom w:val="none" w:sz="0" w:space="0" w:color="auto"/>
            <w:right w:val="none" w:sz="0" w:space="0" w:color="auto"/>
          </w:divBdr>
          <w:divsChild>
            <w:div w:id="699670602">
              <w:marLeft w:val="0"/>
              <w:marRight w:val="0"/>
              <w:marTop w:val="0"/>
              <w:marBottom w:val="0"/>
              <w:divBdr>
                <w:top w:val="none" w:sz="0" w:space="0" w:color="auto"/>
                <w:left w:val="none" w:sz="0" w:space="0" w:color="auto"/>
                <w:bottom w:val="none" w:sz="0" w:space="0" w:color="auto"/>
                <w:right w:val="none" w:sz="0" w:space="0" w:color="auto"/>
              </w:divBdr>
            </w:div>
          </w:divsChild>
        </w:div>
        <w:div w:id="1323892741">
          <w:marLeft w:val="0"/>
          <w:marRight w:val="0"/>
          <w:marTop w:val="0"/>
          <w:marBottom w:val="0"/>
          <w:divBdr>
            <w:top w:val="none" w:sz="0" w:space="0" w:color="auto"/>
            <w:left w:val="none" w:sz="0" w:space="0" w:color="auto"/>
            <w:bottom w:val="none" w:sz="0" w:space="0" w:color="auto"/>
            <w:right w:val="none" w:sz="0" w:space="0" w:color="auto"/>
          </w:divBdr>
          <w:divsChild>
            <w:div w:id="1438719063">
              <w:marLeft w:val="0"/>
              <w:marRight w:val="0"/>
              <w:marTop w:val="0"/>
              <w:marBottom w:val="0"/>
              <w:divBdr>
                <w:top w:val="none" w:sz="0" w:space="0" w:color="auto"/>
                <w:left w:val="none" w:sz="0" w:space="0" w:color="auto"/>
                <w:bottom w:val="none" w:sz="0" w:space="0" w:color="auto"/>
                <w:right w:val="none" w:sz="0" w:space="0" w:color="auto"/>
              </w:divBdr>
            </w:div>
          </w:divsChild>
        </w:div>
        <w:div w:id="1565794467">
          <w:marLeft w:val="0"/>
          <w:marRight w:val="0"/>
          <w:marTop w:val="0"/>
          <w:marBottom w:val="0"/>
          <w:divBdr>
            <w:top w:val="none" w:sz="0" w:space="0" w:color="auto"/>
            <w:left w:val="none" w:sz="0" w:space="0" w:color="auto"/>
            <w:bottom w:val="none" w:sz="0" w:space="0" w:color="auto"/>
            <w:right w:val="none" w:sz="0" w:space="0" w:color="auto"/>
          </w:divBdr>
          <w:divsChild>
            <w:div w:id="1523543420">
              <w:marLeft w:val="0"/>
              <w:marRight w:val="0"/>
              <w:marTop w:val="0"/>
              <w:marBottom w:val="0"/>
              <w:divBdr>
                <w:top w:val="none" w:sz="0" w:space="0" w:color="auto"/>
                <w:left w:val="none" w:sz="0" w:space="0" w:color="auto"/>
                <w:bottom w:val="none" w:sz="0" w:space="0" w:color="auto"/>
                <w:right w:val="none" w:sz="0" w:space="0" w:color="auto"/>
              </w:divBdr>
            </w:div>
          </w:divsChild>
        </w:div>
        <w:div w:id="1832477793">
          <w:marLeft w:val="0"/>
          <w:marRight w:val="0"/>
          <w:marTop w:val="0"/>
          <w:marBottom w:val="0"/>
          <w:divBdr>
            <w:top w:val="none" w:sz="0" w:space="0" w:color="auto"/>
            <w:left w:val="none" w:sz="0" w:space="0" w:color="auto"/>
            <w:bottom w:val="none" w:sz="0" w:space="0" w:color="auto"/>
            <w:right w:val="none" w:sz="0" w:space="0" w:color="auto"/>
          </w:divBdr>
          <w:divsChild>
            <w:div w:id="576011921">
              <w:marLeft w:val="0"/>
              <w:marRight w:val="0"/>
              <w:marTop w:val="0"/>
              <w:marBottom w:val="0"/>
              <w:divBdr>
                <w:top w:val="none" w:sz="0" w:space="0" w:color="auto"/>
                <w:left w:val="none" w:sz="0" w:space="0" w:color="auto"/>
                <w:bottom w:val="none" w:sz="0" w:space="0" w:color="auto"/>
                <w:right w:val="none" w:sz="0" w:space="0" w:color="auto"/>
              </w:divBdr>
            </w:div>
          </w:divsChild>
        </w:div>
        <w:div w:id="416094727">
          <w:marLeft w:val="0"/>
          <w:marRight w:val="0"/>
          <w:marTop w:val="0"/>
          <w:marBottom w:val="0"/>
          <w:divBdr>
            <w:top w:val="none" w:sz="0" w:space="0" w:color="auto"/>
            <w:left w:val="none" w:sz="0" w:space="0" w:color="auto"/>
            <w:bottom w:val="none" w:sz="0" w:space="0" w:color="auto"/>
            <w:right w:val="none" w:sz="0" w:space="0" w:color="auto"/>
          </w:divBdr>
          <w:divsChild>
            <w:div w:id="232401089">
              <w:marLeft w:val="0"/>
              <w:marRight w:val="0"/>
              <w:marTop w:val="0"/>
              <w:marBottom w:val="0"/>
              <w:divBdr>
                <w:top w:val="none" w:sz="0" w:space="0" w:color="auto"/>
                <w:left w:val="none" w:sz="0" w:space="0" w:color="auto"/>
                <w:bottom w:val="none" w:sz="0" w:space="0" w:color="auto"/>
                <w:right w:val="none" w:sz="0" w:space="0" w:color="auto"/>
              </w:divBdr>
            </w:div>
          </w:divsChild>
        </w:div>
        <w:div w:id="1675035116">
          <w:marLeft w:val="0"/>
          <w:marRight w:val="0"/>
          <w:marTop w:val="0"/>
          <w:marBottom w:val="0"/>
          <w:divBdr>
            <w:top w:val="none" w:sz="0" w:space="0" w:color="auto"/>
            <w:left w:val="none" w:sz="0" w:space="0" w:color="auto"/>
            <w:bottom w:val="none" w:sz="0" w:space="0" w:color="auto"/>
            <w:right w:val="none" w:sz="0" w:space="0" w:color="auto"/>
          </w:divBdr>
          <w:divsChild>
            <w:div w:id="223376485">
              <w:marLeft w:val="0"/>
              <w:marRight w:val="0"/>
              <w:marTop w:val="0"/>
              <w:marBottom w:val="0"/>
              <w:divBdr>
                <w:top w:val="none" w:sz="0" w:space="0" w:color="auto"/>
                <w:left w:val="none" w:sz="0" w:space="0" w:color="auto"/>
                <w:bottom w:val="none" w:sz="0" w:space="0" w:color="auto"/>
                <w:right w:val="none" w:sz="0" w:space="0" w:color="auto"/>
              </w:divBdr>
            </w:div>
          </w:divsChild>
        </w:div>
        <w:div w:id="1522552493">
          <w:marLeft w:val="0"/>
          <w:marRight w:val="0"/>
          <w:marTop w:val="0"/>
          <w:marBottom w:val="0"/>
          <w:divBdr>
            <w:top w:val="none" w:sz="0" w:space="0" w:color="auto"/>
            <w:left w:val="none" w:sz="0" w:space="0" w:color="auto"/>
            <w:bottom w:val="none" w:sz="0" w:space="0" w:color="auto"/>
            <w:right w:val="none" w:sz="0" w:space="0" w:color="auto"/>
          </w:divBdr>
          <w:divsChild>
            <w:div w:id="1114056699">
              <w:marLeft w:val="0"/>
              <w:marRight w:val="0"/>
              <w:marTop w:val="0"/>
              <w:marBottom w:val="0"/>
              <w:divBdr>
                <w:top w:val="none" w:sz="0" w:space="0" w:color="auto"/>
                <w:left w:val="none" w:sz="0" w:space="0" w:color="auto"/>
                <w:bottom w:val="none" w:sz="0" w:space="0" w:color="auto"/>
                <w:right w:val="none" w:sz="0" w:space="0" w:color="auto"/>
              </w:divBdr>
            </w:div>
          </w:divsChild>
        </w:div>
        <w:div w:id="1673027888">
          <w:marLeft w:val="0"/>
          <w:marRight w:val="0"/>
          <w:marTop w:val="0"/>
          <w:marBottom w:val="0"/>
          <w:divBdr>
            <w:top w:val="none" w:sz="0" w:space="0" w:color="auto"/>
            <w:left w:val="none" w:sz="0" w:space="0" w:color="auto"/>
            <w:bottom w:val="none" w:sz="0" w:space="0" w:color="auto"/>
            <w:right w:val="none" w:sz="0" w:space="0" w:color="auto"/>
          </w:divBdr>
          <w:divsChild>
            <w:div w:id="1916932093">
              <w:marLeft w:val="0"/>
              <w:marRight w:val="0"/>
              <w:marTop w:val="0"/>
              <w:marBottom w:val="0"/>
              <w:divBdr>
                <w:top w:val="none" w:sz="0" w:space="0" w:color="auto"/>
                <w:left w:val="none" w:sz="0" w:space="0" w:color="auto"/>
                <w:bottom w:val="none" w:sz="0" w:space="0" w:color="auto"/>
                <w:right w:val="none" w:sz="0" w:space="0" w:color="auto"/>
              </w:divBdr>
            </w:div>
          </w:divsChild>
        </w:div>
        <w:div w:id="1166898949">
          <w:marLeft w:val="0"/>
          <w:marRight w:val="0"/>
          <w:marTop w:val="0"/>
          <w:marBottom w:val="0"/>
          <w:divBdr>
            <w:top w:val="none" w:sz="0" w:space="0" w:color="auto"/>
            <w:left w:val="none" w:sz="0" w:space="0" w:color="auto"/>
            <w:bottom w:val="none" w:sz="0" w:space="0" w:color="auto"/>
            <w:right w:val="none" w:sz="0" w:space="0" w:color="auto"/>
          </w:divBdr>
          <w:divsChild>
            <w:div w:id="164322933">
              <w:marLeft w:val="0"/>
              <w:marRight w:val="0"/>
              <w:marTop w:val="0"/>
              <w:marBottom w:val="0"/>
              <w:divBdr>
                <w:top w:val="none" w:sz="0" w:space="0" w:color="auto"/>
                <w:left w:val="none" w:sz="0" w:space="0" w:color="auto"/>
                <w:bottom w:val="none" w:sz="0" w:space="0" w:color="auto"/>
                <w:right w:val="none" w:sz="0" w:space="0" w:color="auto"/>
              </w:divBdr>
            </w:div>
          </w:divsChild>
        </w:div>
        <w:div w:id="972976698">
          <w:marLeft w:val="0"/>
          <w:marRight w:val="0"/>
          <w:marTop w:val="0"/>
          <w:marBottom w:val="0"/>
          <w:divBdr>
            <w:top w:val="none" w:sz="0" w:space="0" w:color="auto"/>
            <w:left w:val="none" w:sz="0" w:space="0" w:color="auto"/>
            <w:bottom w:val="none" w:sz="0" w:space="0" w:color="auto"/>
            <w:right w:val="none" w:sz="0" w:space="0" w:color="auto"/>
          </w:divBdr>
          <w:divsChild>
            <w:div w:id="611321331">
              <w:marLeft w:val="0"/>
              <w:marRight w:val="0"/>
              <w:marTop w:val="0"/>
              <w:marBottom w:val="0"/>
              <w:divBdr>
                <w:top w:val="none" w:sz="0" w:space="0" w:color="auto"/>
                <w:left w:val="none" w:sz="0" w:space="0" w:color="auto"/>
                <w:bottom w:val="none" w:sz="0" w:space="0" w:color="auto"/>
                <w:right w:val="none" w:sz="0" w:space="0" w:color="auto"/>
              </w:divBdr>
            </w:div>
          </w:divsChild>
        </w:div>
        <w:div w:id="719550528">
          <w:marLeft w:val="0"/>
          <w:marRight w:val="0"/>
          <w:marTop w:val="0"/>
          <w:marBottom w:val="0"/>
          <w:divBdr>
            <w:top w:val="none" w:sz="0" w:space="0" w:color="auto"/>
            <w:left w:val="none" w:sz="0" w:space="0" w:color="auto"/>
            <w:bottom w:val="none" w:sz="0" w:space="0" w:color="auto"/>
            <w:right w:val="none" w:sz="0" w:space="0" w:color="auto"/>
          </w:divBdr>
          <w:divsChild>
            <w:div w:id="1263490088">
              <w:marLeft w:val="0"/>
              <w:marRight w:val="0"/>
              <w:marTop w:val="0"/>
              <w:marBottom w:val="0"/>
              <w:divBdr>
                <w:top w:val="none" w:sz="0" w:space="0" w:color="auto"/>
                <w:left w:val="none" w:sz="0" w:space="0" w:color="auto"/>
                <w:bottom w:val="none" w:sz="0" w:space="0" w:color="auto"/>
                <w:right w:val="none" w:sz="0" w:space="0" w:color="auto"/>
              </w:divBdr>
            </w:div>
          </w:divsChild>
        </w:div>
        <w:div w:id="1161043319">
          <w:marLeft w:val="0"/>
          <w:marRight w:val="0"/>
          <w:marTop w:val="0"/>
          <w:marBottom w:val="0"/>
          <w:divBdr>
            <w:top w:val="none" w:sz="0" w:space="0" w:color="auto"/>
            <w:left w:val="none" w:sz="0" w:space="0" w:color="auto"/>
            <w:bottom w:val="none" w:sz="0" w:space="0" w:color="auto"/>
            <w:right w:val="none" w:sz="0" w:space="0" w:color="auto"/>
          </w:divBdr>
          <w:divsChild>
            <w:div w:id="1552187129">
              <w:marLeft w:val="0"/>
              <w:marRight w:val="0"/>
              <w:marTop w:val="0"/>
              <w:marBottom w:val="0"/>
              <w:divBdr>
                <w:top w:val="none" w:sz="0" w:space="0" w:color="auto"/>
                <w:left w:val="none" w:sz="0" w:space="0" w:color="auto"/>
                <w:bottom w:val="none" w:sz="0" w:space="0" w:color="auto"/>
                <w:right w:val="none" w:sz="0" w:space="0" w:color="auto"/>
              </w:divBdr>
            </w:div>
          </w:divsChild>
        </w:div>
        <w:div w:id="959796922">
          <w:marLeft w:val="0"/>
          <w:marRight w:val="0"/>
          <w:marTop w:val="0"/>
          <w:marBottom w:val="0"/>
          <w:divBdr>
            <w:top w:val="none" w:sz="0" w:space="0" w:color="auto"/>
            <w:left w:val="none" w:sz="0" w:space="0" w:color="auto"/>
            <w:bottom w:val="none" w:sz="0" w:space="0" w:color="auto"/>
            <w:right w:val="none" w:sz="0" w:space="0" w:color="auto"/>
          </w:divBdr>
          <w:divsChild>
            <w:div w:id="1736664780">
              <w:marLeft w:val="0"/>
              <w:marRight w:val="0"/>
              <w:marTop w:val="0"/>
              <w:marBottom w:val="0"/>
              <w:divBdr>
                <w:top w:val="none" w:sz="0" w:space="0" w:color="auto"/>
                <w:left w:val="none" w:sz="0" w:space="0" w:color="auto"/>
                <w:bottom w:val="none" w:sz="0" w:space="0" w:color="auto"/>
                <w:right w:val="none" w:sz="0" w:space="0" w:color="auto"/>
              </w:divBdr>
            </w:div>
          </w:divsChild>
        </w:div>
        <w:div w:id="1641307129">
          <w:marLeft w:val="0"/>
          <w:marRight w:val="0"/>
          <w:marTop w:val="0"/>
          <w:marBottom w:val="0"/>
          <w:divBdr>
            <w:top w:val="none" w:sz="0" w:space="0" w:color="auto"/>
            <w:left w:val="none" w:sz="0" w:space="0" w:color="auto"/>
            <w:bottom w:val="none" w:sz="0" w:space="0" w:color="auto"/>
            <w:right w:val="none" w:sz="0" w:space="0" w:color="auto"/>
          </w:divBdr>
          <w:divsChild>
            <w:div w:id="963923379">
              <w:marLeft w:val="0"/>
              <w:marRight w:val="0"/>
              <w:marTop w:val="0"/>
              <w:marBottom w:val="0"/>
              <w:divBdr>
                <w:top w:val="none" w:sz="0" w:space="0" w:color="auto"/>
                <w:left w:val="none" w:sz="0" w:space="0" w:color="auto"/>
                <w:bottom w:val="none" w:sz="0" w:space="0" w:color="auto"/>
                <w:right w:val="none" w:sz="0" w:space="0" w:color="auto"/>
              </w:divBdr>
            </w:div>
          </w:divsChild>
        </w:div>
        <w:div w:id="1040282077">
          <w:marLeft w:val="0"/>
          <w:marRight w:val="0"/>
          <w:marTop w:val="0"/>
          <w:marBottom w:val="0"/>
          <w:divBdr>
            <w:top w:val="none" w:sz="0" w:space="0" w:color="auto"/>
            <w:left w:val="none" w:sz="0" w:space="0" w:color="auto"/>
            <w:bottom w:val="none" w:sz="0" w:space="0" w:color="auto"/>
            <w:right w:val="none" w:sz="0" w:space="0" w:color="auto"/>
          </w:divBdr>
          <w:divsChild>
            <w:div w:id="162281931">
              <w:marLeft w:val="0"/>
              <w:marRight w:val="0"/>
              <w:marTop w:val="0"/>
              <w:marBottom w:val="0"/>
              <w:divBdr>
                <w:top w:val="none" w:sz="0" w:space="0" w:color="auto"/>
                <w:left w:val="none" w:sz="0" w:space="0" w:color="auto"/>
                <w:bottom w:val="none" w:sz="0" w:space="0" w:color="auto"/>
                <w:right w:val="none" w:sz="0" w:space="0" w:color="auto"/>
              </w:divBdr>
            </w:div>
          </w:divsChild>
        </w:div>
        <w:div w:id="952396939">
          <w:marLeft w:val="0"/>
          <w:marRight w:val="0"/>
          <w:marTop w:val="0"/>
          <w:marBottom w:val="0"/>
          <w:divBdr>
            <w:top w:val="none" w:sz="0" w:space="0" w:color="auto"/>
            <w:left w:val="none" w:sz="0" w:space="0" w:color="auto"/>
            <w:bottom w:val="none" w:sz="0" w:space="0" w:color="auto"/>
            <w:right w:val="none" w:sz="0" w:space="0" w:color="auto"/>
          </w:divBdr>
          <w:divsChild>
            <w:div w:id="1109662990">
              <w:marLeft w:val="0"/>
              <w:marRight w:val="0"/>
              <w:marTop w:val="0"/>
              <w:marBottom w:val="0"/>
              <w:divBdr>
                <w:top w:val="none" w:sz="0" w:space="0" w:color="auto"/>
                <w:left w:val="none" w:sz="0" w:space="0" w:color="auto"/>
                <w:bottom w:val="none" w:sz="0" w:space="0" w:color="auto"/>
                <w:right w:val="none" w:sz="0" w:space="0" w:color="auto"/>
              </w:divBdr>
            </w:div>
          </w:divsChild>
        </w:div>
        <w:div w:id="2114855111">
          <w:marLeft w:val="0"/>
          <w:marRight w:val="0"/>
          <w:marTop w:val="0"/>
          <w:marBottom w:val="0"/>
          <w:divBdr>
            <w:top w:val="none" w:sz="0" w:space="0" w:color="auto"/>
            <w:left w:val="none" w:sz="0" w:space="0" w:color="auto"/>
            <w:bottom w:val="none" w:sz="0" w:space="0" w:color="auto"/>
            <w:right w:val="none" w:sz="0" w:space="0" w:color="auto"/>
          </w:divBdr>
          <w:divsChild>
            <w:div w:id="1016226039">
              <w:marLeft w:val="0"/>
              <w:marRight w:val="0"/>
              <w:marTop w:val="0"/>
              <w:marBottom w:val="0"/>
              <w:divBdr>
                <w:top w:val="none" w:sz="0" w:space="0" w:color="auto"/>
                <w:left w:val="none" w:sz="0" w:space="0" w:color="auto"/>
                <w:bottom w:val="none" w:sz="0" w:space="0" w:color="auto"/>
                <w:right w:val="none" w:sz="0" w:space="0" w:color="auto"/>
              </w:divBdr>
            </w:div>
          </w:divsChild>
        </w:div>
        <w:div w:id="784495108">
          <w:marLeft w:val="0"/>
          <w:marRight w:val="0"/>
          <w:marTop w:val="0"/>
          <w:marBottom w:val="0"/>
          <w:divBdr>
            <w:top w:val="none" w:sz="0" w:space="0" w:color="auto"/>
            <w:left w:val="none" w:sz="0" w:space="0" w:color="auto"/>
            <w:bottom w:val="none" w:sz="0" w:space="0" w:color="auto"/>
            <w:right w:val="none" w:sz="0" w:space="0" w:color="auto"/>
          </w:divBdr>
          <w:divsChild>
            <w:div w:id="246110993">
              <w:marLeft w:val="0"/>
              <w:marRight w:val="0"/>
              <w:marTop w:val="0"/>
              <w:marBottom w:val="0"/>
              <w:divBdr>
                <w:top w:val="none" w:sz="0" w:space="0" w:color="auto"/>
                <w:left w:val="none" w:sz="0" w:space="0" w:color="auto"/>
                <w:bottom w:val="none" w:sz="0" w:space="0" w:color="auto"/>
                <w:right w:val="none" w:sz="0" w:space="0" w:color="auto"/>
              </w:divBdr>
            </w:div>
          </w:divsChild>
        </w:div>
        <w:div w:id="1011878727">
          <w:marLeft w:val="0"/>
          <w:marRight w:val="0"/>
          <w:marTop w:val="0"/>
          <w:marBottom w:val="0"/>
          <w:divBdr>
            <w:top w:val="none" w:sz="0" w:space="0" w:color="auto"/>
            <w:left w:val="none" w:sz="0" w:space="0" w:color="auto"/>
            <w:bottom w:val="none" w:sz="0" w:space="0" w:color="auto"/>
            <w:right w:val="none" w:sz="0" w:space="0" w:color="auto"/>
          </w:divBdr>
          <w:divsChild>
            <w:div w:id="874735094">
              <w:marLeft w:val="0"/>
              <w:marRight w:val="0"/>
              <w:marTop w:val="0"/>
              <w:marBottom w:val="0"/>
              <w:divBdr>
                <w:top w:val="none" w:sz="0" w:space="0" w:color="auto"/>
                <w:left w:val="none" w:sz="0" w:space="0" w:color="auto"/>
                <w:bottom w:val="none" w:sz="0" w:space="0" w:color="auto"/>
                <w:right w:val="none" w:sz="0" w:space="0" w:color="auto"/>
              </w:divBdr>
            </w:div>
          </w:divsChild>
        </w:div>
        <w:div w:id="688802068">
          <w:marLeft w:val="0"/>
          <w:marRight w:val="0"/>
          <w:marTop w:val="0"/>
          <w:marBottom w:val="0"/>
          <w:divBdr>
            <w:top w:val="none" w:sz="0" w:space="0" w:color="auto"/>
            <w:left w:val="none" w:sz="0" w:space="0" w:color="auto"/>
            <w:bottom w:val="none" w:sz="0" w:space="0" w:color="auto"/>
            <w:right w:val="none" w:sz="0" w:space="0" w:color="auto"/>
          </w:divBdr>
          <w:divsChild>
            <w:div w:id="771438463">
              <w:marLeft w:val="0"/>
              <w:marRight w:val="0"/>
              <w:marTop w:val="0"/>
              <w:marBottom w:val="0"/>
              <w:divBdr>
                <w:top w:val="none" w:sz="0" w:space="0" w:color="auto"/>
                <w:left w:val="none" w:sz="0" w:space="0" w:color="auto"/>
                <w:bottom w:val="none" w:sz="0" w:space="0" w:color="auto"/>
                <w:right w:val="none" w:sz="0" w:space="0" w:color="auto"/>
              </w:divBdr>
            </w:div>
          </w:divsChild>
        </w:div>
        <w:div w:id="514802890">
          <w:marLeft w:val="0"/>
          <w:marRight w:val="0"/>
          <w:marTop w:val="0"/>
          <w:marBottom w:val="0"/>
          <w:divBdr>
            <w:top w:val="none" w:sz="0" w:space="0" w:color="auto"/>
            <w:left w:val="none" w:sz="0" w:space="0" w:color="auto"/>
            <w:bottom w:val="none" w:sz="0" w:space="0" w:color="auto"/>
            <w:right w:val="none" w:sz="0" w:space="0" w:color="auto"/>
          </w:divBdr>
          <w:divsChild>
            <w:div w:id="275714770">
              <w:marLeft w:val="0"/>
              <w:marRight w:val="0"/>
              <w:marTop w:val="0"/>
              <w:marBottom w:val="0"/>
              <w:divBdr>
                <w:top w:val="none" w:sz="0" w:space="0" w:color="auto"/>
                <w:left w:val="none" w:sz="0" w:space="0" w:color="auto"/>
                <w:bottom w:val="none" w:sz="0" w:space="0" w:color="auto"/>
                <w:right w:val="none" w:sz="0" w:space="0" w:color="auto"/>
              </w:divBdr>
            </w:div>
          </w:divsChild>
        </w:div>
        <w:div w:id="1248461459">
          <w:marLeft w:val="0"/>
          <w:marRight w:val="0"/>
          <w:marTop w:val="0"/>
          <w:marBottom w:val="0"/>
          <w:divBdr>
            <w:top w:val="none" w:sz="0" w:space="0" w:color="auto"/>
            <w:left w:val="none" w:sz="0" w:space="0" w:color="auto"/>
            <w:bottom w:val="none" w:sz="0" w:space="0" w:color="auto"/>
            <w:right w:val="none" w:sz="0" w:space="0" w:color="auto"/>
          </w:divBdr>
          <w:divsChild>
            <w:div w:id="206528147">
              <w:marLeft w:val="0"/>
              <w:marRight w:val="0"/>
              <w:marTop w:val="0"/>
              <w:marBottom w:val="0"/>
              <w:divBdr>
                <w:top w:val="none" w:sz="0" w:space="0" w:color="auto"/>
                <w:left w:val="none" w:sz="0" w:space="0" w:color="auto"/>
                <w:bottom w:val="none" w:sz="0" w:space="0" w:color="auto"/>
                <w:right w:val="none" w:sz="0" w:space="0" w:color="auto"/>
              </w:divBdr>
            </w:div>
          </w:divsChild>
        </w:div>
        <w:div w:id="1776166069">
          <w:marLeft w:val="0"/>
          <w:marRight w:val="0"/>
          <w:marTop w:val="0"/>
          <w:marBottom w:val="0"/>
          <w:divBdr>
            <w:top w:val="none" w:sz="0" w:space="0" w:color="auto"/>
            <w:left w:val="none" w:sz="0" w:space="0" w:color="auto"/>
            <w:bottom w:val="none" w:sz="0" w:space="0" w:color="auto"/>
            <w:right w:val="none" w:sz="0" w:space="0" w:color="auto"/>
          </w:divBdr>
          <w:divsChild>
            <w:div w:id="1205405292">
              <w:marLeft w:val="0"/>
              <w:marRight w:val="0"/>
              <w:marTop w:val="0"/>
              <w:marBottom w:val="0"/>
              <w:divBdr>
                <w:top w:val="none" w:sz="0" w:space="0" w:color="auto"/>
                <w:left w:val="none" w:sz="0" w:space="0" w:color="auto"/>
                <w:bottom w:val="none" w:sz="0" w:space="0" w:color="auto"/>
                <w:right w:val="none" w:sz="0" w:space="0" w:color="auto"/>
              </w:divBdr>
            </w:div>
          </w:divsChild>
        </w:div>
        <w:div w:id="684400407">
          <w:marLeft w:val="0"/>
          <w:marRight w:val="0"/>
          <w:marTop w:val="0"/>
          <w:marBottom w:val="0"/>
          <w:divBdr>
            <w:top w:val="none" w:sz="0" w:space="0" w:color="auto"/>
            <w:left w:val="none" w:sz="0" w:space="0" w:color="auto"/>
            <w:bottom w:val="none" w:sz="0" w:space="0" w:color="auto"/>
            <w:right w:val="none" w:sz="0" w:space="0" w:color="auto"/>
          </w:divBdr>
          <w:divsChild>
            <w:div w:id="1207253364">
              <w:marLeft w:val="0"/>
              <w:marRight w:val="0"/>
              <w:marTop w:val="0"/>
              <w:marBottom w:val="0"/>
              <w:divBdr>
                <w:top w:val="none" w:sz="0" w:space="0" w:color="auto"/>
                <w:left w:val="none" w:sz="0" w:space="0" w:color="auto"/>
                <w:bottom w:val="none" w:sz="0" w:space="0" w:color="auto"/>
                <w:right w:val="none" w:sz="0" w:space="0" w:color="auto"/>
              </w:divBdr>
            </w:div>
          </w:divsChild>
        </w:div>
        <w:div w:id="1625892525">
          <w:marLeft w:val="0"/>
          <w:marRight w:val="0"/>
          <w:marTop w:val="0"/>
          <w:marBottom w:val="0"/>
          <w:divBdr>
            <w:top w:val="none" w:sz="0" w:space="0" w:color="auto"/>
            <w:left w:val="none" w:sz="0" w:space="0" w:color="auto"/>
            <w:bottom w:val="none" w:sz="0" w:space="0" w:color="auto"/>
            <w:right w:val="none" w:sz="0" w:space="0" w:color="auto"/>
          </w:divBdr>
          <w:divsChild>
            <w:div w:id="1429083734">
              <w:marLeft w:val="0"/>
              <w:marRight w:val="0"/>
              <w:marTop w:val="0"/>
              <w:marBottom w:val="0"/>
              <w:divBdr>
                <w:top w:val="none" w:sz="0" w:space="0" w:color="auto"/>
                <w:left w:val="none" w:sz="0" w:space="0" w:color="auto"/>
                <w:bottom w:val="none" w:sz="0" w:space="0" w:color="auto"/>
                <w:right w:val="none" w:sz="0" w:space="0" w:color="auto"/>
              </w:divBdr>
            </w:div>
          </w:divsChild>
        </w:div>
        <w:div w:id="1103452365">
          <w:marLeft w:val="0"/>
          <w:marRight w:val="0"/>
          <w:marTop w:val="0"/>
          <w:marBottom w:val="0"/>
          <w:divBdr>
            <w:top w:val="none" w:sz="0" w:space="0" w:color="auto"/>
            <w:left w:val="none" w:sz="0" w:space="0" w:color="auto"/>
            <w:bottom w:val="none" w:sz="0" w:space="0" w:color="auto"/>
            <w:right w:val="none" w:sz="0" w:space="0" w:color="auto"/>
          </w:divBdr>
          <w:divsChild>
            <w:div w:id="1387340537">
              <w:marLeft w:val="0"/>
              <w:marRight w:val="0"/>
              <w:marTop w:val="0"/>
              <w:marBottom w:val="0"/>
              <w:divBdr>
                <w:top w:val="none" w:sz="0" w:space="0" w:color="auto"/>
                <w:left w:val="none" w:sz="0" w:space="0" w:color="auto"/>
                <w:bottom w:val="none" w:sz="0" w:space="0" w:color="auto"/>
                <w:right w:val="none" w:sz="0" w:space="0" w:color="auto"/>
              </w:divBdr>
            </w:div>
          </w:divsChild>
        </w:div>
        <w:div w:id="1785345157">
          <w:marLeft w:val="0"/>
          <w:marRight w:val="0"/>
          <w:marTop w:val="0"/>
          <w:marBottom w:val="0"/>
          <w:divBdr>
            <w:top w:val="none" w:sz="0" w:space="0" w:color="auto"/>
            <w:left w:val="none" w:sz="0" w:space="0" w:color="auto"/>
            <w:bottom w:val="none" w:sz="0" w:space="0" w:color="auto"/>
            <w:right w:val="none" w:sz="0" w:space="0" w:color="auto"/>
          </w:divBdr>
          <w:divsChild>
            <w:div w:id="1696464915">
              <w:marLeft w:val="0"/>
              <w:marRight w:val="0"/>
              <w:marTop w:val="0"/>
              <w:marBottom w:val="0"/>
              <w:divBdr>
                <w:top w:val="none" w:sz="0" w:space="0" w:color="auto"/>
                <w:left w:val="none" w:sz="0" w:space="0" w:color="auto"/>
                <w:bottom w:val="none" w:sz="0" w:space="0" w:color="auto"/>
                <w:right w:val="none" w:sz="0" w:space="0" w:color="auto"/>
              </w:divBdr>
            </w:div>
          </w:divsChild>
        </w:div>
        <w:div w:id="1513300103">
          <w:marLeft w:val="0"/>
          <w:marRight w:val="0"/>
          <w:marTop w:val="0"/>
          <w:marBottom w:val="0"/>
          <w:divBdr>
            <w:top w:val="none" w:sz="0" w:space="0" w:color="auto"/>
            <w:left w:val="none" w:sz="0" w:space="0" w:color="auto"/>
            <w:bottom w:val="none" w:sz="0" w:space="0" w:color="auto"/>
            <w:right w:val="none" w:sz="0" w:space="0" w:color="auto"/>
          </w:divBdr>
          <w:divsChild>
            <w:div w:id="1906061624">
              <w:marLeft w:val="0"/>
              <w:marRight w:val="0"/>
              <w:marTop w:val="0"/>
              <w:marBottom w:val="0"/>
              <w:divBdr>
                <w:top w:val="none" w:sz="0" w:space="0" w:color="auto"/>
                <w:left w:val="none" w:sz="0" w:space="0" w:color="auto"/>
                <w:bottom w:val="none" w:sz="0" w:space="0" w:color="auto"/>
                <w:right w:val="none" w:sz="0" w:space="0" w:color="auto"/>
              </w:divBdr>
            </w:div>
          </w:divsChild>
        </w:div>
        <w:div w:id="451247720">
          <w:marLeft w:val="0"/>
          <w:marRight w:val="0"/>
          <w:marTop w:val="0"/>
          <w:marBottom w:val="0"/>
          <w:divBdr>
            <w:top w:val="none" w:sz="0" w:space="0" w:color="auto"/>
            <w:left w:val="none" w:sz="0" w:space="0" w:color="auto"/>
            <w:bottom w:val="none" w:sz="0" w:space="0" w:color="auto"/>
            <w:right w:val="none" w:sz="0" w:space="0" w:color="auto"/>
          </w:divBdr>
          <w:divsChild>
            <w:div w:id="1552110795">
              <w:marLeft w:val="0"/>
              <w:marRight w:val="0"/>
              <w:marTop w:val="0"/>
              <w:marBottom w:val="0"/>
              <w:divBdr>
                <w:top w:val="none" w:sz="0" w:space="0" w:color="auto"/>
                <w:left w:val="none" w:sz="0" w:space="0" w:color="auto"/>
                <w:bottom w:val="none" w:sz="0" w:space="0" w:color="auto"/>
                <w:right w:val="none" w:sz="0" w:space="0" w:color="auto"/>
              </w:divBdr>
            </w:div>
          </w:divsChild>
        </w:div>
        <w:div w:id="1928221637">
          <w:marLeft w:val="0"/>
          <w:marRight w:val="0"/>
          <w:marTop w:val="0"/>
          <w:marBottom w:val="0"/>
          <w:divBdr>
            <w:top w:val="none" w:sz="0" w:space="0" w:color="auto"/>
            <w:left w:val="none" w:sz="0" w:space="0" w:color="auto"/>
            <w:bottom w:val="none" w:sz="0" w:space="0" w:color="auto"/>
            <w:right w:val="none" w:sz="0" w:space="0" w:color="auto"/>
          </w:divBdr>
          <w:divsChild>
            <w:div w:id="64381635">
              <w:marLeft w:val="0"/>
              <w:marRight w:val="0"/>
              <w:marTop w:val="0"/>
              <w:marBottom w:val="0"/>
              <w:divBdr>
                <w:top w:val="none" w:sz="0" w:space="0" w:color="auto"/>
                <w:left w:val="none" w:sz="0" w:space="0" w:color="auto"/>
                <w:bottom w:val="none" w:sz="0" w:space="0" w:color="auto"/>
                <w:right w:val="none" w:sz="0" w:space="0" w:color="auto"/>
              </w:divBdr>
            </w:div>
          </w:divsChild>
        </w:div>
        <w:div w:id="830633952">
          <w:marLeft w:val="0"/>
          <w:marRight w:val="0"/>
          <w:marTop w:val="0"/>
          <w:marBottom w:val="0"/>
          <w:divBdr>
            <w:top w:val="none" w:sz="0" w:space="0" w:color="auto"/>
            <w:left w:val="none" w:sz="0" w:space="0" w:color="auto"/>
            <w:bottom w:val="none" w:sz="0" w:space="0" w:color="auto"/>
            <w:right w:val="none" w:sz="0" w:space="0" w:color="auto"/>
          </w:divBdr>
          <w:divsChild>
            <w:div w:id="1409114223">
              <w:marLeft w:val="0"/>
              <w:marRight w:val="0"/>
              <w:marTop w:val="0"/>
              <w:marBottom w:val="0"/>
              <w:divBdr>
                <w:top w:val="none" w:sz="0" w:space="0" w:color="auto"/>
                <w:left w:val="none" w:sz="0" w:space="0" w:color="auto"/>
                <w:bottom w:val="none" w:sz="0" w:space="0" w:color="auto"/>
                <w:right w:val="none" w:sz="0" w:space="0" w:color="auto"/>
              </w:divBdr>
            </w:div>
          </w:divsChild>
        </w:div>
        <w:div w:id="2005085978">
          <w:marLeft w:val="0"/>
          <w:marRight w:val="0"/>
          <w:marTop w:val="0"/>
          <w:marBottom w:val="0"/>
          <w:divBdr>
            <w:top w:val="none" w:sz="0" w:space="0" w:color="auto"/>
            <w:left w:val="none" w:sz="0" w:space="0" w:color="auto"/>
            <w:bottom w:val="none" w:sz="0" w:space="0" w:color="auto"/>
            <w:right w:val="none" w:sz="0" w:space="0" w:color="auto"/>
          </w:divBdr>
          <w:divsChild>
            <w:div w:id="1835754753">
              <w:marLeft w:val="0"/>
              <w:marRight w:val="0"/>
              <w:marTop w:val="0"/>
              <w:marBottom w:val="0"/>
              <w:divBdr>
                <w:top w:val="none" w:sz="0" w:space="0" w:color="auto"/>
                <w:left w:val="none" w:sz="0" w:space="0" w:color="auto"/>
                <w:bottom w:val="none" w:sz="0" w:space="0" w:color="auto"/>
                <w:right w:val="none" w:sz="0" w:space="0" w:color="auto"/>
              </w:divBdr>
            </w:div>
          </w:divsChild>
        </w:div>
        <w:div w:id="1855417893">
          <w:marLeft w:val="0"/>
          <w:marRight w:val="0"/>
          <w:marTop w:val="0"/>
          <w:marBottom w:val="0"/>
          <w:divBdr>
            <w:top w:val="none" w:sz="0" w:space="0" w:color="auto"/>
            <w:left w:val="none" w:sz="0" w:space="0" w:color="auto"/>
            <w:bottom w:val="none" w:sz="0" w:space="0" w:color="auto"/>
            <w:right w:val="none" w:sz="0" w:space="0" w:color="auto"/>
          </w:divBdr>
          <w:divsChild>
            <w:div w:id="130051860">
              <w:marLeft w:val="0"/>
              <w:marRight w:val="0"/>
              <w:marTop w:val="0"/>
              <w:marBottom w:val="0"/>
              <w:divBdr>
                <w:top w:val="none" w:sz="0" w:space="0" w:color="auto"/>
                <w:left w:val="none" w:sz="0" w:space="0" w:color="auto"/>
                <w:bottom w:val="none" w:sz="0" w:space="0" w:color="auto"/>
                <w:right w:val="none" w:sz="0" w:space="0" w:color="auto"/>
              </w:divBdr>
            </w:div>
          </w:divsChild>
        </w:div>
        <w:div w:id="1179083906">
          <w:marLeft w:val="0"/>
          <w:marRight w:val="0"/>
          <w:marTop w:val="0"/>
          <w:marBottom w:val="0"/>
          <w:divBdr>
            <w:top w:val="none" w:sz="0" w:space="0" w:color="auto"/>
            <w:left w:val="none" w:sz="0" w:space="0" w:color="auto"/>
            <w:bottom w:val="none" w:sz="0" w:space="0" w:color="auto"/>
            <w:right w:val="none" w:sz="0" w:space="0" w:color="auto"/>
          </w:divBdr>
          <w:divsChild>
            <w:div w:id="785929340">
              <w:marLeft w:val="0"/>
              <w:marRight w:val="0"/>
              <w:marTop w:val="0"/>
              <w:marBottom w:val="0"/>
              <w:divBdr>
                <w:top w:val="none" w:sz="0" w:space="0" w:color="auto"/>
                <w:left w:val="none" w:sz="0" w:space="0" w:color="auto"/>
                <w:bottom w:val="none" w:sz="0" w:space="0" w:color="auto"/>
                <w:right w:val="none" w:sz="0" w:space="0" w:color="auto"/>
              </w:divBdr>
            </w:div>
          </w:divsChild>
        </w:div>
        <w:div w:id="1916625610">
          <w:marLeft w:val="0"/>
          <w:marRight w:val="0"/>
          <w:marTop w:val="0"/>
          <w:marBottom w:val="0"/>
          <w:divBdr>
            <w:top w:val="none" w:sz="0" w:space="0" w:color="auto"/>
            <w:left w:val="none" w:sz="0" w:space="0" w:color="auto"/>
            <w:bottom w:val="none" w:sz="0" w:space="0" w:color="auto"/>
            <w:right w:val="none" w:sz="0" w:space="0" w:color="auto"/>
          </w:divBdr>
          <w:divsChild>
            <w:div w:id="86850664">
              <w:marLeft w:val="0"/>
              <w:marRight w:val="0"/>
              <w:marTop w:val="0"/>
              <w:marBottom w:val="0"/>
              <w:divBdr>
                <w:top w:val="none" w:sz="0" w:space="0" w:color="auto"/>
                <w:left w:val="none" w:sz="0" w:space="0" w:color="auto"/>
                <w:bottom w:val="none" w:sz="0" w:space="0" w:color="auto"/>
                <w:right w:val="none" w:sz="0" w:space="0" w:color="auto"/>
              </w:divBdr>
            </w:div>
          </w:divsChild>
        </w:div>
        <w:div w:id="579829466">
          <w:marLeft w:val="0"/>
          <w:marRight w:val="0"/>
          <w:marTop w:val="0"/>
          <w:marBottom w:val="0"/>
          <w:divBdr>
            <w:top w:val="none" w:sz="0" w:space="0" w:color="auto"/>
            <w:left w:val="none" w:sz="0" w:space="0" w:color="auto"/>
            <w:bottom w:val="none" w:sz="0" w:space="0" w:color="auto"/>
            <w:right w:val="none" w:sz="0" w:space="0" w:color="auto"/>
          </w:divBdr>
          <w:divsChild>
            <w:div w:id="1923181139">
              <w:marLeft w:val="0"/>
              <w:marRight w:val="0"/>
              <w:marTop w:val="0"/>
              <w:marBottom w:val="0"/>
              <w:divBdr>
                <w:top w:val="none" w:sz="0" w:space="0" w:color="auto"/>
                <w:left w:val="none" w:sz="0" w:space="0" w:color="auto"/>
                <w:bottom w:val="none" w:sz="0" w:space="0" w:color="auto"/>
                <w:right w:val="none" w:sz="0" w:space="0" w:color="auto"/>
              </w:divBdr>
            </w:div>
          </w:divsChild>
        </w:div>
        <w:div w:id="1347052450">
          <w:marLeft w:val="0"/>
          <w:marRight w:val="0"/>
          <w:marTop w:val="0"/>
          <w:marBottom w:val="0"/>
          <w:divBdr>
            <w:top w:val="none" w:sz="0" w:space="0" w:color="auto"/>
            <w:left w:val="none" w:sz="0" w:space="0" w:color="auto"/>
            <w:bottom w:val="none" w:sz="0" w:space="0" w:color="auto"/>
            <w:right w:val="none" w:sz="0" w:space="0" w:color="auto"/>
          </w:divBdr>
          <w:divsChild>
            <w:div w:id="426460257">
              <w:marLeft w:val="0"/>
              <w:marRight w:val="0"/>
              <w:marTop w:val="0"/>
              <w:marBottom w:val="0"/>
              <w:divBdr>
                <w:top w:val="none" w:sz="0" w:space="0" w:color="auto"/>
                <w:left w:val="none" w:sz="0" w:space="0" w:color="auto"/>
                <w:bottom w:val="none" w:sz="0" w:space="0" w:color="auto"/>
                <w:right w:val="none" w:sz="0" w:space="0" w:color="auto"/>
              </w:divBdr>
            </w:div>
          </w:divsChild>
        </w:div>
        <w:div w:id="2048798142">
          <w:marLeft w:val="0"/>
          <w:marRight w:val="0"/>
          <w:marTop w:val="0"/>
          <w:marBottom w:val="0"/>
          <w:divBdr>
            <w:top w:val="none" w:sz="0" w:space="0" w:color="auto"/>
            <w:left w:val="none" w:sz="0" w:space="0" w:color="auto"/>
            <w:bottom w:val="none" w:sz="0" w:space="0" w:color="auto"/>
            <w:right w:val="none" w:sz="0" w:space="0" w:color="auto"/>
          </w:divBdr>
          <w:divsChild>
            <w:div w:id="1369330517">
              <w:marLeft w:val="0"/>
              <w:marRight w:val="0"/>
              <w:marTop w:val="0"/>
              <w:marBottom w:val="0"/>
              <w:divBdr>
                <w:top w:val="none" w:sz="0" w:space="0" w:color="auto"/>
                <w:left w:val="none" w:sz="0" w:space="0" w:color="auto"/>
                <w:bottom w:val="none" w:sz="0" w:space="0" w:color="auto"/>
                <w:right w:val="none" w:sz="0" w:space="0" w:color="auto"/>
              </w:divBdr>
            </w:div>
          </w:divsChild>
        </w:div>
        <w:div w:id="941572352">
          <w:marLeft w:val="0"/>
          <w:marRight w:val="0"/>
          <w:marTop w:val="0"/>
          <w:marBottom w:val="0"/>
          <w:divBdr>
            <w:top w:val="none" w:sz="0" w:space="0" w:color="auto"/>
            <w:left w:val="none" w:sz="0" w:space="0" w:color="auto"/>
            <w:bottom w:val="none" w:sz="0" w:space="0" w:color="auto"/>
            <w:right w:val="none" w:sz="0" w:space="0" w:color="auto"/>
          </w:divBdr>
          <w:divsChild>
            <w:div w:id="1478569949">
              <w:marLeft w:val="0"/>
              <w:marRight w:val="0"/>
              <w:marTop w:val="0"/>
              <w:marBottom w:val="0"/>
              <w:divBdr>
                <w:top w:val="none" w:sz="0" w:space="0" w:color="auto"/>
                <w:left w:val="none" w:sz="0" w:space="0" w:color="auto"/>
                <w:bottom w:val="none" w:sz="0" w:space="0" w:color="auto"/>
                <w:right w:val="none" w:sz="0" w:space="0" w:color="auto"/>
              </w:divBdr>
            </w:div>
          </w:divsChild>
        </w:div>
        <w:div w:id="1292401635">
          <w:marLeft w:val="0"/>
          <w:marRight w:val="0"/>
          <w:marTop w:val="0"/>
          <w:marBottom w:val="0"/>
          <w:divBdr>
            <w:top w:val="none" w:sz="0" w:space="0" w:color="auto"/>
            <w:left w:val="none" w:sz="0" w:space="0" w:color="auto"/>
            <w:bottom w:val="none" w:sz="0" w:space="0" w:color="auto"/>
            <w:right w:val="none" w:sz="0" w:space="0" w:color="auto"/>
          </w:divBdr>
          <w:divsChild>
            <w:div w:id="655958831">
              <w:marLeft w:val="0"/>
              <w:marRight w:val="0"/>
              <w:marTop w:val="0"/>
              <w:marBottom w:val="0"/>
              <w:divBdr>
                <w:top w:val="none" w:sz="0" w:space="0" w:color="auto"/>
                <w:left w:val="none" w:sz="0" w:space="0" w:color="auto"/>
                <w:bottom w:val="none" w:sz="0" w:space="0" w:color="auto"/>
                <w:right w:val="none" w:sz="0" w:space="0" w:color="auto"/>
              </w:divBdr>
            </w:div>
          </w:divsChild>
        </w:div>
        <w:div w:id="661851653">
          <w:marLeft w:val="0"/>
          <w:marRight w:val="0"/>
          <w:marTop w:val="0"/>
          <w:marBottom w:val="0"/>
          <w:divBdr>
            <w:top w:val="none" w:sz="0" w:space="0" w:color="auto"/>
            <w:left w:val="none" w:sz="0" w:space="0" w:color="auto"/>
            <w:bottom w:val="none" w:sz="0" w:space="0" w:color="auto"/>
            <w:right w:val="none" w:sz="0" w:space="0" w:color="auto"/>
          </w:divBdr>
          <w:divsChild>
            <w:div w:id="1691909463">
              <w:marLeft w:val="0"/>
              <w:marRight w:val="0"/>
              <w:marTop w:val="0"/>
              <w:marBottom w:val="0"/>
              <w:divBdr>
                <w:top w:val="none" w:sz="0" w:space="0" w:color="auto"/>
                <w:left w:val="none" w:sz="0" w:space="0" w:color="auto"/>
                <w:bottom w:val="none" w:sz="0" w:space="0" w:color="auto"/>
                <w:right w:val="none" w:sz="0" w:space="0" w:color="auto"/>
              </w:divBdr>
            </w:div>
          </w:divsChild>
        </w:div>
        <w:div w:id="1278945770">
          <w:marLeft w:val="0"/>
          <w:marRight w:val="0"/>
          <w:marTop w:val="0"/>
          <w:marBottom w:val="0"/>
          <w:divBdr>
            <w:top w:val="none" w:sz="0" w:space="0" w:color="auto"/>
            <w:left w:val="none" w:sz="0" w:space="0" w:color="auto"/>
            <w:bottom w:val="none" w:sz="0" w:space="0" w:color="auto"/>
            <w:right w:val="none" w:sz="0" w:space="0" w:color="auto"/>
          </w:divBdr>
          <w:divsChild>
            <w:div w:id="1535069872">
              <w:marLeft w:val="0"/>
              <w:marRight w:val="0"/>
              <w:marTop w:val="0"/>
              <w:marBottom w:val="0"/>
              <w:divBdr>
                <w:top w:val="none" w:sz="0" w:space="0" w:color="auto"/>
                <w:left w:val="none" w:sz="0" w:space="0" w:color="auto"/>
                <w:bottom w:val="none" w:sz="0" w:space="0" w:color="auto"/>
                <w:right w:val="none" w:sz="0" w:space="0" w:color="auto"/>
              </w:divBdr>
            </w:div>
          </w:divsChild>
        </w:div>
        <w:div w:id="1393428463">
          <w:marLeft w:val="0"/>
          <w:marRight w:val="0"/>
          <w:marTop w:val="0"/>
          <w:marBottom w:val="0"/>
          <w:divBdr>
            <w:top w:val="none" w:sz="0" w:space="0" w:color="auto"/>
            <w:left w:val="none" w:sz="0" w:space="0" w:color="auto"/>
            <w:bottom w:val="none" w:sz="0" w:space="0" w:color="auto"/>
            <w:right w:val="none" w:sz="0" w:space="0" w:color="auto"/>
          </w:divBdr>
          <w:divsChild>
            <w:div w:id="296565376">
              <w:marLeft w:val="0"/>
              <w:marRight w:val="0"/>
              <w:marTop w:val="0"/>
              <w:marBottom w:val="0"/>
              <w:divBdr>
                <w:top w:val="none" w:sz="0" w:space="0" w:color="auto"/>
                <w:left w:val="none" w:sz="0" w:space="0" w:color="auto"/>
                <w:bottom w:val="none" w:sz="0" w:space="0" w:color="auto"/>
                <w:right w:val="none" w:sz="0" w:space="0" w:color="auto"/>
              </w:divBdr>
            </w:div>
          </w:divsChild>
        </w:div>
        <w:div w:id="186720572">
          <w:marLeft w:val="0"/>
          <w:marRight w:val="0"/>
          <w:marTop w:val="0"/>
          <w:marBottom w:val="0"/>
          <w:divBdr>
            <w:top w:val="none" w:sz="0" w:space="0" w:color="auto"/>
            <w:left w:val="none" w:sz="0" w:space="0" w:color="auto"/>
            <w:bottom w:val="none" w:sz="0" w:space="0" w:color="auto"/>
            <w:right w:val="none" w:sz="0" w:space="0" w:color="auto"/>
          </w:divBdr>
          <w:divsChild>
            <w:div w:id="1680430773">
              <w:marLeft w:val="0"/>
              <w:marRight w:val="0"/>
              <w:marTop w:val="0"/>
              <w:marBottom w:val="0"/>
              <w:divBdr>
                <w:top w:val="none" w:sz="0" w:space="0" w:color="auto"/>
                <w:left w:val="none" w:sz="0" w:space="0" w:color="auto"/>
                <w:bottom w:val="none" w:sz="0" w:space="0" w:color="auto"/>
                <w:right w:val="none" w:sz="0" w:space="0" w:color="auto"/>
              </w:divBdr>
            </w:div>
          </w:divsChild>
        </w:div>
        <w:div w:id="1952080170">
          <w:marLeft w:val="0"/>
          <w:marRight w:val="0"/>
          <w:marTop w:val="0"/>
          <w:marBottom w:val="0"/>
          <w:divBdr>
            <w:top w:val="none" w:sz="0" w:space="0" w:color="auto"/>
            <w:left w:val="none" w:sz="0" w:space="0" w:color="auto"/>
            <w:bottom w:val="none" w:sz="0" w:space="0" w:color="auto"/>
            <w:right w:val="none" w:sz="0" w:space="0" w:color="auto"/>
          </w:divBdr>
          <w:divsChild>
            <w:div w:id="2121534628">
              <w:marLeft w:val="0"/>
              <w:marRight w:val="0"/>
              <w:marTop w:val="0"/>
              <w:marBottom w:val="0"/>
              <w:divBdr>
                <w:top w:val="none" w:sz="0" w:space="0" w:color="auto"/>
                <w:left w:val="none" w:sz="0" w:space="0" w:color="auto"/>
                <w:bottom w:val="none" w:sz="0" w:space="0" w:color="auto"/>
                <w:right w:val="none" w:sz="0" w:space="0" w:color="auto"/>
              </w:divBdr>
            </w:div>
          </w:divsChild>
        </w:div>
        <w:div w:id="2147313174">
          <w:marLeft w:val="0"/>
          <w:marRight w:val="0"/>
          <w:marTop w:val="0"/>
          <w:marBottom w:val="0"/>
          <w:divBdr>
            <w:top w:val="none" w:sz="0" w:space="0" w:color="auto"/>
            <w:left w:val="none" w:sz="0" w:space="0" w:color="auto"/>
            <w:bottom w:val="none" w:sz="0" w:space="0" w:color="auto"/>
            <w:right w:val="none" w:sz="0" w:space="0" w:color="auto"/>
          </w:divBdr>
          <w:divsChild>
            <w:div w:id="612129818">
              <w:marLeft w:val="0"/>
              <w:marRight w:val="0"/>
              <w:marTop w:val="0"/>
              <w:marBottom w:val="0"/>
              <w:divBdr>
                <w:top w:val="none" w:sz="0" w:space="0" w:color="auto"/>
                <w:left w:val="none" w:sz="0" w:space="0" w:color="auto"/>
                <w:bottom w:val="none" w:sz="0" w:space="0" w:color="auto"/>
                <w:right w:val="none" w:sz="0" w:space="0" w:color="auto"/>
              </w:divBdr>
            </w:div>
          </w:divsChild>
        </w:div>
        <w:div w:id="295188576">
          <w:marLeft w:val="0"/>
          <w:marRight w:val="0"/>
          <w:marTop w:val="0"/>
          <w:marBottom w:val="0"/>
          <w:divBdr>
            <w:top w:val="none" w:sz="0" w:space="0" w:color="auto"/>
            <w:left w:val="none" w:sz="0" w:space="0" w:color="auto"/>
            <w:bottom w:val="none" w:sz="0" w:space="0" w:color="auto"/>
            <w:right w:val="none" w:sz="0" w:space="0" w:color="auto"/>
          </w:divBdr>
          <w:divsChild>
            <w:div w:id="42143659">
              <w:marLeft w:val="0"/>
              <w:marRight w:val="0"/>
              <w:marTop w:val="0"/>
              <w:marBottom w:val="0"/>
              <w:divBdr>
                <w:top w:val="none" w:sz="0" w:space="0" w:color="auto"/>
                <w:left w:val="none" w:sz="0" w:space="0" w:color="auto"/>
                <w:bottom w:val="none" w:sz="0" w:space="0" w:color="auto"/>
                <w:right w:val="none" w:sz="0" w:space="0" w:color="auto"/>
              </w:divBdr>
            </w:div>
          </w:divsChild>
        </w:div>
        <w:div w:id="495147509">
          <w:marLeft w:val="0"/>
          <w:marRight w:val="0"/>
          <w:marTop w:val="0"/>
          <w:marBottom w:val="0"/>
          <w:divBdr>
            <w:top w:val="none" w:sz="0" w:space="0" w:color="auto"/>
            <w:left w:val="none" w:sz="0" w:space="0" w:color="auto"/>
            <w:bottom w:val="none" w:sz="0" w:space="0" w:color="auto"/>
            <w:right w:val="none" w:sz="0" w:space="0" w:color="auto"/>
          </w:divBdr>
          <w:divsChild>
            <w:div w:id="1431969465">
              <w:marLeft w:val="0"/>
              <w:marRight w:val="0"/>
              <w:marTop w:val="0"/>
              <w:marBottom w:val="0"/>
              <w:divBdr>
                <w:top w:val="none" w:sz="0" w:space="0" w:color="auto"/>
                <w:left w:val="none" w:sz="0" w:space="0" w:color="auto"/>
                <w:bottom w:val="none" w:sz="0" w:space="0" w:color="auto"/>
                <w:right w:val="none" w:sz="0" w:space="0" w:color="auto"/>
              </w:divBdr>
            </w:div>
          </w:divsChild>
        </w:div>
        <w:div w:id="401831427">
          <w:marLeft w:val="0"/>
          <w:marRight w:val="0"/>
          <w:marTop w:val="0"/>
          <w:marBottom w:val="0"/>
          <w:divBdr>
            <w:top w:val="none" w:sz="0" w:space="0" w:color="auto"/>
            <w:left w:val="none" w:sz="0" w:space="0" w:color="auto"/>
            <w:bottom w:val="none" w:sz="0" w:space="0" w:color="auto"/>
            <w:right w:val="none" w:sz="0" w:space="0" w:color="auto"/>
          </w:divBdr>
          <w:divsChild>
            <w:div w:id="1088502538">
              <w:marLeft w:val="0"/>
              <w:marRight w:val="0"/>
              <w:marTop w:val="0"/>
              <w:marBottom w:val="0"/>
              <w:divBdr>
                <w:top w:val="none" w:sz="0" w:space="0" w:color="auto"/>
                <w:left w:val="none" w:sz="0" w:space="0" w:color="auto"/>
                <w:bottom w:val="none" w:sz="0" w:space="0" w:color="auto"/>
                <w:right w:val="none" w:sz="0" w:space="0" w:color="auto"/>
              </w:divBdr>
            </w:div>
          </w:divsChild>
        </w:div>
        <w:div w:id="636758771">
          <w:marLeft w:val="0"/>
          <w:marRight w:val="0"/>
          <w:marTop w:val="0"/>
          <w:marBottom w:val="0"/>
          <w:divBdr>
            <w:top w:val="none" w:sz="0" w:space="0" w:color="auto"/>
            <w:left w:val="none" w:sz="0" w:space="0" w:color="auto"/>
            <w:bottom w:val="none" w:sz="0" w:space="0" w:color="auto"/>
            <w:right w:val="none" w:sz="0" w:space="0" w:color="auto"/>
          </w:divBdr>
          <w:divsChild>
            <w:div w:id="1928418491">
              <w:marLeft w:val="0"/>
              <w:marRight w:val="0"/>
              <w:marTop w:val="0"/>
              <w:marBottom w:val="0"/>
              <w:divBdr>
                <w:top w:val="none" w:sz="0" w:space="0" w:color="auto"/>
                <w:left w:val="none" w:sz="0" w:space="0" w:color="auto"/>
                <w:bottom w:val="none" w:sz="0" w:space="0" w:color="auto"/>
                <w:right w:val="none" w:sz="0" w:space="0" w:color="auto"/>
              </w:divBdr>
            </w:div>
          </w:divsChild>
        </w:div>
        <w:div w:id="139616298">
          <w:marLeft w:val="0"/>
          <w:marRight w:val="0"/>
          <w:marTop w:val="0"/>
          <w:marBottom w:val="0"/>
          <w:divBdr>
            <w:top w:val="none" w:sz="0" w:space="0" w:color="auto"/>
            <w:left w:val="none" w:sz="0" w:space="0" w:color="auto"/>
            <w:bottom w:val="none" w:sz="0" w:space="0" w:color="auto"/>
            <w:right w:val="none" w:sz="0" w:space="0" w:color="auto"/>
          </w:divBdr>
          <w:divsChild>
            <w:div w:id="1148060669">
              <w:marLeft w:val="0"/>
              <w:marRight w:val="0"/>
              <w:marTop w:val="0"/>
              <w:marBottom w:val="0"/>
              <w:divBdr>
                <w:top w:val="none" w:sz="0" w:space="0" w:color="auto"/>
                <w:left w:val="none" w:sz="0" w:space="0" w:color="auto"/>
                <w:bottom w:val="none" w:sz="0" w:space="0" w:color="auto"/>
                <w:right w:val="none" w:sz="0" w:space="0" w:color="auto"/>
              </w:divBdr>
            </w:div>
          </w:divsChild>
        </w:div>
        <w:div w:id="1311210300">
          <w:marLeft w:val="0"/>
          <w:marRight w:val="0"/>
          <w:marTop w:val="0"/>
          <w:marBottom w:val="0"/>
          <w:divBdr>
            <w:top w:val="none" w:sz="0" w:space="0" w:color="auto"/>
            <w:left w:val="none" w:sz="0" w:space="0" w:color="auto"/>
            <w:bottom w:val="none" w:sz="0" w:space="0" w:color="auto"/>
            <w:right w:val="none" w:sz="0" w:space="0" w:color="auto"/>
          </w:divBdr>
          <w:divsChild>
            <w:div w:id="1532110199">
              <w:marLeft w:val="0"/>
              <w:marRight w:val="0"/>
              <w:marTop w:val="0"/>
              <w:marBottom w:val="0"/>
              <w:divBdr>
                <w:top w:val="none" w:sz="0" w:space="0" w:color="auto"/>
                <w:left w:val="none" w:sz="0" w:space="0" w:color="auto"/>
                <w:bottom w:val="none" w:sz="0" w:space="0" w:color="auto"/>
                <w:right w:val="none" w:sz="0" w:space="0" w:color="auto"/>
              </w:divBdr>
            </w:div>
          </w:divsChild>
        </w:div>
        <w:div w:id="645010879">
          <w:marLeft w:val="0"/>
          <w:marRight w:val="0"/>
          <w:marTop w:val="0"/>
          <w:marBottom w:val="0"/>
          <w:divBdr>
            <w:top w:val="none" w:sz="0" w:space="0" w:color="auto"/>
            <w:left w:val="none" w:sz="0" w:space="0" w:color="auto"/>
            <w:bottom w:val="none" w:sz="0" w:space="0" w:color="auto"/>
            <w:right w:val="none" w:sz="0" w:space="0" w:color="auto"/>
          </w:divBdr>
          <w:divsChild>
            <w:div w:id="1566799958">
              <w:marLeft w:val="0"/>
              <w:marRight w:val="0"/>
              <w:marTop w:val="0"/>
              <w:marBottom w:val="0"/>
              <w:divBdr>
                <w:top w:val="none" w:sz="0" w:space="0" w:color="auto"/>
                <w:left w:val="none" w:sz="0" w:space="0" w:color="auto"/>
                <w:bottom w:val="none" w:sz="0" w:space="0" w:color="auto"/>
                <w:right w:val="none" w:sz="0" w:space="0" w:color="auto"/>
              </w:divBdr>
            </w:div>
          </w:divsChild>
        </w:div>
        <w:div w:id="1741782270">
          <w:marLeft w:val="0"/>
          <w:marRight w:val="0"/>
          <w:marTop w:val="0"/>
          <w:marBottom w:val="0"/>
          <w:divBdr>
            <w:top w:val="none" w:sz="0" w:space="0" w:color="auto"/>
            <w:left w:val="none" w:sz="0" w:space="0" w:color="auto"/>
            <w:bottom w:val="none" w:sz="0" w:space="0" w:color="auto"/>
            <w:right w:val="none" w:sz="0" w:space="0" w:color="auto"/>
          </w:divBdr>
          <w:divsChild>
            <w:div w:id="1179999771">
              <w:marLeft w:val="0"/>
              <w:marRight w:val="0"/>
              <w:marTop w:val="0"/>
              <w:marBottom w:val="0"/>
              <w:divBdr>
                <w:top w:val="none" w:sz="0" w:space="0" w:color="auto"/>
                <w:left w:val="none" w:sz="0" w:space="0" w:color="auto"/>
                <w:bottom w:val="none" w:sz="0" w:space="0" w:color="auto"/>
                <w:right w:val="none" w:sz="0" w:space="0" w:color="auto"/>
              </w:divBdr>
            </w:div>
          </w:divsChild>
        </w:div>
        <w:div w:id="604504816">
          <w:marLeft w:val="0"/>
          <w:marRight w:val="0"/>
          <w:marTop w:val="0"/>
          <w:marBottom w:val="0"/>
          <w:divBdr>
            <w:top w:val="none" w:sz="0" w:space="0" w:color="auto"/>
            <w:left w:val="none" w:sz="0" w:space="0" w:color="auto"/>
            <w:bottom w:val="none" w:sz="0" w:space="0" w:color="auto"/>
            <w:right w:val="none" w:sz="0" w:space="0" w:color="auto"/>
          </w:divBdr>
          <w:divsChild>
            <w:div w:id="1075398565">
              <w:marLeft w:val="0"/>
              <w:marRight w:val="0"/>
              <w:marTop w:val="0"/>
              <w:marBottom w:val="0"/>
              <w:divBdr>
                <w:top w:val="none" w:sz="0" w:space="0" w:color="auto"/>
                <w:left w:val="none" w:sz="0" w:space="0" w:color="auto"/>
                <w:bottom w:val="none" w:sz="0" w:space="0" w:color="auto"/>
                <w:right w:val="none" w:sz="0" w:space="0" w:color="auto"/>
              </w:divBdr>
            </w:div>
          </w:divsChild>
        </w:div>
        <w:div w:id="1516847911">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
          </w:divsChild>
        </w:div>
        <w:div w:id="1433552303">
          <w:marLeft w:val="0"/>
          <w:marRight w:val="0"/>
          <w:marTop w:val="0"/>
          <w:marBottom w:val="0"/>
          <w:divBdr>
            <w:top w:val="none" w:sz="0" w:space="0" w:color="auto"/>
            <w:left w:val="none" w:sz="0" w:space="0" w:color="auto"/>
            <w:bottom w:val="none" w:sz="0" w:space="0" w:color="auto"/>
            <w:right w:val="none" w:sz="0" w:space="0" w:color="auto"/>
          </w:divBdr>
          <w:divsChild>
            <w:div w:id="1469006464">
              <w:marLeft w:val="0"/>
              <w:marRight w:val="0"/>
              <w:marTop w:val="0"/>
              <w:marBottom w:val="0"/>
              <w:divBdr>
                <w:top w:val="none" w:sz="0" w:space="0" w:color="auto"/>
                <w:left w:val="none" w:sz="0" w:space="0" w:color="auto"/>
                <w:bottom w:val="none" w:sz="0" w:space="0" w:color="auto"/>
                <w:right w:val="none" w:sz="0" w:space="0" w:color="auto"/>
              </w:divBdr>
            </w:div>
          </w:divsChild>
        </w:div>
        <w:div w:id="317538515">
          <w:marLeft w:val="0"/>
          <w:marRight w:val="0"/>
          <w:marTop w:val="0"/>
          <w:marBottom w:val="0"/>
          <w:divBdr>
            <w:top w:val="none" w:sz="0" w:space="0" w:color="auto"/>
            <w:left w:val="none" w:sz="0" w:space="0" w:color="auto"/>
            <w:bottom w:val="none" w:sz="0" w:space="0" w:color="auto"/>
            <w:right w:val="none" w:sz="0" w:space="0" w:color="auto"/>
          </w:divBdr>
          <w:divsChild>
            <w:div w:id="1530559420">
              <w:marLeft w:val="0"/>
              <w:marRight w:val="0"/>
              <w:marTop w:val="0"/>
              <w:marBottom w:val="0"/>
              <w:divBdr>
                <w:top w:val="none" w:sz="0" w:space="0" w:color="auto"/>
                <w:left w:val="none" w:sz="0" w:space="0" w:color="auto"/>
                <w:bottom w:val="none" w:sz="0" w:space="0" w:color="auto"/>
                <w:right w:val="none" w:sz="0" w:space="0" w:color="auto"/>
              </w:divBdr>
            </w:div>
          </w:divsChild>
        </w:div>
        <w:div w:id="757408481">
          <w:marLeft w:val="0"/>
          <w:marRight w:val="0"/>
          <w:marTop w:val="0"/>
          <w:marBottom w:val="0"/>
          <w:divBdr>
            <w:top w:val="none" w:sz="0" w:space="0" w:color="auto"/>
            <w:left w:val="none" w:sz="0" w:space="0" w:color="auto"/>
            <w:bottom w:val="none" w:sz="0" w:space="0" w:color="auto"/>
            <w:right w:val="none" w:sz="0" w:space="0" w:color="auto"/>
          </w:divBdr>
          <w:divsChild>
            <w:div w:id="1987858746">
              <w:marLeft w:val="0"/>
              <w:marRight w:val="0"/>
              <w:marTop w:val="0"/>
              <w:marBottom w:val="0"/>
              <w:divBdr>
                <w:top w:val="none" w:sz="0" w:space="0" w:color="auto"/>
                <w:left w:val="none" w:sz="0" w:space="0" w:color="auto"/>
                <w:bottom w:val="none" w:sz="0" w:space="0" w:color="auto"/>
                <w:right w:val="none" w:sz="0" w:space="0" w:color="auto"/>
              </w:divBdr>
            </w:div>
          </w:divsChild>
        </w:div>
        <w:div w:id="292103923">
          <w:marLeft w:val="0"/>
          <w:marRight w:val="0"/>
          <w:marTop w:val="0"/>
          <w:marBottom w:val="0"/>
          <w:divBdr>
            <w:top w:val="none" w:sz="0" w:space="0" w:color="auto"/>
            <w:left w:val="none" w:sz="0" w:space="0" w:color="auto"/>
            <w:bottom w:val="none" w:sz="0" w:space="0" w:color="auto"/>
            <w:right w:val="none" w:sz="0" w:space="0" w:color="auto"/>
          </w:divBdr>
          <w:divsChild>
            <w:div w:id="379716629">
              <w:marLeft w:val="0"/>
              <w:marRight w:val="0"/>
              <w:marTop w:val="0"/>
              <w:marBottom w:val="0"/>
              <w:divBdr>
                <w:top w:val="none" w:sz="0" w:space="0" w:color="auto"/>
                <w:left w:val="none" w:sz="0" w:space="0" w:color="auto"/>
                <w:bottom w:val="none" w:sz="0" w:space="0" w:color="auto"/>
                <w:right w:val="none" w:sz="0" w:space="0" w:color="auto"/>
              </w:divBdr>
            </w:div>
          </w:divsChild>
        </w:div>
        <w:div w:id="749541032">
          <w:marLeft w:val="0"/>
          <w:marRight w:val="0"/>
          <w:marTop w:val="0"/>
          <w:marBottom w:val="0"/>
          <w:divBdr>
            <w:top w:val="none" w:sz="0" w:space="0" w:color="auto"/>
            <w:left w:val="none" w:sz="0" w:space="0" w:color="auto"/>
            <w:bottom w:val="none" w:sz="0" w:space="0" w:color="auto"/>
            <w:right w:val="none" w:sz="0" w:space="0" w:color="auto"/>
          </w:divBdr>
          <w:divsChild>
            <w:div w:id="1437211224">
              <w:marLeft w:val="0"/>
              <w:marRight w:val="0"/>
              <w:marTop w:val="0"/>
              <w:marBottom w:val="0"/>
              <w:divBdr>
                <w:top w:val="none" w:sz="0" w:space="0" w:color="auto"/>
                <w:left w:val="none" w:sz="0" w:space="0" w:color="auto"/>
                <w:bottom w:val="none" w:sz="0" w:space="0" w:color="auto"/>
                <w:right w:val="none" w:sz="0" w:space="0" w:color="auto"/>
              </w:divBdr>
            </w:div>
          </w:divsChild>
        </w:div>
        <w:div w:id="965693547">
          <w:marLeft w:val="0"/>
          <w:marRight w:val="0"/>
          <w:marTop w:val="0"/>
          <w:marBottom w:val="0"/>
          <w:divBdr>
            <w:top w:val="none" w:sz="0" w:space="0" w:color="auto"/>
            <w:left w:val="none" w:sz="0" w:space="0" w:color="auto"/>
            <w:bottom w:val="none" w:sz="0" w:space="0" w:color="auto"/>
            <w:right w:val="none" w:sz="0" w:space="0" w:color="auto"/>
          </w:divBdr>
          <w:divsChild>
            <w:div w:id="1068530821">
              <w:marLeft w:val="0"/>
              <w:marRight w:val="0"/>
              <w:marTop w:val="0"/>
              <w:marBottom w:val="0"/>
              <w:divBdr>
                <w:top w:val="none" w:sz="0" w:space="0" w:color="auto"/>
                <w:left w:val="none" w:sz="0" w:space="0" w:color="auto"/>
                <w:bottom w:val="none" w:sz="0" w:space="0" w:color="auto"/>
                <w:right w:val="none" w:sz="0" w:space="0" w:color="auto"/>
              </w:divBdr>
            </w:div>
          </w:divsChild>
        </w:div>
        <w:div w:id="1385104060">
          <w:marLeft w:val="0"/>
          <w:marRight w:val="0"/>
          <w:marTop w:val="0"/>
          <w:marBottom w:val="0"/>
          <w:divBdr>
            <w:top w:val="none" w:sz="0" w:space="0" w:color="auto"/>
            <w:left w:val="none" w:sz="0" w:space="0" w:color="auto"/>
            <w:bottom w:val="none" w:sz="0" w:space="0" w:color="auto"/>
            <w:right w:val="none" w:sz="0" w:space="0" w:color="auto"/>
          </w:divBdr>
          <w:divsChild>
            <w:div w:id="1152871677">
              <w:marLeft w:val="0"/>
              <w:marRight w:val="0"/>
              <w:marTop w:val="0"/>
              <w:marBottom w:val="0"/>
              <w:divBdr>
                <w:top w:val="none" w:sz="0" w:space="0" w:color="auto"/>
                <w:left w:val="none" w:sz="0" w:space="0" w:color="auto"/>
                <w:bottom w:val="none" w:sz="0" w:space="0" w:color="auto"/>
                <w:right w:val="none" w:sz="0" w:space="0" w:color="auto"/>
              </w:divBdr>
            </w:div>
          </w:divsChild>
        </w:div>
        <w:div w:id="1172571885">
          <w:marLeft w:val="0"/>
          <w:marRight w:val="0"/>
          <w:marTop w:val="0"/>
          <w:marBottom w:val="0"/>
          <w:divBdr>
            <w:top w:val="none" w:sz="0" w:space="0" w:color="auto"/>
            <w:left w:val="none" w:sz="0" w:space="0" w:color="auto"/>
            <w:bottom w:val="none" w:sz="0" w:space="0" w:color="auto"/>
            <w:right w:val="none" w:sz="0" w:space="0" w:color="auto"/>
          </w:divBdr>
          <w:divsChild>
            <w:div w:id="1997147115">
              <w:marLeft w:val="0"/>
              <w:marRight w:val="0"/>
              <w:marTop w:val="0"/>
              <w:marBottom w:val="0"/>
              <w:divBdr>
                <w:top w:val="none" w:sz="0" w:space="0" w:color="auto"/>
                <w:left w:val="none" w:sz="0" w:space="0" w:color="auto"/>
                <w:bottom w:val="none" w:sz="0" w:space="0" w:color="auto"/>
                <w:right w:val="none" w:sz="0" w:space="0" w:color="auto"/>
              </w:divBdr>
            </w:div>
          </w:divsChild>
        </w:div>
        <w:div w:id="947197614">
          <w:marLeft w:val="0"/>
          <w:marRight w:val="0"/>
          <w:marTop w:val="0"/>
          <w:marBottom w:val="0"/>
          <w:divBdr>
            <w:top w:val="none" w:sz="0" w:space="0" w:color="auto"/>
            <w:left w:val="none" w:sz="0" w:space="0" w:color="auto"/>
            <w:bottom w:val="none" w:sz="0" w:space="0" w:color="auto"/>
            <w:right w:val="none" w:sz="0" w:space="0" w:color="auto"/>
          </w:divBdr>
          <w:divsChild>
            <w:div w:id="1030034672">
              <w:marLeft w:val="0"/>
              <w:marRight w:val="0"/>
              <w:marTop w:val="0"/>
              <w:marBottom w:val="0"/>
              <w:divBdr>
                <w:top w:val="none" w:sz="0" w:space="0" w:color="auto"/>
                <w:left w:val="none" w:sz="0" w:space="0" w:color="auto"/>
                <w:bottom w:val="none" w:sz="0" w:space="0" w:color="auto"/>
                <w:right w:val="none" w:sz="0" w:space="0" w:color="auto"/>
              </w:divBdr>
            </w:div>
          </w:divsChild>
        </w:div>
        <w:div w:id="1104762421">
          <w:marLeft w:val="0"/>
          <w:marRight w:val="0"/>
          <w:marTop w:val="0"/>
          <w:marBottom w:val="0"/>
          <w:divBdr>
            <w:top w:val="none" w:sz="0" w:space="0" w:color="auto"/>
            <w:left w:val="none" w:sz="0" w:space="0" w:color="auto"/>
            <w:bottom w:val="none" w:sz="0" w:space="0" w:color="auto"/>
            <w:right w:val="none" w:sz="0" w:space="0" w:color="auto"/>
          </w:divBdr>
          <w:divsChild>
            <w:div w:id="665861693">
              <w:marLeft w:val="0"/>
              <w:marRight w:val="0"/>
              <w:marTop w:val="0"/>
              <w:marBottom w:val="0"/>
              <w:divBdr>
                <w:top w:val="none" w:sz="0" w:space="0" w:color="auto"/>
                <w:left w:val="none" w:sz="0" w:space="0" w:color="auto"/>
                <w:bottom w:val="none" w:sz="0" w:space="0" w:color="auto"/>
                <w:right w:val="none" w:sz="0" w:space="0" w:color="auto"/>
              </w:divBdr>
            </w:div>
          </w:divsChild>
        </w:div>
        <w:div w:id="573786064">
          <w:marLeft w:val="0"/>
          <w:marRight w:val="0"/>
          <w:marTop w:val="0"/>
          <w:marBottom w:val="0"/>
          <w:divBdr>
            <w:top w:val="none" w:sz="0" w:space="0" w:color="auto"/>
            <w:left w:val="none" w:sz="0" w:space="0" w:color="auto"/>
            <w:bottom w:val="none" w:sz="0" w:space="0" w:color="auto"/>
            <w:right w:val="none" w:sz="0" w:space="0" w:color="auto"/>
          </w:divBdr>
          <w:divsChild>
            <w:div w:id="1603999673">
              <w:marLeft w:val="0"/>
              <w:marRight w:val="0"/>
              <w:marTop w:val="0"/>
              <w:marBottom w:val="0"/>
              <w:divBdr>
                <w:top w:val="none" w:sz="0" w:space="0" w:color="auto"/>
                <w:left w:val="none" w:sz="0" w:space="0" w:color="auto"/>
                <w:bottom w:val="none" w:sz="0" w:space="0" w:color="auto"/>
                <w:right w:val="none" w:sz="0" w:space="0" w:color="auto"/>
              </w:divBdr>
            </w:div>
          </w:divsChild>
        </w:div>
        <w:div w:id="923417750">
          <w:marLeft w:val="0"/>
          <w:marRight w:val="0"/>
          <w:marTop w:val="0"/>
          <w:marBottom w:val="0"/>
          <w:divBdr>
            <w:top w:val="none" w:sz="0" w:space="0" w:color="auto"/>
            <w:left w:val="none" w:sz="0" w:space="0" w:color="auto"/>
            <w:bottom w:val="none" w:sz="0" w:space="0" w:color="auto"/>
            <w:right w:val="none" w:sz="0" w:space="0" w:color="auto"/>
          </w:divBdr>
          <w:divsChild>
            <w:div w:id="3180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037">
      <w:bodyDiv w:val="1"/>
      <w:marLeft w:val="0"/>
      <w:marRight w:val="0"/>
      <w:marTop w:val="0"/>
      <w:marBottom w:val="0"/>
      <w:divBdr>
        <w:top w:val="none" w:sz="0" w:space="0" w:color="auto"/>
        <w:left w:val="none" w:sz="0" w:space="0" w:color="auto"/>
        <w:bottom w:val="none" w:sz="0" w:space="0" w:color="auto"/>
        <w:right w:val="none" w:sz="0" w:space="0" w:color="auto"/>
      </w:divBdr>
    </w:div>
    <w:div w:id="1821075232">
      <w:bodyDiv w:val="1"/>
      <w:marLeft w:val="0"/>
      <w:marRight w:val="0"/>
      <w:marTop w:val="0"/>
      <w:marBottom w:val="0"/>
      <w:divBdr>
        <w:top w:val="none" w:sz="0" w:space="0" w:color="auto"/>
        <w:left w:val="none" w:sz="0" w:space="0" w:color="auto"/>
        <w:bottom w:val="none" w:sz="0" w:space="0" w:color="auto"/>
        <w:right w:val="none" w:sz="0" w:space="0" w:color="auto"/>
      </w:divBdr>
    </w:div>
    <w:div w:id="1824546724">
      <w:bodyDiv w:val="1"/>
      <w:marLeft w:val="0"/>
      <w:marRight w:val="0"/>
      <w:marTop w:val="0"/>
      <w:marBottom w:val="0"/>
      <w:divBdr>
        <w:top w:val="none" w:sz="0" w:space="0" w:color="auto"/>
        <w:left w:val="none" w:sz="0" w:space="0" w:color="auto"/>
        <w:bottom w:val="none" w:sz="0" w:space="0" w:color="auto"/>
        <w:right w:val="none" w:sz="0" w:space="0" w:color="auto"/>
      </w:divBdr>
    </w:div>
    <w:div w:id="1838300788">
      <w:bodyDiv w:val="1"/>
      <w:marLeft w:val="0"/>
      <w:marRight w:val="0"/>
      <w:marTop w:val="0"/>
      <w:marBottom w:val="0"/>
      <w:divBdr>
        <w:top w:val="none" w:sz="0" w:space="0" w:color="auto"/>
        <w:left w:val="none" w:sz="0" w:space="0" w:color="auto"/>
        <w:bottom w:val="none" w:sz="0" w:space="0" w:color="auto"/>
        <w:right w:val="none" w:sz="0" w:space="0" w:color="auto"/>
      </w:divBdr>
    </w:div>
    <w:div w:id="1885018161">
      <w:bodyDiv w:val="1"/>
      <w:marLeft w:val="0"/>
      <w:marRight w:val="0"/>
      <w:marTop w:val="0"/>
      <w:marBottom w:val="0"/>
      <w:divBdr>
        <w:top w:val="none" w:sz="0" w:space="0" w:color="auto"/>
        <w:left w:val="none" w:sz="0" w:space="0" w:color="auto"/>
        <w:bottom w:val="none" w:sz="0" w:space="0" w:color="auto"/>
        <w:right w:val="none" w:sz="0" w:space="0" w:color="auto"/>
      </w:divBdr>
    </w:div>
    <w:div w:id="1965962182">
      <w:bodyDiv w:val="1"/>
      <w:marLeft w:val="0"/>
      <w:marRight w:val="0"/>
      <w:marTop w:val="0"/>
      <w:marBottom w:val="0"/>
      <w:divBdr>
        <w:top w:val="none" w:sz="0" w:space="0" w:color="auto"/>
        <w:left w:val="none" w:sz="0" w:space="0" w:color="auto"/>
        <w:bottom w:val="none" w:sz="0" w:space="0" w:color="auto"/>
        <w:right w:val="none" w:sz="0" w:space="0" w:color="auto"/>
      </w:divBdr>
    </w:div>
    <w:div w:id="2060519505">
      <w:bodyDiv w:val="1"/>
      <w:marLeft w:val="0"/>
      <w:marRight w:val="0"/>
      <w:marTop w:val="0"/>
      <w:marBottom w:val="0"/>
      <w:divBdr>
        <w:top w:val="none" w:sz="0" w:space="0" w:color="auto"/>
        <w:left w:val="none" w:sz="0" w:space="0" w:color="auto"/>
        <w:bottom w:val="none" w:sz="0" w:space="0" w:color="auto"/>
        <w:right w:val="none" w:sz="0" w:space="0" w:color="auto"/>
      </w:divBdr>
    </w:div>
    <w:div w:id="21249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eg@creg.gov.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BD1C30B9271B4A8142D16C0D4FCAAC" ma:contentTypeVersion="14" ma:contentTypeDescription="Crear nuevo documento." ma:contentTypeScope="" ma:versionID="a574fdb3583045e3361eab7c255e01b2">
  <xsd:schema xmlns:xsd="http://www.w3.org/2001/XMLSchema" xmlns:xs="http://www.w3.org/2001/XMLSchema" xmlns:p="http://schemas.microsoft.com/office/2006/metadata/properties" xmlns:ns3="0cdf49e4-302e-4a5e-bb93-492006730266" xmlns:ns4="8e268271-eda8-41d6-9fdb-3e9d111bbb00" targetNamespace="http://schemas.microsoft.com/office/2006/metadata/properties" ma:root="true" ma:fieldsID="e5de8a7533221428e38a38362e8a644b" ns3:_="" ns4:_="">
    <xsd:import namespace="0cdf49e4-302e-4a5e-bb93-492006730266"/>
    <xsd:import namespace="8e268271-eda8-41d6-9fdb-3e9d111bbb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49e4-302e-4a5e-bb93-492006730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68271-eda8-41d6-9fdb-3e9d111bbb0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885A5-957D-49F4-9C33-B92F8E839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49e4-302e-4a5e-bb93-492006730266"/>
    <ds:schemaRef ds:uri="8e268271-eda8-41d6-9fdb-3e9d111bb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4A564-E627-4E98-803E-1950672C017E}">
  <ds:schemaRefs>
    <ds:schemaRef ds:uri="http://schemas.openxmlformats.org/officeDocument/2006/bibliography"/>
  </ds:schemaRefs>
</ds:datastoreItem>
</file>

<file path=customXml/itemProps3.xml><?xml version="1.0" encoding="utf-8"?>
<ds:datastoreItem xmlns:ds="http://schemas.openxmlformats.org/officeDocument/2006/customXml" ds:itemID="{C021B031-F344-4100-9E7A-EC2C38F07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6CA04-D040-4CC0-A3D9-B153D5F82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60</TotalTime>
  <Pages>11</Pages>
  <Words>4480</Words>
  <Characters>24641</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CREG</Company>
  <LinksUpToDate>false</LinksUpToDate>
  <CharactersWithSpaces>29063</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37</cp:revision>
  <cp:lastPrinted>2024-11-12T16:02:00Z</cp:lastPrinted>
  <dcterms:created xsi:type="dcterms:W3CDTF">2024-11-12T14:34:00Z</dcterms:created>
  <dcterms:modified xsi:type="dcterms:W3CDTF">2024-11-12T16:03:00Z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0x0101008CBD1C30B9271B4A8142D16C0D4FCAAC</vt:lpwstr>
  </property>
</Properties>
</file>