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0" o:title=""/>
          </v:shape>
          <o:OLEObject Type="Embed" ProgID="PBrush" ShapeID="_x0000_s2050" DrawAspect="Content" ObjectID="_1792564582" r:id="rId11"/>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1B5A84EB" w14:textId="77777777" w:rsidR="00152426" w:rsidRPr="00E060BE" w:rsidRDefault="00152426" w:rsidP="00152426">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7AA9EAAF" w14:textId="77777777" w:rsidR="00152426" w:rsidRPr="00E060BE" w:rsidRDefault="00152426" w:rsidP="00152426">
      <w:pPr>
        <w:pStyle w:val="Ttulo4"/>
        <w:tabs>
          <w:tab w:val="left" w:pos="0"/>
          <w:tab w:val="right" w:pos="9356"/>
        </w:tabs>
        <w:ind w:left="0"/>
        <w:rPr>
          <w:rFonts w:ascii="Bookman Old Style" w:hAnsi="Bookman Old Style"/>
          <w:b w:val="0"/>
          <w:bCs/>
          <w:sz w:val="24"/>
          <w:szCs w:val="24"/>
        </w:rPr>
      </w:pPr>
    </w:p>
    <w:p w14:paraId="639D2812" w14:textId="77777777" w:rsidR="00152426" w:rsidRPr="00E060BE" w:rsidRDefault="00152426" w:rsidP="00152426">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1F1714FB" w14:textId="77777777" w:rsidR="00152426" w:rsidRPr="00E060BE" w:rsidRDefault="00152426" w:rsidP="00152426">
      <w:pPr>
        <w:pStyle w:val="Ttulo5"/>
        <w:tabs>
          <w:tab w:val="left" w:pos="0"/>
          <w:tab w:val="right" w:pos="9356"/>
        </w:tabs>
        <w:ind w:left="0"/>
        <w:rPr>
          <w:rFonts w:ascii="Bookman Old Style" w:hAnsi="Bookman Old Style"/>
          <w:sz w:val="24"/>
          <w:szCs w:val="24"/>
        </w:rPr>
      </w:pPr>
    </w:p>
    <w:p w14:paraId="538C9DE0" w14:textId="77777777" w:rsidR="00152426" w:rsidRPr="00E060BE" w:rsidRDefault="00152426" w:rsidP="00152426">
      <w:pPr>
        <w:pStyle w:val="Ttulo5"/>
        <w:tabs>
          <w:tab w:val="left" w:pos="0"/>
          <w:tab w:val="right" w:pos="9356"/>
        </w:tabs>
        <w:ind w:left="0"/>
        <w:rPr>
          <w:rFonts w:ascii="Bookman Old Style" w:hAnsi="Bookman Old Style"/>
          <w:sz w:val="24"/>
          <w:szCs w:val="24"/>
        </w:rPr>
      </w:pPr>
    </w:p>
    <w:p w14:paraId="54917929" w14:textId="77777777" w:rsidR="00152426" w:rsidRPr="00E060BE" w:rsidRDefault="00152426" w:rsidP="685B52DF">
      <w:pPr>
        <w:pStyle w:val="Ttulo5"/>
        <w:tabs>
          <w:tab w:val="right" w:pos="9356"/>
        </w:tabs>
        <w:ind w:left="0"/>
        <w:rPr>
          <w:rFonts w:ascii="Bookman Old Style" w:hAnsi="Bookman Old Style"/>
          <w:sz w:val="24"/>
          <w:szCs w:val="24"/>
          <w:lang w:val="es-ES"/>
        </w:rPr>
      </w:pPr>
      <w:r w:rsidRPr="685B52DF">
        <w:rPr>
          <w:rFonts w:ascii="Bookman Old Style" w:hAnsi="Bookman Old Style"/>
          <w:sz w:val="24"/>
          <w:szCs w:val="24"/>
          <w:lang w:val="es-ES"/>
        </w:rPr>
        <w:t xml:space="preserve">PROYECTO DE RESOLUCIÓN No. </w:t>
      </w:r>
      <w:r w:rsidRPr="00D65433">
        <w:rPr>
          <w:rFonts w:ascii="Bookman Old Style" w:hAnsi="Bookman Old Style"/>
          <w:sz w:val="32"/>
          <w:szCs w:val="32"/>
        </w:rPr>
        <w:fldChar w:fldCharType="begin"/>
      </w:r>
      <w:r w:rsidRPr="00D65433">
        <w:rPr>
          <w:rFonts w:ascii="Bookman Old Style" w:hAnsi="Bookman Old Style"/>
          <w:sz w:val="32"/>
          <w:szCs w:val="32"/>
        </w:rPr>
        <w:instrText xml:space="preserve"> MERGEFIELD  NumeroResolucion  \* MERGEFORMAT </w:instrText>
      </w:r>
      <w:r w:rsidRPr="00D65433">
        <w:rPr>
          <w:rFonts w:ascii="Bookman Old Style" w:hAnsi="Bookman Old Style"/>
          <w:sz w:val="32"/>
          <w:szCs w:val="32"/>
        </w:rPr>
        <w:fldChar w:fldCharType="separate"/>
      </w:r>
      <w:r w:rsidRPr="00D65433">
        <w:rPr>
          <w:rFonts w:ascii="Bookman Old Style" w:hAnsi="Bookman Old Style"/>
          <w:sz w:val="32"/>
          <w:szCs w:val="32"/>
          <w:lang w:val="es-ES"/>
        </w:rPr>
        <w:t>701 072</w:t>
      </w:r>
      <w:r w:rsidRPr="00D65433">
        <w:rPr>
          <w:rFonts w:ascii="Bookman Old Style" w:hAnsi="Bookman Old Style"/>
          <w:sz w:val="32"/>
          <w:szCs w:val="32"/>
        </w:rPr>
        <w:fldChar w:fldCharType="end"/>
      </w:r>
      <w:r w:rsidRPr="00D65433">
        <w:rPr>
          <w:rFonts w:ascii="Bookman Old Style" w:hAnsi="Bookman Old Style"/>
          <w:sz w:val="32"/>
          <w:szCs w:val="32"/>
          <w:lang w:val="es-ES"/>
        </w:rPr>
        <w:t xml:space="preserve"> DE </w:t>
      </w:r>
      <w:r w:rsidRPr="00D65433">
        <w:rPr>
          <w:rFonts w:ascii="Bookman Old Style" w:hAnsi="Bookman Old Style"/>
          <w:sz w:val="32"/>
          <w:szCs w:val="32"/>
        </w:rPr>
        <w:fldChar w:fldCharType="begin"/>
      </w:r>
      <w:r w:rsidRPr="00D65433">
        <w:rPr>
          <w:rFonts w:ascii="Bookman Old Style" w:hAnsi="Bookman Old Style"/>
          <w:sz w:val="32"/>
          <w:szCs w:val="32"/>
        </w:rPr>
        <w:instrText xml:space="preserve"> MERGEFIELD  Anio  \* MERGEFORMAT </w:instrText>
      </w:r>
      <w:r w:rsidRPr="00D65433">
        <w:rPr>
          <w:rFonts w:ascii="Bookman Old Style" w:hAnsi="Bookman Old Style"/>
          <w:sz w:val="32"/>
          <w:szCs w:val="32"/>
        </w:rPr>
        <w:fldChar w:fldCharType="separate"/>
      </w:r>
      <w:r w:rsidRPr="00D65433">
        <w:rPr>
          <w:rFonts w:ascii="Bookman Old Style" w:hAnsi="Bookman Old Style"/>
          <w:sz w:val="32"/>
          <w:szCs w:val="32"/>
          <w:lang w:val="es-ES"/>
        </w:rPr>
        <w:t>2024</w:t>
      </w:r>
      <w:r w:rsidRPr="00D65433">
        <w:rPr>
          <w:rFonts w:ascii="Bookman Old Style" w:hAnsi="Bookman Old Style"/>
          <w:sz w:val="32"/>
          <w:szCs w:val="32"/>
        </w:rPr>
        <w:fldChar w:fldCharType="end"/>
      </w:r>
    </w:p>
    <w:p w14:paraId="6BE1EB1D" w14:textId="77777777" w:rsidR="00152426" w:rsidRPr="00E060BE" w:rsidRDefault="00152426" w:rsidP="00152426">
      <w:pPr>
        <w:tabs>
          <w:tab w:val="left" w:pos="0"/>
          <w:tab w:val="right" w:pos="9356"/>
        </w:tabs>
        <w:ind w:left="0"/>
        <w:jc w:val="center"/>
        <w:rPr>
          <w:rFonts w:ascii="Bookman Old Style" w:hAnsi="Bookman Old Style" w:cs="Arial"/>
          <w:b/>
          <w:snapToGrid w:val="0"/>
          <w:color w:val="000000"/>
          <w:lang w:val="es-ES_tradnl"/>
        </w:rPr>
      </w:pPr>
    </w:p>
    <w:p w14:paraId="5505B3D7" w14:textId="4C37DE07" w:rsidR="00152426" w:rsidRPr="00D65433" w:rsidRDefault="00152426" w:rsidP="00152426">
      <w:pPr>
        <w:pStyle w:val="Ttulo3"/>
        <w:tabs>
          <w:tab w:val="left" w:pos="0"/>
          <w:tab w:val="right" w:pos="9356"/>
        </w:tabs>
        <w:ind w:left="0"/>
        <w:rPr>
          <w:rFonts w:ascii="Bookman Old Style" w:hAnsi="Bookman Old Style"/>
          <w:bCs/>
          <w:szCs w:val="24"/>
        </w:rPr>
      </w:pPr>
      <w:r w:rsidRPr="00D65433">
        <w:rPr>
          <w:rFonts w:ascii="Bookman Old Style" w:hAnsi="Bookman Old Style"/>
          <w:bCs/>
          <w:szCs w:val="24"/>
        </w:rPr>
        <w:t>(</w:t>
      </w:r>
      <w:r w:rsidR="00D65433" w:rsidRPr="00D65433">
        <w:rPr>
          <w:rFonts w:ascii="Bookman Old Style" w:hAnsi="Bookman Old Style"/>
          <w:bCs/>
          <w:szCs w:val="24"/>
        </w:rPr>
        <w:t xml:space="preserve">07 </w:t>
      </w:r>
      <w:r w:rsidRPr="00D65433">
        <w:rPr>
          <w:rFonts w:ascii="Bookman Old Style" w:hAnsi="Bookman Old Style"/>
          <w:bCs/>
          <w:szCs w:val="24"/>
        </w:rPr>
        <w:t>NOV. 2024)</w:t>
      </w:r>
    </w:p>
    <w:p w14:paraId="56D12621" w14:textId="77777777" w:rsidR="00152426" w:rsidRDefault="00152426" w:rsidP="00152426">
      <w:pPr>
        <w:spacing w:line="259" w:lineRule="auto"/>
        <w:ind w:left="142" w:right="142"/>
        <w:jc w:val="both"/>
        <w:rPr>
          <w:rFonts w:ascii="Bookman Old Style" w:hAnsi="Bookman Old Style"/>
        </w:rPr>
      </w:pPr>
    </w:p>
    <w:p w14:paraId="30B0B6D3" w14:textId="21A511A6" w:rsidR="00152426" w:rsidRDefault="00152426" w:rsidP="00152426">
      <w:pPr>
        <w:spacing w:line="259" w:lineRule="auto"/>
        <w:ind w:left="142" w:right="142"/>
        <w:jc w:val="both"/>
        <w:rPr>
          <w:rFonts w:ascii="Bookman Old Style" w:hAnsi="Bookman Old Style"/>
        </w:rPr>
      </w:pPr>
      <w:r w:rsidRPr="00BF3872">
        <w:rPr>
          <w:rFonts w:ascii="Bookman Old Style" w:hAnsi="Bookman Old Style"/>
        </w:rPr>
        <w:t xml:space="preserve">La Comisión de Regulación de Energía y Gas, en su Sesión No. </w:t>
      </w:r>
      <w:r w:rsidR="004B6FDF">
        <w:rPr>
          <w:rFonts w:ascii="Bookman Old Style" w:hAnsi="Bookman Old Style"/>
        </w:rPr>
        <w:t>1355</w:t>
      </w:r>
      <w:r w:rsidRPr="00BF3872">
        <w:rPr>
          <w:rFonts w:ascii="Bookman Old Style" w:hAnsi="Bookman Old Style"/>
        </w:rPr>
        <w:t xml:space="preserve"> del </w:t>
      </w:r>
      <w:r w:rsidR="004B6FDF">
        <w:rPr>
          <w:rFonts w:ascii="Bookman Old Style" w:hAnsi="Bookman Old Style"/>
        </w:rPr>
        <w:t>7</w:t>
      </w:r>
      <w:r w:rsidRPr="00BF3872">
        <w:rPr>
          <w:rFonts w:ascii="Bookman Old Style" w:hAnsi="Bookman Old Style"/>
        </w:rPr>
        <w:t xml:space="preserve"> de </w:t>
      </w:r>
      <w:r w:rsidR="004B6FDF">
        <w:rPr>
          <w:rFonts w:ascii="Bookman Old Style" w:hAnsi="Bookman Old Style"/>
        </w:rPr>
        <w:t>noviembre</w:t>
      </w:r>
      <w:r w:rsidRPr="00BF3872">
        <w:rPr>
          <w:rFonts w:ascii="Bookman Old Style" w:hAnsi="Bookman Old Style"/>
        </w:rPr>
        <w:t xml:space="preserve"> de 202</w:t>
      </w:r>
      <w:r>
        <w:rPr>
          <w:rFonts w:ascii="Bookman Old Style" w:hAnsi="Bookman Old Style"/>
        </w:rPr>
        <w:t>4</w:t>
      </w:r>
      <w:r w:rsidRPr="00BF3872">
        <w:rPr>
          <w:rFonts w:ascii="Bookman Old Style" w:hAnsi="Bookman Old Style"/>
        </w:rPr>
        <w:t xml:space="preserve">, aprobó someter a consulta pública el presente proyecto de resolución durante </w:t>
      </w:r>
      <w:r>
        <w:rPr>
          <w:rFonts w:ascii="Bookman Old Style" w:hAnsi="Bookman Old Style"/>
        </w:rPr>
        <w:t>tres</w:t>
      </w:r>
      <w:r w:rsidRPr="00BF3872">
        <w:rPr>
          <w:rFonts w:ascii="Bookman Old Style" w:hAnsi="Bookman Old Style"/>
        </w:rPr>
        <w:t xml:space="preserve"> (</w:t>
      </w:r>
      <w:r>
        <w:rPr>
          <w:rFonts w:ascii="Bookman Old Style" w:hAnsi="Bookman Old Style"/>
        </w:rPr>
        <w:t>3</w:t>
      </w:r>
      <w:r w:rsidRPr="00BF3872">
        <w:rPr>
          <w:rFonts w:ascii="Bookman Old Style" w:hAnsi="Bookman Old Style"/>
        </w:rPr>
        <w:t xml:space="preserve">) días </w:t>
      </w:r>
      <w:r>
        <w:rPr>
          <w:rFonts w:ascii="Bookman Old Style" w:hAnsi="Bookman Old Style"/>
        </w:rPr>
        <w:t>calendarios</w:t>
      </w:r>
      <w:r w:rsidRPr="00BF3872">
        <w:rPr>
          <w:rFonts w:ascii="Bookman Old Style" w:hAnsi="Bookman Old Style"/>
        </w:rPr>
        <w:t xml:space="preserve"> contados a partir del día siguiente a su publicación en el portal web de la CREG.</w:t>
      </w:r>
    </w:p>
    <w:p w14:paraId="066299A4" w14:textId="77777777" w:rsidR="00152426" w:rsidRPr="00BF3872" w:rsidRDefault="00152426" w:rsidP="00152426">
      <w:pPr>
        <w:spacing w:line="259" w:lineRule="auto"/>
        <w:ind w:left="142" w:right="142"/>
        <w:jc w:val="both"/>
        <w:rPr>
          <w:rFonts w:ascii="Bookman Old Style" w:hAnsi="Bookman Old Style"/>
        </w:rPr>
      </w:pPr>
    </w:p>
    <w:p w14:paraId="0FACEC04" w14:textId="77777777" w:rsidR="00152426" w:rsidRDefault="00152426" w:rsidP="00152426">
      <w:pPr>
        <w:spacing w:line="259" w:lineRule="auto"/>
        <w:ind w:left="142" w:right="142"/>
        <w:jc w:val="both"/>
        <w:rPr>
          <w:rFonts w:ascii="Bookman Old Style" w:hAnsi="Bookman Old Style"/>
        </w:rPr>
      </w:pPr>
      <w:r w:rsidRPr="00BF3872">
        <w:rPr>
          <w:rFonts w:ascii="Bookman Old Style" w:hAnsi="Bookman Old Style"/>
        </w:rPr>
        <w:t>Se invita a los agentes, a los usuarios, a las autoridades locales municipales y departamentales competentes, a la Superintendencia de Servicios Públicos Domiciliarios y demás interesados, para que remitan sus observaciones o sugerencias sobre la propuesta, dentro del plazo establecido.</w:t>
      </w:r>
    </w:p>
    <w:p w14:paraId="77E71B35" w14:textId="77777777" w:rsidR="00152426" w:rsidRDefault="00152426" w:rsidP="00152426">
      <w:pPr>
        <w:spacing w:line="259" w:lineRule="auto"/>
        <w:ind w:left="142" w:right="142"/>
        <w:jc w:val="both"/>
        <w:rPr>
          <w:rFonts w:ascii="Bookman Old Style" w:hAnsi="Bookman Old Style"/>
        </w:rPr>
      </w:pPr>
    </w:p>
    <w:p w14:paraId="780BC493" w14:textId="6B8A899E" w:rsidR="00152426" w:rsidRPr="00400814" w:rsidRDefault="00152426" w:rsidP="00152426">
      <w:pPr>
        <w:spacing w:line="259" w:lineRule="auto"/>
        <w:ind w:left="142" w:right="142"/>
        <w:jc w:val="both"/>
        <w:rPr>
          <w:rFonts w:ascii="Bookman Old Style" w:hAnsi="Bookman Old Style"/>
        </w:rPr>
      </w:pPr>
      <w:r w:rsidRPr="00400814">
        <w:rPr>
          <w:rFonts w:ascii="Bookman Old Style" w:hAnsi="Bookman Old Style"/>
        </w:rPr>
        <w:t xml:space="preserve">Los interesados podrán dirigir sus comentarios al director ejecutivo de la Comisión de Regulación de Energía y Gas, al correo electrónico creg@creg.gov.co, identificando el mensaje con el siguiente asunto: </w:t>
      </w:r>
      <w:r w:rsidRPr="009674A6">
        <w:rPr>
          <w:rFonts w:ascii="Bookman Old Style" w:hAnsi="Bookman Old Style"/>
        </w:rPr>
        <w:t>“</w:t>
      </w:r>
      <w:r w:rsidR="00890FAC" w:rsidRPr="00890FAC">
        <w:rPr>
          <w:rFonts w:ascii="Bookman Old Style" w:hAnsi="Bookman Old Style"/>
          <w:i/>
          <w:iCs/>
        </w:rPr>
        <w:t>Comentarios</w:t>
      </w:r>
      <w:r w:rsidR="00890FAC">
        <w:rPr>
          <w:rFonts w:ascii="Bookman Old Style" w:hAnsi="Bookman Old Style"/>
        </w:rPr>
        <w:t xml:space="preserve"> </w:t>
      </w:r>
      <w:r w:rsidR="00890FAC">
        <w:rPr>
          <w:rFonts w:ascii="Bookman Old Style" w:hAnsi="Bookman Old Style"/>
          <w:i/>
          <w:iCs/>
        </w:rPr>
        <w:t xml:space="preserve">sobre </w:t>
      </w:r>
      <w:r>
        <w:rPr>
          <w:rFonts w:ascii="Bookman Old Style" w:hAnsi="Bookman Old Style"/>
          <w:i/>
          <w:iCs/>
        </w:rPr>
        <w:t xml:space="preserve">Ampliación </w:t>
      </w:r>
      <w:r w:rsidR="00890FAC">
        <w:rPr>
          <w:rFonts w:ascii="Bookman Old Style" w:hAnsi="Bookman Old Style"/>
          <w:i/>
          <w:iCs/>
        </w:rPr>
        <w:t xml:space="preserve">de </w:t>
      </w:r>
      <w:r>
        <w:rPr>
          <w:rFonts w:ascii="Bookman Old Style" w:hAnsi="Bookman Old Style"/>
          <w:i/>
          <w:iCs/>
        </w:rPr>
        <w:t>término medidas desviaciones</w:t>
      </w:r>
      <w:r w:rsidRPr="009674A6">
        <w:rPr>
          <w:rFonts w:ascii="Bookman Old Style" w:hAnsi="Bookman Old Style"/>
        </w:rPr>
        <w:t>”</w:t>
      </w:r>
      <w:r w:rsidR="00E06C4F">
        <w:rPr>
          <w:rFonts w:ascii="Bookman Old Style" w:hAnsi="Bookman Old Style"/>
        </w:rPr>
        <w:t>.</w:t>
      </w:r>
    </w:p>
    <w:p w14:paraId="76813336" w14:textId="77777777" w:rsidR="00152426" w:rsidRPr="00BF3872" w:rsidRDefault="00152426" w:rsidP="00152426">
      <w:pPr>
        <w:spacing w:line="259" w:lineRule="auto"/>
        <w:ind w:left="142" w:right="142"/>
        <w:jc w:val="both"/>
        <w:rPr>
          <w:rFonts w:ascii="Bookman Old Style" w:hAnsi="Bookman Old Style"/>
        </w:rPr>
      </w:pPr>
    </w:p>
    <w:p w14:paraId="0B2754C5" w14:textId="77777777" w:rsidR="00152426" w:rsidRPr="004007C2" w:rsidRDefault="00152426" w:rsidP="00152426">
      <w:pPr>
        <w:pStyle w:val="Textoindependiente3"/>
        <w:spacing w:before="240"/>
        <w:ind w:left="0"/>
        <w:jc w:val="both"/>
        <w:rPr>
          <w:b w:val="0"/>
        </w:rPr>
      </w:pPr>
    </w:p>
    <w:p w14:paraId="32E5D602" w14:textId="7E926D0C" w:rsidR="00152426" w:rsidRPr="00E060BE" w:rsidRDefault="00152426" w:rsidP="00D65433">
      <w:pPr>
        <w:ind w:left="0"/>
        <w:jc w:val="center"/>
        <w:rPr>
          <w:rFonts w:ascii="Bookman Old Style" w:hAnsi="Bookman Old Style"/>
          <w:lang w:val="es-ES_tradnl"/>
        </w:rPr>
      </w:pPr>
      <w:r w:rsidRPr="00982D85">
        <w:rPr>
          <w:rFonts w:ascii="Bookman Old Style" w:hAnsi="Bookman Old Style" w:cs="Arial"/>
          <w:b/>
          <w:color w:val="000000" w:themeColor="text1"/>
          <w:lang w:eastAsia="es-CO"/>
        </w:rPr>
        <w:t>PROYECTO DE RESOLUCIÓN</w:t>
      </w:r>
    </w:p>
    <w:p w14:paraId="364FD9A1" w14:textId="77777777" w:rsidR="00152426" w:rsidRPr="00E060BE" w:rsidRDefault="00152426" w:rsidP="00152426">
      <w:pPr>
        <w:ind w:left="0"/>
        <w:rPr>
          <w:rFonts w:ascii="Bookman Old Style" w:hAnsi="Bookman Old Style"/>
          <w:bCs/>
          <w:lang w:val="es-CO"/>
        </w:rPr>
      </w:pPr>
    </w:p>
    <w:p w14:paraId="305CB33B" w14:textId="2B2F6FB6" w:rsidR="00152426" w:rsidRDefault="00152426" w:rsidP="00152426">
      <w:pPr>
        <w:ind w:right="51"/>
        <w:rPr>
          <w:rFonts w:ascii="Bookman Old Style" w:hAnsi="Bookman Old Style"/>
        </w:rPr>
      </w:pPr>
      <w:r w:rsidRPr="007D4E5F">
        <w:rPr>
          <w:rFonts w:ascii="Bookman Old Style" w:hAnsi="Bookman Old Style"/>
        </w:rPr>
        <w:t xml:space="preserve">Por la cual se </w:t>
      </w:r>
      <w:r>
        <w:rPr>
          <w:rFonts w:ascii="Bookman Old Style" w:hAnsi="Bookman Old Style"/>
        </w:rPr>
        <w:t xml:space="preserve">amplía el </w:t>
      </w:r>
      <w:r w:rsidRPr="00152426">
        <w:rPr>
          <w:rFonts w:ascii="Bookman Old Style" w:hAnsi="Bookman Old Style"/>
        </w:rPr>
        <w:t>término para la aplicación de la medida de desviaciones para plantas variables</w:t>
      </w:r>
    </w:p>
    <w:p w14:paraId="6F54ABAF" w14:textId="77777777" w:rsidR="00152426" w:rsidRPr="00C435C3" w:rsidRDefault="00152426" w:rsidP="00152426">
      <w:pPr>
        <w:ind w:right="51"/>
        <w:rPr>
          <w:rFonts w:ascii="Bookman Old Style" w:hAnsi="Bookman Old Style"/>
        </w:rPr>
      </w:pPr>
    </w:p>
    <w:p w14:paraId="47696C5A" w14:textId="7168E967" w:rsidR="00152426" w:rsidRPr="00C435C3" w:rsidRDefault="00152426" w:rsidP="00D65433">
      <w:pPr>
        <w:ind w:right="51"/>
        <w:jc w:val="center"/>
        <w:rPr>
          <w:rFonts w:ascii="Bookman Old Style" w:hAnsi="Bookman Old Style"/>
        </w:rPr>
      </w:pPr>
      <w:r w:rsidRPr="00C435C3">
        <w:rPr>
          <w:rFonts w:ascii="Bookman Old Style" w:hAnsi="Bookman Old Style"/>
          <w:b/>
        </w:rPr>
        <w:t>LA COMISIÓN DE REGULACIÓN DE ENERGÍA Y GAS</w:t>
      </w:r>
    </w:p>
    <w:p w14:paraId="326EA2A5" w14:textId="77777777" w:rsidR="00152426" w:rsidRPr="00C435C3" w:rsidRDefault="00152426" w:rsidP="00152426">
      <w:pPr>
        <w:ind w:left="0" w:right="51"/>
        <w:rPr>
          <w:rFonts w:ascii="Bookman Old Style" w:hAnsi="Bookman Old Style"/>
        </w:rPr>
      </w:pPr>
    </w:p>
    <w:p w14:paraId="596267A3" w14:textId="77777777" w:rsidR="00152426" w:rsidRPr="00C435C3" w:rsidRDefault="00152426" w:rsidP="00152426">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Pr>
          <w:rFonts w:ascii="Bookman Old Style" w:hAnsi="Bookman Old Style"/>
          <w:b w:val="0"/>
        </w:rPr>
        <w:t>l</w:t>
      </w:r>
      <w:r w:rsidRPr="00C435C3">
        <w:rPr>
          <w:rFonts w:ascii="Bookman Old Style" w:hAnsi="Bookman Old Style"/>
          <w:b w:val="0"/>
        </w:rPr>
        <w:t xml:space="preserve">eyes 142 y 143 de 1994, y en desarrollo de los </w:t>
      </w:r>
      <w:r>
        <w:rPr>
          <w:rFonts w:ascii="Bookman Old Style" w:hAnsi="Bookman Old Style"/>
          <w:b w:val="0"/>
        </w:rPr>
        <w:t>d</w:t>
      </w:r>
      <w:r w:rsidRPr="00C435C3">
        <w:rPr>
          <w:rFonts w:ascii="Bookman Old Style" w:hAnsi="Bookman Old Style"/>
          <w:b w:val="0"/>
        </w:rPr>
        <w:t>ecretos 1524 y 2253 de 1994.</w:t>
      </w:r>
    </w:p>
    <w:p w14:paraId="2CD37BDF" w14:textId="77777777" w:rsidR="00152426" w:rsidRDefault="00152426" w:rsidP="00152426">
      <w:pPr>
        <w:ind w:right="51"/>
        <w:rPr>
          <w:rFonts w:ascii="Bookman Old Style" w:hAnsi="Bookman Old Style"/>
        </w:rPr>
      </w:pPr>
    </w:p>
    <w:p w14:paraId="4843EFE1" w14:textId="77777777" w:rsidR="00152426" w:rsidRPr="007D4E5F" w:rsidRDefault="00152426" w:rsidP="00152426">
      <w:pPr>
        <w:ind w:right="51"/>
        <w:jc w:val="center"/>
        <w:rPr>
          <w:rFonts w:ascii="Bookman Old Style" w:hAnsi="Bookman Old Style"/>
          <w:b/>
          <w:lang w:val="it-IT"/>
        </w:rPr>
      </w:pPr>
      <w:r w:rsidRPr="007D4E5F">
        <w:rPr>
          <w:rFonts w:ascii="Bookman Old Style" w:hAnsi="Bookman Old Style"/>
          <w:b/>
          <w:lang w:val="it-IT"/>
        </w:rPr>
        <w:t>C O N S I D E R A N D O Q U E:</w:t>
      </w:r>
    </w:p>
    <w:p w14:paraId="71566AB8" w14:textId="77777777" w:rsidR="00152426" w:rsidRPr="007D4E5F" w:rsidRDefault="00152426" w:rsidP="00152426">
      <w:pPr>
        <w:ind w:right="51"/>
        <w:jc w:val="center"/>
        <w:rPr>
          <w:rFonts w:ascii="Bookman Old Style" w:hAnsi="Bookman Old Style"/>
          <w:b/>
          <w:lang w:val="it-IT"/>
        </w:rPr>
      </w:pPr>
    </w:p>
    <w:p w14:paraId="1B4908D6"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5BE4B41C" w14:textId="77777777" w:rsidR="00152426" w:rsidRPr="007D4E5F" w:rsidRDefault="00152426" w:rsidP="00B34DF6">
      <w:pPr>
        <w:ind w:left="0"/>
        <w:jc w:val="both"/>
        <w:rPr>
          <w:rFonts w:ascii="Bookman Old Style" w:hAnsi="Bookman Old Style"/>
          <w:bCs/>
          <w:lang w:val="es-CO"/>
        </w:rPr>
      </w:pPr>
    </w:p>
    <w:p w14:paraId="6FDE831D"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El artículo 365 de la misma Carta Política establece que los servicios públicos son inherentes a la finalidad social del Estado y es deber de este, asegurar su prestación eficiente a todos los habitantes del territorio nacional.</w:t>
      </w:r>
    </w:p>
    <w:p w14:paraId="5D8D306C"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lastRenderedPageBreak/>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0C87873D" w14:textId="77777777" w:rsidR="00152426" w:rsidRPr="007D4E5F" w:rsidRDefault="00152426" w:rsidP="00B34DF6">
      <w:pPr>
        <w:ind w:left="0"/>
        <w:jc w:val="both"/>
        <w:rPr>
          <w:rFonts w:ascii="Bookman Old Style" w:hAnsi="Bookman Old Style"/>
          <w:bCs/>
          <w:lang w:val="es-CO"/>
        </w:rPr>
      </w:pPr>
    </w:p>
    <w:p w14:paraId="465BE722" w14:textId="4BD462DD" w:rsidR="00152426" w:rsidRDefault="00152426" w:rsidP="00B34DF6">
      <w:pPr>
        <w:ind w:left="0"/>
        <w:jc w:val="both"/>
        <w:rPr>
          <w:rFonts w:ascii="Bookman Old Style" w:hAnsi="Bookman Old Style"/>
          <w:bCs/>
          <w:lang w:val="es-CO"/>
        </w:rPr>
      </w:pPr>
      <w:r w:rsidRPr="007D4E5F">
        <w:rPr>
          <w:rFonts w:ascii="Bookman Old Style" w:hAnsi="Bookman Old Style"/>
          <w:bCs/>
          <w:lang w:val="es-CO"/>
        </w:rPr>
        <w:t xml:space="preserve">En el artículo 73 de la Ley 142 de 1994 se señala que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w:t>
      </w:r>
    </w:p>
    <w:p w14:paraId="4EBED120" w14:textId="77777777" w:rsidR="00152426" w:rsidRPr="007D4E5F" w:rsidRDefault="00152426" w:rsidP="00B34DF6">
      <w:pPr>
        <w:ind w:left="0"/>
        <w:jc w:val="both"/>
        <w:rPr>
          <w:rFonts w:ascii="Bookman Old Style" w:hAnsi="Bookman Old Style"/>
          <w:bCs/>
          <w:lang w:val="es-CO"/>
        </w:rPr>
      </w:pPr>
    </w:p>
    <w:p w14:paraId="0969A74C" w14:textId="3B2FD6EB"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En el artículo 74 de la Ley 142 de 1994, se señala que son funciones y facultades especiales de la Comisión de Regulación de Energía y Gas, CREG, entre otras,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w:t>
      </w:r>
    </w:p>
    <w:p w14:paraId="3543CCF3" w14:textId="77777777" w:rsidR="00152426" w:rsidRPr="007D4E5F" w:rsidRDefault="00152426" w:rsidP="00B34DF6">
      <w:pPr>
        <w:ind w:left="0"/>
        <w:jc w:val="both"/>
        <w:rPr>
          <w:rFonts w:ascii="Bookman Old Style" w:hAnsi="Bookman Old Style"/>
          <w:bCs/>
          <w:lang w:val="es-CO"/>
        </w:rPr>
      </w:pPr>
    </w:p>
    <w:p w14:paraId="051A64EA"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Particularmente el numeral 1 literal c) del artículo 74 de la Ley 142 de 1994, le asignó a la CREG la función de expedir el Reglamento de Operación para regular el funcionamiento del Mercado Mayorista de Energía.</w:t>
      </w:r>
    </w:p>
    <w:p w14:paraId="609E284B" w14:textId="77777777" w:rsidR="00152426" w:rsidRPr="007D4E5F" w:rsidRDefault="00152426" w:rsidP="00B34DF6">
      <w:pPr>
        <w:ind w:left="0"/>
        <w:jc w:val="both"/>
        <w:rPr>
          <w:rFonts w:ascii="Bookman Old Style" w:hAnsi="Bookman Old Style"/>
          <w:bCs/>
          <w:lang w:val="es-CO"/>
        </w:rPr>
      </w:pPr>
    </w:p>
    <w:p w14:paraId="2E7CA36F"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 xml:space="preserve">Así mismo el artículo 4 señala entre otros los objetivos del Estado respecto al servicio de energía es Abastecer la demanda de electricidad de la comunidad bajo criterios económicos y de viabilidad financiera, asegurando su cubrimiento en un marco de uso racional y eficiente de los diferentes recursos energéticos del país y asegurar una operación eficiente, segura y confiable en las actividades del sector </w:t>
      </w:r>
    </w:p>
    <w:p w14:paraId="7E969929" w14:textId="77777777" w:rsidR="00152426" w:rsidRPr="007D4E5F" w:rsidRDefault="00152426" w:rsidP="00B34DF6">
      <w:pPr>
        <w:ind w:left="0"/>
        <w:jc w:val="both"/>
        <w:rPr>
          <w:rFonts w:ascii="Bookman Old Style" w:hAnsi="Bookman Old Style"/>
          <w:bCs/>
          <w:lang w:val="es-CO"/>
        </w:rPr>
      </w:pPr>
    </w:p>
    <w:p w14:paraId="727EB0CE"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El artículo 6 de la Ley 143 de 1994 señaló que las actividades relacionadas con el servicio de electricidad se regirían, entre otros principios, por el de adaptabilidad, el cual conduce a la incorporación de los avances de la ciencia y de la tecnología, con el fin de que aporten mayor calidad y eficiencia en la prestación del servicio al menor costo económico.</w:t>
      </w:r>
    </w:p>
    <w:p w14:paraId="0151B2DF" w14:textId="77777777" w:rsidR="00152426" w:rsidRPr="007D4E5F" w:rsidRDefault="00152426" w:rsidP="00B34DF6">
      <w:pPr>
        <w:ind w:left="0"/>
        <w:jc w:val="both"/>
        <w:rPr>
          <w:rFonts w:ascii="Bookman Old Style" w:hAnsi="Bookman Old Style"/>
          <w:bCs/>
          <w:lang w:val="es-CO"/>
        </w:rPr>
      </w:pPr>
    </w:p>
    <w:p w14:paraId="3647B502"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El artículo 18 de la Ley 143 de 1994 ordena que la CREG debe desarrollar el marco regulatorio que incentive la inversión en expansión de la capacidad de generación y transmisión del Sistema Interconectado Nacional, SIN, por parte de inversionistas estratégicos, y establecer esquemas que promuevan la entrada de nueva capacidad de generación y transmisión.</w:t>
      </w:r>
    </w:p>
    <w:p w14:paraId="77F7D6B4" w14:textId="77777777" w:rsidR="00152426" w:rsidRPr="007D4E5F" w:rsidRDefault="00152426" w:rsidP="00B34DF6">
      <w:pPr>
        <w:ind w:left="0"/>
        <w:jc w:val="both"/>
        <w:rPr>
          <w:rFonts w:ascii="Bookman Old Style" w:hAnsi="Bookman Old Style"/>
          <w:bCs/>
          <w:lang w:val="es-CO"/>
        </w:rPr>
      </w:pPr>
    </w:p>
    <w:p w14:paraId="79F4BFE8"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El artículo 20 de la Ley 143 de 1994 definió como objetivo fundamental de la regulación en el sector eléctrico, asegurar una adecuada prestación del servicio mediante el aprovechamiento eficiente de los diferentes recursos energéticos.</w:t>
      </w:r>
    </w:p>
    <w:p w14:paraId="3D7325B0" w14:textId="77777777" w:rsidR="00152426" w:rsidRPr="007D4E5F" w:rsidRDefault="00152426" w:rsidP="00B34DF6">
      <w:pPr>
        <w:ind w:left="0"/>
        <w:jc w:val="both"/>
        <w:rPr>
          <w:rFonts w:ascii="Bookman Old Style" w:hAnsi="Bookman Old Style"/>
          <w:bCs/>
          <w:lang w:val="es-CO"/>
        </w:rPr>
      </w:pPr>
    </w:p>
    <w:p w14:paraId="057994E7"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 xml:space="preserve">Para cumplir el objetivo señalado, la Ley 143 de 1994, artículo 23, atribuyó a la CREG crear las condiciones para asegurar la disponibilidad de una oferta energética eficiente capaz de abastecer la demanda bajo criterios sociales, </w:t>
      </w:r>
      <w:r w:rsidRPr="007D4E5F">
        <w:rPr>
          <w:rFonts w:ascii="Bookman Old Style" w:hAnsi="Bookman Old Style"/>
          <w:bCs/>
          <w:lang w:val="es-CO"/>
        </w:rPr>
        <w:lastRenderedPageBreak/>
        <w:t>económicos, ambientales y de viabilidad financiera, promover y preservar la competencia.</w:t>
      </w:r>
    </w:p>
    <w:p w14:paraId="24520BBB" w14:textId="77777777" w:rsidR="00152426" w:rsidRPr="007D4E5F" w:rsidRDefault="00152426" w:rsidP="00B34DF6">
      <w:pPr>
        <w:ind w:left="0"/>
        <w:jc w:val="both"/>
        <w:rPr>
          <w:rFonts w:ascii="Bookman Old Style" w:hAnsi="Bookman Old Style"/>
          <w:bCs/>
          <w:lang w:val="es-CO"/>
        </w:rPr>
      </w:pPr>
    </w:p>
    <w:p w14:paraId="7A98C60B"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La Resolución CREG 024 de 1995 reglamenta los aspectos comerciales del mercado mayorista de energía en el SIN, como parte del Reglamento de Operación.</w:t>
      </w:r>
    </w:p>
    <w:p w14:paraId="51F28E47" w14:textId="77777777" w:rsidR="00152426" w:rsidRPr="007D4E5F" w:rsidRDefault="00152426" w:rsidP="00B34DF6">
      <w:pPr>
        <w:ind w:left="0"/>
        <w:jc w:val="both"/>
        <w:rPr>
          <w:rFonts w:ascii="Bookman Old Style" w:hAnsi="Bookman Old Style"/>
          <w:bCs/>
          <w:lang w:val="es-CO"/>
        </w:rPr>
      </w:pPr>
    </w:p>
    <w:p w14:paraId="6149246A" w14:textId="77777777" w:rsidR="00152426" w:rsidRPr="007D4E5F" w:rsidRDefault="00152426" w:rsidP="00B34DF6">
      <w:pPr>
        <w:ind w:left="0"/>
        <w:jc w:val="both"/>
        <w:rPr>
          <w:rFonts w:ascii="Bookman Old Style" w:hAnsi="Bookman Old Style"/>
          <w:bCs/>
          <w:lang w:val="es-CO"/>
        </w:rPr>
      </w:pPr>
      <w:r w:rsidRPr="007D4E5F">
        <w:rPr>
          <w:rFonts w:ascii="Bookman Old Style" w:hAnsi="Bookman Old Style"/>
          <w:bCs/>
          <w:lang w:val="es-CO"/>
        </w:rPr>
        <w:t>La Resolución CREG 060 de 2019 en su artículo 30 incluyó el tratamiento de desviaciones de plantas de generación variable (plantas eólicas, solares fotovoltaicas y plantas filo de agua, que son despachadas centralmente).</w:t>
      </w:r>
    </w:p>
    <w:p w14:paraId="4E06E28E" w14:textId="77777777" w:rsidR="00152426" w:rsidRPr="007D4E5F" w:rsidRDefault="00152426" w:rsidP="00B34DF6">
      <w:pPr>
        <w:ind w:left="0"/>
        <w:jc w:val="both"/>
        <w:rPr>
          <w:rFonts w:ascii="Bookman Old Style" w:hAnsi="Bookman Old Style"/>
          <w:bCs/>
          <w:lang w:val="es-CO"/>
        </w:rPr>
      </w:pPr>
    </w:p>
    <w:p w14:paraId="792E3893" w14:textId="77777777" w:rsidR="00152426" w:rsidRDefault="00152426" w:rsidP="00B34DF6">
      <w:pPr>
        <w:ind w:left="0"/>
        <w:jc w:val="both"/>
        <w:rPr>
          <w:rFonts w:ascii="Bookman Old Style" w:hAnsi="Bookman Old Style"/>
          <w:bCs/>
          <w:lang w:val="es-CO"/>
        </w:rPr>
      </w:pPr>
      <w:r w:rsidRPr="007D4E5F">
        <w:rPr>
          <w:rFonts w:ascii="Bookman Old Style" w:hAnsi="Bookman Old Style"/>
          <w:bCs/>
          <w:lang w:val="es-CO"/>
        </w:rPr>
        <w:t>En las Resoluciones CREG 025 de 1995, 121 de 1998, 060 de 2019 y 148 de 2021, y en aquellas que las han modificado y adicionado, se presentan disposiciones y lineamientos para las pruebas que deben realizar las plantas de generación. Conforme a la regulación señalada, las plantas en pruebas pueden entregar su energía disponible sin incurrir en desviaciones del programa de generación pues no les aplica.</w:t>
      </w:r>
    </w:p>
    <w:p w14:paraId="7D3D5B2E" w14:textId="77777777" w:rsidR="00152426" w:rsidRDefault="00152426" w:rsidP="00B34DF6">
      <w:pPr>
        <w:ind w:left="0"/>
        <w:jc w:val="both"/>
        <w:rPr>
          <w:rFonts w:ascii="Bookman Old Style" w:hAnsi="Bookman Old Style"/>
          <w:bCs/>
          <w:lang w:val="es-CO"/>
        </w:rPr>
      </w:pPr>
    </w:p>
    <w:p w14:paraId="35DFF69D" w14:textId="77777777" w:rsidR="00152426" w:rsidRDefault="00152426" w:rsidP="00B34DF6">
      <w:pPr>
        <w:ind w:left="0"/>
        <w:jc w:val="both"/>
        <w:rPr>
          <w:rFonts w:ascii="Bookman Old Style" w:hAnsi="Bookman Old Style"/>
          <w:bCs/>
          <w:lang w:val="es-CO"/>
        </w:rPr>
      </w:pPr>
      <w:r>
        <w:rPr>
          <w:rFonts w:ascii="Bookman Old Style" w:hAnsi="Bookman Old Style"/>
          <w:bCs/>
          <w:lang w:val="es-CO"/>
        </w:rPr>
        <w:t xml:space="preserve">La Resolución CREG 101 040 de 2024 estableció </w:t>
      </w:r>
      <w:r w:rsidRPr="00291CE1">
        <w:rPr>
          <w:rFonts w:ascii="Bookman Old Style" w:hAnsi="Bookman Old Style"/>
          <w:bCs/>
          <w:lang w:val="es-CO"/>
        </w:rPr>
        <w:t>medidas transitorias para aumentar la oferta de energía ante el Fenómeno del Niño</w:t>
      </w:r>
      <w:r>
        <w:rPr>
          <w:rFonts w:ascii="Bookman Old Style" w:hAnsi="Bookman Old Style"/>
          <w:bCs/>
          <w:lang w:val="es-CO"/>
        </w:rPr>
        <w:t xml:space="preserve">, dentro de las cuales se encontraba la de considerar que a las plantas variables no les aplicaran desviaciones del programa de generación, es decir, que su desviación diaria y horaria serían cero desde la </w:t>
      </w:r>
      <w:proofErr w:type="gramStart"/>
      <w:r>
        <w:rPr>
          <w:rFonts w:ascii="Bookman Old Style" w:hAnsi="Bookman Old Style"/>
          <w:bCs/>
          <w:lang w:val="es-CO"/>
        </w:rPr>
        <w:t>entrada en vigencia</w:t>
      </w:r>
      <w:proofErr w:type="gramEnd"/>
      <w:r>
        <w:rPr>
          <w:rFonts w:ascii="Bookman Old Style" w:hAnsi="Bookman Old Style"/>
          <w:bCs/>
          <w:lang w:val="es-CO"/>
        </w:rPr>
        <w:t xml:space="preserve"> de la resolución hasta el 30 de junio de 2024.</w:t>
      </w:r>
    </w:p>
    <w:p w14:paraId="6C04A519" w14:textId="77777777" w:rsidR="00152426" w:rsidRDefault="00152426" w:rsidP="00B34DF6">
      <w:pPr>
        <w:ind w:left="0"/>
        <w:jc w:val="both"/>
        <w:rPr>
          <w:rFonts w:ascii="Bookman Old Style" w:hAnsi="Bookman Old Style"/>
          <w:bCs/>
          <w:lang w:val="es-CO"/>
        </w:rPr>
      </w:pPr>
    </w:p>
    <w:p w14:paraId="093E958A" w14:textId="61B56499" w:rsidR="00152426" w:rsidRPr="007D4E5F" w:rsidRDefault="00152426" w:rsidP="00B34DF6">
      <w:pPr>
        <w:ind w:left="0"/>
        <w:jc w:val="both"/>
        <w:rPr>
          <w:rFonts w:ascii="Bookman Old Style" w:hAnsi="Bookman Old Style"/>
          <w:bCs/>
          <w:lang w:val="es-CO"/>
        </w:rPr>
      </w:pPr>
      <w:r>
        <w:rPr>
          <w:rFonts w:ascii="Bookman Old Style" w:hAnsi="Bookman Old Style"/>
          <w:bCs/>
          <w:lang w:val="es-CO"/>
        </w:rPr>
        <w:t>Posteriormente, la Resolución CREG 101 047 de 2024 nuevamente adopt</w:t>
      </w:r>
      <w:r w:rsidR="00F40E7E">
        <w:rPr>
          <w:rFonts w:ascii="Bookman Old Style" w:hAnsi="Bookman Old Style"/>
          <w:bCs/>
          <w:lang w:val="es-CO"/>
        </w:rPr>
        <w:t>ó</w:t>
      </w:r>
      <w:r>
        <w:rPr>
          <w:rFonts w:ascii="Bookman Old Style" w:hAnsi="Bookman Old Style"/>
          <w:bCs/>
          <w:lang w:val="es-CO"/>
        </w:rPr>
        <w:t xml:space="preserve"> la medida de desviaciones cero </w:t>
      </w:r>
      <w:r w:rsidR="00F40E7E">
        <w:rPr>
          <w:rFonts w:ascii="Bookman Old Style" w:hAnsi="Bookman Old Style"/>
          <w:bCs/>
          <w:lang w:val="es-CO"/>
        </w:rPr>
        <w:t xml:space="preserve">por un período de tres (3) meses a partir </w:t>
      </w:r>
      <w:r>
        <w:rPr>
          <w:rFonts w:ascii="Bookman Old Style" w:hAnsi="Bookman Old Style"/>
          <w:bCs/>
          <w:lang w:val="es-CO"/>
        </w:rPr>
        <w:t xml:space="preserve">su </w:t>
      </w:r>
      <w:proofErr w:type="gramStart"/>
      <w:r>
        <w:rPr>
          <w:rFonts w:ascii="Bookman Old Style" w:hAnsi="Bookman Old Style"/>
          <w:bCs/>
          <w:lang w:val="es-CO"/>
        </w:rPr>
        <w:t>entrada en vigencia</w:t>
      </w:r>
      <w:proofErr w:type="gramEnd"/>
      <w:r w:rsidR="00F40E7E">
        <w:rPr>
          <w:rFonts w:ascii="Bookman Old Style" w:hAnsi="Bookman Old Style"/>
          <w:bCs/>
          <w:lang w:val="es-CO"/>
        </w:rPr>
        <w:t xml:space="preserve">, es decir </w:t>
      </w:r>
      <w:r>
        <w:rPr>
          <w:rFonts w:ascii="Bookman Old Style" w:hAnsi="Bookman Old Style"/>
          <w:bCs/>
          <w:lang w:val="es-CO"/>
        </w:rPr>
        <w:t xml:space="preserve">el 21 de agosto de 2024, </w:t>
      </w:r>
      <w:r w:rsidR="00F40E7E">
        <w:rPr>
          <w:rFonts w:ascii="Bookman Old Style" w:hAnsi="Bookman Old Style"/>
          <w:bCs/>
          <w:lang w:val="es-CO"/>
        </w:rPr>
        <w:t xml:space="preserve">término que </w:t>
      </w:r>
      <w:r>
        <w:rPr>
          <w:rFonts w:ascii="Bookman Old Style" w:hAnsi="Bookman Old Style"/>
          <w:bCs/>
          <w:lang w:val="es-CO"/>
        </w:rPr>
        <w:t xml:space="preserve">podría ser ampliado por la Comisión mientras </w:t>
      </w:r>
      <w:r w:rsidR="00F40E7E">
        <w:rPr>
          <w:rFonts w:ascii="Bookman Old Style" w:hAnsi="Bookman Old Style"/>
          <w:bCs/>
          <w:lang w:val="es-CO"/>
        </w:rPr>
        <w:t xml:space="preserve">se </w:t>
      </w:r>
      <w:r>
        <w:rPr>
          <w:rFonts w:ascii="Bookman Old Style" w:hAnsi="Bookman Old Style"/>
          <w:bCs/>
          <w:lang w:val="es-CO"/>
        </w:rPr>
        <w:t xml:space="preserve">implementa una variación en la fórmula de cálculo y de pago de las desviaciones de las plantas variables. </w:t>
      </w:r>
    </w:p>
    <w:p w14:paraId="40FB8083" w14:textId="77777777" w:rsidR="00152426" w:rsidRDefault="00152426" w:rsidP="00B34DF6">
      <w:pPr>
        <w:ind w:left="0"/>
        <w:jc w:val="both"/>
        <w:rPr>
          <w:rFonts w:ascii="Bookman Old Style" w:hAnsi="Bookman Old Style"/>
          <w:lang w:val="es-CO"/>
        </w:rPr>
      </w:pPr>
    </w:p>
    <w:p w14:paraId="0B7DEFF8" w14:textId="36ACC501" w:rsidR="00152426" w:rsidRDefault="00152426" w:rsidP="00B34DF6">
      <w:pPr>
        <w:ind w:left="0"/>
        <w:jc w:val="both"/>
        <w:rPr>
          <w:rFonts w:ascii="Bookman Old Style" w:hAnsi="Bookman Old Style"/>
          <w:lang w:val="es-CO"/>
        </w:rPr>
      </w:pPr>
      <w:r>
        <w:rPr>
          <w:rFonts w:ascii="Bookman Old Style" w:hAnsi="Bookman Old Style"/>
          <w:lang w:val="es-CO"/>
        </w:rPr>
        <w:t>Para determinar dicha variación, la Comisión</w:t>
      </w:r>
      <w:r w:rsidR="00C83621" w:rsidRPr="00C83621">
        <w:rPr>
          <w:rFonts w:ascii="Bookman Old Style" w:hAnsi="Bookman Old Style"/>
          <w:lang w:val="es-CO"/>
        </w:rPr>
        <w:t xml:space="preserve"> </w:t>
      </w:r>
      <w:r w:rsidR="00C83621">
        <w:rPr>
          <w:rFonts w:ascii="Bookman Old Style" w:hAnsi="Bookman Old Style"/>
          <w:lang w:val="es-CO"/>
        </w:rPr>
        <w:t>desarrolló un estudio</w:t>
      </w:r>
      <w:r w:rsidR="00EF282E">
        <w:rPr>
          <w:rFonts w:ascii="Bookman Old Style" w:hAnsi="Bookman Old Style"/>
          <w:lang w:val="es-CO"/>
        </w:rPr>
        <w:t>,</w:t>
      </w:r>
      <w:r>
        <w:rPr>
          <w:rFonts w:ascii="Bookman Old Style" w:hAnsi="Bookman Old Style"/>
          <w:lang w:val="es-CO"/>
        </w:rPr>
        <w:t xml:space="preserve"> con el patrocinio del </w:t>
      </w:r>
      <w:r w:rsidR="6F3C7BEF" w:rsidRPr="27BAEF40">
        <w:rPr>
          <w:rFonts w:ascii="Bookman Old Style" w:hAnsi="Bookman Old Style"/>
          <w:lang w:val="es-CO"/>
        </w:rPr>
        <w:t>B</w:t>
      </w:r>
      <w:r w:rsidR="62B20EEA" w:rsidRPr="27BAEF40">
        <w:rPr>
          <w:rFonts w:ascii="Bookman Old Style" w:hAnsi="Bookman Old Style"/>
          <w:lang w:val="es-CO"/>
        </w:rPr>
        <w:t xml:space="preserve">anco </w:t>
      </w:r>
      <w:r w:rsidR="6F3C7BEF" w:rsidRPr="27BAEF40">
        <w:rPr>
          <w:rFonts w:ascii="Bookman Old Style" w:hAnsi="Bookman Old Style"/>
          <w:lang w:val="es-CO"/>
        </w:rPr>
        <w:t>I</w:t>
      </w:r>
      <w:r w:rsidR="7455D88F" w:rsidRPr="27BAEF40">
        <w:rPr>
          <w:rFonts w:ascii="Bookman Old Style" w:hAnsi="Bookman Old Style"/>
          <w:lang w:val="es-CO"/>
        </w:rPr>
        <w:t xml:space="preserve">nteramericano de </w:t>
      </w:r>
      <w:r w:rsidR="6F3C7BEF" w:rsidRPr="27BAEF40">
        <w:rPr>
          <w:rFonts w:ascii="Bookman Old Style" w:hAnsi="Bookman Old Style"/>
          <w:lang w:val="es-CO"/>
        </w:rPr>
        <w:t>D</w:t>
      </w:r>
      <w:r w:rsidR="768FD7A0" w:rsidRPr="27BAEF40">
        <w:rPr>
          <w:rFonts w:ascii="Bookman Old Style" w:hAnsi="Bookman Old Style"/>
          <w:lang w:val="es-CO"/>
        </w:rPr>
        <w:t>esarrollo (</w:t>
      </w:r>
      <w:r>
        <w:rPr>
          <w:rFonts w:ascii="Bookman Old Style" w:hAnsi="Bookman Old Style"/>
          <w:lang w:val="es-CO"/>
        </w:rPr>
        <w:t>BID</w:t>
      </w:r>
      <w:r w:rsidR="768FD7A0" w:rsidRPr="27BAEF40">
        <w:rPr>
          <w:rFonts w:ascii="Bookman Old Style" w:hAnsi="Bookman Old Style"/>
          <w:lang w:val="es-CO"/>
        </w:rPr>
        <w:t>)</w:t>
      </w:r>
      <w:r w:rsidR="71477820" w:rsidRPr="27BAEF40">
        <w:rPr>
          <w:rFonts w:ascii="Bookman Old Style" w:hAnsi="Bookman Old Style"/>
          <w:lang w:val="es-CO"/>
        </w:rPr>
        <w:t>,</w:t>
      </w:r>
      <w:r>
        <w:rPr>
          <w:rFonts w:ascii="Bookman Old Style" w:hAnsi="Bookman Old Style"/>
          <w:lang w:val="es-CO"/>
        </w:rPr>
        <w:t xml:space="preserve"> </w:t>
      </w:r>
      <w:r w:rsidR="00F40E7E">
        <w:rPr>
          <w:rFonts w:ascii="Bookman Old Style" w:hAnsi="Bookman Old Style"/>
          <w:lang w:val="es-CO"/>
        </w:rPr>
        <w:t>con la finalidad de determinar</w:t>
      </w:r>
      <w:r>
        <w:rPr>
          <w:rFonts w:ascii="Bookman Old Style" w:hAnsi="Bookman Old Style"/>
          <w:lang w:val="es-CO"/>
        </w:rPr>
        <w:t xml:space="preserve"> la tolerancia máxima de desviaciones y el respectivo pago asociado para las plantas variables teniendo en cuenta factores como las condiciones del estado del tiempo en Colombia. Los resultados de esta consultoría fueron analizados y, a partir de sus conclusiones, la Comisión planteó en su Documento</w:t>
      </w:r>
      <w:r w:rsidR="000317C2">
        <w:rPr>
          <w:rFonts w:ascii="Bookman Old Style" w:hAnsi="Bookman Old Style"/>
          <w:lang w:val="es-CO"/>
        </w:rPr>
        <w:t xml:space="preserve"> </w:t>
      </w:r>
      <w:r w:rsidRPr="001D4FF6">
        <w:rPr>
          <w:rFonts w:ascii="Bookman Old Style" w:hAnsi="Bookman Old Style"/>
          <w:lang w:val="es-CO"/>
        </w:rPr>
        <w:t>“Consulta de alternativas para desviaciones del programa de generación de plantas variables”</w:t>
      </w:r>
      <w:r>
        <w:rPr>
          <w:rFonts w:ascii="Bookman Old Style" w:hAnsi="Bookman Old Style"/>
          <w:lang w:val="es-CO"/>
        </w:rPr>
        <w:t xml:space="preserve">, </w:t>
      </w:r>
      <w:r w:rsidR="005F0EBD">
        <w:rPr>
          <w:rFonts w:ascii="Bookman Old Style" w:hAnsi="Bookman Old Style"/>
          <w:lang w:val="es-CO"/>
        </w:rPr>
        <w:t>tres</w:t>
      </w:r>
      <w:r>
        <w:rPr>
          <w:rFonts w:ascii="Bookman Old Style" w:hAnsi="Bookman Old Style"/>
          <w:lang w:val="es-CO"/>
        </w:rPr>
        <w:t xml:space="preserve"> alternativas para comentarios de los agentes y del público en general, para posteriormente seleccionar la nueva metodología de cálculo de desviaciones y su pago correspondiente.</w:t>
      </w:r>
    </w:p>
    <w:p w14:paraId="796BB06B" w14:textId="77777777" w:rsidR="00152426" w:rsidRDefault="00152426" w:rsidP="00B34DF6">
      <w:pPr>
        <w:ind w:left="0"/>
        <w:jc w:val="both"/>
        <w:rPr>
          <w:rFonts w:ascii="Bookman Old Style" w:hAnsi="Bookman Old Style"/>
          <w:lang w:val="es-CO"/>
        </w:rPr>
      </w:pPr>
    </w:p>
    <w:p w14:paraId="335BE2F8" w14:textId="3721184F" w:rsidR="00152426" w:rsidRPr="00D07FC0" w:rsidRDefault="005F0EBD" w:rsidP="00B34DF6">
      <w:pPr>
        <w:ind w:left="0"/>
        <w:jc w:val="both"/>
        <w:rPr>
          <w:rFonts w:ascii="Bookman Old Style" w:hAnsi="Bookman Old Style"/>
          <w:lang w:val="es-CO"/>
        </w:rPr>
      </w:pPr>
      <w:r>
        <w:rPr>
          <w:rFonts w:ascii="Bookman Old Style" w:hAnsi="Bookman Old Style"/>
          <w:lang w:val="es-CO"/>
        </w:rPr>
        <w:t>Posteriormente</w:t>
      </w:r>
      <w:r w:rsidR="00152426">
        <w:rPr>
          <w:rFonts w:ascii="Bookman Old Style" w:hAnsi="Bookman Old Style"/>
          <w:lang w:val="es-CO"/>
        </w:rPr>
        <w:t>, en l</w:t>
      </w:r>
      <w:r w:rsidR="00152426" w:rsidRPr="00D07FC0">
        <w:rPr>
          <w:rFonts w:ascii="Bookman Old Style" w:hAnsi="Bookman Old Style"/>
          <w:lang w:val="es-CO"/>
        </w:rPr>
        <w:t>a Resolución CREG 101 055 de 2024 se complementa</w:t>
      </w:r>
      <w:r w:rsidR="00152426">
        <w:rPr>
          <w:rFonts w:ascii="Bookman Old Style" w:hAnsi="Bookman Old Style"/>
          <w:lang w:val="es-CO"/>
        </w:rPr>
        <w:t>ron</w:t>
      </w:r>
      <w:r w:rsidR="00152426" w:rsidRPr="00D07FC0">
        <w:rPr>
          <w:rFonts w:ascii="Bookman Old Style" w:hAnsi="Bookman Old Style"/>
          <w:lang w:val="es-CO"/>
        </w:rPr>
        <w:t xml:space="preserve"> las reglas de evaluación del estado del sistema del estatuto, para que, en adelante, se permita de manera excepcional la reevaluación del estado en un menor término.</w:t>
      </w:r>
    </w:p>
    <w:p w14:paraId="671F25B9" w14:textId="77777777" w:rsidR="00152426" w:rsidRPr="00D07FC0" w:rsidRDefault="00152426" w:rsidP="00B34DF6">
      <w:pPr>
        <w:ind w:left="0"/>
        <w:jc w:val="both"/>
        <w:rPr>
          <w:rFonts w:ascii="Bookman Old Style" w:hAnsi="Bookman Old Style"/>
          <w:lang w:val="es-CO"/>
        </w:rPr>
      </w:pPr>
    </w:p>
    <w:p w14:paraId="30F71E0C" w14:textId="094C7418" w:rsidR="00152426" w:rsidRDefault="00152426" w:rsidP="00B34DF6">
      <w:pPr>
        <w:ind w:left="0"/>
        <w:jc w:val="both"/>
        <w:rPr>
          <w:rFonts w:ascii="Bookman Old Style" w:hAnsi="Bookman Old Style"/>
          <w:lang w:val="es-CO"/>
        </w:rPr>
      </w:pPr>
      <w:r w:rsidRPr="00D07FC0">
        <w:rPr>
          <w:rFonts w:ascii="Bookman Old Style" w:hAnsi="Bookman Old Style"/>
          <w:lang w:val="es-CO"/>
        </w:rPr>
        <w:t xml:space="preserve">Mediante la </w:t>
      </w:r>
      <w:r w:rsidR="006010E7" w:rsidRPr="00D07FC0">
        <w:rPr>
          <w:rFonts w:ascii="Bookman Old Style" w:hAnsi="Bookman Old Style"/>
          <w:lang w:val="es-CO"/>
        </w:rPr>
        <w:t xml:space="preserve">Circular </w:t>
      </w:r>
      <w:r w:rsidRPr="00D07FC0">
        <w:rPr>
          <w:rFonts w:ascii="Bookman Old Style" w:hAnsi="Bookman Old Style"/>
          <w:lang w:val="es-CO"/>
        </w:rPr>
        <w:t xml:space="preserve">CREG 072 de 2024 la Dirección Ejecutiva de la Comisión de Regulación de Energía y Gas, CREG, informó que en la Sesión 1342 del 28 de septiembre de presente año y de acuerdo con lo definido en la Resolución CREG 026 de 2014 se decidió confirmar el cambio del estado del sistema manifestado </w:t>
      </w:r>
      <w:r w:rsidRPr="00D07FC0">
        <w:rPr>
          <w:rFonts w:ascii="Bookman Old Style" w:hAnsi="Bookman Old Style"/>
          <w:lang w:val="es-CO"/>
        </w:rPr>
        <w:lastRenderedPageBreak/>
        <w:t>por el Centro Nacional de Despacho y el Consejo Nacional de Operación de vigilancia a riesgo.</w:t>
      </w:r>
    </w:p>
    <w:p w14:paraId="13488528" w14:textId="77777777" w:rsidR="00152426" w:rsidRDefault="00152426" w:rsidP="00B34DF6">
      <w:pPr>
        <w:ind w:left="0"/>
        <w:jc w:val="both"/>
        <w:rPr>
          <w:rFonts w:ascii="Bookman Old Style" w:hAnsi="Bookman Old Style"/>
          <w:lang w:val="es-CO"/>
        </w:rPr>
      </w:pPr>
    </w:p>
    <w:p w14:paraId="60291E5B" w14:textId="77777777" w:rsidR="00152426" w:rsidRDefault="00152426" w:rsidP="00B34DF6">
      <w:pPr>
        <w:ind w:left="0"/>
        <w:jc w:val="both"/>
        <w:rPr>
          <w:rFonts w:ascii="Bookman Old Style" w:hAnsi="Bookman Old Style"/>
          <w:lang w:val="es-CO"/>
        </w:rPr>
      </w:pPr>
      <w:r>
        <w:rPr>
          <w:rFonts w:ascii="Bookman Old Style" w:hAnsi="Bookman Old Style"/>
          <w:lang w:val="es-CO"/>
        </w:rPr>
        <w:t xml:space="preserve">Adicionalmente, se han recibido comunicaciones con radicado CREG </w:t>
      </w:r>
      <w:r w:rsidRPr="00B9648F">
        <w:rPr>
          <w:rFonts w:ascii="Bookman Old Style" w:hAnsi="Bookman Old Style"/>
          <w:lang w:val="es-CO"/>
        </w:rPr>
        <w:t>E2024016212</w:t>
      </w:r>
      <w:r>
        <w:rPr>
          <w:rFonts w:ascii="Bookman Old Style" w:hAnsi="Bookman Old Style"/>
          <w:lang w:val="es-CO"/>
        </w:rPr>
        <w:t xml:space="preserve"> de SER Colombia y </w:t>
      </w:r>
      <w:r w:rsidRPr="001D5EE6">
        <w:rPr>
          <w:rFonts w:ascii="Bookman Old Style" w:hAnsi="Bookman Old Style"/>
          <w:lang w:val="es-CO"/>
        </w:rPr>
        <w:t>E2024016794</w:t>
      </w:r>
      <w:r>
        <w:rPr>
          <w:rFonts w:ascii="Bookman Old Style" w:hAnsi="Bookman Old Style"/>
          <w:lang w:val="es-CO"/>
        </w:rPr>
        <w:t xml:space="preserve"> de las empresas </w:t>
      </w:r>
      <w:r w:rsidRPr="0012253C">
        <w:rPr>
          <w:rFonts w:ascii="Bookman Old Style" w:hAnsi="Bookman Old Style"/>
          <w:lang w:val="es-CO"/>
        </w:rPr>
        <w:t xml:space="preserve">Cobra Instalaciones y Servicios Sucursal S.A., </w:t>
      </w:r>
      <w:proofErr w:type="spellStart"/>
      <w:r w:rsidRPr="0012253C">
        <w:rPr>
          <w:rFonts w:ascii="Bookman Old Style" w:hAnsi="Bookman Old Style"/>
          <w:lang w:val="es-CO"/>
        </w:rPr>
        <w:t>Recurrent</w:t>
      </w:r>
      <w:proofErr w:type="spellEnd"/>
      <w:r w:rsidRPr="0012253C">
        <w:rPr>
          <w:rFonts w:ascii="Bookman Old Style" w:hAnsi="Bookman Old Style"/>
          <w:lang w:val="es-CO"/>
        </w:rPr>
        <w:t xml:space="preserve"> Energy, </w:t>
      </w:r>
      <w:proofErr w:type="spellStart"/>
      <w:r w:rsidRPr="0012253C">
        <w:rPr>
          <w:rFonts w:ascii="Bookman Old Style" w:hAnsi="Bookman Old Style"/>
          <w:lang w:val="es-CO"/>
        </w:rPr>
        <w:t>Ecoener</w:t>
      </w:r>
      <w:proofErr w:type="spellEnd"/>
      <w:r w:rsidRPr="0012253C">
        <w:rPr>
          <w:rFonts w:ascii="Bookman Old Style" w:hAnsi="Bookman Old Style"/>
          <w:lang w:val="es-CO"/>
        </w:rPr>
        <w:t>,</w:t>
      </w:r>
      <w:r>
        <w:rPr>
          <w:rFonts w:ascii="Bookman Old Style" w:hAnsi="Bookman Old Style"/>
          <w:lang w:val="es-CO"/>
        </w:rPr>
        <w:t xml:space="preserve"> </w:t>
      </w:r>
      <w:r w:rsidRPr="0012253C">
        <w:rPr>
          <w:rFonts w:ascii="Bookman Old Style" w:hAnsi="Bookman Old Style"/>
          <w:lang w:val="es-CO"/>
        </w:rPr>
        <w:t xml:space="preserve">Atlas </w:t>
      </w:r>
      <w:proofErr w:type="spellStart"/>
      <w:r w:rsidRPr="0012253C">
        <w:rPr>
          <w:rFonts w:ascii="Bookman Old Style" w:hAnsi="Bookman Old Style"/>
          <w:lang w:val="es-CO"/>
        </w:rPr>
        <w:t>Renewable</w:t>
      </w:r>
      <w:proofErr w:type="spellEnd"/>
      <w:r w:rsidRPr="0012253C">
        <w:rPr>
          <w:rFonts w:ascii="Bookman Old Style" w:hAnsi="Bookman Old Style"/>
          <w:lang w:val="es-CO"/>
        </w:rPr>
        <w:t xml:space="preserve"> Colombia, Puerta de Oro SAS </w:t>
      </w:r>
      <w:proofErr w:type="spellStart"/>
      <w:r w:rsidRPr="0012253C">
        <w:rPr>
          <w:rFonts w:ascii="Bookman Old Style" w:hAnsi="Bookman Old Style"/>
          <w:lang w:val="es-CO"/>
        </w:rPr>
        <w:t>ESP</w:t>
      </w:r>
      <w:proofErr w:type="spellEnd"/>
      <w:r w:rsidRPr="0012253C">
        <w:rPr>
          <w:rFonts w:ascii="Bookman Old Style" w:hAnsi="Bookman Old Style"/>
          <w:lang w:val="es-CO"/>
        </w:rPr>
        <w:t xml:space="preserve">, </w:t>
      </w:r>
      <w:proofErr w:type="spellStart"/>
      <w:r w:rsidRPr="0012253C">
        <w:rPr>
          <w:rFonts w:ascii="Bookman Old Style" w:hAnsi="Bookman Old Style"/>
          <w:lang w:val="es-CO"/>
        </w:rPr>
        <w:t>ENERFIN</w:t>
      </w:r>
      <w:proofErr w:type="spellEnd"/>
      <w:r w:rsidRPr="0012253C">
        <w:rPr>
          <w:rFonts w:ascii="Bookman Old Style" w:hAnsi="Bookman Old Style"/>
          <w:lang w:val="es-CO"/>
        </w:rPr>
        <w:t xml:space="preserve"> y </w:t>
      </w:r>
      <w:proofErr w:type="spellStart"/>
      <w:r w:rsidRPr="0012253C">
        <w:rPr>
          <w:rFonts w:ascii="Bookman Old Style" w:hAnsi="Bookman Old Style"/>
          <w:lang w:val="es-CO"/>
        </w:rPr>
        <w:t>Zelestra</w:t>
      </w:r>
      <w:proofErr w:type="spellEnd"/>
      <w:r>
        <w:rPr>
          <w:rFonts w:ascii="Bookman Old Style" w:hAnsi="Bookman Old Style"/>
          <w:lang w:val="es-CO"/>
        </w:rPr>
        <w:t>, en las que solicitan hacer uso de la “</w:t>
      </w:r>
      <w:r w:rsidRPr="00D841A5">
        <w:rPr>
          <w:rFonts w:ascii="Bookman Old Style" w:hAnsi="Bookman Old Style"/>
          <w:i/>
          <w:iCs/>
          <w:lang w:val="es-CO"/>
        </w:rPr>
        <w:t xml:space="preserve">facultad mencionada en el Artículo 3 para </w:t>
      </w:r>
      <w:r w:rsidRPr="00D841A5">
        <w:rPr>
          <w:rFonts w:ascii="Bookman Old Style" w:hAnsi="Bookman Old Style"/>
          <w:i/>
          <w:iCs/>
          <w:u w:val="single"/>
          <w:lang w:val="es-CO"/>
        </w:rPr>
        <w:t>ampliar los términos de la Resolución CREG 101 047 de 2024</w:t>
      </w:r>
      <w:r>
        <w:rPr>
          <w:rFonts w:ascii="Bookman Old Style" w:hAnsi="Bookman Old Style"/>
          <w:lang w:val="es-CO"/>
        </w:rPr>
        <w:t>”, tomando en consideración las recomendaciones de la SIC.</w:t>
      </w:r>
    </w:p>
    <w:p w14:paraId="247E6632" w14:textId="77777777" w:rsidR="00152426" w:rsidRDefault="00152426" w:rsidP="00B34DF6">
      <w:pPr>
        <w:ind w:left="0"/>
        <w:jc w:val="both"/>
        <w:rPr>
          <w:rFonts w:ascii="Bookman Old Style" w:hAnsi="Bookman Old Style"/>
          <w:lang w:val="es-CO"/>
        </w:rPr>
      </w:pPr>
    </w:p>
    <w:p w14:paraId="20235D8A" w14:textId="77777777" w:rsidR="00152426" w:rsidRDefault="00152426" w:rsidP="00B34DF6">
      <w:pPr>
        <w:ind w:left="0"/>
        <w:jc w:val="both"/>
        <w:rPr>
          <w:rFonts w:ascii="Bookman Old Style" w:hAnsi="Bookman Old Style"/>
          <w:lang w:val="es-CO"/>
        </w:rPr>
      </w:pPr>
      <w:r>
        <w:rPr>
          <w:rFonts w:ascii="Bookman Old Style" w:hAnsi="Bookman Old Style"/>
          <w:lang w:val="es-CO"/>
        </w:rPr>
        <w:t>Frente a la publicación de la Resolución CREG 101 047 de 2024 la SIC recomendó lo siguiente:</w:t>
      </w:r>
      <w:r w:rsidRPr="00D961E7">
        <w:rPr>
          <w:rFonts w:ascii="Bookman Old Style" w:hAnsi="Bookman Old Style"/>
          <w:lang w:val="es-CO"/>
        </w:rPr>
        <w:t xml:space="preserve"> “</w:t>
      </w:r>
      <w:r w:rsidRPr="001D044C">
        <w:rPr>
          <w:rFonts w:ascii="Bookman Old Style" w:hAnsi="Bookman Old Style"/>
          <w:i/>
          <w:iCs/>
          <w:lang w:val="es-CO"/>
        </w:rPr>
        <w:t xml:space="preserve">En relación con el artículo 3 del proyecto: Abstenerse de prorrogar la vigencia de la medida contenida en su artículo 1. </w:t>
      </w:r>
      <w:r w:rsidRPr="001D044C">
        <w:rPr>
          <w:rFonts w:ascii="Bookman Old Style" w:hAnsi="Bookman Old Style"/>
          <w:i/>
          <w:iCs/>
          <w:u w:val="single"/>
          <w:lang w:val="es-CO"/>
        </w:rPr>
        <w:t>Cualquier eventual extensión debe estar debidamente justificada en datos que le otorguen una robustez técnica y económica, así como por resultados concretos y avances significativos en la implementación de la variación definitiva en la fórmula de cálculo de las desviaciones y su pago</w:t>
      </w:r>
      <w:r w:rsidRPr="00D961E7">
        <w:rPr>
          <w:rFonts w:ascii="Bookman Old Style" w:hAnsi="Bookman Old Style"/>
          <w:lang w:val="es-CO"/>
        </w:rPr>
        <w:t>”</w:t>
      </w:r>
      <w:r>
        <w:rPr>
          <w:rFonts w:ascii="Bookman Old Style" w:hAnsi="Bookman Old Style"/>
          <w:lang w:val="es-CO"/>
        </w:rPr>
        <w:t>.</w:t>
      </w:r>
      <w:r w:rsidRPr="00D961E7">
        <w:rPr>
          <w:rFonts w:ascii="Bookman Old Style" w:hAnsi="Bookman Old Style"/>
          <w:lang w:val="es-CO"/>
        </w:rPr>
        <w:t xml:space="preserve"> </w:t>
      </w:r>
      <w:r>
        <w:rPr>
          <w:rFonts w:ascii="Bookman Old Style" w:hAnsi="Bookman Old Style"/>
          <w:lang w:val="es-CO"/>
        </w:rPr>
        <w:t xml:space="preserve">Por lo tanto, </w:t>
      </w:r>
      <w:r w:rsidRPr="00D961E7">
        <w:rPr>
          <w:rFonts w:ascii="Bookman Old Style" w:hAnsi="Bookman Old Style"/>
          <w:lang w:val="es-CO"/>
        </w:rPr>
        <w:t xml:space="preserve">con base en los avances en la implementación de la variación definitiva en la fórmula de cálculo de las desviaciones y su pago mediante la publicación del documento con las alternativas en consulta, así como con base en el estado actual del </w:t>
      </w:r>
      <w:r>
        <w:rPr>
          <w:rFonts w:ascii="Bookman Old Style" w:hAnsi="Bookman Old Style"/>
          <w:lang w:val="es-CO"/>
        </w:rPr>
        <w:t>SIN</w:t>
      </w:r>
      <w:r w:rsidRPr="00D961E7">
        <w:rPr>
          <w:rFonts w:ascii="Bookman Old Style" w:hAnsi="Bookman Old Style"/>
          <w:lang w:val="es-CO"/>
        </w:rPr>
        <w:t xml:space="preserve"> y en las condiciones actuales de aportes y reservas hidrológicas, la CREG plantea la extensión de la medida contenida en el artículo 1 de la Resolución CREG 101 047 de 2024. Lo anterior, no solo para </w:t>
      </w:r>
      <w:r>
        <w:rPr>
          <w:rFonts w:ascii="Bookman Old Style" w:hAnsi="Bookman Old Style"/>
          <w:lang w:val="es-CO"/>
        </w:rPr>
        <w:t>implementar</w:t>
      </w:r>
      <w:r w:rsidRPr="00D961E7">
        <w:rPr>
          <w:rFonts w:ascii="Bookman Old Style" w:hAnsi="Bookman Old Style"/>
          <w:lang w:val="es-CO"/>
        </w:rPr>
        <w:t xml:space="preserve"> la metodología de desviaciones de las plantas variables, sino también para ayudar en la recuperación de los embalses al permitir la participación de las plantas variables sin la restricción financiera que les suponen las reglas definidas en la Resolución CREG 060 de 2019.</w:t>
      </w:r>
    </w:p>
    <w:p w14:paraId="07C834A7" w14:textId="77777777" w:rsidR="00152426" w:rsidRDefault="00152426" w:rsidP="00B34DF6">
      <w:pPr>
        <w:ind w:left="0"/>
        <w:jc w:val="both"/>
        <w:rPr>
          <w:rFonts w:ascii="Bookman Old Style" w:hAnsi="Bookman Old Style"/>
          <w:lang w:val="es-CO"/>
        </w:rPr>
      </w:pPr>
    </w:p>
    <w:p w14:paraId="2698A304" w14:textId="5612BBC0" w:rsidR="00152426" w:rsidRDefault="00152426" w:rsidP="00B34DF6">
      <w:pPr>
        <w:ind w:left="0"/>
        <w:jc w:val="both"/>
        <w:rPr>
          <w:rFonts w:ascii="Bookman Old Style" w:hAnsi="Bookman Old Style"/>
        </w:rPr>
      </w:pPr>
      <w:r>
        <w:rPr>
          <w:rFonts w:ascii="Bookman Old Style" w:hAnsi="Bookman Old Style"/>
        </w:rPr>
        <w:t xml:space="preserve">La Comisión de Regulación de Energía y Gas, en su Sesión </w:t>
      </w:r>
      <w:r w:rsidR="00CC7485">
        <w:rPr>
          <w:rFonts w:ascii="Bookman Old Style" w:hAnsi="Bookman Old Style"/>
        </w:rPr>
        <w:t>1355</w:t>
      </w:r>
      <w:r>
        <w:rPr>
          <w:rFonts w:ascii="Bookman Old Style" w:hAnsi="Bookman Old Style"/>
        </w:rPr>
        <w:t xml:space="preserve"> del </w:t>
      </w:r>
      <w:r w:rsidR="00CC7485">
        <w:rPr>
          <w:rFonts w:ascii="Bookman Old Style" w:hAnsi="Bookman Old Style"/>
        </w:rPr>
        <w:t>7</w:t>
      </w:r>
      <w:r>
        <w:rPr>
          <w:rFonts w:ascii="Bookman Old Style" w:hAnsi="Bookman Old Style"/>
        </w:rPr>
        <w:t xml:space="preserve"> de </w:t>
      </w:r>
      <w:r w:rsidR="00CC7485">
        <w:rPr>
          <w:rFonts w:ascii="Bookman Old Style" w:hAnsi="Bookman Old Style"/>
        </w:rPr>
        <w:t>noviembre</w:t>
      </w:r>
      <w:r>
        <w:rPr>
          <w:rFonts w:ascii="Bookman Old Style" w:hAnsi="Bookman Old Style"/>
        </w:rPr>
        <w:t xml:space="preserve"> de 2024, acordó expedir esta resolución.</w:t>
      </w:r>
    </w:p>
    <w:p w14:paraId="48B29AB5" w14:textId="77777777" w:rsidR="00152426" w:rsidRPr="00C435C3" w:rsidRDefault="00152426" w:rsidP="00152426">
      <w:pPr>
        <w:ind w:left="0"/>
        <w:rPr>
          <w:rFonts w:ascii="Bookman Old Style" w:hAnsi="Bookman Old Style"/>
        </w:rPr>
      </w:pPr>
    </w:p>
    <w:p w14:paraId="06E5EBD2" w14:textId="77777777" w:rsidR="00152426" w:rsidRDefault="00152426" w:rsidP="00152426">
      <w:pPr>
        <w:suppressAutoHyphens/>
        <w:jc w:val="center"/>
        <w:rPr>
          <w:rFonts w:ascii="Bookman Old Style" w:hAnsi="Bookman Old Style"/>
          <w:b/>
          <w:spacing w:val="-3"/>
        </w:rPr>
      </w:pPr>
    </w:p>
    <w:p w14:paraId="3D949781" w14:textId="77777777" w:rsidR="00152426" w:rsidRPr="00D65433" w:rsidRDefault="00152426" w:rsidP="00152426">
      <w:pPr>
        <w:suppressAutoHyphens/>
        <w:jc w:val="center"/>
        <w:rPr>
          <w:rFonts w:ascii="Bookman Old Style" w:hAnsi="Bookman Old Style"/>
          <w:spacing w:val="-3"/>
          <w:lang w:val="pt-PT"/>
        </w:rPr>
      </w:pPr>
      <w:r w:rsidRPr="00D65433">
        <w:rPr>
          <w:rFonts w:ascii="Bookman Old Style" w:hAnsi="Bookman Old Style"/>
          <w:b/>
          <w:spacing w:val="-3"/>
          <w:lang w:val="pt-PT"/>
        </w:rPr>
        <w:t>R E S U E L V E:</w:t>
      </w:r>
    </w:p>
    <w:p w14:paraId="0884FCE5" w14:textId="77777777" w:rsidR="00152426" w:rsidRPr="00D65433" w:rsidRDefault="00152426" w:rsidP="00152426">
      <w:pPr>
        <w:jc w:val="center"/>
        <w:rPr>
          <w:rFonts w:ascii="Bookman Old Style" w:hAnsi="Bookman Old Style"/>
          <w:lang w:val="pt-PT"/>
        </w:rPr>
      </w:pPr>
    </w:p>
    <w:p w14:paraId="70E6862D" w14:textId="77C606D1" w:rsidR="00152426" w:rsidRDefault="00152426" w:rsidP="00152426">
      <w:pPr>
        <w:ind w:left="0"/>
        <w:jc w:val="both"/>
        <w:rPr>
          <w:rFonts w:ascii="Bookman Old Style" w:hAnsi="Bookman Old Style" w:cs="Arial"/>
          <w:bCs/>
        </w:rPr>
      </w:pPr>
      <w:r w:rsidRPr="00D65433">
        <w:rPr>
          <w:rFonts w:ascii="Bookman Old Style" w:hAnsi="Bookman Old Style" w:cs="Arial"/>
          <w:b/>
          <w:lang w:val="pt-PT"/>
        </w:rPr>
        <w:t xml:space="preserve">ARTÍCULO 1. </w:t>
      </w:r>
      <w:r>
        <w:rPr>
          <w:rFonts w:ascii="Bookman Old Style" w:hAnsi="Bookman Old Style" w:cs="Arial"/>
          <w:b/>
        </w:rPr>
        <w:t xml:space="preserve">Ampliación de término para la aplicación de la medida de desviaciones para plantas variables. </w:t>
      </w:r>
      <w:r w:rsidRPr="00A50226">
        <w:rPr>
          <w:rFonts w:ascii="Bookman Old Style" w:hAnsi="Bookman Old Style" w:cs="Arial"/>
          <w:bCs/>
        </w:rPr>
        <w:t xml:space="preserve">Ampliar </w:t>
      </w:r>
      <w:r>
        <w:rPr>
          <w:rFonts w:ascii="Bookman Old Style" w:hAnsi="Bookman Old Style" w:cs="Arial"/>
          <w:bCs/>
        </w:rPr>
        <w:t xml:space="preserve">la vigencia de las medidas transitorias sobre las desviaciones de las plantas variables hasta el treinta (30) de abril de 2025, conforme </w:t>
      </w:r>
      <w:r w:rsidR="00C2565E">
        <w:rPr>
          <w:rFonts w:ascii="Bookman Old Style" w:hAnsi="Bookman Old Style" w:cs="Arial"/>
          <w:bCs/>
        </w:rPr>
        <w:t>con</w:t>
      </w:r>
      <w:r>
        <w:rPr>
          <w:rFonts w:ascii="Bookman Old Style" w:hAnsi="Bookman Old Style" w:cs="Arial"/>
          <w:bCs/>
        </w:rPr>
        <w:t xml:space="preserve"> lo dispuesto en el artículo 3</w:t>
      </w:r>
      <w:r w:rsidRPr="00665AA0">
        <w:rPr>
          <w:rFonts w:ascii="Bookman Old Style" w:hAnsi="Bookman Old Style" w:cs="Arial"/>
          <w:bCs/>
        </w:rPr>
        <w:t xml:space="preserve"> de la Resolución CREG 101 047 de 2024</w:t>
      </w:r>
      <w:r>
        <w:rPr>
          <w:rFonts w:ascii="Bookman Old Style" w:hAnsi="Bookman Old Style" w:cs="Arial"/>
          <w:bCs/>
        </w:rPr>
        <w:t>.</w:t>
      </w:r>
    </w:p>
    <w:p w14:paraId="56B653E6" w14:textId="77777777" w:rsidR="00152426" w:rsidRDefault="00152426" w:rsidP="00152426">
      <w:pPr>
        <w:ind w:left="0"/>
        <w:jc w:val="both"/>
        <w:rPr>
          <w:rFonts w:ascii="Bookman Old Style" w:hAnsi="Bookman Old Style" w:cs="Arial"/>
          <w:bCs/>
        </w:rPr>
      </w:pPr>
    </w:p>
    <w:p w14:paraId="2BBD7998" w14:textId="77777777" w:rsidR="00152426" w:rsidRPr="00665AA0" w:rsidRDefault="00152426" w:rsidP="00152426">
      <w:pPr>
        <w:ind w:left="0"/>
        <w:jc w:val="both"/>
        <w:rPr>
          <w:rFonts w:ascii="Bookman Old Style" w:hAnsi="Bookman Old Style" w:cs="Arial"/>
          <w:bCs/>
        </w:rPr>
      </w:pPr>
    </w:p>
    <w:p w14:paraId="1EEE8A4C" w14:textId="77777777" w:rsidR="00152426" w:rsidRDefault="00152426" w:rsidP="00152426">
      <w:pPr>
        <w:ind w:left="0"/>
        <w:jc w:val="both"/>
        <w:rPr>
          <w:rFonts w:ascii="Bookman Old Style" w:hAnsi="Bookman Old Style" w:cs="Arial"/>
          <w:color w:val="000000" w:themeColor="text1"/>
        </w:rPr>
      </w:pPr>
      <w:r w:rsidRPr="007D4E5F">
        <w:rPr>
          <w:rFonts w:ascii="Bookman Old Style" w:hAnsi="Bookman Old Style" w:cs="Arial"/>
          <w:b/>
        </w:rPr>
        <w:t xml:space="preserve">ARTÍCULO </w:t>
      </w:r>
      <w:r>
        <w:rPr>
          <w:rFonts w:ascii="Bookman Old Style" w:hAnsi="Bookman Old Style" w:cs="Arial"/>
          <w:b/>
        </w:rPr>
        <w:t>2</w:t>
      </w:r>
      <w:r w:rsidRPr="007D4E5F">
        <w:rPr>
          <w:rFonts w:ascii="Bookman Old Style" w:hAnsi="Bookman Old Style" w:cs="Arial"/>
          <w:b/>
        </w:rPr>
        <w:t>.</w:t>
      </w:r>
      <w:r w:rsidRPr="007D4E5F">
        <w:rPr>
          <w:rFonts w:ascii="Bookman Old Style" w:hAnsi="Bookman Old Style" w:cs="Arial"/>
          <w:bCs/>
        </w:rPr>
        <w:t xml:space="preserve"> </w:t>
      </w:r>
      <w:r w:rsidRPr="007D4E5F">
        <w:rPr>
          <w:rFonts w:ascii="Bookman Old Style" w:hAnsi="Bookman Old Style" w:cs="Arial"/>
          <w:b/>
          <w:bCs/>
        </w:rPr>
        <w:t>Vigencia</w:t>
      </w:r>
      <w:r w:rsidRPr="007D4E5F">
        <w:rPr>
          <w:rFonts w:ascii="Bookman Old Style" w:hAnsi="Bookman Old Style" w:cs="Arial"/>
          <w:bCs/>
        </w:rPr>
        <w:t xml:space="preserve">. </w:t>
      </w:r>
      <w:r w:rsidRPr="007D4E5F">
        <w:rPr>
          <w:rFonts w:ascii="Bookman Old Style" w:hAnsi="Bookman Old Style" w:cs="Arial"/>
          <w:color w:val="000000" w:themeColor="text1"/>
        </w:rPr>
        <w:t>La presente resolución rige a partir de su publicación en el</w:t>
      </w:r>
      <w:r>
        <w:rPr>
          <w:rFonts w:ascii="Bookman Old Style" w:hAnsi="Bookman Old Style" w:cs="Arial"/>
          <w:color w:val="000000" w:themeColor="text1"/>
        </w:rPr>
        <w:t xml:space="preserve"> </w:t>
      </w:r>
      <w:r w:rsidRPr="007D4E5F">
        <w:rPr>
          <w:rFonts w:ascii="Bookman Old Style" w:hAnsi="Bookman Old Style" w:cs="Arial"/>
          <w:i/>
          <w:color w:val="000000" w:themeColor="text1"/>
        </w:rPr>
        <w:t>Diario Oficial</w:t>
      </w:r>
      <w:r>
        <w:rPr>
          <w:rFonts w:ascii="Bookman Old Style" w:hAnsi="Bookman Old Style" w:cs="Arial"/>
          <w:color w:val="000000" w:themeColor="text1"/>
        </w:rPr>
        <w:t>.</w:t>
      </w:r>
    </w:p>
    <w:p w14:paraId="403C436D" w14:textId="77777777" w:rsidR="00152426" w:rsidRDefault="00152426" w:rsidP="00152426">
      <w:pPr>
        <w:ind w:left="0"/>
        <w:jc w:val="both"/>
        <w:rPr>
          <w:rFonts w:ascii="Bookman Old Style" w:hAnsi="Bookman Old Style" w:cs="Arial"/>
          <w:color w:val="000000" w:themeColor="text1"/>
        </w:rPr>
      </w:pPr>
    </w:p>
    <w:p w14:paraId="62F380D1" w14:textId="60CF0974" w:rsidR="00D65433" w:rsidRDefault="00D65433">
      <w:pPr>
        <w:ind w:left="0"/>
        <w:rPr>
          <w:rFonts w:ascii="Bookman Old Style" w:hAnsi="Bookman Old Style" w:cs="Arial"/>
          <w:i/>
        </w:rPr>
      </w:pPr>
      <w:r>
        <w:rPr>
          <w:rFonts w:ascii="Bookman Old Style" w:hAnsi="Bookman Old Style" w:cs="Arial"/>
          <w:i/>
        </w:rPr>
        <w:br w:type="page"/>
      </w:r>
    </w:p>
    <w:p w14:paraId="01AA9CDB" w14:textId="77777777" w:rsidR="00152426" w:rsidRPr="007D4E5F" w:rsidRDefault="00152426" w:rsidP="00152426">
      <w:pPr>
        <w:jc w:val="both"/>
        <w:rPr>
          <w:rFonts w:ascii="Bookman Old Style" w:hAnsi="Bookman Old Style" w:cs="Arial"/>
          <w:i/>
        </w:rPr>
      </w:pPr>
    </w:p>
    <w:p w14:paraId="32A1B20F" w14:textId="77777777" w:rsidR="00152426" w:rsidRPr="007D4E5F" w:rsidRDefault="00152426" w:rsidP="00152426">
      <w:pPr>
        <w:ind w:left="0"/>
        <w:rPr>
          <w:rFonts w:ascii="Bookman Old Style" w:hAnsi="Bookman Old Style"/>
        </w:rPr>
      </w:pPr>
    </w:p>
    <w:p w14:paraId="0038C504" w14:textId="77777777" w:rsidR="00152426" w:rsidRPr="00C435C3" w:rsidRDefault="00152426" w:rsidP="00152426">
      <w:pPr>
        <w:jc w:val="center"/>
        <w:rPr>
          <w:rFonts w:ascii="Bookman Old Style" w:hAnsi="Bookman Old Style"/>
          <w:b/>
        </w:rPr>
      </w:pPr>
      <w:r>
        <w:rPr>
          <w:rFonts w:ascii="Bookman Old Style" w:hAnsi="Bookman Old Style"/>
          <w:b/>
        </w:rPr>
        <w:t xml:space="preserve">NOTIFÍQUESE, </w:t>
      </w: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1CEADC95" w14:textId="77777777" w:rsidR="00152426" w:rsidRDefault="00152426" w:rsidP="00152426">
      <w:pPr>
        <w:rPr>
          <w:rFonts w:ascii="Bookman Old Style" w:hAnsi="Bookman Old Style"/>
        </w:rPr>
      </w:pPr>
    </w:p>
    <w:p w14:paraId="1A4A0062" w14:textId="77777777" w:rsidR="00D65433" w:rsidRPr="00C435C3" w:rsidRDefault="00D65433" w:rsidP="00152426">
      <w:pPr>
        <w:rPr>
          <w:rFonts w:ascii="Bookman Old Style" w:hAnsi="Bookman Old Style"/>
        </w:rPr>
      </w:pPr>
    </w:p>
    <w:p w14:paraId="185A0E4A" w14:textId="3408E36F" w:rsidR="00E060BE" w:rsidRDefault="00152426" w:rsidP="00152426">
      <w:pPr>
        <w:ind w:left="0"/>
        <w:rPr>
          <w:rFonts w:ascii="Bookman Old Style" w:hAnsi="Bookman Old Style"/>
        </w:rPr>
      </w:pPr>
      <w:r w:rsidRPr="00152426">
        <w:rPr>
          <w:rFonts w:ascii="Bookman Old Style" w:hAnsi="Bookman Old Style"/>
        </w:rPr>
        <w:t xml:space="preserve">Dada en Bogotá, D.C. a los </w:t>
      </w:r>
      <w:r w:rsidR="00D65433">
        <w:rPr>
          <w:rFonts w:ascii="Bookman Old Style" w:hAnsi="Bookman Old Style"/>
        </w:rPr>
        <w:t>07</w:t>
      </w:r>
      <w:r w:rsidRPr="00152426">
        <w:rPr>
          <w:rFonts w:ascii="Bookman Old Style" w:hAnsi="Bookman Old Style"/>
        </w:rPr>
        <w:t xml:space="preserve"> días del mes de </w:t>
      </w:r>
      <w:r>
        <w:rPr>
          <w:rFonts w:ascii="Bookman Old Style" w:hAnsi="Bookman Old Style"/>
        </w:rPr>
        <w:t>noviembre</w:t>
      </w:r>
      <w:r w:rsidRPr="00152426">
        <w:rPr>
          <w:rFonts w:ascii="Bookman Old Style" w:hAnsi="Bookman Old Style"/>
        </w:rPr>
        <w:t xml:space="preserve"> de 2024.</w:t>
      </w:r>
    </w:p>
    <w:p w14:paraId="56A34836" w14:textId="77777777" w:rsidR="00D65433" w:rsidRDefault="00D65433" w:rsidP="00152426">
      <w:pPr>
        <w:ind w:left="0"/>
        <w:rPr>
          <w:rFonts w:ascii="Bookman Old Style" w:hAnsi="Bookman Old Style"/>
        </w:rPr>
      </w:pPr>
    </w:p>
    <w:p w14:paraId="5870E873" w14:textId="77777777" w:rsidR="00D65433" w:rsidRDefault="00D65433" w:rsidP="00152426">
      <w:pPr>
        <w:ind w:left="0"/>
        <w:rPr>
          <w:rFonts w:ascii="Bookman Old Style" w:hAnsi="Bookman Old Style"/>
        </w:rPr>
      </w:pPr>
    </w:p>
    <w:p w14:paraId="4E60DED0" w14:textId="77777777" w:rsidR="00D65433" w:rsidRDefault="00D65433" w:rsidP="00152426">
      <w:pPr>
        <w:ind w:left="0"/>
        <w:rPr>
          <w:rFonts w:ascii="Bookman Old Style" w:hAnsi="Bookman Old Style"/>
        </w:rPr>
      </w:pPr>
    </w:p>
    <w:tbl>
      <w:tblPr>
        <w:tblStyle w:val="Tablaconcuadrcula"/>
        <w:tblW w:w="18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gridCol w:w="4673"/>
        <w:gridCol w:w="4673"/>
      </w:tblGrid>
      <w:tr w:rsidR="00D65433" w14:paraId="6726EA3B" w14:textId="77777777" w:rsidTr="00D65433">
        <w:tc>
          <w:tcPr>
            <w:tcW w:w="4673" w:type="dxa"/>
          </w:tcPr>
          <w:p w14:paraId="0DF20CB8" w14:textId="5DEBB6CD" w:rsidR="00D65433" w:rsidRDefault="00D65433" w:rsidP="00D65433">
            <w:pPr>
              <w:ind w:left="0"/>
              <w:jc w:val="center"/>
              <w:rPr>
                <w:rFonts w:ascii="Bookman Old Style" w:hAnsi="Bookman Old Style" w:cs="Arial"/>
              </w:rPr>
            </w:pPr>
            <w:r w:rsidRPr="007B07A9">
              <w:rPr>
                <w:rFonts w:ascii="Bookman Old Style" w:hAnsi="Bookman Old Style" w:cs="Arial"/>
                <w:b/>
                <w:bCs/>
              </w:rPr>
              <w:t>OMAR ANDRÉS CAMACHO MORALES</w:t>
            </w:r>
          </w:p>
        </w:tc>
        <w:tc>
          <w:tcPr>
            <w:tcW w:w="4673" w:type="dxa"/>
          </w:tcPr>
          <w:p w14:paraId="19DEA77E" w14:textId="36D0B81B" w:rsidR="00D65433" w:rsidRDefault="00D65433" w:rsidP="00D65433">
            <w:pPr>
              <w:ind w:left="0"/>
              <w:jc w:val="center"/>
              <w:rPr>
                <w:rFonts w:ascii="Bookman Old Style" w:hAnsi="Bookman Old Style" w:cs="Arial"/>
              </w:rPr>
            </w:pPr>
            <w:r>
              <w:rPr>
                <w:rFonts w:ascii="Bookman Old Style" w:hAnsi="Bookman Old Style" w:cs="Arial"/>
                <w:b/>
              </w:rPr>
              <w:t>ANTONIO JIMÉNEZ RIVERA</w:t>
            </w:r>
          </w:p>
        </w:tc>
        <w:tc>
          <w:tcPr>
            <w:tcW w:w="4673" w:type="dxa"/>
          </w:tcPr>
          <w:p w14:paraId="39C97A3F" w14:textId="1C4E968B" w:rsidR="00D65433" w:rsidRDefault="00D65433" w:rsidP="00D65433">
            <w:pPr>
              <w:ind w:left="0"/>
              <w:rPr>
                <w:rFonts w:ascii="Bookman Old Style" w:hAnsi="Bookman Old Style" w:cs="Arial"/>
              </w:rPr>
            </w:pPr>
          </w:p>
        </w:tc>
        <w:tc>
          <w:tcPr>
            <w:tcW w:w="4673" w:type="dxa"/>
          </w:tcPr>
          <w:p w14:paraId="0163A7BF" w14:textId="77777777" w:rsidR="00D65433" w:rsidRDefault="00D65433" w:rsidP="00D65433">
            <w:pPr>
              <w:ind w:left="0"/>
              <w:rPr>
                <w:rFonts w:ascii="Bookman Old Style" w:hAnsi="Bookman Old Style" w:cs="Arial"/>
              </w:rPr>
            </w:pPr>
          </w:p>
        </w:tc>
      </w:tr>
      <w:tr w:rsidR="00D65433" w14:paraId="4667951C" w14:textId="77777777" w:rsidTr="00D65433">
        <w:tc>
          <w:tcPr>
            <w:tcW w:w="4673" w:type="dxa"/>
          </w:tcPr>
          <w:p w14:paraId="0ED02226" w14:textId="130A5D2D" w:rsidR="00D65433" w:rsidRPr="007B07A9" w:rsidRDefault="00D65433" w:rsidP="00D65433">
            <w:pPr>
              <w:widowControl w:val="0"/>
              <w:adjustRightInd w:val="0"/>
              <w:ind w:left="0"/>
              <w:jc w:val="center"/>
              <w:rPr>
                <w:rFonts w:ascii="Bookman Old Style" w:hAnsi="Bookman Old Style" w:cs="Arial"/>
              </w:rPr>
            </w:pPr>
            <w:r w:rsidRPr="007B07A9">
              <w:rPr>
                <w:rFonts w:ascii="Bookman Old Style" w:hAnsi="Bookman Old Style"/>
              </w:rPr>
              <w:t>Ministro de Minas y Energía</w:t>
            </w:r>
          </w:p>
          <w:p w14:paraId="701D0481" w14:textId="61BAD083" w:rsidR="00D65433" w:rsidRPr="007B07A9" w:rsidRDefault="00D65433" w:rsidP="00D65433">
            <w:pPr>
              <w:ind w:left="0"/>
              <w:jc w:val="center"/>
              <w:rPr>
                <w:rFonts w:ascii="Bookman Old Style" w:hAnsi="Bookman Old Style" w:cs="Arial"/>
                <w:b/>
                <w:bCs/>
              </w:rPr>
            </w:pPr>
            <w:r w:rsidRPr="007B07A9">
              <w:rPr>
                <w:rFonts w:ascii="Bookman Old Style" w:hAnsi="Bookman Old Style"/>
              </w:rPr>
              <w:t>Presidente</w:t>
            </w:r>
          </w:p>
        </w:tc>
        <w:tc>
          <w:tcPr>
            <w:tcW w:w="4673" w:type="dxa"/>
          </w:tcPr>
          <w:p w14:paraId="2442BB22" w14:textId="0FA53642" w:rsidR="00D65433" w:rsidRDefault="00D65433" w:rsidP="00D65433">
            <w:pPr>
              <w:ind w:left="0"/>
              <w:jc w:val="center"/>
              <w:rPr>
                <w:rFonts w:ascii="Bookman Old Style" w:hAnsi="Bookman Old Style" w:cs="Arial"/>
                <w:b/>
              </w:rPr>
            </w:pPr>
            <w:r w:rsidRPr="007B07A9">
              <w:rPr>
                <w:rFonts w:ascii="Bookman Old Style" w:hAnsi="Bookman Old Style" w:cs="Arial"/>
                <w:spacing w:val="-3"/>
              </w:rPr>
              <w:t>Director Ejecutivo</w:t>
            </w:r>
          </w:p>
        </w:tc>
        <w:tc>
          <w:tcPr>
            <w:tcW w:w="4673" w:type="dxa"/>
          </w:tcPr>
          <w:p w14:paraId="2F11BAFB" w14:textId="77777777" w:rsidR="00D65433" w:rsidRDefault="00D65433" w:rsidP="00D65433">
            <w:pPr>
              <w:ind w:left="0"/>
              <w:rPr>
                <w:rFonts w:ascii="Bookman Old Style" w:hAnsi="Bookman Old Style" w:cs="Arial"/>
              </w:rPr>
            </w:pPr>
          </w:p>
        </w:tc>
        <w:tc>
          <w:tcPr>
            <w:tcW w:w="4673" w:type="dxa"/>
          </w:tcPr>
          <w:p w14:paraId="563EE86E" w14:textId="77777777" w:rsidR="00D65433" w:rsidRDefault="00D65433" w:rsidP="00D65433">
            <w:pPr>
              <w:ind w:left="0"/>
              <w:rPr>
                <w:rFonts w:ascii="Bookman Old Style" w:hAnsi="Bookman Old Style" w:cs="Arial"/>
              </w:rPr>
            </w:pPr>
          </w:p>
        </w:tc>
      </w:tr>
    </w:tbl>
    <w:p w14:paraId="31CF6B79" w14:textId="77777777" w:rsidR="00D65433" w:rsidRPr="00152426" w:rsidRDefault="00D65433" w:rsidP="00152426">
      <w:pPr>
        <w:ind w:left="0"/>
        <w:rPr>
          <w:rFonts w:ascii="Bookman Old Style" w:hAnsi="Bookman Old Style" w:cs="Arial"/>
        </w:rPr>
      </w:pPr>
    </w:p>
    <w:sectPr w:rsidR="00D65433" w:rsidRPr="00152426" w:rsidSect="005A59EF">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C6C4C" w14:textId="77777777" w:rsidR="008743F9" w:rsidRDefault="008743F9">
      <w:r>
        <w:separator/>
      </w:r>
    </w:p>
  </w:endnote>
  <w:endnote w:type="continuationSeparator" w:id="0">
    <w:p w14:paraId="36FB0096" w14:textId="77777777" w:rsidR="008743F9" w:rsidRDefault="008743F9">
      <w:r>
        <w:continuationSeparator/>
      </w:r>
    </w:p>
  </w:endnote>
  <w:endnote w:type="continuationNotice" w:id="1">
    <w:p w14:paraId="300CABF5" w14:textId="77777777" w:rsidR="008743F9" w:rsidRDefault="00874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BE9B7" w14:textId="77777777" w:rsidR="008743F9" w:rsidRDefault="008743F9">
      <w:r>
        <w:separator/>
      </w:r>
    </w:p>
  </w:footnote>
  <w:footnote w:type="continuationSeparator" w:id="0">
    <w:p w14:paraId="6EB36A1C" w14:textId="77777777" w:rsidR="008743F9" w:rsidRDefault="008743F9">
      <w:r>
        <w:continuationSeparator/>
      </w:r>
    </w:p>
  </w:footnote>
  <w:footnote w:type="continuationNotice" w:id="1">
    <w:p w14:paraId="744B342B" w14:textId="77777777" w:rsidR="008743F9" w:rsidRDefault="00874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11F47CFA" w:rsidR="0087657D" w:rsidRPr="00951F79" w:rsidRDefault="002E33ED" w:rsidP="009F4BEC">
    <w:pPr>
      <w:pStyle w:val="Ttulo1"/>
      <w:ind w:left="0" w:right="6"/>
      <w:jc w:val="left"/>
      <w:rPr>
        <w:rFonts w:ascii="Bookman Old Style" w:hAnsi="Bookman Old Style" w:cs="Arial"/>
        <w:b w:val="0"/>
        <w:sz w:val="22"/>
        <w:szCs w:val="22"/>
      </w:rPr>
    </w:pPr>
    <w:r w:rsidRPr="002E33ED">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 xml:space="preserve">RESOLUCIÓN </w:t>
    </w:r>
    <w:proofErr w:type="gramStart"/>
    <w:r w:rsidR="00725FA4" w:rsidRPr="00654384">
      <w:rPr>
        <w:rFonts w:ascii="Bookman Old Style" w:hAnsi="Bookman Old Style" w:cs="Arial"/>
        <w:b w:val="0"/>
        <w:sz w:val="22"/>
        <w:szCs w:val="22"/>
      </w:rPr>
      <w:t>No.</w:t>
    </w:r>
    <w:r w:rsidR="00951F79">
      <w:rPr>
        <w:rFonts w:ascii="Bookman Old Style" w:hAnsi="Bookman Old Style" w:cs="Arial"/>
        <w:b w:val="0"/>
        <w:sz w:val="22"/>
        <w:szCs w:val="22"/>
      </w:rPr>
      <w:t xml:space="preserve">  </w:t>
    </w:r>
    <w:r w:rsidR="00D65433" w:rsidRPr="00D65433">
      <w:rPr>
        <w:rFonts w:ascii="Bookman Old Style" w:hAnsi="Bookman Old Style" w:cs="Arial"/>
        <w:bCs/>
        <w:sz w:val="22"/>
        <w:szCs w:val="22"/>
        <w:u w:val="single"/>
      </w:rPr>
      <w:t>701</w:t>
    </w:r>
    <w:proofErr w:type="gramEnd"/>
    <w:r w:rsidR="00D65433" w:rsidRPr="00D65433">
      <w:rPr>
        <w:rFonts w:ascii="Bookman Old Style" w:hAnsi="Bookman Old Style" w:cs="Arial"/>
        <w:bCs/>
        <w:sz w:val="22"/>
        <w:szCs w:val="22"/>
        <w:u w:val="single"/>
      </w:rPr>
      <w:t xml:space="preserve"> 072</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D65433">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D65433" w:rsidRPr="00D65433">
      <w:rPr>
        <w:rFonts w:ascii="Bookman Old Style" w:hAnsi="Bookman Old Style" w:cs="Arial"/>
        <w:bCs/>
        <w:sz w:val="22"/>
        <w:szCs w:val="22"/>
        <w:u w:val="single"/>
      </w:rPr>
      <w:t>07 NOV.2024</w:t>
    </w:r>
    <w:r w:rsidR="003D076C">
      <w:rPr>
        <w:rFonts w:ascii="Bookman Old Style" w:hAnsi="Bookman Old Style" w:cs="Arial"/>
        <w:b w:val="0"/>
        <w:sz w:val="22"/>
        <w:szCs w:val="22"/>
      </w:rPr>
      <w:tab/>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0"/>
  </w:num>
  <w:num w:numId="4" w16cid:durableId="1416053916">
    <w:abstractNumId w:val="6"/>
  </w:num>
  <w:num w:numId="5" w16cid:durableId="1460681335">
    <w:abstractNumId w:val="15"/>
  </w:num>
  <w:num w:numId="6" w16cid:durableId="432214895">
    <w:abstractNumId w:val="4"/>
  </w:num>
  <w:num w:numId="7" w16cid:durableId="845751384">
    <w:abstractNumId w:val="3"/>
  </w:num>
  <w:num w:numId="8" w16cid:durableId="29301030">
    <w:abstractNumId w:val="17"/>
  </w:num>
  <w:num w:numId="9" w16cid:durableId="2003662021">
    <w:abstractNumId w:val="16"/>
  </w:num>
  <w:num w:numId="10" w16cid:durableId="2014674860">
    <w:abstractNumId w:val="12"/>
  </w:num>
  <w:num w:numId="11" w16cid:durableId="958032325">
    <w:abstractNumId w:val="21"/>
  </w:num>
  <w:num w:numId="12" w16cid:durableId="1838691975">
    <w:abstractNumId w:val="19"/>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8"/>
  </w:num>
  <w:num w:numId="20" w16cid:durableId="1999069271">
    <w:abstractNumId w:val="14"/>
  </w:num>
  <w:num w:numId="21" w16cid:durableId="1075667280">
    <w:abstractNumId w:val="7"/>
  </w:num>
  <w:num w:numId="22" w16cid:durableId="40371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158F3"/>
    <w:rsid w:val="00025383"/>
    <w:rsid w:val="000317C2"/>
    <w:rsid w:val="00045D3D"/>
    <w:rsid w:val="00063657"/>
    <w:rsid w:val="00076680"/>
    <w:rsid w:val="00076A1D"/>
    <w:rsid w:val="0008073E"/>
    <w:rsid w:val="00091CDB"/>
    <w:rsid w:val="000A19AC"/>
    <w:rsid w:val="000B2EC9"/>
    <w:rsid w:val="000B5329"/>
    <w:rsid w:val="000D26F8"/>
    <w:rsid w:val="00106654"/>
    <w:rsid w:val="0013526C"/>
    <w:rsid w:val="001405C6"/>
    <w:rsid w:val="00141013"/>
    <w:rsid w:val="00152426"/>
    <w:rsid w:val="00192CBF"/>
    <w:rsid w:val="00192FF1"/>
    <w:rsid w:val="001931B7"/>
    <w:rsid w:val="001A5F1B"/>
    <w:rsid w:val="001B1C22"/>
    <w:rsid w:val="001B34C6"/>
    <w:rsid w:val="001D7832"/>
    <w:rsid w:val="001E1189"/>
    <w:rsid w:val="00210DC1"/>
    <w:rsid w:val="00211D34"/>
    <w:rsid w:val="00214F04"/>
    <w:rsid w:val="002152D4"/>
    <w:rsid w:val="002352B9"/>
    <w:rsid w:val="00266CD6"/>
    <w:rsid w:val="002673AC"/>
    <w:rsid w:val="00275DAB"/>
    <w:rsid w:val="002903C0"/>
    <w:rsid w:val="0029277F"/>
    <w:rsid w:val="0029355A"/>
    <w:rsid w:val="002A782A"/>
    <w:rsid w:val="002B11E2"/>
    <w:rsid w:val="002B24B8"/>
    <w:rsid w:val="002D3AE9"/>
    <w:rsid w:val="002D4510"/>
    <w:rsid w:val="002E33ED"/>
    <w:rsid w:val="002F0734"/>
    <w:rsid w:val="002F175F"/>
    <w:rsid w:val="002F46E7"/>
    <w:rsid w:val="003101DA"/>
    <w:rsid w:val="003111C3"/>
    <w:rsid w:val="00314757"/>
    <w:rsid w:val="003163BC"/>
    <w:rsid w:val="003211CE"/>
    <w:rsid w:val="0035403A"/>
    <w:rsid w:val="0036394B"/>
    <w:rsid w:val="00366DB6"/>
    <w:rsid w:val="003709B5"/>
    <w:rsid w:val="003759C2"/>
    <w:rsid w:val="00397365"/>
    <w:rsid w:val="003A31F6"/>
    <w:rsid w:val="003C3447"/>
    <w:rsid w:val="003D076C"/>
    <w:rsid w:val="003E78B5"/>
    <w:rsid w:val="003F1035"/>
    <w:rsid w:val="00415BAB"/>
    <w:rsid w:val="00415ED2"/>
    <w:rsid w:val="0042068C"/>
    <w:rsid w:val="004375A7"/>
    <w:rsid w:val="0044318E"/>
    <w:rsid w:val="00443B35"/>
    <w:rsid w:val="0045488D"/>
    <w:rsid w:val="0047122B"/>
    <w:rsid w:val="00473B7A"/>
    <w:rsid w:val="004960E9"/>
    <w:rsid w:val="004A2E88"/>
    <w:rsid w:val="004A5305"/>
    <w:rsid w:val="004B6FDF"/>
    <w:rsid w:val="004D7634"/>
    <w:rsid w:val="004E4D5B"/>
    <w:rsid w:val="004E611A"/>
    <w:rsid w:val="004F6460"/>
    <w:rsid w:val="005300D3"/>
    <w:rsid w:val="005418D2"/>
    <w:rsid w:val="00542A10"/>
    <w:rsid w:val="00544F82"/>
    <w:rsid w:val="005509D2"/>
    <w:rsid w:val="00561A19"/>
    <w:rsid w:val="00593C4F"/>
    <w:rsid w:val="005946A8"/>
    <w:rsid w:val="005A4407"/>
    <w:rsid w:val="005A59EF"/>
    <w:rsid w:val="005B1C7E"/>
    <w:rsid w:val="005C6976"/>
    <w:rsid w:val="005F0EBD"/>
    <w:rsid w:val="005F6F41"/>
    <w:rsid w:val="006010E7"/>
    <w:rsid w:val="00625DC6"/>
    <w:rsid w:val="00634733"/>
    <w:rsid w:val="0064391D"/>
    <w:rsid w:val="00651821"/>
    <w:rsid w:val="00654384"/>
    <w:rsid w:val="00654A8A"/>
    <w:rsid w:val="006675CD"/>
    <w:rsid w:val="00684D9B"/>
    <w:rsid w:val="0068510A"/>
    <w:rsid w:val="00697556"/>
    <w:rsid w:val="006B4647"/>
    <w:rsid w:val="006B4C2B"/>
    <w:rsid w:val="006B6194"/>
    <w:rsid w:val="006B6D47"/>
    <w:rsid w:val="006C5AFE"/>
    <w:rsid w:val="006F2EC8"/>
    <w:rsid w:val="006F6D95"/>
    <w:rsid w:val="00706F13"/>
    <w:rsid w:val="007072E8"/>
    <w:rsid w:val="0071618D"/>
    <w:rsid w:val="00725FA4"/>
    <w:rsid w:val="00732E58"/>
    <w:rsid w:val="00740446"/>
    <w:rsid w:val="007438A9"/>
    <w:rsid w:val="0074491E"/>
    <w:rsid w:val="0076247A"/>
    <w:rsid w:val="00766A35"/>
    <w:rsid w:val="00775964"/>
    <w:rsid w:val="007765FE"/>
    <w:rsid w:val="00794E2E"/>
    <w:rsid w:val="00795BFB"/>
    <w:rsid w:val="007A6181"/>
    <w:rsid w:val="007B2760"/>
    <w:rsid w:val="007B5A60"/>
    <w:rsid w:val="007F73CA"/>
    <w:rsid w:val="00806C01"/>
    <w:rsid w:val="008148CC"/>
    <w:rsid w:val="008211A4"/>
    <w:rsid w:val="0082400C"/>
    <w:rsid w:val="0084693A"/>
    <w:rsid w:val="00873150"/>
    <w:rsid w:val="008743F9"/>
    <w:rsid w:val="0087657D"/>
    <w:rsid w:val="008807D5"/>
    <w:rsid w:val="00880832"/>
    <w:rsid w:val="00886EE1"/>
    <w:rsid w:val="0088727D"/>
    <w:rsid w:val="00890FAC"/>
    <w:rsid w:val="00897C75"/>
    <w:rsid w:val="008C1130"/>
    <w:rsid w:val="008C3626"/>
    <w:rsid w:val="008D18E6"/>
    <w:rsid w:val="008D7A9B"/>
    <w:rsid w:val="008E0060"/>
    <w:rsid w:val="008E7091"/>
    <w:rsid w:val="008E76AC"/>
    <w:rsid w:val="008F21F6"/>
    <w:rsid w:val="00951F79"/>
    <w:rsid w:val="00974AB5"/>
    <w:rsid w:val="0098706D"/>
    <w:rsid w:val="009935FB"/>
    <w:rsid w:val="009B461F"/>
    <w:rsid w:val="009F4A54"/>
    <w:rsid w:val="009F4BEC"/>
    <w:rsid w:val="009F5874"/>
    <w:rsid w:val="00A06511"/>
    <w:rsid w:val="00A25FD7"/>
    <w:rsid w:val="00A43AFF"/>
    <w:rsid w:val="00A7793A"/>
    <w:rsid w:val="00AA4CC7"/>
    <w:rsid w:val="00AA5E8E"/>
    <w:rsid w:val="00AB2BAD"/>
    <w:rsid w:val="00AB6CA7"/>
    <w:rsid w:val="00AD01E4"/>
    <w:rsid w:val="00AD0858"/>
    <w:rsid w:val="00AE02E3"/>
    <w:rsid w:val="00AE7340"/>
    <w:rsid w:val="00AF1BBD"/>
    <w:rsid w:val="00B10207"/>
    <w:rsid w:val="00B141E7"/>
    <w:rsid w:val="00B34DF6"/>
    <w:rsid w:val="00B351B4"/>
    <w:rsid w:val="00B46BCA"/>
    <w:rsid w:val="00B478AA"/>
    <w:rsid w:val="00B87806"/>
    <w:rsid w:val="00B87EC9"/>
    <w:rsid w:val="00BC38FD"/>
    <w:rsid w:val="00C034CB"/>
    <w:rsid w:val="00C051A8"/>
    <w:rsid w:val="00C054BC"/>
    <w:rsid w:val="00C17897"/>
    <w:rsid w:val="00C2565E"/>
    <w:rsid w:val="00C409D5"/>
    <w:rsid w:val="00C435C3"/>
    <w:rsid w:val="00C44E5F"/>
    <w:rsid w:val="00C51450"/>
    <w:rsid w:val="00C51B7C"/>
    <w:rsid w:val="00C6234B"/>
    <w:rsid w:val="00C63EAE"/>
    <w:rsid w:val="00C73260"/>
    <w:rsid w:val="00C7629F"/>
    <w:rsid w:val="00C83621"/>
    <w:rsid w:val="00C8661B"/>
    <w:rsid w:val="00CA03C8"/>
    <w:rsid w:val="00CA139A"/>
    <w:rsid w:val="00CA2899"/>
    <w:rsid w:val="00CA3A3D"/>
    <w:rsid w:val="00CA3AA6"/>
    <w:rsid w:val="00CA77FB"/>
    <w:rsid w:val="00CB379B"/>
    <w:rsid w:val="00CB5DD0"/>
    <w:rsid w:val="00CC51D4"/>
    <w:rsid w:val="00CC65DA"/>
    <w:rsid w:val="00CC7485"/>
    <w:rsid w:val="00CD6A21"/>
    <w:rsid w:val="00CF21B9"/>
    <w:rsid w:val="00CF6BF9"/>
    <w:rsid w:val="00D03800"/>
    <w:rsid w:val="00D065D3"/>
    <w:rsid w:val="00D14C94"/>
    <w:rsid w:val="00D342A6"/>
    <w:rsid w:val="00D37DF3"/>
    <w:rsid w:val="00D45CA6"/>
    <w:rsid w:val="00D464BF"/>
    <w:rsid w:val="00D53E26"/>
    <w:rsid w:val="00D568B2"/>
    <w:rsid w:val="00D65433"/>
    <w:rsid w:val="00D83F43"/>
    <w:rsid w:val="00DA5AC1"/>
    <w:rsid w:val="00DB182C"/>
    <w:rsid w:val="00DC18F9"/>
    <w:rsid w:val="00DC5D2C"/>
    <w:rsid w:val="00DD4F0E"/>
    <w:rsid w:val="00DF0BF0"/>
    <w:rsid w:val="00DF16F5"/>
    <w:rsid w:val="00DF3CA2"/>
    <w:rsid w:val="00DF753F"/>
    <w:rsid w:val="00E01463"/>
    <w:rsid w:val="00E04F22"/>
    <w:rsid w:val="00E05E0A"/>
    <w:rsid w:val="00E060BE"/>
    <w:rsid w:val="00E06C4F"/>
    <w:rsid w:val="00E534CF"/>
    <w:rsid w:val="00E63920"/>
    <w:rsid w:val="00E81CB4"/>
    <w:rsid w:val="00E8585B"/>
    <w:rsid w:val="00E87F41"/>
    <w:rsid w:val="00EA3825"/>
    <w:rsid w:val="00EA3F15"/>
    <w:rsid w:val="00EA7847"/>
    <w:rsid w:val="00EB3525"/>
    <w:rsid w:val="00EB4C2F"/>
    <w:rsid w:val="00EB77AF"/>
    <w:rsid w:val="00EE2E6E"/>
    <w:rsid w:val="00EF282E"/>
    <w:rsid w:val="00F0759E"/>
    <w:rsid w:val="00F16A43"/>
    <w:rsid w:val="00F20E57"/>
    <w:rsid w:val="00F40E7E"/>
    <w:rsid w:val="00F46780"/>
    <w:rsid w:val="00F50D7E"/>
    <w:rsid w:val="00F55DB1"/>
    <w:rsid w:val="00F72898"/>
    <w:rsid w:val="00F7630E"/>
    <w:rsid w:val="00F77D2D"/>
    <w:rsid w:val="00F821A3"/>
    <w:rsid w:val="00F9314A"/>
    <w:rsid w:val="00F940B2"/>
    <w:rsid w:val="00FC58EF"/>
    <w:rsid w:val="00FD33DF"/>
    <w:rsid w:val="00FD6B2A"/>
    <w:rsid w:val="00FE39D7"/>
    <w:rsid w:val="23FA67DF"/>
    <w:rsid w:val="27BAEF40"/>
    <w:rsid w:val="62B20EEA"/>
    <w:rsid w:val="685B52DF"/>
    <w:rsid w:val="6F3C7BEF"/>
    <w:rsid w:val="71477820"/>
    <w:rsid w:val="7455D88F"/>
    <w:rsid w:val="74788156"/>
    <w:rsid w:val="768FD7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Textocomentario">
    <w:name w:val="annotation text"/>
    <w:basedOn w:val="Normal"/>
    <w:link w:val="TextocomentarioCar"/>
    <w:uiPriority w:val="99"/>
    <w:unhideWhenUsed/>
    <w:rsid w:val="00634733"/>
    <w:rPr>
      <w:sz w:val="20"/>
      <w:szCs w:val="20"/>
    </w:rPr>
  </w:style>
  <w:style w:type="character" w:customStyle="1" w:styleId="TextocomentarioCar">
    <w:name w:val="Texto comentario Car"/>
    <w:basedOn w:val="Fuentedeprrafopredeter"/>
    <w:link w:val="Textocomentario"/>
    <w:uiPriority w:val="99"/>
    <w:rsid w:val="00634733"/>
    <w:rPr>
      <w:lang w:val="es-ES" w:eastAsia="es-ES"/>
    </w:rPr>
  </w:style>
  <w:style w:type="character" w:styleId="Refdecomentario">
    <w:name w:val="annotation reference"/>
    <w:basedOn w:val="Fuentedeprrafopredeter"/>
    <w:uiPriority w:val="99"/>
    <w:semiHidden/>
    <w:unhideWhenUsed/>
    <w:rsid w:val="00634733"/>
    <w:rPr>
      <w:sz w:val="16"/>
      <w:szCs w:val="16"/>
    </w:rPr>
  </w:style>
  <w:style w:type="paragraph" w:styleId="Asuntodelcomentario">
    <w:name w:val="annotation subject"/>
    <w:basedOn w:val="Textocomentario"/>
    <w:next w:val="Textocomentario"/>
    <w:link w:val="AsuntodelcomentarioCar"/>
    <w:uiPriority w:val="99"/>
    <w:semiHidden/>
    <w:unhideWhenUsed/>
    <w:rsid w:val="00F72898"/>
    <w:rPr>
      <w:b/>
      <w:bCs/>
    </w:rPr>
  </w:style>
  <w:style w:type="character" w:customStyle="1" w:styleId="AsuntodelcomentarioCar">
    <w:name w:val="Asunto del comentario Car"/>
    <w:basedOn w:val="TextocomentarioCar"/>
    <w:link w:val="Asuntodelcomentario"/>
    <w:uiPriority w:val="99"/>
    <w:semiHidden/>
    <w:rsid w:val="00F72898"/>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6EED8-1DA3-4433-8152-EDF631FEB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2BD0E-ED20-4BEA-B1D4-32D0D2516684}">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C9EF899B-7A4B-4B46-BDB2-E5C583F74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47</TotalTime>
  <Pages>1</Pages>
  <Words>1652</Words>
  <Characters>9087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29</cp:revision>
  <cp:lastPrinted>2024-11-08T14:50:00Z</cp:lastPrinted>
  <dcterms:created xsi:type="dcterms:W3CDTF">2024-11-05T14:37:00Z</dcterms:created>
  <dcterms:modified xsi:type="dcterms:W3CDTF">2024-11-08T14:50:00Z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