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BBDF" w14:textId="6B07AD51" w:rsidR="00CA77FB" w:rsidRPr="006B671F" w:rsidRDefault="00000000" w:rsidP="00470705">
      <w:pPr>
        <w:pStyle w:val="Encabezado"/>
        <w:tabs>
          <w:tab w:val="clear" w:pos="8504"/>
          <w:tab w:val="left" w:pos="0"/>
          <w:tab w:val="right" w:pos="9356"/>
        </w:tabs>
        <w:spacing w:before="100" w:beforeAutospacing="1" w:after="100" w:afterAutospacing="1"/>
        <w:ind w:left="4252" w:hanging="4252"/>
        <w:jc w:val="center"/>
        <w:rPr>
          <w:rFonts w:ascii="Bookman Old Style" w:hAnsi="Bookman Old Style"/>
          <w:b/>
          <w:bCs/>
          <w:szCs w:val="24"/>
        </w:rPr>
      </w:pPr>
      <w:r>
        <w:rPr>
          <w:rFonts w:ascii="Bookman Old Style" w:hAnsi="Bookman Old Style"/>
          <w:noProof/>
          <w:szCs w:val="24"/>
        </w:rPr>
        <w:object w:dxaOrig="1440" w:dyaOrig="1440" w14:anchorId="70CA2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7.35pt;margin-top:-42.15pt;width:52.5pt;height:48.75pt;z-index:251658240;mso-wrap-edited:f" fillcolor="#0c9">
            <v:imagedata r:id="rId11" o:title=""/>
          </v:shape>
          <o:OLEObject Type="Embed" ProgID="PBrush" ShapeID="_x0000_s2050" DrawAspect="Content" ObjectID="_1800431421" r:id="rId12"/>
        </w:object>
      </w:r>
      <w:r w:rsidR="00CA77FB" w:rsidRPr="006B671F">
        <w:rPr>
          <w:rFonts w:ascii="Bookman Old Style" w:hAnsi="Bookman Old Style"/>
          <w:bCs/>
          <w:szCs w:val="24"/>
        </w:rPr>
        <w:t>Ministerio de Minas y Energía</w:t>
      </w:r>
    </w:p>
    <w:p w14:paraId="39C03CFE" w14:textId="4058BCC8" w:rsidR="00CA77FB" w:rsidRPr="006B671F" w:rsidRDefault="00837FD6" w:rsidP="00470705">
      <w:pPr>
        <w:pStyle w:val="Ttulo3"/>
        <w:tabs>
          <w:tab w:val="left" w:pos="0"/>
          <w:tab w:val="right" w:pos="9356"/>
        </w:tabs>
        <w:spacing w:before="100" w:beforeAutospacing="1" w:after="100" w:afterAutospacing="1"/>
        <w:rPr>
          <w:rFonts w:ascii="Bookman Old Style" w:hAnsi="Bookman Old Style" w:cs="Arial"/>
          <w:spacing w:val="20"/>
          <w:szCs w:val="24"/>
          <w:lang w:val="es-CO"/>
        </w:rPr>
      </w:pPr>
      <w:r>
        <w:rPr>
          <w:rFonts w:ascii="Bookman Old Style" w:hAnsi="Bookman Old Style" w:cs="Arial"/>
          <w:spacing w:val="20"/>
          <w:szCs w:val="24"/>
          <w:lang w:val="es-CO"/>
        </w:rPr>
        <w:t>COMISIÓN</w:t>
      </w:r>
      <w:r w:rsidR="00CA77FB" w:rsidRPr="006B671F">
        <w:rPr>
          <w:rFonts w:ascii="Bookman Old Style" w:hAnsi="Bookman Old Style" w:cs="Arial"/>
          <w:spacing w:val="20"/>
          <w:szCs w:val="24"/>
          <w:lang w:val="es-CO"/>
        </w:rPr>
        <w:t xml:space="preserve"> DE REGULACIÓN DE ENERGÍA Y GAS</w:t>
      </w:r>
    </w:p>
    <w:p w14:paraId="3BB7503D" w14:textId="77777777" w:rsidR="00921F0F" w:rsidRDefault="00921F0F" w:rsidP="00470705">
      <w:pPr>
        <w:pStyle w:val="Ttulo5"/>
        <w:tabs>
          <w:tab w:val="left" w:pos="0"/>
          <w:tab w:val="right" w:pos="9356"/>
        </w:tabs>
        <w:spacing w:before="100" w:beforeAutospacing="1" w:after="100" w:afterAutospacing="1"/>
        <w:rPr>
          <w:rFonts w:ascii="Bookman Old Style" w:hAnsi="Bookman Old Style"/>
          <w:sz w:val="32"/>
          <w:szCs w:val="32"/>
          <w:lang w:val="es-CO"/>
        </w:rPr>
      </w:pPr>
    </w:p>
    <w:p w14:paraId="1EF0B417" w14:textId="01474760" w:rsidR="00CA77FB" w:rsidRPr="00C71147" w:rsidRDefault="00CA77FB" w:rsidP="00470705">
      <w:pPr>
        <w:pStyle w:val="Ttulo5"/>
        <w:tabs>
          <w:tab w:val="left" w:pos="0"/>
          <w:tab w:val="right" w:pos="9356"/>
        </w:tabs>
        <w:spacing w:before="100" w:beforeAutospacing="1" w:after="100" w:afterAutospacing="1"/>
        <w:rPr>
          <w:rFonts w:ascii="Bookman Old Style" w:hAnsi="Bookman Old Style"/>
          <w:sz w:val="32"/>
          <w:szCs w:val="32"/>
          <w:lang w:val="es-CO"/>
        </w:rPr>
      </w:pPr>
      <w:r w:rsidRPr="00A96464">
        <w:rPr>
          <w:rFonts w:ascii="Bookman Old Style" w:hAnsi="Bookman Old Style"/>
          <w:sz w:val="32"/>
          <w:szCs w:val="32"/>
          <w:lang w:val="es-CO"/>
        </w:rPr>
        <w:t xml:space="preserve">RESOLUCIÓN No. </w:t>
      </w:r>
      <w:r w:rsidR="00C71147" w:rsidRPr="00C71147">
        <w:rPr>
          <w:rFonts w:ascii="Bookman Old Style" w:hAnsi="Bookman Old Style"/>
          <w:sz w:val="32"/>
          <w:szCs w:val="32"/>
          <w:lang w:val="es-CO"/>
        </w:rPr>
        <w:t>501 11</w:t>
      </w:r>
      <w:r w:rsidR="00966D7C">
        <w:rPr>
          <w:rFonts w:ascii="Bookman Old Style" w:hAnsi="Bookman Old Style"/>
          <w:sz w:val="32"/>
          <w:szCs w:val="32"/>
          <w:lang w:val="es-CO"/>
        </w:rPr>
        <w:t>3</w:t>
      </w:r>
      <w:r w:rsidR="00C71147" w:rsidRPr="00C71147">
        <w:rPr>
          <w:rFonts w:ascii="Bookman Old Style" w:hAnsi="Bookman Old Style"/>
          <w:sz w:val="32"/>
          <w:szCs w:val="32"/>
          <w:lang w:val="es-CO"/>
        </w:rPr>
        <w:t xml:space="preserve"> </w:t>
      </w:r>
      <w:r w:rsidRPr="00C71147">
        <w:rPr>
          <w:rFonts w:ascii="Bookman Old Style" w:hAnsi="Bookman Old Style"/>
          <w:sz w:val="32"/>
          <w:szCs w:val="32"/>
          <w:lang w:val="es-CO"/>
        </w:rPr>
        <w:t xml:space="preserve">DE </w:t>
      </w:r>
      <w:r w:rsidRPr="00C11F0E">
        <w:rPr>
          <w:rFonts w:ascii="Bookman Old Style" w:hAnsi="Bookman Old Style"/>
          <w:sz w:val="32"/>
          <w:szCs w:val="32"/>
          <w:lang w:val="es-CO"/>
        </w:rPr>
        <w:t>20</w:t>
      </w:r>
      <w:r w:rsidR="007359D7" w:rsidRPr="00C11F0E">
        <w:rPr>
          <w:rFonts w:ascii="Bookman Old Style" w:hAnsi="Bookman Old Style"/>
          <w:sz w:val="32"/>
          <w:szCs w:val="32"/>
          <w:lang w:val="es-CO"/>
        </w:rPr>
        <w:t>2</w:t>
      </w:r>
      <w:r w:rsidR="008B7D90" w:rsidRPr="00C11F0E">
        <w:rPr>
          <w:rFonts w:ascii="Bookman Old Style" w:hAnsi="Bookman Old Style"/>
          <w:sz w:val="32"/>
          <w:szCs w:val="32"/>
          <w:lang w:val="es-CO"/>
        </w:rPr>
        <w:t>4</w:t>
      </w:r>
    </w:p>
    <w:p w14:paraId="1339ABB4" w14:textId="193E3E63" w:rsidR="00CA77FB" w:rsidRPr="00C71147" w:rsidRDefault="00CA77FB" w:rsidP="00470705">
      <w:pPr>
        <w:pStyle w:val="Ttulo3"/>
        <w:tabs>
          <w:tab w:val="left" w:pos="0"/>
          <w:tab w:val="right" w:pos="9356"/>
        </w:tabs>
        <w:spacing w:before="100" w:beforeAutospacing="1" w:after="100" w:afterAutospacing="1"/>
        <w:rPr>
          <w:rFonts w:ascii="Bookman Old Style" w:hAnsi="Bookman Old Style"/>
          <w:b w:val="0"/>
          <w:szCs w:val="24"/>
          <w:lang w:val="es-CO"/>
        </w:rPr>
      </w:pPr>
      <w:r w:rsidRPr="00C71147">
        <w:rPr>
          <w:rFonts w:ascii="Bookman Old Style" w:hAnsi="Bookman Old Style"/>
          <w:bCs/>
          <w:szCs w:val="24"/>
          <w:lang w:val="es-CO"/>
        </w:rPr>
        <w:t>(</w:t>
      </w:r>
      <w:r w:rsidR="002B7452" w:rsidRPr="00C11F0E">
        <w:rPr>
          <w:rFonts w:ascii="Bookman Old Style" w:hAnsi="Bookman Old Style"/>
          <w:bCs/>
          <w:szCs w:val="24"/>
          <w:lang w:val="es-CO"/>
        </w:rPr>
        <w:t>10</w:t>
      </w:r>
      <w:r w:rsidR="004431DE">
        <w:rPr>
          <w:rFonts w:ascii="Bookman Old Style" w:hAnsi="Bookman Old Style"/>
          <w:bCs/>
          <w:szCs w:val="24"/>
          <w:lang w:val="es-CO"/>
        </w:rPr>
        <w:t xml:space="preserve"> </w:t>
      </w:r>
      <w:r w:rsidR="002B7452" w:rsidRPr="00C11F0E">
        <w:rPr>
          <w:rFonts w:ascii="Bookman Old Style" w:hAnsi="Bookman Old Style"/>
          <w:bCs/>
          <w:szCs w:val="24"/>
          <w:lang w:val="es-CO"/>
        </w:rPr>
        <w:t>OCT</w:t>
      </w:r>
      <w:r w:rsidR="007359D7" w:rsidRPr="00C11F0E">
        <w:rPr>
          <w:rFonts w:ascii="Bookman Old Style" w:hAnsi="Bookman Old Style"/>
          <w:bCs/>
          <w:szCs w:val="24"/>
          <w:lang w:val="es-CO"/>
        </w:rPr>
        <w:t>.202</w:t>
      </w:r>
      <w:r w:rsidR="008B7D90" w:rsidRPr="00C11F0E">
        <w:rPr>
          <w:rFonts w:ascii="Bookman Old Style" w:hAnsi="Bookman Old Style"/>
          <w:bCs/>
          <w:szCs w:val="24"/>
          <w:lang w:val="es-CO"/>
        </w:rPr>
        <w:t>4</w:t>
      </w:r>
      <w:r w:rsidRPr="00C71147">
        <w:rPr>
          <w:rFonts w:ascii="Bookman Old Style" w:hAnsi="Bookman Old Style"/>
          <w:bCs/>
          <w:szCs w:val="24"/>
          <w:lang w:val="es-CO"/>
        </w:rPr>
        <w:t>)</w:t>
      </w:r>
    </w:p>
    <w:p w14:paraId="267CC799" w14:textId="44D22B51" w:rsidR="00D76752" w:rsidRPr="006B671F" w:rsidRDefault="5C8210DD" w:rsidP="00470705">
      <w:pPr>
        <w:spacing w:before="100" w:beforeAutospacing="1" w:after="100" w:afterAutospacing="1"/>
        <w:jc w:val="center"/>
      </w:pPr>
      <w:r w:rsidRPr="006B671F">
        <w:t xml:space="preserve">Por la cual se </w:t>
      </w:r>
      <w:r w:rsidR="469DC7C7" w:rsidRPr="006B671F">
        <w:t xml:space="preserve">resuelve el recurso de reposición interpuesto </w:t>
      </w:r>
      <w:r w:rsidR="623F2EBB" w:rsidRPr="006B671F">
        <w:t>por</w:t>
      </w:r>
      <w:r w:rsidR="00D851A4" w:rsidRPr="006B671F">
        <w:t xml:space="preserve"> </w:t>
      </w:r>
      <w:r w:rsidR="009E3840" w:rsidRPr="006B671F">
        <w:t>CELSIA COLOMBIA S.A. E.S.P.</w:t>
      </w:r>
      <w:r w:rsidR="00B47458">
        <w:t xml:space="preserve">, </w:t>
      </w:r>
      <w:r w:rsidR="00347CF5">
        <w:t>que atiende el mercado de comercialización del Tolima</w:t>
      </w:r>
      <w:r w:rsidR="00C40E4B">
        <w:t>,</w:t>
      </w:r>
      <w:r w:rsidR="00D851A4" w:rsidRPr="006B671F">
        <w:t xml:space="preserve"> </w:t>
      </w:r>
      <w:r w:rsidR="469DC7C7" w:rsidRPr="006B671F">
        <w:t xml:space="preserve">contra la </w:t>
      </w:r>
      <w:r w:rsidR="304A0365" w:rsidRPr="006B671F">
        <w:t xml:space="preserve">Resolución </w:t>
      </w:r>
      <w:r w:rsidR="00A1450F" w:rsidRPr="006B671F">
        <w:t>CREG 501 04</w:t>
      </w:r>
      <w:r w:rsidR="00FD7DED" w:rsidRPr="006B671F">
        <w:t>1</w:t>
      </w:r>
      <w:r w:rsidR="00A1450F" w:rsidRPr="006B671F">
        <w:t xml:space="preserve"> de 2024</w:t>
      </w:r>
    </w:p>
    <w:p w14:paraId="1C01FCB2" w14:textId="1E666170" w:rsidR="00045D3D" w:rsidRPr="006B671F" w:rsidRDefault="00045D3D" w:rsidP="00470705">
      <w:pPr>
        <w:spacing w:before="100" w:beforeAutospacing="1" w:after="100" w:afterAutospacing="1"/>
        <w:ind w:right="51"/>
        <w:jc w:val="center"/>
        <w:rPr>
          <w:b/>
        </w:rPr>
      </w:pPr>
      <w:r w:rsidRPr="006B671F">
        <w:rPr>
          <w:b/>
        </w:rPr>
        <w:t xml:space="preserve">LA </w:t>
      </w:r>
      <w:r w:rsidR="00837FD6">
        <w:rPr>
          <w:b/>
        </w:rPr>
        <w:t>COMISIÓN</w:t>
      </w:r>
      <w:r w:rsidRPr="006B671F">
        <w:rPr>
          <w:b/>
        </w:rPr>
        <w:t xml:space="preserve"> DE REGULACIÓN </w:t>
      </w:r>
      <w:r w:rsidR="00A06C25" w:rsidRPr="006B671F">
        <w:rPr>
          <w:b/>
        </w:rPr>
        <w:t>DE ENERGÍA</w:t>
      </w:r>
      <w:r w:rsidRPr="006B671F">
        <w:rPr>
          <w:b/>
        </w:rPr>
        <w:t xml:space="preserve"> Y GAS</w:t>
      </w:r>
    </w:p>
    <w:p w14:paraId="1347F06A" w14:textId="77777777" w:rsidR="00045D3D" w:rsidRPr="006B671F" w:rsidRDefault="009A0748" w:rsidP="00470705">
      <w:pPr>
        <w:spacing w:before="100" w:beforeAutospacing="1" w:after="100" w:afterAutospacing="1"/>
        <w:jc w:val="center"/>
      </w:pPr>
      <w:r w:rsidRPr="006B671F">
        <w:t>En ejercicio de sus atribuciones constitucionales y legales, en especial las conferidas por las Leyes 142 y 143 de 1994, y en desarrollo de los Decretos 1524, 2253 de 1994, 2696 de 2004 y 1260 de 2013.</w:t>
      </w:r>
    </w:p>
    <w:p w14:paraId="49DECB61" w14:textId="77777777" w:rsidR="00045D3D" w:rsidRPr="006B671F" w:rsidRDefault="00955F64" w:rsidP="00470705">
      <w:pPr>
        <w:suppressAutoHyphens/>
        <w:spacing w:before="100" w:beforeAutospacing="1" w:after="100" w:afterAutospacing="1"/>
        <w:jc w:val="center"/>
        <w:rPr>
          <w:b/>
        </w:rPr>
      </w:pPr>
      <w:r w:rsidRPr="006B671F">
        <w:rPr>
          <w:b/>
        </w:rPr>
        <w:t>C</w:t>
      </w:r>
      <w:r w:rsidR="00045D3D" w:rsidRPr="006B671F">
        <w:rPr>
          <w:b/>
        </w:rPr>
        <w:t>ONSIDERAND</w:t>
      </w:r>
      <w:r w:rsidR="00A06C25" w:rsidRPr="006B671F">
        <w:rPr>
          <w:b/>
        </w:rPr>
        <w:t>O</w:t>
      </w:r>
      <w:r w:rsidRPr="006B671F">
        <w:rPr>
          <w:b/>
        </w:rPr>
        <w:t xml:space="preserve"> </w:t>
      </w:r>
      <w:r w:rsidR="00A06C25" w:rsidRPr="006B671F">
        <w:rPr>
          <w:b/>
        </w:rPr>
        <w:t>Q</w:t>
      </w:r>
      <w:r w:rsidR="00045D3D" w:rsidRPr="006B671F">
        <w:rPr>
          <w:b/>
        </w:rPr>
        <w:t>UE:</w:t>
      </w:r>
    </w:p>
    <w:p w14:paraId="2738E1B7" w14:textId="486A440A" w:rsidR="004C75F9" w:rsidRDefault="004C75F9" w:rsidP="00470705">
      <w:pPr>
        <w:spacing w:before="100" w:beforeAutospacing="1" w:after="100" w:afterAutospacing="1"/>
      </w:pPr>
      <w:r w:rsidRPr="007B31D1">
        <w:t xml:space="preserve">De acuerdo con lo previsto en el literal d) del artículo 23, y el artículo 41, ambos </w:t>
      </w:r>
      <w:r w:rsidRPr="007B31D1">
        <w:br/>
        <w:t xml:space="preserve">de la Ley 143 de 1994, es función de la </w:t>
      </w:r>
      <w:r w:rsidR="006C4AB6">
        <w:t>Comisión</w:t>
      </w:r>
      <w:r w:rsidR="006C4AB6" w:rsidRPr="007B31D1">
        <w:t xml:space="preserve"> de </w:t>
      </w:r>
      <w:r w:rsidR="006C4AB6">
        <w:t>R</w:t>
      </w:r>
      <w:r w:rsidR="006C4AB6" w:rsidRPr="007B31D1">
        <w:t xml:space="preserve">egulación de </w:t>
      </w:r>
      <w:r w:rsidR="00470705">
        <w:t>E</w:t>
      </w:r>
      <w:r w:rsidR="006C4AB6" w:rsidRPr="007B31D1">
        <w:t xml:space="preserve">nergía y </w:t>
      </w:r>
      <w:r w:rsidR="00470705">
        <w:t>G</w:t>
      </w:r>
      <w:r w:rsidR="006C4AB6" w:rsidRPr="007B31D1">
        <w:t>as</w:t>
      </w:r>
      <w:r w:rsidRPr="007B31D1">
        <w:t>, CREG, fijar las tarifas por el acceso y uso de las redes</w:t>
      </w:r>
      <w:r>
        <w:t xml:space="preserve"> </w:t>
      </w:r>
      <w:r w:rsidRPr="007B31D1">
        <w:t>eléctricas.</w:t>
      </w:r>
    </w:p>
    <w:p w14:paraId="4C37EE57" w14:textId="2CC799E0" w:rsidR="004C75F9" w:rsidRDefault="004C75F9" w:rsidP="00470705">
      <w:pPr>
        <w:spacing w:before="100" w:beforeAutospacing="1" w:after="100" w:afterAutospacing="1"/>
      </w:pPr>
      <w:r w:rsidRPr="007B31D1">
        <w:t xml:space="preserve">Mediante la Resolución CREG 015 de 2018, publicada en el </w:t>
      </w:r>
      <w:r w:rsidRPr="00470705">
        <w:rPr>
          <w:i/>
          <w:iCs/>
        </w:rPr>
        <w:t>Diario Oficial</w:t>
      </w:r>
      <w:r w:rsidRPr="007B31D1">
        <w:t xml:space="preserve"> del 3 </w:t>
      </w:r>
      <w:r w:rsidRPr="007B31D1">
        <w:br/>
        <w:t xml:space="preserve">de febrero de 2018, se expidió la metodología para la remuneración de la </w:t>
      </w:r>
      <w:r w:rsidRPr="007B31D1">
        <w:br/>
        <w:t>actividad de distribución de energía eléctrica en el Sistema</w:t>
      </w:r>
      <w:r>
        <w:t xml:space="preserve"> </w:t>
      </w:r>
      <w:r w:rsidRPr="007B31D1">
        <w:t xml:space="preserve">Interconectado </w:t>
      </w:r>
      <w:r w:rsidRPr="007B31D1">
        <w:br/>
        <w:t xml:space="preserve">Nacional, SIN, la cual fue aclarada, modificada y complementada por las </w:t>
      </w:r>
      <w:r w:rsidRPr="007B31D1">
        <w:br/>
        <w:t xml:space="preserve">Resoluciones CREG 085 de 2018, 036 y 199 de 2019, 167 y 195 de 2020, 222 </w:t>
      </w:r>
      <w:r w:rsidRPr="007B31D1">
        <w:br/>
        <w:t>de 2021, 101 009, 101 012, 101 022, 101 027 de 2022, 101 032 de 2022</w:t>
      </w:r>
      <w:r w:rsidR="00AD3C2E">
        <w:t>,</w:t>
      </w:r>
      <w:r w:rsidRPr="007B31D1">
        <w:t xml:space="preserve"> 101 </w:t>
      </w:r>
      <w:r w:rsidRPr="007B31D1">
        <w:br/>
        <w:t>019 de 2023</w:t>
      </w:r>
      <w:r w:rsidR="00AD3C2E">
        <w:t xml:space="preserve"> y</w:t>
      </w:r>
      <w:r w:rsidR="00AD3C2E" w:rsidRPr="00AB4375">
        <w:t> </w:t>
      </w:r>
      <w:r w:rsidR="00AD3C2E" w:rsidRPr="00F035FB">
        <w:t>101 050</w:t>
      </w:r>
      <w:r w:rsidR="00AD3C2E">
        <w:t xml:space="preserve"> de 2024</w:t>
      </w:r>
      <w:r w:rsidR="00AD3C2E" w:rsidRPr="007B31D1">
        <w:t>.</w:t>
      </w:r>
    </w:p>
    <w:p w14:paraId="7E20F88A" w14:textId="06154FF7" w:rsidR="00AA4200" w:rsidRDefault="00AA4200" w:rsidP="00470705">
      <w:pPr>
        <w:spacing w:before="100" w:beforeAutospacing="1" w:after="100" w:afterAutospacing="1"/>
        <w:rPr>
          <w:spacing w:val="-3"/>
        </w:rPr>
      </w:pPr>
      <w:r w:rsidRPr="007B7E4B">
        <w:rPr>
          <w:spacing w:val="-3"/>
        </w:rPr>
        <w:t xml:space="preserve">Mediante la Resolución CREG </w:t>
      </w:r>
      <w:r w:rsidR="0054335B">
        <w:rPr>
          <w:spacing w:val="-3"/>
        </w:rPr>
        <w:t>001</w:t>
      </w:r>
      <w:r>
        <w:rPr>
          <w:spacing w:val="-3"/>
        </w:rPr>
        <w:t xml:space="preserve"> de </w:t>
      </w:r>
      <w:r w:rsidR="0054335B">
        <w:rPr>
          <w:spacing w:val="-3"/>
        </w:rPr>
        <w:t>2020</w:t>
      </w:r>
      <w:r>
        <w:rPr>
          <w:spacing w:val="-3"/>
        </w:rPr>
        <w:t xml:space="preserve"> </w:t>
      </w:r>
      <w:r w:rsidRPr="00CF70BE">
        <w:t>se aprobaron las variables necesarias para calcular los ingresos y cargos asociados con</w:t>
      </w:r>
      <w:r w:rsidRPr="00D61A48">
        <w:t xml:space="preserve"> la actividad de distribución de energía eléctrica para el mercado de comercialización</w:t>
      </w:r>
      <w:r w:rsidR="00736832">
        <w:t xml:space="preserve"> del Tolima</w:t>
      </w:r>
      <w:r w:rsidRPr="00D61A48">
        <w:t xml:space="preserve"> atendido por</w:t>
      </w:r>
      <w:r w:rsidR="0079349B">
        <w:t xml:space="preserve"> CELSIA TOLIMA S.A. E.S.P.</w:t>
      </w:r>
      <w:r w:rsidRPr="00D61A48">
        <w:t xml:space="preserve"> </w:t>
      </w:r>
      <w:r w:rsidR="0079349B">
        <w:t xml:space="preserve">(Hoy </w:t>
      </w:r>
      <w:r w:rsidR="000A2208">
        <w:t>CELSIA COLOMBIA S.A. E.S.P.</w:t>
      </w:r>
      <w:r w:rsidR="0079349B">
        <w:t>)</w:t>
      </w:r>
      <w:r w:rsidR="009C19CF">
        <w:t>.</w:t>
      </w:r>
      <w:r>
        <w:rPr>
          <w:spacing w:val="-3"/>
        </w:rPr>
        <w:t xml:space="preserve"> El plan de inversiones inicialmente aprobado fue modificado para el periodo 2023-2027 mediante </w:t>
      </w:r>
      <w:r w:rsidRPr="007B7E4B">
        <w:rPr>
          <w:spacing w:val="-3"/>
        </w:rPr>
        <w:t xml:space="preserve">la Resolución CREG 501 </w:t>
      </w:r>
      <w:r w:rsidR="000A2208">
        <w:rPr>
          <w:spacing w:val="-3"/>
        </w:rPr>
        <w:t>041</w:t>
      </w:r>
      <w:r w:rsidRPr="007B7E4B">
        <w:rPr>
          <w:spacing w:val="-3"/>
        </w:rPr>
        <w:t xml:space="preserve"> de </w:t>
      </w:r>
      <w:r w:rsidR="000A2208">
        <w:rPr>
          <w:spacing w:val="-3"/>
        </w:rPr>
        <w:t>2024</w:t>
      </w:r>
      <w:r>
        <w:rPr>
          <w:spacing w:val="-3"/>
        </w:rPr>
        <w:t>.</w:t>
      </w:r>
    </w:p>
    <w:p w14:paraId="51EBC0F1" w14:textId="4D7680E7" w:rsidR="00AA4200" w:rsidRDefault="00AA4200" w:rsidP="00470705">
      <w:pPr>
        <w:spacing w:before="100" w:beforeAutospacing="1" w:after="100" w:afterAutospacing="1"/>
        <w:rPr>
          <w:color w:val="FF0000"/>
        </w:rPr>
      </w:pPr>
      <w:r w:rsidRPr="00D61A48">
        <w:rPr>
          <w:spacing w:val="-3"/>
        </w:rPr>
        <w:t>En el documento</w:t>
      </w:r>
      <w:r>
        <w:rPr>
          <w:spacing w:val="-3"/>
        </w:rPr>
        <w:t xml:space="preserve"> CREG</w:t>
      </w:r>
      <w:r w:rsidRPr="00D61A48">
        <w:rPr>
          <w:spacing w:val="-3"/>
        </w:rPr>
        <w:t xml:space="preserve"> </w:t>
      </w:r>
      <w:r>
        <w:rPr>
          <w:spacing w:val="-3"/>
        </w:rPr>
        <w:t>901 0</w:t>
      </w:r>
      <w:r w:rsidR="000A2208">
        <w:rPr>
          <w:spacing w:val="-3"/>
        </w:rPr>
        <w:t>79</w:t>
      </w:r>
      <w:r w:rsidRPr="284DF516">
        <w:rPr>
          <w:spacing w:val="-3"/>
        </w:rPr>
        <w:t xml:space="preserve"> de </w:t>
      </w:r>
      <w:r w:rsidR="000A2208">
        <w:rPr>
          <w:spacing w:val="-3"/>
        </w:rPr>
        <w:t>2024</w:t>
      </w:r>
      <w:r w:rsidRPr="284DF516">
        <w:rPr>
          <w:spacing w:val="-3"/>
        </w:rPr>
        <w:t xml:space="preserve"> s</w:t>
      </w:r>
      <w:r w:rsidRPr="00D61A48">
        <w:rPr>
          <w:spacing w:val="-3"/>
        </w:rPr>
        <w:t xml:space="preserve">e encuentra el soporte de la </w:t>
      </w:r>
      <w:r w:rsidRPr="00D61A48">
        <w:t xml:space="preserve">Resolución </w:t>
      </w:r>
      <w:r w:rsidRPr="00CF70BE">
        <w:t xml:space="preserve">CREG 501 </w:t>
      </w:r>
      <w:r w:rsidR="0079349B">
        <w:t>041</w:t>
      </w:r>
      <w:r w:rsidRPr="00CF70BE">
        <w:t xml:space="preserve"> de </w:t>
      </w:r>
      <w:r w:rsidR="0079349B">
        <w:t>2024</w:t>
      </w:r>
      <w:r w:rsidRPr="00D61A48">
        <w:rPr>
          <w:spacing w:val="-3"/>
        </w:rPr>
        <w:t xml:space="preserve">, donde se incluyen los criterios de revisión de la información, las bases de datos </w:t>
      </w:r>
      <w:r>
        <w:rPr>
          <w:spacing w:val="-3"/>
        </w:rPr>
        <w:t xml:space="preserve">utilizadas </w:t>
      </w:r>
      <w:r w:rsidRPr="00D61A48">
        <w:rPr>
          <w:spacing w:val="-3"/>
        </w:rPr>
        <w:t xml:space="preserve">y los cálculos </w:t>
      </w:r>
      <w:r>
        <w:rPr>
          <w:spacing w:val="-3"/>
        </w:rPr>
        <w:t xml:space="preserve">realizados </w:t>
      </w:r>
      <w:r w:rsidRPr="00D61A48">
        <w:rPr>
          <w:spacing w:val="-3"/>
        </w:rPr>
        <w:t xml:space="preserve">por la </w:t>
      </w:r>
      <w:r w:rsidR="00837FD6">
        <w:rPr>
          <w:spacing w:val="-3"/>
        </w:rPr>
        <w:t>Comisión</w:t>
      </w:r>
      <w:r w:rsidRPr="00D61A48">
        <w:rPr>
          <w:spacing w:val="-3"/>
        </w:rPr>
        <w:t xml:space="preserve"> para definir las variables aprobadas</w:t>
      </w:r>
      <w:r w:rsidRPr="00CF70BE">
        <w:t>.</w:t>
      </w:r>
      <w:r w:rsidRPr="00D61A48">
        <w:rPr>
          <w:color w:val="FF0000"/>
        </w:rPr>
        <w:t xml:space="preserve"> </w:t>
      </w:r>
    </w:p>
    <w:p w14:paraId="6EFBFB55" w14:textId="10587551" w:rsidR="006259EB" w:rsidRDefault="00B36490" w:rsidP="00470705">
      <w:pPr>
        <w:spacing w:before="100" w:beforeAutospacing="1" w:after="100" w:afterAutospacing="1"/>
      </w:pPr>
      <w:r w:rsidRPr="006B671F">
        <w:t xml:space="preserve">CELSIA COLOMBIA S.A. E.S.P., </w:t>
      </w:r>
      <w:r w:rsidR="469DC7C7" w:rsidRPr="006B671F">
        <w:t>mediante comunicación con radicado CREG</w:t>
      </w:r>
      <w:r w:rsidR="00B568ED" w:rsidRPr="006B671F">
        <w:t xml:space="preserve"> </w:t>
      </w:r>
      <w:r w:rsidR="00E22AD7" w:rsidRPr="006B671F">
        <w:t xml:space="preserve">E2024008581 </w:t>
      </w:r>
      <w:r w:rsidR="00DA1377" w:rsidRPr="006B671F">
        <w:t>del</w:t>
      </w:r>
      <w:r w:rsidR="00DA1377" w:rsidRPr="006B671F">
        <w:rPr>
          <w:color w:val="000000" w:themeColor="text1"/>
        </w:rPr>
        <w:t xml:space="preserve"> 2</w:t>
      </w:r>
      <w:r w:rsidR="00E22AD7" w:rsidRPr="006B671F">
        <w:rPr>
          <w:color w:val="000000" w:themeColor="text1"/>
        </w:rPr>
        <w:t>1</w:t>
      </w:r>
      <w:r w:rsidR="00DA1377" w:rsidRPr="006B671F">
        <w:rPr>
          <w:color w:val="000000" w:themeColor="text1"/>
        </w:rPr>
        <w:t xml:space="preserve"> de junio de 2024</w:t>
      </w:r>
      <w:r w:rsidR="6E35B3F0" w:rsidRPr="006B671F">
        <w:rPr>
          <w:color w:val="000000" w:themeColor="text1"/>
        </w:rPr>
        <w:t>,</w:t>
      </w:r>
      <w:r w:rsidR="469DC7C7" w:rsidRPr="006B671F">
        <w:rPr>
          <w:color w:val="000000" w:themeColor="text1"/>
        </w:rPr>
        <w:t xml:space="preserve"> presentó</w:t>
      </w:r>
      <w:r w:rsidR="469DC7C7" w:rsidRPr="006B671F">
        <w:t xml:space="preserve"> recurso de reposición contra la </w:t>
      </w:r>
      <w:r w:rsidR="4771F2F6" w:rsidRPr="006B671F">
        <w:t>R</w:t>
      </w:r>
      <w:r w:rsidR="469DC7C7" w:rsidRPr="006B671F">
        <w:t xml:space="preserve">esolución </w:t>
      </w:r>
      <w:r w:rsidR="00A1450F" w:rsidRPr="006B671F">
        <w:t>CREG 501 04</w:t>
      </w:r>
      <w:r w:rsidR="00E22AD7" w:rsidRPr="006B671F">
        <w:t>1</w:t>
      </w:r>
      <w:r w:rsidR="00A1450F" w:rsidRPr="006B671F">
        <w:t xml:space="preserve"> de 2024</w:t>
      </w:r>
      <w:r w:rsidR="56AD5906" w:rsidRPr="006B671F">
        <w:t>.</w:t>
      </w:r>
    </w:p>
    <w:p w14:paraId="6F2CB3DC" w14:textId="550BEB11" w:rsidR="00265553" w:rsidRDefault="00B13C0D" w:rsidP="00470705">
      <w:pPr>
        <w:spacing w:before="100" w:beforeAutospacing="1" w:after="100" w:afterAutospacing="1"/>
        <w:rPr>
          <w:spacing w:val="-3"/>
        </w:rPr>
      </w:pPr>
      <w:r w:rsidRPr="00265553">
        <w:rPr>
          <w:spacing w:val="-3"/>
        </w:rPr>
        <w:t xml:space="preserve">Mediante Auto 0000320 del 11 de septiembre de 2024 </w:t>
      </w:r>
      <w:r w:rsidR="00265553" w:rsidRPr="00265553">
        <w:rPr>
          <w:spacing w:val="-3"/>
        </w:rPr>
        <w:t xml:space="preserve">se decretó la práctica </w:t>
      </w:r>
      <w:r w:rsidR="00265553" w:rsidRPr="00265553">
        <w:rPr>
          <w:spacing w:val="-3"/>
        </w:rPr>
        <w:br/>
        <w:t xml:space="preserve">de pruebas consistente en la verificación de la información enviada a la CREG </w:t>
      </w:r>
      <w:r w:rsidR="00265553" w:rsidRPr="00265553">
        <w:rPr>
          <w:spacing w:val="-3"/>
        </w:rPr>
        <w:br/>
        <w:t>por CELSIA COLOMBIA S.A. E.S.P. con</w:t>
      </w:r>
      <w:r w:rsidR="00265553">
        <w:rPr>
          <w:spacing w:val="-3"/>
        </w:rPr>
        <w:t xml:space="preserve"> </w:t>
      </w:r>
      <w:r w:rsidR="00265553" w:rsidRPr="00265553">
        <w:rPr>
          <w:spacing w:val="-3"/>
        </w:rPr>
        <w:t xml:space="preserve">el fin de que la misma se encontrara </w:t>
      </w:r>
      <w:r w:rsidR="00265553" w:rsidRPr="00265553">
        <w:rPr>
          <w:spacing w:val="-3"/>
        </w:rPr>
        <w:br/>
        <w:t>acorde con los lineamientos requeridos para su análisis. El auto de pruebas se</w:t>
      </w:r>
      <w:r w:rsidR="00265553">
        <w:rPr>
          <w:spacing w:val="-3"/>
        </w:rPr>
        <w:t xml:space="preserve"> </w:t>
      </w:r>
      <w:r w:rsidR="00265553" w:rsidRPr="00265553">
        <w:rPr>
          <w:spacing w:val="-3"/>
        </w:rPr>
        <w:lastRenderedPageBreak/>
        <w:t>comunicó mediante radicado CREG</w:t>
      </w:r>
      <w:r w:rsidR="00265553">
        <w:rPr>
          <w:spacing w:val="-3"/>
        </w:rPr>
        <w:t xml:space="preserve"> </w:t>
      </w:r>
      <w:r w:rsidR="00445F1A" w:rsidRPr="00445F1A">
        <w:rPr>
          <w:spacing w:val="-3"/>
        </w:rPr>
        <w:t>S2024006083</w:t>
      </w:r>
      <w:r w:rsidR="00445F1A">
        <w:rPr>
          <w:spacing w:val="-3"/>
        </w:rPr>
        <w:t xml:space="preserve"> </w:t>
      </w:r>
      <w:r w:rsidR="00265553" w:rsidRPr="00265553">
        <w:rPr>
          <w:spacing w:val="-3"/>
        </w:rPr>
        <w:t xml:space="preserve">del </w:t>
      </w:r>
      <w:r w:rsidR="00445F1A">
        <w:rPr>
          <w:spacing w:val="-3"/>
        </w:rPr>
        <w:t>9</w:t>
      </w:r>
      <w:r w:rsidR="00265553" w:rsidRPr="00265553">
        <w:rPr>
          <w:spacing w:val="-3"/>
        </w:rPr>
        <w:t xml:space="preserve"> de septiembre de 202</w:t>
      </w:r>
      <w:r w:rsidR="00445F1A">
        <w:rPr>
          <w:spacing w:val="-3"/>
        </w:rPr>
        <w:t>4</w:t>
      </w:r>
      <w:r w:rsidR="00265553" w:rsidRPr="00265553">
        <w:rPr>
          <w:spacing w:val="-3"/>
        </w:rPr>
        <w:t>, según consta en el expediente digital.</w:t>
      </w:r>
    </w:p>
    <w:p w14:paraId="6EB90B44" w14:textId="4754A00A" w:rsidR="00A424E6" w:rsidRPr="006B671F" w:rsidRDefault="00265553" w:rsidP="00470705">
      <w:pPr>
        <w:spacing w:before="100" w:beforeAutospacing="1" w:after="100" w:afterAutospacing="1"/>
      </w:pPr>
      <w:r w:rsidRPr="00265553">
        <w:rPr>
          <w:spacing w:val="-3"/>
        </w:rPr>
        <w:t xml:space="preserve">CELSIA COLOMBIA S.A. E.S.P. mediante radicado CREG </w:t>
      </w:r>
      <w:r w:rsidRPr="00265553">
        <w:rPr>
          <w:spacing w:val="-3"/>
        </w:rPr>
        <w:br/>
      </w:r>
      <w:r w:rsidR="00E8757C" w:rsidRPr="00E8757C">
        <w:rPr>
          <w:spacing w:val="-3"/>
        </w:rPr>
        <w:t>E2024014346</w:t>
      </w:r>
      <w:r w:rsidR="00E8757C">
        <w:rPr>
          <w:spacing w:val="-3"/>
        </w:rPr>
        <w:t xml:space="preserve"> </w:t>
      </w:r>
      <w:r w:rsidRPr="00265553">
        <w:rPr>
          <w:spacing w:val="-3"/>
        </w:rPr>
        <w:t>del 1</w:t>
      </w:r>
      <w:r w:rsidR="00E8757C">
        <w:rPr>
          <w:spacing w:val="-3"/>
        </w:rPr>
        <w:t>6</w:t>
      </w:r>
      <w:r w:rsidRPr="00265553">
        <w:rPr>
          <w:spacing w:val="-3"/>
        </w:rPr>
        <w:t xml:space="preserve"> de septiembre de </w:t>
      </w:r>
      <w:r w:rsidR="00E8757C">
        <w:rPr>
          <w:spacing w:val="-3"/>
        </w:rPr>
        <w:t>2024</w:t>
      </w:r>
      <w:r w:rsidRPr="00265553">
        <w:rPr>
          <w:spacing w:val="-3"/>
        </w:rPr>
        <w:t xml:space="preserve">, remitió la información requerida </w:t>
      </w:r>
      <w:r w:rsidRPr="00265553">
        <w:rPr>
          <w:spacing w:val="-3"/>
        </w:rPr>
        <w:br/>
      </w:r>
      <w:r w:rsidR="00576EED">
        <w:rPr>
          <w:spacing w:val="-3"/>
        </w:rPr>
        <w:t>en</w:t>
      </w:r>
      <w:r w:rsidRPr="00265553">
        <w:rPr>
          <w:spacing w:val="-3"/>
        </w:rPr>
        <w:t xml:space="preserve"> el auto de pruebas.</w:t>
      </w:r>
    </w:p>
    <w:p w14:paraId="018464F9" w14:textId="0066E7CB" w:rsidR="00940768" w:rsidRPr="006B671F" w:rsidRDefault="00940768" w:rsidP="00470705">
      <w:pPr>
        <w:spacing w:before="100" w:beforeAutospacing="1" w:after="100" w:afterAutospacing="1"/>
      </w:pPr>
      <w:r w:rsidRPr="006B671F">
        <w:t xml:space="preserve">En </w:t>
      </w:r>
      <w:r w:rsidR="00763E9C">
        <w:t xml:space="preserve">el radicado CREG </w:t>
      </w:r>
      <w:r w:rsidR="00763E9C" w:rsidRPr="006B671F">
        <w:t>E2024008581</w:t>
      </w:r>
      <w:r w:rsidR="00763E9C">
        <w:t xml:space="preserve"> </w:t>
      </w:r>
      <w:r w:rsidR="00AD3C2E" w:rsidRPr="006B671F">
        <w:t>del</w:t>
      </w:r>
      <w:r w:rsidR="00AD3C2E" w:rsidRPr="006B671F">
        <w:rPr>
          <w:color w:val="000000" w:themeColor="text1"/>
        </w:rPr>
        <w:t xml:space="preserve"> 21 de junio de 2024</w:t>
      </w:r>
      <w:r w:rsidR="00AD3C2E">
        <w:rPr>
          <w:color w:val="000000" w:themeColor="text1"/>
        </w:rPr>
        <w:t xml:space="preserve"> </w:t>
      </w:r>
      <w:r w:rsidR="00E22AD7" w:rsidRPr="006B671F">
        <w:t>CELSIA COLOMBIA S.A. E.S.P.</w:t>
      </w:r>
      <w:r w:rsidR="003E6AD1" w:rsidRPr="006B671F">
        <w:t xml:space="preserve"> </w:t>
      </w:r>
      <w:r w:rsidR="001540AA" w:rsidRPr="006B671F">
        <w:t>expresa lo siguiente</w:t>
      </w:r>
      <w:r w:rsidR="000E5CC4" w:rsidRPr="006B671F">
        <w:t>:</w:t>
      </w:r>
    </w:p>
    <w:p w14:paraId="27C386CD" w14:textId="36CE1175" w:rsidR="00584EFA" w:rsidRPr="006B671F" w:rsidRDefault="009A5812" w:rsidP="00470705">
      <w:pPr>
        <w:spacing w:before="100" w:beforeAutospacing="1" w:after="100" w:afterAutospacing="1"/>
        <w:rPr>
          <w:i/>
          <w:iCs/>
        </w:rPr>
      </w:pPr>
      <w:r w:rsidRPr="006B671F">
        <w:rPr>
          <w:i/>
          <w:iCs/>
        </w:rPr>
        <w:t>(…)</w:t>
      </w:r>
    </w:p>
    <w:p w14:paraId="5EA6C975" w14:textId="2320B6C0" w:rsidR="006123DD" w:rsidRPr="006B671F" w:rsidRDefault="00A6330C"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b/>
          <w:bCs/>
          <w:i/>
          <w:iCs/>
          <w:sz w:val="20"/>
          <w:szCs w:val="20"/>
        </w:rPr>
        <w:t>JULIÁN DARÍO CADAVID VELÁSQUEZ</w:t>
      </w:r>
      <w:r w:rsidRPr="006B671F">
        <w:rPr>
          <w:rFonts w:eastAsia="Bookman Old Style" w:cs="Bookman Old Style"/>
          <w:i/>
          <w:iCs/>
          <w:sz w:val="20"/>
          <w:szCs w:val="20"/>
        </w:rPr>
        <w:t xml:space="preserve">, mayor de edad, identificado con la cédula de ciudadanía número 71.624.537, expedida en Medellín, actuando en calidad de Representante Legal de </w:t>
      </w:r>
      <w:r w:rsidRPr="006B671F">
        <w:rPr>
          <w:rFonts w:eastAsia="Bookman Old Style" w:cs="Bookman Old Style"/>
          <w:b/>
          <w:bCs/>
          <w:i/>
          <w:iCs/>
          <w:sz w:val="20"/>
          <w:szCs w:val="20"/>
        </w:rPr>
        <w:t>CELSIA COLOMBIA S.A. E.S.P.</w:t>
      </w:r>
      <w:r w:rsidRPr="006B671F">
        <w:rPr>
          <w:rFonts w:eastAsia="Bookman Old Style" w:cs="Bookman Old Style"/>
          <w:i/>
          <w:iCs/>
          <w:sz w:val="20"/>
          <w:szCs w:val="20"/>
        </w:rPr>
        <w:t xml:space="preserve"> (en adelante CELSIA COLOMBIA), encontrándome dentro del término legal, respetuosamente mediante el presente documento me dirijo a ustedes, a fin de interponer </w:t>
      </w:r>
      <w:r w:rsidRPr="006B671F">
        <w:rPr>
          <w:rFonts w:eastAsia="Bookman Old Style" w:cs="Bookman Old Style"/>
          <w:b/>
          <w:bCs/>
          <w:i/>
          <w:iCs/>
          <w:sz w:val="20"/>
          <w:szCs w:val="20"/>
        </w:rPr>
        <w:t>RECURSO DE REPOSICIÓN</w:t>
      </w:r>
      <w:r w:rsidRPr="006B671F">
        <w:rPr>
          <w:rFonts w:eastAsia="Bookman Old Style" w:cs="Bookman Old Style"/>
          <w:i/>
          <w:iCs/>
          <w:sz w:val="20"/>
          <w:szCs w:val="20"/>
        </w:rPr>
        <w:t xml:space="preserve"> en contra del acto administrativo mediante el cual la CREG modifica el plan de inversiones del mercado de comercialización atendido por CELSIA COLOMBIA S.A. E.S.P. aprobado en la Resolución CREG 001 de 2020, Resolución No. 501 041 de 2024, con la finalidad de que se REVOQUE la mencionada decisión. Recurso que me permito sustentar con las siguientes consideraciones jurídicas:</w:t>
      </w:r>
    </w:p>
    <w:p w14:paraId="0541F47C" w14:textId="77777777" w:rsidR="009A5812" w:rsidRPr="006B671F" w:rsidRDefault="009A5812" w:rsidP="00470705">
      <w:pPr>
        <w:spacing w:before="100" w:beforeAutospacing="1" w:after="100" w:afterAutospacing="1"/>
        <w:rPr>
          <w:i/>
          <w:iCs/>
        </w:rPr>
      </w:pPr>
      <w:r w:rsidRPr="006B671F">
        <w:rPr>
          <w:i/>
          <w:iCs/>
        </w:rPr>
        <w:t>(…)</w:t>
      </w:r>
    </w:p>
    <w:p w14:paraId="05E73CB9" w14:textId="3B87F221" w:rsidR="008E3FB9" w:rsidRDefault="008E3FB9" w:rsidP="00470705">
      <w:pPr>
        <w:spacing w:before="100" w:beforeAutospacing="1" w:after="100" w:afterAutospacing="1"/>
        <w:rPr>
          <w:rFonts w:cs="Arial"/>
        </w:rPr>
      </w:pPr>
      <w:r>
        <w:rPr>
          <w:rFonts w:cs="Arial"/>
        </w:rPr>
        <w:t xml:space="preserve">Al respecto, el artículo 74 del </w:t>
      </w:r>
      <w:r w:rsidRPr="00B41733">
        <w:rPr>
          <w:rFonts w:cs="Arial"/>
        </w:rPr>
        <w:t xml:space="preserve">Código de Procedimiento Administrativo y de </w:t>
      </w:r>
      <w:r w:rsidRPr="00317927">
        <w:rPr>
          <w:rFonts w:cs="Arial"/>
        </w:rPr>
        <w:t>lo Contencioso Administrativo</w:t>
      </w:r>
      <w:r>
        <w:rPr>
          <w:rFonts w:cs="Arial"/>
        </w:rPr>
        <w:t xml:space="preserve"> establece qué recursos proceden contra los actos administrativos</w:t>
      </w:r>
      <w:r w:rsidR="00AD3C2E">
        <w:rPr>
          <w:rFonts w:cs="Arial"/>
        </w:rPr>
        <w:t>,</w:t>
      </w:r>
      <w:r>
        <w:rPr>
          <w:rFonts w:cs="Arial"/>
        </w:rPr>
        <w:t xml:space="preserve"> y en el numeral 1 dispone:</w:t>
      </w:r>
    </w:p>
    <w:p w14:paraId="30794503" w14:textId="4B774820" w:rsidR="008E3FB9" w:rsidRPr="008E3FB9" w:rsidRDefault="008E3FB9" w:rsidP="00470705">
      <w:pPr>
        <w:pStyle w:val="Prrafodelista"/>
        <w:numPr>
          <w:ilvl w:val="0"/>
          <w:numId w:val="9"/>
        </w:numPr>
        <w:spacing w:before="100" w:beforeAutospacing="1" w:after="100" w:afterAutospacing="1"/>
        <w:rPr>
          <w:rFonts w:cs="Arial"/>
          <w:i/>
          <w:iCs/>
        </w:rPr>
      </w:pPr>
      <w:r w:rsidRPr="008E3FB9">
        <w:rPr>
          <w:rFonts w:cs="Arial"/>
          <w:i/>
          <w:iCs/>
        </w:rPr>
        <w:t>El de reposición, ante quien expidió la decisión para que la aclare, modifique, adicione o revoque.</w:t>
      </w:r>
    </w:p>
    <w:p w14:paraId="1E270211" w14:textId="45C97A14" w:rsidR="0085730D" w:rsidRPr="006B671F" w:rsidRDefault="008E3FB9" w:rsidP="00470705">
      <w:pPr>
        <w:spacing w:before="100" w:beforeAutospacing="1" w:after="100" w:afterAutospacing="1"/>
        <w:rPr>
          <w:rFonts w:eastAsia="Bookman Old Style" w:cs="Bookman Old Style"/>
        </w:rPr>
      </w:pPr>
      <w:r>
        <w:rPr>
          <w:rFonts w:cs="Arial"/>
        </w:rPr>
        <w:t>Por su parte,</w:t>
      </w:r>
      <w:r w:rsidR="007B3B15" w:rsidRPr="00B41733">
        <w:rPr>
          <w:rFonts w:cs="Arial"/>
        </w:rPr>
        <w:t xml:space="preserve"> el artículo 93 del Código de Procedimiento Administrativo y de </w:t>
      </w:r>
      <w:r w:rsidR="007B3B15" w:rsidRPr="00317927">
        <w:rPr>
          <w:rFonts w:cs="Arial"/>
        </w:rPr>
        <w:t>lo Contencioso Administrativo consagra:</w:t>
      </w:r>
    </w:p>
    <w:p w14:paraId="5987185F" w14:textId="77777777" w:rsidR="0085730D" w:rsidRPr="006B671F" w:rsidRDefault="0085730D"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b/>
          <w:bCs/>
          <w:i/>
          <w:iCs/>
          <w:sz w:val="20"/>
          <w:szCs w:val="20"/>
        </w:rPr>
        <w:t>ARTÍCULO 93. Causales de revocación.</w:t>
      </w:r>
      <w:r w:rsidRPr="006B671F">
        <w:rPr>
          <w:rFonts w:eastAsia="Bookman Old Style" w:cs="Bookman Old Style"/>
          <w:i/>
          <w:iCs/>
          <w:sz w:val="20"/>
          <w:szCs w:val="20"/>
        </w:rPr>
        <w:t xml:space="preserve"> Los actos administrativos deberán ser revocados por las mismas autoridades que los hayan expedido o por sus inmediatos superiores jerárquicos o funcionales, de oficio o a solicitud de parte, en cualquiera de los siguientes casos:</w:t>
      </w:r>
    </w:p>
    <w:p w14:paraId="6A7D732A" w14:textId="77777777" w:rsidR="0085730D" w:rsidRPr="006B671F" w:rsidRDefault="0085730D"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 xml:space="preserve"> 1. Cuando sea manifiesta su oposición a la Constitución Política o a la ley.</w:t>
      </w:r>
    </w:p>
    <w:p w14:paraId="69B806FE" w14:textId="77777777" w:rsidR="0085730D" w:rsidRPr="006B671F" w:rsidRDefault="0085730D"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2. Cuando no estén conformes con el interés público o social, o atenten contra él.</w:t>
      </w:r>
    </w:p>
    <w:p w14:paraId="53F13E53" w14:textId="77777777" w:rsidR="0085730D" w:rsidRPr="006B671F" w:rsidRDefault="0085730D"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3. Cuando con ellos se cause agravio injustificado a una persona.</w:t>
      </w:r>
    </w:p>
    <w:p w14:paraId="3DCB6A0C" w14:textId="77777777" w:rsidR="002C2F66" w:rsidRPr="00B41733" w:rsidRDefault="002C2F66" w:rsidP="00470705">
      <w:pPr>
        <w:spacing w:before="100" w:beforeAutospacing="1" w:after="100" w:afterAutospacing="1"/>
        <w:rPr>
          <w:rFonts w:cs="Arial"/>
        </w:rPr>
      </w:pPr>
      <w:r w:rsidRPr="00B41733">
        <w:rPr>
          <w:rFonts w:cs="Arial"/>
        </w:rPr>
        <w:t>En tal sentido, la figura de la revocatoria directa sólo opera por las causales tax</w:t>
      </w:r>
      <w:r>
        <w:rPr>
          <w:rFonts w:cs="Arial"/>
        </w:rPr>
        <w:t>ativamente señaladas en la Ley.</w:t>
      </w:r>
    </w:p>
    <w:p w14:paraId="3FB0134B" w14:textId="51141BBE" w:rsidR="002C2F66" w:rsidRDefault="002C2F66" w:rsidP="00470705">
      <w:pPr>
        <w:spacing w:before="100" w:beforeAutospacing="1" w:after="100" w:afterAutospacing="1"/>
        <w:rPr>
          <w:rFonts w:cs="Arial"/>
        </w:rPr>
      </w:pPr>
      <w:r>
        <w:rPr>
          <w:rFonts w:cs="Arial"/>
        </w:rPr>
        <w:t xml:space="preserve">Adicionalmente, en cuanto a la improcedencia de la revocación directa de los actos administrativos, el Código </w:t>
      </w:r>
      <w:r w:rsidRPr="00B41733">
        <w:rPr>
          <w:rFonts w:cs="Arial"/>
        </w:rPr>
        <w:t>de Procedimiento Administrativo y de lo Conten</w:t>
      </w:r>
      <w:r>
        <w:rPr>
          <w:rFonts w:cs="Arial"/>
        </w:rPr>
        <w:t>cioso Administrativo señala:</w:t>
      </w:r>
    </w:p>
    <w:p w14:paraId="164E21AF" w14:textId="77777777" w:rsidR="002C2F66" w:rsidRPr="002C2F66" w:rsidRDefault="002C2F66" w:rsidP="00470705">
      <w:pPr>
        <w:spacing w:before="100" w:beforeAutospacing="1" w:after="100" w:afterAutospacing="1"/>
        <w:rPr>
          <w:rFonts w:eastAsia="Bookman Old Style" w:cs="Bookman Old Style"/>
          <w:sz w:val="20"/>
          <w:szCs w:val="20"/>
        </w:rPr>
      </w:pPr>
    </w:p>
    <w:p w14:paraId="7BD7D8E1" w14:textId="77777777" w:rsidR="0085730D" w:rsidRPr="006B671F" w:rsidRDefault="0085730D"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b/>
          <w:bCs/>
          <w:i/>
          <w:iCs/>
          <w:sz w:val="20"/>
          <w:szCs w:val="20"/>
        </w:rPr>
        <w:lastRenderedPageBreak/>
        <w:t>ARTÍCULO 94. Improcedencia</w:t>
      </w:r>
      <w:r w:rsidRPr="006B671F">
        <w:rPr>
          <w:rFonts w:eastAsia="Bookman Old Style" w:cs="Bookman Old Style"/>
          <w:i/>
          <w:iCs/>
          <w:sz w:val="20"/>
          <w:szCs w:val="20"/>
        </w:rPr>
        <w:t>. La revocación directa de los actos administrativos a solicitud de parte no procederá por la causal del numeral 1 del artículo anterior, cuando el peticionario haya interpuesto los recursos de que dichos actos sean susceptibles, ni en relación con los cuales haya operado la caducidad para su control judicial.</w:t>
      </w:r>
    </w:p>
    <w:p w14:paraId="22A82394" w14:textId="6B52EC4E" w:rsidR="0085730D" w:rsidRPr="006B671F" w:rsidRDefault="002C2F66" w:rsidP="00470705">
      <w:pPr>
        <w:spacing w:before="100" w:beforeAutospacing="1" w:after="100" w:afterAutospacing="1"/>
        <w:rPr>
          <w:rFonts w:eastAsia="Bookman Old Style" w:cs="Bookman Old Style"/>
        </w:rPr>
      </w:pPr>
      <w:r>
        <w:rPr>
          <w:rFonts w:eastAsia="Bookman Old Style" w:cs="Bookman Old Style"/>
        </w:rPr>
        <w:t>Revisados los argumentos expuestos por el recurrente, no encuentra esta Comisión procedente conceder la revocatoria del acto administrativo particular, en tanto no se demuestra la vulneración de las causales establecidas en el artículo 93 antes citado.</w:t>
      </w:r>
      <w:r w:rsidR="0085730D" w:rsidRPr="006B671F">
        <w:rPr>
          <w:rFonts w:eastAsia="Bookman Old Style" w:cs="Bookman Old Style"/>
        </w:rPr>
        <w:t xml:space="preserve"> </w:t>
      </w:r>
    </w:p>
    <w:p w14:paraId="2769B7B7" w14:textId="77777777" w:rsidR="0085730D" w:rsidRPr="006B671F" w:rsidRDefault="0085730D" w:rsidP="00470705">
      <w:pPr>
        <w:spacing w:before="100" w:beforeAutospacing="1" w:after="100" w:afterAutospacing="1"/>
        <w:rPr>
          <w:rFonts w:eastAsia="Bookman Old Style" w:cs="Bookman Old Style"/>
        </w:rPr>
      </w:pPr>
      <w:r w:rsidRPr="006B671F">
        <w:rPr>
          <w:rFonts w:eastAsia="Bookman Old Style" w:cs="Bookman Old Style"/>
        </w:rPr>
        <w:t>En conclusión, por lo anteriormente expuesto no se accede a lo solicitado.</w:t>
      </w:r>
    </w:p>
    <w:p w14:paraId="5CC1C0A7" w14:textId="06D6F9D1" w:rsidR="00137921" w:rsidRDefault="005D5EFD" w:rsidP="00470705">
      <w:pPr>
        <w:spacing w:before="100" w:beforeAutospacing="1" w:after="100" w:afterAutospacing="1"/>
        <w:rPr>
          <w:rFonts w:eastAsia="Bookman Old Style" w:cs="Bookman Old Style"/>
        </w:rPr>
      </w:pPr>
      <w:r w:rsidRPr="006B671F">
        <w:rPr>
          <w:rFonts w:eastAsia="Bookman Old Style" w:cs="Bookman Old Style"/>
        </w:rPr>
        <w:t>En el mismo comunicado, el OR señala las siguientes</w:t>
      </w:r>
      <w:r w:rsidR="009B6BDF" w:rsidRPr="006B671F">
        <w:rPr>
          <w:rFonts w:eastAsia="Bookman Old Style" w:cs="Bookman Old Style"/>
        </w:rPr>
        <w:t xml:space="preserve"> </w:t>
      </w:r>
      <w:r w:rsidR="003D31C1">
        <w:rPr>
          <w:rFonts w:eastAsia="Bookman Old Style" w:cs="Bookman Old Style"/>
        </w:rPr>
        <w:t>solicitudes relacionadas con los</w:t>
      </w:r>
      <w:r w:rsidR="009B6BDF" w:rsidRPr="006B671F">
        <w:rPr>
          <w:rFonts w:eastAsia="Bookman Old Style" w:cs="Bookman Old Style"/>
        </w:rPr>
        <w:t xml:space="preserve"> inventarios reconocidos,</w:t>
      </w:r>
      <w:r w:rsidR="00855406" w:rsidRPr="006B671F">
        <w:rPr>
          <w:rFonts w:eastAsia="Bookman Old Style" w:cs="Bookman Old Style"/>
        </w:rPr>
        <w:t xml:space="preserve"> </w:t>
      </w:r>
      <w:r w:rsidR="00AD3C2E">
        <w:rPr>
          <w:rFonts w:eastAsia="Bookman Old Style" w:cs="Bookman Old Style"/>
        </w:rPr>
        <w:t>frente a</w:t>
      </w:r>
      <w:r w:rsidR="00623929" w:rsidRPr="006B671F">
        <w:rPr>
          <w:rFonts w:eastAsia="Bookman Old Style" w:cs="Bookman Old Style"/>
        </w:rPr>
        <w:t xml:space="preserve"> </w:t>
      </w:r>
      <w:r w:rsidR="003D31C1">
        <w:rPr>
          <w:rFonts w:eastAsia="Bookman Old Style" w:cs="Bookman Old Style"/>
        </w:rPr>
        <w:t>las</w:t>
      </w:r>
      <w:r w:rsidR="00855406" w:rsidRPr="006B671F">
        <w:rPr>
          <w:rFonts w:eastAsia="Bookman Old Style" w:cs="Bookman Old Style"/>
        </w:rPr>
        <w:t xml:space="preserve"> cuales</w:t>
      </w:r>
      <w:r w:rsidR="00623929" w:rsidRPr="006B671F">
        <w:rPr>
          <w:rFonts w:eastAsia="Bookman Old Style" w:cs="Bookman Old Style"/>
        </w:rPr>
        <w:t xml:space="preserve"> </w:t>
      </w:r>
      <w:r w:rsidR="00837FD6">
        <w:rPr>
          <w:rFonts w:eastAsia="Bookman Old Style" w:cs="Bookman Old Style"/>
        </w:rPr>
        <w:t>Comisión</w:t>
      </w:r>
      <w:r w:rsidR="00623929" w:rsidRPr="006B671F">
        <w:rPr>
          <w:rFonts w:eastAsia="Bookman Old Style" w:cs="Bookman Old Style"/>
        </w:rPr>
        <w:t xml:space="preserve"> efectuó los respectivos análisis</w:t>
      </w:r>
      <w:r w:rsidR="002B3A8B">
        <w:rPr>
          <w:rFonts w:eastAsia="Bookman Old Style" w:cs="Bookman Old Style"/>
        </w:rPr>
        <w:t>:</w:t>
      </w:r>
    </w:p>
    <w:p w14:paraId="6FC3F886" w14:textId="022B3ACB" w:rsidR="00731534" w:rsidRPr="004417F9" w:rsidRDefault="00B94F50" w:rsidP="004417F9">
      <w:pPr>
        <w:pStyle w:val="Prrafodelista"/>
        <w:numPr>
          <w:ilvl w:val="0"/>
          <w:numId w:val="12"/>
        </w:numPr>
        <w:spacing w:before="100" w:beforeAutospacing="1" w:after="100" w:afterAutospacing="1"/>
        <w:ind w:left="426" w:hanging="437"/>
        <w:rPr>
          <w:rFonts w:eastAsia="Bookman Old Style" w:cs="Bookman Old Style"/>
          <w:b/>
          <w:bCs/>
        </w:rPr>
      </w:pPr>
      <w:r w:rsidRPr="004417F9">
        <w:rPr>
          <w:rFonts w:eastAsia="Bookman Old Style" w:cs="Bookman Old Style"/>
          <w:b/>
          <w:bCs/>
        </w:rPr>
        <w:t xml:space="preserve">Primera </w:t>
      </w:r>
      <w:r w:rsidR="003D31C1" w:rsidRPr="004417F9">
        <w:rPr>
          <w:rFonts w:eastAsia="Bookman Old Style" w:cs="Bookman Old Style"/>
          <w:b/>
          <w:bCs/>
        </w:rPr>
        <w:t>solicitud</w:t>
      </w:r>
    </w:p>
    <w:p w14:paraId="5018A3AB" w14:textId="77777777" w:rsidR="00514DE5" w:rsidRPr="006B671F" w:rsidRDefault="00C149C5" w:rsidP="00470705">
      <w:pPr>
        <w:spacing w:before="100" w:beforeAutospacing="1" w:after="100" w:afterAutospacing="1"/>
        <w:rPr>
          <w:i/>
          <w:iCs/>
        </w:rPr>
      </w:pPr>
      <w:r w:rsidRPr="006B671F">
        <w:rPr>
          <w:i/>
          <w:iCs/>
        </w:rPr>
        <w:t>(…)</w:t>
      </w:r>
    </w:p>
    <w:p w14:paraId="3A8569FF" w14:textId="763570DD" w:rsidR="007C2EB9" w:rsidRPr="006B671F" w:rsidRDefault="007C2EB9" w:rsidP="00470705">
      <w:pPr>
        <w:spacing w:before="100" w:beforeAutospacing="1" w:after="100" w:afterAutospacing="1"/>
        <w:ind w:left="284"/>
        <w:rPr>
          <w:b/>
          <w:bCs/>
          <w:i/>
          <w:iCs/>
        </w:rPr>
      </w:pPr>
      <w:r w:rsidRPr="006B671F">
        <w:rPr>
          <w:rFonts w:eastAsia="Bookman Old Style" w:cs="Bookman Old Style"/>
          <w:b/>
          <w:bCs/>
          <w:i/>
          <w:iCs/>
          <w:sz w:val="20"/>
          <w:szCs w:val="20"/>
        </w:rPr>
        <w:t xml:space="preserve">2.1 Falta de Información indispensable para identificar las Unidades Constructivas con fines de seguimiento. </w:t>
      </w:r>
      <w:r w:rsidRPr="006B671F">
        <w:rPr>
          <w:b/>
          <w:bCs/>
          <w:i/>
          <w:iCs/>
        </w:rPr>
        <w:t xml:space="preserve"> </w:t>
      </w:r>
    </w:p>
    <w:p w14:paraId="49EF645A" w14:textId="4E112CC1" w:rsidR="007C2EB9" w:rsidRPr="006B671F" w:rsidRDefault="007C2EB9"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 xml:space="preserve">El documento adjunto soporte “Inventario_reconocido_INVA_OR_-_TOLIMA_2023_2027”, debe contar con toda la información necesaria requerida para identificar plenamente cada unidad constructiva reportada y aprobada, conforme a lo establecido en la Circular CREG 029 de 2018, con la finalidad de poder hacer un adecuado seguimiento de las inversiones a través de los informes anuales mencionados en la Circular CREG 024 de 2020 y en el numeral 6.7 de la Resolución CREG 015 de 2018, así como para poder llevar a cabo las futuras auditorías definidas en la Resolución CREG 101 022 de 2022. </w:t>
      </w:r>
    </w:p>
    <w:p w14:paraId="7E6ABD30" w14:textId="4198E46F" w:rsidR="007C2EB9" w:rsidRPr="006B671F" w:rsidRDefault="007C2EB9"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Por lo anterior, se solicita que la CREG adicione el formato “Inventario_reconocido_INVA_OR_-_TOLIMA_2023_2027”, incluyendo la información por aquella aprobada, y la cual falta por omisión de la CREG y no de CELSIA COLOMBIA, quien al momento de realizar la solicitud de aprobación del plan de inversión del periodo 2023-2027, reportó todos estos campos y diligenció los formatos establecidos, dando aplicación al numeral 6.2 de la resolución CREG 015 de 2018.</w:t>
      </w:r>
    </w:p>
    <w:p w14:paraId="24ACB8CD" w14:textId="7C525F67" w:rsidR="007C2EB9" w:rsidRPr="006B671F" w:rsidRDefault="007C2EB9"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 xml:space="preserve">La información faltante de reporte por parte de la CREG es la relacionada a continuación: </w:t>
      </w:r>
    </w:p>
    <w:p w14:paraId="113A4800" w14:textId="77777777" w:rsidR="007C2EB9" w:rsidRPr="006B671F" w:rsidRDefault="007C2EB9"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 xml:space="preserve"> </w:t>
      </w:r>
    </w:p>
    <w:p w14:paraId="03E8D779" w14:textId="77777777" w:rsidR="007C2EB9" w:rsidRPr="006B671F" w:rsidRDefault="007C2EB9"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 En el formato "formato7_UC_lineas", no se incluye el campo "IUA provisional".</w:t>
      </w:r>
    </w:p>
    <w:p w14:paraId="169EDFEA" w14:textId="77777777" w:rsidR="007C2EB9" w:rsidRPr="006B671F" w:rsidRDefault="007C2EB9"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 En el formato "formato8_UC_eq_linea", no se incluye el campo "IUA provisional".</w:t>
      </w:r>
    </w:p>
    <w:p w14:paraId="024C1224" w14:textId="7B7F3890" w:rsidR="007C2EB9" w:rsidRPr="006B671F" w:rsidRDefault="007C2EB9"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 En el formato "formato11_trafos_N1", no se incluyen los campos "IUA ajustado", "IUA Reemplazado" y “Año entrada operación”.</w:t>
      </w:r>
    </w:p>
    <w:p w14:paraId="62A1F311" w14:textId="780DCB2E" w:rsidR="00514DE5" w:rsidRPr="006B671F" w:rsidRDefault="007C2EB9"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 En el formato "formato12_redes_N1", no se incluyen los campos "IUA ajustado", "IUA Reemplazado" y “Año entrada operación”.</w:t>
      </w:r>
    </w:p>
    <w:p w14:paraId="02288EF8" w14:textId="5C4BCA6F" w:rsidR="00514DE5" w:rsidRPr="006B671F" w:rsidRDefault="00514DE5" w:rsidP="00470705">
      <w:pPr>
        <w:spacing w:before="100" w:beforeAutospacing="1" w:after="100" w:afterAutospacing="1"/>
        <w:rPr>
          <w:i/>
          <w:iCs/>
        </w:rPr>
      </w:pPr>
      <w:r w:rsidRPr="006B671F">
        <w:rPr>
          <w:i/>
          <w:iCs/>
        </w:rPr>
        <w:t>(…)</w:t>
      </w:r>
    </w:p>
    <w:p w14:paraId="64B3C753" w14:textId="2E9F3D19" w:rsidR="000E6526" w:rsidRPr="006B671F" w:rsidRDefault="001C0D16" w:rsidP="00470705">
      <w:pPr>
        <w:spacing w:before="100" w:beforeAutospacing="1" w:after="100" w:afterAutospacing="1"/>
        <w:rPr>
          <w:rFonts w:eastAsia="Bookman Old Style"/>
          <w:b/>
          <w:bCs/>
        </w:rPr>
      </w:pPr>
      <w:r w:rsidRPr="006B671F">
        <w:rPr>
          <w:rFonts w:eastAsia="Bookman Old Style"/>
          <w:b/>
          <w:bCs/>
        </w:rPr>
        <w:t xml:space="preserve">Análisis de la </w:t>
      </w:r>
      <w:r w:rsidR="00837FD6">
        <w:rPr>
          <w:rFonts w:eastAsia="Bookman Old Style"/>
          <w:b/>
          <w:bCs/>
        </w:rPr>
        <w:t>Comisión</w:t>
      </w:r>
    </w:p>
    <w:p w14:paraId="4E5E5990" w14:textId="5E8220F3" w:rsidR="001C0D16" w:rsidRPr="006B671F" w:rsidRDefault="00803388" w:rsidP="00470705">
      <w:pPr>
        <w:spacing w:before="100" w:beforeAutospacing="1" w:after="100" w:afterAutospacing="1"/>
        <w:rPr>
          <w:rFonts w:eastAsia="Bookman Old Style"/>
        </w:rPr>
      </w:pPr>
      <w:r w:rsidRPr="006B671F">
        <w:rPr>
          <w:rFonts w:eastAsia="Bookman Old Style"/>
        </w:rPr>
        <w:t xml:space="preserve">Luego de verificar la </w:t>
      </w:r>
      <w:r w:rsidR="00C91579" w:rsidRPr="006B671F">
        <w:rPr>
          <w:rFonts w:eastAsia="Bookman Old Style"/>
        </w:rPr>
        <w:t>observación del O</w:t>
      </w:r>
      <w:r w:rsidR="00AD3C2E">
        <w:rPr>
          <w:rFonts w:eastAsia="Bookman Old Style"/>
        </w:rPr>
        <w:t xml:space="preserve">perador de </w:t>
      </w:r>
      <w:r w:rsidR="00C91579" w:rsidRPr="006B671F">
        <w:rPr>
          <w:rFonts w:eastAsia="Bookman Old Style"/>
        </w:rPr>
        <w:t>R</w:t>
      </w:r>
      <w:r w:rsidR="00AD3C2E">
        <w:rPr>
          <w:rFonts w:eastAsia="Bookman Old Style"/>
        </w:rPr>
        <w:t>ed, OR</w:t>
      </w:r>
      <w:r w:rsidR="00C91579" w:rsidRPr="006B671F">
        <w:rPr>
          <w:rFonts w:eastAsia="Bookman Old Style"/>
        </w:rPr>
        <w:t xml:space="preserve">, </w:t>
      </w:r>
      <w:r w:rsidR="00AD3C2E">
        <w:rPr>
          <w:rFonts w:eastAsia="Bookman Old Style"/>
        </w:rPr>
        <w:t>y realizar</w:t>
      </w:r>
      <w:r w:rsidR="00C91579" w:rsidRPr="006B671F">
        <w:rPr>
          <w:rFonts w:eastAsia="Bookman Old Style"/>
        </w:rPr>
        <w:t xml:space="preserve"> la revisión de</w:t>
      </w:r>
      <w:r w:rsidR="00A515DA" w:rsidRPr="006B671F">
        <w:rPr>
          <w:rFonts w:eastAsia="Bookman Old Style"/>
        </w:rPr>
        <w:t xml:space="preserve"> los datos</w:t>
      </w:r>
      <w:r w:rsidR="00AD3C2E">
        <w:rPr>
          <w:rFonts w:eastAsia="Bookman Old Style"/>
        </w:rPr>
        <w:t>,</w:t>
      </w:r>
      <w:r w:rsidR="00387119" w:rsidRPr="006B671F">
        <w:rPr>
          <w:rFonts w:eastAsia="Bookman Old Style"/>
        </w:rPr>
        <w:t xml:space="preserve"> </w:t>
      </w:r>
      <w:r w:rsidR="00871130" w:rsidRPr="006B671F">
        <w:rPr>
          <w:rFonts w:eastAsia="Bookman Old Style"/>
        </w:rPr>
        <w:t xml:space="preserve">se </w:t>
      </w:r>
      <w:r w:rsidR="00F96970" w:rsidRPr="006B671F">
        <w:rPr>
          <w:rFonts w:eastAsia="Bookman Old Style"/>
        </w:rPr>
        <w:t>valida</w:t>
      </w:r>
      <w:r w:rsidR="00871130" w:rsidRPr="006B671F">
        <w:rPr>
          <w:rFonts w:eastAsia="Bookman Old Style"/>
        </w:rPr>
        <w:t xml:space="preserve"> que en el archivo “</w:t>
      </w:r>
      <w:r w:rsidR="00871130" w:rsidRPr="006B671F">
        <w:rPr>
          <w:rFonts w:eastAsia="Bookman Old Style"/>
          <w:i/>
          <w:iCs/>
        </w:rPr>
        <w:t>Inventario_reconocido_INVA_OR_-_TOLIMA_2023_2027</w:t>
      </w:r>
      <w:r w:rsidR="00871130" w:rsidRPr="006B671F">
        <w:rPr>
          <w:rFonts w:eastAsia="Bookman Old Style"/>
        </w:rPr>
        <w:t>”</w:t>
      </w:r>
      <w:r w:rsidR="00F96970" w:rsidRPr="006B671F">
        <w:rPr>
          <w:rFonts w:eastAsia="Bookman Old Style"/>
        </w:rPr>
        <w:t xml:space="preserve"> entregado como anexo al </w:t>
      </w:r>
      <w:r w:rsidR="00AD3C2E">
        <w:rPr>
          <w:rFonts w:eastAsia="Bookman Old Style"/>
        </w:rPr>
        <w:t>D</w:t>
      </w:r>
      <w:r w:rsidR="00F96970" w:rsidRPr="006B671F">
        <w:rPr>
          <w:rFonts w:eastAsia="Bookman Old Style"/>
        </w:rPr>
        <w:t>ocumento CREG 901 079 de 2024</w:t>
      </w:r>
      <w:r w:rsidR="00AD3C2E">
        <w:rPr>
          <w:rFonts w:eastAsia="Bookman Old Style"/>
        </w:rPr>
        <w:t>,</w:t>
      </w:r>
      <w:r w:rsidR="00F96970" w:rsidRPr="006B671F">
        <w:rPr>
          <w:rFonts w:eastAsia="Bookman Old Style"/>
        </w:rPr>
        <w:t xml:space="preserve"> </w:t>
      </w:r>
      <w:r w:rsidR="008120B2" w:rsidRPr="006B671F">
        <w:rPr>
          <w:rFonts w:eastAsia="Bookman Old Style"/>
        </w:rPr>
        <w:t>se identifica que los campos indicados por el OR no se encuentran</w:t>
      </w:r>
      <w:r w:rsidR="00DD30AF" w:rsidRPr="006B671F">
        <w:rPr>
          <w:rFonts w:eastAsia="Bookman Old Style"/>
        </w:rPr>
        <w:t xml:space="preserve"> en el archivo mencionado</w:t>
      </w:r>
      <w:r w:rsidR="008120B2" w:rsidRPr="006B671F">
        <w:rPr>
          <w:rFonts w:eastAsia="Bookman Old Style"/>
        </w:rPr>
        <w:t>.</w:t>
      </w:r>
      <w:r w:rsidR="00DD30AF" w:rsidRPr="006B671F">
        <w:rPr>
          <w:rFonts w:eastAsia="Bookman Old Style"/>
        </w:rPr>
        <w:t xml:space="preserve"> </w:t>
      </w:r>
    </w:p>
    <w:p w14:paraId="2EB25181" w14:textId="452FEB53" w:rsidR="005C798B" w:rsidRDefault="00B31B92" w:rsidP="00470705">
      <w:pPr>
        <w:spacing w:before="100" w:beforeAutospacing="1" w:after="100" w:afterAutospacing="1"/>
        <w:rPr>
          <w:rFonts w:eastAsia="Bookman Old Style"/>
        </w:rPr>
      </w:pPr>
      <w:r w:rsidRPr="006B671F">
        <w:rPr>
          <w:rFonts w:eastAsia="Bookman Old Style"/>
        </w:rPr>
        <w:t xml:space="preserve">Sin embargo, vale la pena destacar que los formatos definidos por la </w:t>
      </w:r>
      <w:r w:rsidR="00837FD6">
        <w:rPr>
          <w:rFonts w:eastAsia="Bookman Old Style"/>
        </w:rPr>
        <w:t>Comisión</w:t>
      </w:r>
      <w:r w:rsidRPr="006B671F">
        <w:rPr>
          <w:rFonts w:eastAsia="Bookman Old Style"/>
        </w:rPr>
        <w:t xml:space="preserve"> en la Circular CREG </w:t>
      </w:r>
      <w:r w:rsidR="00DF5C05" w:rsidRPr="006B671F">
        <w:rPr>
          <w:rFonts w:eastAsia="Bookman Old Style"/>
        </w:rPr>
        <w:t xml:space="preserve">051 de 2018 </w:t>
      </w:r>
      <w:r w:rsidR="00C70C8D" w:rsidRPr="006B671F">
        <w:rPr>
          <w:rFonts w:eastAsia="Bookman Old Style"/>
        </w:rPr>
        <w:t>para la presentación de los planes de inversión en los formatos 5.7, 5.8, 5.</w:t>
      </w:r>
      <w:r w:rsidR="006F3950" w:rsidRPr="006B671F">
        <w:rPr>
          <w:rFonts w:eastAsia="Bookman Old Style"/>
        </w:rPr>
        <w:t>11 y 5.12</w:t>
      </w:r>
      <w:r w:rsidR="00AD3C2E">
        <w:rPr>
          <w:rFonts w:eastAsia="Bookman Old Style"/>
        </w:rPr>
        <w:t>,</w:t>
      </w:r>
      <w:r w:rsidR="006F3950" w:rsidRPr="006B671F">
        <w:rPr>
          <w:rFonts w:eastAsia="Bookman Old Style"/>
        </w:rPr>
        <w:t xml:space="preserve"> </w:t>
      </w:r>
      <w:r w:rsidR="008D43D5" w:rsidRPr="006B671F">
        <w:rPr>
          <w:rFonts w:eastAsia="Bookman Old Style"/>
        </w:rPr>
        <w:t>no se encuentran dichos campos defini</w:t>
      </w:r>
      <w:r w:rsidR="00AA2972" w:rsidRPr="006B671F">
        <w:rPr>
          <w:rFonts w:eastAsia="Bookman Old Style"/>
        </w:rPr>
        <w:t>dos</w:t>
      </w:r>
      <w:r w:rsidR="00D51B48" w:rsidRPr="006B671F">
        <w:rPr>
          <w:rFonts w:eastAsia="Bookman Old Style"/>
        </w:rPr>
        <w:t>,</w:t>
      </w:r>
      <w:r w:rsidR="00AA2972" w:rsidRPr="006B671F">
        <w:rPr>
          <w:rFonts w:eastAsia="Bookman Old Style"/>
        </w:rPr>
        <w:t xml:space="preserve"> </w:t>
      </w:r>
      <w:r w:rsidR="0098525F">
        <w:rPr>
          <w:rFonts w:eastAsia="Bookman Old Style"/>
        </w:rPr>
        <w:t xml:space="preserve">y aun cuando </w:t>
      </w:r>
      <w:r w:rsidR="00AA2972" w:rsidRPr="006B671F">
        <w:rPr>
          <w:rFonts w:eastAsia="Bookman Old Style"/>
        </w:rPr>
        <w:t>en el archivo “</w:t>
      </w:r>
      <w:r w:rsidR="00AA2972" w:rsidRPr="006B671F">
        <w:rPr>
          <w:rFonts w:eastAsia="Bookman Old Style"/>
          <w:i/>
          <w:iCs/>
        </w:rPr>
        <w:t>Inventario_reconocido_INVA_OR_-_TOLIMA_2023_2027</w:t>
      </w:r>
      <w:r w:rsidR="00AA2972" w:rsidRPr="006B671F">
        <w:rPr>
          <w:rFonts w:eastAsia="Bookman Old Style"/>
        </w:rPr>
        <w:t>”</w:t>
      </w:r>
      <w:r w:rsidR="00D51B48" w:rsidRPr="006B671F">
        <w:rPr>
          <w:rFonts w:eastAsia="Bookman Old Style"/>
        </w:rPr>
        <w:t xml:space="preserve"> aparecen algunos de estos campos</w:t>
      </w:r>
      <w:r w:rsidR="00AD3C2E">
        <w:rPr>
          <w:rFonts w:eastAsia="Bookman Old Style"/>
        </w:rPr>
        <w:t>,</w:t>
      </w:r>
      <w:r w:rsidR="00D51B48" w:rsidRPr="006B671F">
        <w:rPr>
          <w:rFonts w:eastAsia="Bookman Old Style"/>
        </w:rPr>
        <w:t xml:space="preserve"> </w:t>
      </w:r>
      <w:r w:rsidR="002F6E8F" w:rsidRPr="006B671F">
        <w:rPr>
          <w:rFonts w:eastAsia="Bookman Old Style"/>
        </w:rPr>
        <w:t xml:space="preserve">en los formatos ya mencionados </w:t>
      </w:r>
      <w:r w:rsidR="0098525F">
        <w:rPr>
          <w:rFonts w:eastAsia="Bookman Old Style"/>
        </w:rPr>
        <w:t>se encuentran</w:t>
      </w:r>
      <w:r w:rsidR="00E56A9C" w:rsidRPr="006B671F">
        <w:rPr>
          <w:rFonts w:eastAsia="Bookman Old Style"/>
        </w:rPr>
        <w:t xml:space="preserve"> celdas vacías.</w:t>
      </w:r>
      <w:r w:rsidR="00E97CCA" w:rsidRPr="006B671F">
        <w:rPr>
          <w:rFonts w:eastAsia="Bookman Old Style"/>
        </w:rPr>
        <w:t xml:space="preserve"> </w:t>
      </w:r>
    </w:p>
    <w:p w14:paraId="0836BC55" w14:textId="68B88CDE" w:rsidR="0098525F" w:rsidRDefault="0098525F" w:rsidP="0098525F">
      <w:pPr>
        <w:spacing w:before="0" w:after="0"/>
        <w:rPr>
          <w:rFonts w:eastAsia="Bookman Old Style"/>
        </w:rPr>
      </w:pPr>
      <w:r>
        <w:rPr>
          <w:rFonts w:eastAsia="Bookman Old Style"/>
        </w:rPr>
        <w:t>Ahora bien, teniendo en cuenta que los campos indicados por el OR, si bien no hacen parte de los formatos oficiales, facilitan la trazabilidad de la información de UC asociadas con líneas y con activos de baja tensión, se considera apropiado mantener la información de los campos diligenciados por el OR, la cual no se exigió como obligatoria en todos los casos por la dificultad asociada a su diligenciamiento completo por parte de algunos OR.</w:t>
      </w:r>
    </w:p>
    <w:p w14:paraId="203DFC36" w14:textId="71CAB448" w:rsidR="0098525F" w:rsidRPr="006B671F" w:rsidRDefault="0098525F" w:rsidP="0098525F">
      <w:pPr>
        <w:spacing w:before="100" w:beforeAutospacing="1" w:after="100" w:afterAutospacing="1"/>
        <w:rPr>
          <w:rFonts w:eastAsia="Bookman Old Style"/>
        </w:rPr>
      </w:pPr>
      <w:r>
        <w:rPr>
          <w:rFonts w:eastAsia="Bookman Old Style"/>
        </w:rPr>
        <w:t xml:space="preserve">Dado que </w:t>
      </w:r>
      <w:r w:rsidRPr="006B671F">
        <w:t xml:space="preserve">CELSIA COLOMBIA S.A. E.S.P., </w:t>
      </w:r>
      <w:r>
        <w:rPr>
          <w:rFonts w:eastAsia="Bookman Old Style"/>
        </w:rPr>
        <w:t>efectivamente aportó dicha información, esto facilita el seguimiento del plan de inversión con fines regulatorios que pueda realizar la Comisión, a la vez que no implica ningún inconveniente en el procesamiento y valoración de la información.</w:t>
      </w:r>
    </w:p>
    <w:p w14:paraId="6038516C" w14:textId="5A639A4E" w:rsidR="006B4560" w:rsidRDefault="00EF3006" w:rsidP="00470705">
      <w:pPr>
        <w:spacing w:before="100" w:beforeAutospacing="1" w:after="100" w:afterAutospacing="1"/>
        <w:rPr>
          <w:rFonts w:eastAsia="Bookman Old Style"/>
        </w:rPr>
      </w:pPr>
      <w:r>
        <w:rPr>
          <w:rFonts w:eastAsia="Bookman Old Style"/>
        </w:rPr>
        <w:t>Considerando lo presentado por el OR</w:t>
      </w:r>
      <w:r w:rsidR="00AD3C2E">
        <w:rPr>
          <w:rFonts w:eastAsia="Bookman Old Style"/>
        </w:rPr>
        <w:t>,</w:t>
      </w:r>
      <w:r w:rsidR="00E97CCA" w:rsidRPr="006B671F">
        <w:rPr>
          <w:rFonts w:eastAsia="Bookman Old Style"/>
        </w:rPr>
        <w:t xml:space="preserve"> en los radicados CREG </w:t>
      </w:r>
      <w:r w:rsidR="00E93F3C" w:rsidRPr="006B671F">
        <w:rPr>
          <w:rFonts w:eastAsia="Bookman Old Style"/>
        </w:rPr>
        <w:t xml:space="preserve">E2022009658 del 31 de agosto de 2022 y </w:t>
      </w:r>
      <w:r w:rsidR="00D765C2" w:rsidRPr="006B671F">
        <w:rPr>
          <w:rFonts w:eastAsia="Bookman Old Style"/>
        </w:rPr>
        <w:t>E2023016539 del 15 de septiembre de 20</w:t>
      </w:r>
      <w:r w:rsidR="00C92001" w:rsidRPr="006B671F">
        <w:rPr>
          <w:rFonts w:eastAsia="Bookman Old Style"/>
        </w:rPr>
        <w:t>23</w:t>
      </w:r>
      <w:r w:rsidR="00014DE6">
        <w:rPr>
          <w:rFonts w:eastAsia="Bookman Old Style"/>
        </w:rPr>
        <w:t>,</w:t>
      </w:r>
      <w:r>
        <w:rPr>
          <w:rFonts w:eastAsia="Bookman Old Style"/>
        </w:rPr>
        <w:t xml:space="preserve"> donde</w:t>
      </w:r>
      <w:r w:rsidR="00014DE6">
        <w:rPr>
          <w:rFonts w:eastAsia="Bookman Old Style"/>
        </w:rPr>
        <w:t xml:space="preserve"> se</w:t>
      </w:r>
      <w:r w:rsidR="00C92001" w:rsidRPr="006B671F">
        <w:rPr>
          <w:rFonts w:eastAsia="Bookman Old Style"/>
        </w:rPr>
        <w:t xml:space="preserve"> </w:t>
      </w:r>
      <w:r w:rsidR="00CC1A37" w:rsidRPr="006B671F">
        <w:rPr>
          <w:rFonts w:eastAsia="Bookman Old Style"/>
        </w:rPr>
        <w:t>incluyeron los campos que menciona</w:t>
      </w:r>
      <w:r w:rsidR="005C5450" w:rsidRPr="006B671F">
        <w:rPr>
          <w:rFonts w:eastAsia="Bookman Old Style"/>
        </w:rPr>
        <w:t xml:space="preserve">, la </w:t>
      </w:r>
      <w:r w:rsidR="00837FD6">
        <w:rPr>
          <w:rFonts w:eastAsia="Bookman Old Style"/>
        </w:rPr>
        <w:t>Comisión</w:t>
      </w:r>
      <w:r w:rsidR="005C5450" w:rsidRPr="006B671F">
        <w:rPr>
          <w:rFonts w:eastAsia="Bookman Old Style"/>
        </w:rPr>
        <w:t xml:space="preserve"> </w:t>
      </w:r>
      <w:r>
        <w:rPr>
          <w:rFonts w:eastAsia="Bookman Old Style"/>
        </w:rPr>
        <w:t>decide acceder a la solicitud e incluir los campos solicitados en los inventarios reconocidos.</w:t>
      </w:r>
    </w:p>
    <w:p w14:paraId="1EC97123" w14:textId="6D8F8E85" w:rsidR="0057197A" w:rsidRPr="00B94F50" w:rsidRDefault="0057197A" w:rsidP="004417F9">
      <w:pPr>
        <w:pStyle w:val="Prrafodelista"/>
        <w:numPr>
          <w:ilvl w:val="0"/>
          <w:numId w:val="12"/>
        </w:numPr>
        <w:spacing w:before="100" w:beforeAutospacing="1" w:after="100" w:afterAutospacing="1"/>
        <w:ind w:left="426" w:hanging="437"/>
        <w:rPr>
          <w:rFonts w:eastAsia="Bookman Old Style" w:cs="Bookman Old Style"/>
          <w:b/>
          <w:bCs/>
        </w:rPr>
      </w:pPr>
      <w:r>
        <w:rPr>
          <w:rFonts w:eastAsia="Bookman Old Style" w:cs="Bookman Old Style"/>
          <w:b/>
          <w:bCs/>
        </w:rPr>
        <w:t>Segunda</w:t>
      </w:r>
      <w:r w:rsidRPr="00B94F50">
        <w:rPr>
          <w:rFonts w:eastAsia="Bookman Old Style" w:cs="Bookman Old Style"/>
          <w:b/>
          <w:bCs/>
        </w:rPr>
        <w:t xml:space="preserve"> </w:t>
      </w:r>
      <w:r>
        <w:rPr>
          <w:rFonts w:eastAsia="Bookman Old Style" w:cs="Bookman Old Style"/>
          <w:b/>
          <w:bCs/>
        </w:rPr>
        <w:t>solicitud</w:t>
      </w:r>
    </w:p>
    <w:p w14:paraId="39C3F4CA" w14:textId="77777777" w:rsidR="00982408" w:rsidRPr="006B671F" w:rsidRDefault="00982408" w:rsidP="00470705">
      <w:pPr>
        <w:spacing w:before="100" w:beforeAutospacing="1" w:after="100" w:afterAutospacing="1"/>
        <w:rPr>
          <w:i/>
          <w:iCs/>
        </w:rPr>
      </w:pPr>
      <w:r w:rsidRPr="006B671F">
        <w:rPr>
          <w:i/>
          <w:iCs/>
        </w:rPr>
        <w:t>(…)</w:t>
      </w:r>
    </w:p>
    <w:p w14:paraId="4A2D9ABE" w14:textId="77777777" w:rsidR="009F0CCC" w:rsidRPr="006B671F" w:rsidRDefault="009F0CCC" w:rsidP="00470705">
      <w:pPr>
        <w:spacing w:before="100" w:beforeAutospacing="1" w:after="100" w:afterAutospacing="1"/>
        <w:ind w:left="284"/>
        <w:rPr>
          <w:rFonts w:eastAsia="Bookman Old Style" w:cs="Bookman Old Style"/>
          <w:b/>
          <w:bCs/>
          <w:i/>
          <w:iCs/>
          <w:sz w:val="20"/>
          <w:szCs w:val="20"/>
        </w:rPr>
      </w:pPr>
      <w:r w:rsidRPr="006B671F">
        <w:rPr>
          <w:rFonts w:eastAsia="Bookman Old Style" w:cs="Bookman Old Style"/>
          <w:b/>
          <w:bCs/>
          <w:i/>
          <w:iCs/>
          <w:sz w:val="20"/>
          <w:szCs w:val="20"/>
        </w:rPr>
        <w:t xml:space="preserve">2.2 Indebida exigencia de solicitud de concepto UPME para proyectos tipo IV en nivel de tensión 4. </w:t>
      </w:r>
    </w:p>
    <w:p w14:paraId="64B38C9D" w14:textId="43156A54" w:rsidR="00982408" w:rsidRPr="006B671F" w:rsidRDefault="009F0CCC"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 xml:space="preserve">Dentro de las unidades constructivas no aprobadas por la </w:t>
      </w:r>
      <w:r w:rsidR="00837FD6">
        <w:rPr>
          <w:rFonts w:eastAsia="Bookman Old Style" w:cs="Bookman Old Style"/>
          <w:i/>
          <w:iCs/>
          <w:sz w:val="20"/>
          <w:szCs w:val="20"/>
        </w:rPr>
        <w:t>Comisión</w:t>
      </w:r>
      <w:r w:rsidRPr="006B671F">
        <w:rPr>
          <w:rFonts w:eastAsia="Bookman Old Style" w:cs="Bookman Old Style"/>
          <w:i/>
          <w:iCs/>
          <w:sz w:val="20"/>
          <w:szCs w:val="20"/>
        </w:rPr>
        <w:t xml:space="preserve"> en el documento soporte anexo a la Resolución No. 501 041 de 2024, se encuentran los proyectos de nivel de tensión 4 con inversión tipo IV, ya que, a criterio de la CREG, estos proyectos requieren de aprobación por parte de la UPME:</w:t>
      </w:r>
    </w:p>
    <w:p w14:paraId="6CD3C8D2" w14:textId="77777777" w:rsidR="00960823" w:rsidRPr="006B671F" w:rsidRDefault="00960823" w:rsidP="00470705">
      <w:pPr>
        <w:spacing w:before="100" w:beforeAutospacing="1" w:after="100" w:afterAutospacing="1"/>
        <w:ind w:left="284"/>
        <w:rPr>
          <w:rFonts w:eastAsia="Bookman Old Style" w:cs="Bookman Old Style"/>
          <w:i/>
          <w:iCs/>
          <w:sz w:val="20"/>
          <w:szCs w:val="20"/>
        </w:rPr>
      </w:pPr>
    </w:p>
    <w:p w14:paraId="1DCB0583" w14:textId="10E89D37" w:rsidR="00B4666D" w:rsidRPr="006B671F" w:rsidRDefault="00261788"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 Los proyectos de Nivel de tensión 4 y tipo de inversión IV requieren el concepto UPME (…)”,</w:t>
      </w:r>
    </w:p>
    <w:p w14:paraId="01A2AC83" w14:textId="77777777" w:rsidR="00261788" w:rsidRPr="006B671F" w:rsidRDefault="00261788" w:rsidP="00470705">
      <w:pPr>
        <w:spacing w:before="100" w:beforeAutospacing="1" w:after="100" w:afterAutospacing="1"/>
        <w:ind w:left="284"/>
        <w:rPr>
          <w:rFonts w:eastAsia="Bookman Old Style" w:cs="Bookman Old Style"/>
          <w:i/>
          <w:iCs/>
          <w:sz w:val="20"/>
          <w:szCs w:val="20"/>
        </w:rPr>
      </w:pPr>
    </w:p>
    <w:p w14:paraId="0B3EA867" w14:textId="411BBEC5" w:rsidR="003C0F5A" w:rsidRPr="006B671F" w:rsidRDefault="003C0F5A"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Sin embargo, tal afirmación es incorrecta y pareciera ser más una interpretación subjetiva de la norma por parte de quien expide el Acto, que una exclusión basada en el incumplimiento objetivo de la norma, puesto que el capítulo 6 de la Resolución CREG 015 de 2018 determinó de manera expresa y taxativa los tipos de proyectos bajo los cuales se deben incluir los proyectos de inversión del OR y los criterios generales aplicables a seguir en la formulación y presentación del plan de inversión, clasificación y criterios generales que están claramente determinados y cuya finalidad de determinación está enfocado a la consideración de la demanda y el sistema eléctrico, y son lo suficientemente claros, fáciles de entender que no generan dudas o inquietudes, de manera que no es posible que la CREG interprete estas disposiciones desatendiendo su tenor literal, pues como se dijo este es tan claro que la CREG solamente puede aplicar estas disposiciones y no interpretarlas, de manera que el rechazo al reconocimiento de las unidades constructivas de tensión 4 con proyecto tipo IV por no contar con aprobación UPME es errónea y además violatoria de los principios de confianza legitima y buena fe, ya que la aprobación de la UPME está determinada de manera clara y textual para los proyectos tipo I y II exclusivamente, no para los tipo IV como mal lo entiende la CREG:</w:t>
      </w:r>
    </w:p>
    <w:p w14:paraId="2D92AB3F" w14:textId="77777777" w:rsidR="00982408" w:rsidRPr="006B671F" w:rsidRDefault="00982408" w:rsidP="00470705">
      <w:pPr>
        <w:spacing w:before="100" w:beforeAutospacing="1" w:after="100" w:afterAutospacing="1"/>
        <w:rPr>
          <w:i/>
          <w:iCs/>
        </w:rPr>
      </w:pPr>
      <w:r w:rsidRPr="006B671F">
        <w:rPr>
          <w:i/>
          <w:iCs/>
        </w:rPr>
        <w:t>(…)</w:t>
      </w:r>
    </w:p>
    <w:p w14:paraId="5EFD019A" w14:textId="4AD3C130" w:rsidR="002E346C" w:rsidRPr="006B671F" w:rsidRDefault="002E346C" w:rsidP="00470705">
      <w:pPr>
        <w:spacing w:before="100" w:beforeAutospacing="1" w:after="100" w:afterAutospacing="1"/>
        <w:rPr>
          <w:rFonts w:eastAsia="Bookman Old Style"/>
          <w:b/>
          <w:bCs/>
        </w:rPr>
      </w:pPr>
      <w:r w:rsidRPr="006B671F">
        <w:rPr>
          <w:rFonts w:eastAsia="Bookman Old Style"/>
          <w:b/>
          <w:bCs/>
        </w:rPr>
        <w:t xml:space="preserve">Análisis de la </w:t>
      </w:r>
      <w:r w:rsidR="00837FD6">
        <w:rPr>
          <w:rFonts w:eastAsia="Bookman Old Style"/>
          <w:b/>
          <w:bCs/>
        </w:rPr>
        <w:t>Comisión</w:t>
      </w:r>
    </w:p>
    <w:p w14:paraId="6EB4F107" w14:textId="24878333" w:rsidR="002E346C" w:rsidRPr="006B671F" w:rsidRDefault="002E346C" w:rsidP="00470705">
      <w:pPr>
        <w:spacing w:before="100" w:beforeAutospacing="1" w:after="100" w:afterAutospacing="1"/>
      </w:pPr>
      <w:r w:rsidRPr="006B671F">
        <w:t xml:space="preserve">La Resolución CREG 015 de 2018 establece en el numeral 6.3.4 del </w:t>
      </w:r>
      <w:r w:rsidR="00C51827">
        <w:t>Anexo General</w:t>
      </w:r>
      <w:r w:rsidRPr="006B671F">
        <w:t xml:space="preserve"> que los proyectos de inversión en el</w:t>
      </w:r>
      <w:r w:rsidR="00B46887">
        <w:t xml:space="preserve"> Sistema de Transmisión </w:t>
      </w:r>
      <w:r w:rsidR="00D10DE5">
        <w:t>Regional</w:t>
      </w:r>
      <w:r w:rsidR="00B46887">
        <w:t>,</w:t>
      </w:r>
      <w:r w:rsidRPr="006B671F">
        <w:t xml:space="preserve"> STR</w:t>
      </w:r>
      <w:r w:rsidR="00D10DE5">
        <w:t>,</w:t>
      </w:r>
      <w:r w:rsidRPr="006B671F">
        <w:t xml:space="preserve"> tipo I y II requieren aprobación por parte de la</w:t>
      </w:r>
      <w:r w:rsidR="00D10DE5">
        <w:t xml:space="preserve"> Unidad de Planeación Minero-Energética,</w:t>
      </w:r>
      <w:r w:rsidRPr="006B671F">
        <w:t xml:space="preserve"> UPME</w:t>
      </w:r>
      <w:r w:rsidR="00D10DE5">
        <w:t>,</w:t>
      </w:r>
      <w:r w:rsidRPr="006B671F">
        <w:t xml:space="preserve"> de acuerdo con los criterios definidos por dicha entidad.</w:t>
      </w:r>
    </w:p>
    <w:p w14:paraId="2E8F9507" w14:textId="628EB7E1" w:rsidR="002E346C" w:rsidRPr="006B671F" w:rsidRDefault="002E346C" w:rsidP="00470705">
      <w:pPr>
        <w:spacing w:before="100" w:beforeAutospacing="1" w:after="100" w:afterAutospacing="1"/>
      </w:pPr>
      <w:r w:rsidRPr="006B671F">
        <w:t xml:space="preserve">Por otro lado, los proyectos de inversión tipo IV según el numeral </w:t>
      </w:r>
      <w:bookmarkStart w:id="0" w:name="6.3.3.2"/>
      <w:r w:rsidRPr="006B671F">
        <w:t>6.3.3.2</w:t>
      </w:r>
      <w:bookmarkEnd w:id="0"/>
      <w:r w:rsidRPr="006B671F">
        <w:t xml:space="preserve"> del </w:t>
      </w:r>
      <w:r w:rsidR="00C51827">
        <w:t>Anexo General</w:t>
      </w:r>
      <w:r w:rsidRPr="006B671F">
        <w:t xml:space="preserve"> de la Resolución CREG 015 de 2018</w:t>
      </w:r>
      <w:r w:rsidR="0098525F">
        <w:t>,</w:t>
      </w:r>
      <w:r w:rsidRPr="006B671F">
        <w:t xml:space="preserve"> corresponden a proyectos que buscan mejorar la confiabilidad y calidad del servicio</w:t>
      </w:r>
      <w:r w:rsidR="0098525F">
        <w:t>, la</w:t>
      </w:r>
      <w:r w:rsidRPr="006B671F">
        <w:t xml:space="preserve"> reducción y mantenimiento de pérdidas,</w:t>
      </w:r>
      <w:r w:rsidR="0098525F">
        <w:t xml:space="preserve"> la</w:t>
      </w:r>
      <w:r w:rsidRPr="006B671F">
        <w:t xml:space="preserve"> renovación tecnológica de los activos de uso del sistema y otras áreas que identifique el OR. </w:t>
      </w:r>
    </w:p>
    <w:p w14:paraId="4F3233B3" w14:textId="6656AB46" w:rsidR="00982408" w:rsidRPr="006B671F" w:rsidRDefault="00510115" w:rsidP="00470705">
      <w:pPr>
        <w:spacing w:before="100" w:beforeAutospacing="1" w:after="100" w:afterAutospacing="1"/>
        <w:rPr>
          <w:rFonts w:eastAsia="Bookman Old Style"/>
        </w:rPr>
      </w:pPr>
      <w:r w:rsidRPr="006B671F">
        <w:rPr>
          <w:rFonts w:eastAsia="Bookman Old Style"/>
        </w:rPr>
        <w:t xml:space="preserve">CELSIA COLOMBIA S.A. E.S.P. </w:t>
      </w:r>
      <w:r w:rsidR="00DC5247" w:rsidRPr="006B671F">
        <w:rPr>
          <w:rFonts w:eastAsia="Bookman Old Style"/>
        </w:rPr>
        <w:t>presentó los siguientes proyectos en nivel de tensión 4 con tipo de inversión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7"/>
        <w:gridCol w:w="5166"/>
        <w:gridCol w:w="1413"/>
      </w:tblGrid>
      <w:tr w:rsidR="00717A21" w:rsidRPr="006B671F" w14:paraId="067724C4" w14:textId="77777777" w:rsidTr="00154B16">
        <w:trPr>
          <w:trHeight w:val="300"/>
          <w:tblHeader/>
        </w:trPr>
        <w:tc>
          <w:tcPr>
            <w:tcW w:w="2767" w:type="dxa"/>
            <w:shd w:val="clear" w:color="auto" w:fill="auto"/>
            <w:noWrap/>
            <w:vAlign w:val="center"/>
            <w:hideMark/>
          </w:tcPr>
          <w:p w14:paraId="277B86FB" w14:textId="77777777" w:rsidR="00717A21" w:rsidRPr="006B671F" w:rsidRDefault="00717A21" w:rsidP="00470705">
            <w:pPr>
              <w:spacing w:before="100" w:beforeAutospacing="1" w:after="100" w:afterAutospacing="1"/>
              <w:jc w:val="center"/>
              <w:rPr>
                <w:rFonts w:cs="Calibri"/>
                <w:b/>
                <w:bCs/>
                <w:color w:val="000000"/>
                <w:sz w:val="20"/>
                <w:szCs w:val="20"/>
                <w:lang w:eastAsia="es-MX"/>
              </w:rPr>
            </w:pPr>
            <w:r w:rsidRPr="006B671F">
              <w:rPr>
                <w:rFonts w:cs="Calibri"/>
                <w:b/>
                <w:bCs/>
                <w:color w:val="000000"/>
                <w:sz w:val="20"/>
                <w:szCs w:val="20"/>
                <w:lang w:eastAsia="es-MX"/>
              </w:rPr>
              <w:t>Código proyecto</w:t>
            </w:r>
          </w:p>
        </w:tc>
        <w:tc>
          <w:tcPr>
            <w:tcW w:w="5166" w:type="dxa"/>
            <w:shd w:val="clear" w:color="auto" w:fill="auto"/>
            <w:noWrap/>
            <w:vAlign w:val="center"/>
            <w:hideMark/>
          </w:tcPr>
          <w:p w14:paraId="48F616D3" w14:textId="77777777" w:rsidR="00717A21" w:rsidRPr="006B671F" w:rsidRDefault="00717A21" w:rsidP="00470705">
            <w:pPr>
              <w:spacing w:before="100" w:beforeAutospacing="1" w:after="100" w:afterAutospacing="1"/>
              <w:jc w:val="center"/>
              <w:rPr>
                <w:rFonts w:cs="Calibri"/>
                <w:b/>
                <w:bCs/>
                <w:color w:val="000000"/>
                <w:sz w:val="20"/>
                <w:szCs w:val="20"/>
                <w:lang w:eastAsia="es-MX"/>
              </w:rPr>
            </w:pPr>
            <w:r w:rsidRPr="006B671F">
              <w:rPr>
                <w:rFonts w:cs="Calibri"/>
                <w:b/>
                <w:bCs/>
                <w:color w:val="000000"/>
                <w:sz w:val="20"/>
                <w:szCs w:val="20"/>
                <w:lang w:eastAsia="es-MX"/>
              </w:rPr>
              <w:t>Nombre del proyecto</w:t>
            </w:r>
          </w:p>
        </w:tc>
        <w:tc>
          <w:tcPr>
            <w:tcW w:w="1413" w:type="dxa"/>
            <w:shd w:val="clear" w:color="auto" w:fill="auto"/>
            <w:noWrap/>
            <w:vAlign w:val="center"/>
            <w:hideMark/>
          </w:tcPr>
          <w:p w14:paraId="3D01BB31" w14:textId="77777777" w:rsidR="00717A21" w:rsidRPr="006B671F" w:rsidRDefault="00717A21" w:rsidP="00470705">
            <w:pPr>
              <w:spacing w:before="100" w:beforeAutospacing="1" w:after="100" w:afterAutospacing="1"/>
              <w:jc w:val="center"/>
              <w:rPr>
                <w:rFonts w:cs="Calibri"/>
                <w:b/>
                <w:bCs/>
                <w:color w:val="000000"/>
                <w:sz w:val="20"/>
                <w:szCs w:val="20"/>
                <w:lang w:eastAsia="es-MX"/>
              </w:rPr>
            </w:pPr>
            <w:r w:rsidRPr="006B671F">
              <w:rPr>
                <w:rFonts w:cs="Calibri"/>
                <w:b/>
                <w:bCs/>
                <w:color w:val="000000"/>
                <w:sz w:val="20"/>
                <w:szCs w:val="20"/>
                <w:lang w:eastAsia="es-MX"/>
              </w:rPr>
              <w:t>Año entrada operación</w:t>
            </w:r>
          </w:p>
        </w:tc>
      </w:tr>
      <w:tr w:rsidR="00717A21" w:rsidRPr="006B671F" w14:paraId="5B269DA1" w14:textId="77777777" w:rsidTr="0038772A">
        <w:trPr>
          <w:trHeight w:val="300"/>
        </w:trPr>
        <w:tc>
          <w:tcPr>
            <w:tcW w:w="2767" w:type="dxa"/>
            <w:shd w:val="clear" w:color="auto" w:fill="auto"/>
            <w:noWrap/>
            <w:vAlign w:val="center"/>
            <w:hideMark/>
          </w:tcPr>
          <w:p w14:paraId="23CA1E24"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E-LIN-PRTE</w:t>
            </w:r>
          </w:p>
        </w:tc>
        <w:tc>
          <w:tcPr>
            <w:tcW w:w="5166" w:type="dxa"/>
            <w:shd w:val="clear" w:color="auto" w:fill="auto"/>
            <w:noWrap/>
            <w:vAlign w:val="center"/>
            <w:hideMark/>
          </w:tcPr>
          <w:p w14:paraId="1BF301A1" w14:textId="77777777" w:rsidR="00717A21" w:rsidRPr="00B70D3B" w:rsidRDefault="00717A21" w:rsidP="00470705">
            <w:pPr>
              <w:spacing w:before="100" w:beforeAutospacing="1" w:after="100" w:afterAutospacing="1"/>
              <w:jc w:val="left"/>
              <w:rPr>
                <w:rFonts w:cs="Calibri"/>
                <w:color w:val="000000"/>
                <w:sz w:val="20"/>
                <w:szCs w:val="20"/>
                <w:lang w:val="pt-PT" w:eastAsia="es-MX"/>
              </w:rPr>
            </w:pPr>
            <w:r w:rsidRPr="00B70D3B">
              <w:rPr>
                <w:rFonts w:cs="Calibri"/>
                <w:color w:val="000000"/>
                <w:sz w:val="20"/>
                <w:szCs w:val="20"/>
                <w:lang w:val="pt-PT" w:eastAsia="es-MX"/>
              </w:rPr>
              <w:t>RECONFI PRADO-NATA-TENAY 115KV</w:t>
            </w:r>
          </w:p>
        </w:tc>
        <w:tc>
          <w:tcPr>
            <w:tcW w:w="1413" w:type="dxa"/>
            <w:shd w:val="clear" w:color="auto" w:fill="auto"/>
            <w:noWrap/>
            <w:vAlign w:val="center"/>
            <w:hideMark/>
          </w:tcPr>
          <w:p w14:paraId="2EA3C0C2"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2026</w:t>
            </w:r>
          </w:p>
        </w:tc>
      </w:tr>
      <w:tr w:rsidR="00717A21" w:rsidRPr="006B671F" w14:paraId="7369C17D" w14:textId="77777777" w:rsidTr="0038772A">
        <w:trPr>
          <w:trHeight w:val="300"/>
        </w:trPr>
        <w:tc>
          <w:tcPr>
            <w:tcW w:w="2767" w:type="dxa"/>
            <w:shd w:val="clear" w:color="auto" w:fill="auto"/>
            <w:noWrap/>
            <w:vAlign w:val="center"/>
            <w:hideMark/>
          </w:tcPr>
          <w:p w14:paraId="737A0A71"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CELSIATOL-EXP-TR-SAN-FELIPE-220-115-2023</w:t>
            </w:r>
          </w:p>
        </w:tc>
        <w:tc>
          <w:tcPr>
            <w:tcW w:w="5166" w:type="dxa"/>
            <w:shd w:val="clear" w:color="auto" w:fill="auto"/>
            <w:noWrap/>
            <w:vAlign w:val="center"/>
            <w:hideMark/>
          </w:tcPr>
          <w:p w14:paraId="2BEF92E7"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SEGUNDO ATR SAN FELIPE 220/115KV</w:t>
            </w:r>
          </w:p>
        </w:tc>
        <w:tc>
          <w:tcPr>
            <w:tcW w:w="1413" w:type="dxa"/>
            <w:shd w:val="clear" w:color="auto" w:fill="auto"/>
            <w:noWrap/>
            <w:vAlign w:val="center"/>
            <w:hideMark/>
          </w:tcPr>
          <w:p w14:paraId="5819DE15"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2023</w:t>
            </w:r>
          </w:p>
        </w:tc>
      </w:tr>
      <w:tr w:rsidR="00717A21" w:rsidRPr="006B671F" w14:paraId="76D7D361" w14:textId="77777777" w:rsidTr="0038772A">
        <w:trPr>
          <w:trHeight w:val="300"/>
        </w:trPr>
        <w:tc>
          <w:tcPr>
            <w:tcW w:w="2767" w:type="dxa"/>
            <w:shd w:val="clear" w:color="auto" w:fill="auto"/>
            <w:noWrap/>
            <w:vAlign w:val="center"/>
            <w:hideMark/>
          </w:tcPr>
          <w:p w14:paraId="3B30CDE6" w14:textId="77777777" w:rsidR="00717A21" w:rsidRPr="00B70D3B" w:rsidRDefault="00717A21" w:rsidP="00470705">
            <w:pPr>
              <w:spacing w:before="100" w:beforeAutospacing="1" w:after="100" w:afterAutospacing="1"/>
              <w:jc w:val="left"/>
              <w:rPr>
                <w:rFonts w:cs="Calibri"/>
                <w:color w:val="000000"/>
                <w:sz w:val="20"/>
                <w:szCs w:val="20"/>
                <w:lang w:val="pt-PT" w:eastAsia="es-MX"/>
              </w:rPr>
            </w:pPr>
            <w:r w:rsidRPr="00B70D3B">
              <w:rPr>
                <w:rFonts w:cs="Calibri"/>
                <w:color w:val="000000"/>
                <w:sz w:val="20"/>
                <w:szCs w:val="20"/>
                <w:lang w:val="pt-PT" w:eastAsia="es-MX"/>
              </w:rPr>
              <w:t>CELSIATOL-EXP-LIN-MIROLINDO-BRISAS-115-2023</w:t>
            </w:r>
          </w:p>
        </w:tc>
        <w:tc>
          <w:tcPr>
            <w:tcW w:w="5166" w:type="dxa"/>
            <w:shd w:val="clear" w:color="auto" w:fill="auto"/>
            <w:noWrap/>
            <w:vAlign w:val="center"/>
            <w:hideMark/>
          </w:tcPr>
          <w:p w14:paraId="5A57C333"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LÍNEA MIROLINDO - BRISAS 2 115KV</w:t>
            </w:r>
          </w:p>
        </w:tc>
        <w:tc>
          <w:tcPr>
            <w:tcW w:w="1413" w:type="dxa"/>
            <w:shd w:val="clear" w:color="auto" w:fill="auto"/>
            <w:noWrap/>
            <w:vAlign w:val="center"/>
            <w:hideMark/>
          </w:tcPr>
          <w:p w14:paraId="2F414A9A"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2023</w:t>
            </w:r>
          </w:p>
        </w:tc>
      </w:tr>
      <w:tr w:rsidR="00717A21" w:rsidRPr="006B671F" w14:paraId="4C580571" w14:textId="77777777" w:rsidTr="0038772A">
        <w:trPr>
          <w:trHeight w:val="300"/>
        </w:trPr>
        <w:tc>
          <w:tcPr>
            <w:tcW w:w="2767" w:type="dxa"/>
            <w:shd w:val="clear" w:color="auto" w:fill="auto"/>
            <w:noWrap/>
            <w:vAlign w:val="center"/>
            <w:hideMark/>
          </w:tcPr>
          <w:p w14:paraId="50D528FC"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CELSIATOL-EXP-SUB-SALADO-115-2024</w:t>
            </w:r>
          </w:p>
        </w:tc>
        <w:tc>
          <w:tcPr>
            <w:tcW w:w="5166" w:type="dxa"/>
            <w:shd w:val="clear" w:color="auto" w:fill="auto"/>
            <w:noWrap/>
            <w:vAlign w:val="center"/>
            <w:hideMark/>
          </w:tcPr>
          <w:p w14:paraId="1C922DA1" w14:textId="77777777" w:rsidR="00717A21" w:rsidRPr="00B70D3B" w:rsidRDefault="00717A21" w:rsidP="00470705">
            <w:pPr>
              <w:spacing w:before="100" w:beforeAutospacing="1" w:after="100" w:afterAutospacing="1"/>
              <w:jc w:val="left"/>
              <w:rPr>
                <w:rFonts w:cs="Calibri"/>
                <w:color w:val="000000"/>
                <w:sz w:val="20"/>
                <w:szCs w:val="20"/>
                <w:lang w:val="pt-PT" w:eastAsia="es-MX"/>
              </w:rPr>
            </w:pPr>
            <w:r w:rsidRPr="00B70D3B">
              <w:rPr>
                <w:rFonts w:cs="Calibri"/>
                <w:color w:val="000000"/>
                <w:sz w:val="20"/>
                <w:szCs w:val="20"/>
                <w:lang w:val="pt-PT" w:eastAsia="es-MX"/>
              </w:rPr>
              <w:t>S/E ARREBOLES 115KV (SALADO ETAPA1)</w:t>
            </w:r>
          </w:p>
        </w:tc>
        <w:tc>
          <w:tcPr>
            <w:tcW w:w="1413" w:type="dxa"/>
            <w:shd w:val="clear" w:color="auto" w:fill="auto"/>
            <w:noWrap/>
            <w:vAlign w:val="center"/>
            <w:hideMark/>
          </w:tcPr>
          <w:p w14:paraId="3FAC341D"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2024</w:t>
            </w:r>
          </w:p>
        </w:tc>
      </w:tr>
      <w:tr w:rsidR="00717A21" w:rsidRPr="006B671F" w14:paraId="183AFAAA" w14:textId="77777777" w:rsidTr="0038772A">
        <w:trPr>
          <w:trHeight w:val="300"/>
        </w:trPr>
        <w:tc>
          <w:tcPr>
            <w:tcW w:w="2767" w:type="dxa"/>
            <w:shd w:val="clear" w:color="auto" w:fill="auto"/>
            <w:noWrap/>
            <w:vAlign w:val="center"/>
            <w:hideMark/>
          </w:tcPr>
          <w:p w14:paraId="67D58FC6" w14:textId="77777777" w:rsidR="00717A21" w:rsidRPr="00B70D3B" w:rsidRDefault="00717A21" w:rsidP="00470705">
            <w:pPr>
              <w:spacing w:before="100" w:beforeAutospacing="1" w:after="100" w:afterAutospacing="1"/>
              <w:jc w:val="left"/>
              <w:rPr>
                <w:rFonts w:cs="Calibri"/>
                <w:color w:val="000000"/>
                <w:sz w:val="20"/>
                <w:szCs w:val="20"/>
                <w:lang w:val="pt-PT" w:eastAsia="es-MX"/>
              </w:rPr>
            </w:pPr>
            <w:r w:rsidRPr="00B70D3B">
              <w:rPr>
                <w:rFonts w:cs="Calibri"/>
                <w:color w:val="000000"/>
                <w:sz w:val="20"/>
                <w:szCs w:val="20"/>
                <w:lang w:val="pt-PT" w:eastAsia="es-MX"/>
              </w:rPr>
              <w:t>CELSIATOL-EXP-SUB-Escobal-115KV-2024</w:t>
            </w:r>
          </w:p>
        </w:tc>
        <w:tc>
          <w:tcPr>
            <w:tcW w:w="5166" w:type="dxa"/>
            <w:shd w:val="clear" w:color="auto" w:fill="auto"/>
            <w:noWrap/>
            <w:vAlign w:val="center"/>
            <w:hideMark/>
          </w:tcPr>
          <w:p w14:paraId="06F982F6" w14:textId="77777777" w:rsidR="00717A21" w:rsidRPr="00B70D3B" w:rsidRDefault="00717A21" w:rsidP="00470705">
            <w:pPr>
              <w:spacing w:before="100" w:beforeAutospacing="1" w:after="100" w:afterAutospacing="1"/>
              <w:jc w:val="left"/>
              <w:rPr>
                <w:rFonts w:cs="Calibri"/>
                <w:color w:val="000000"/>
                <w:sz w:val="20"/>
                <w:szCs w:val="20"/>
                <w:lang w:val="pt-PT" w:eastAsia="es-MX"/>
              </w:rPr>
            </w:pPr>
            <w:r w:rsidRPr="00B70D3B">
              <w:rPr>
                <w:rFonts w:cs="Calibri"/>
                <w:color w:val="000000"/>
                <w:sz w:val="20"/>
                <w:szCs w:val="20"/>
                <w:lang w:val="pt-PT" w:eastAsia="es-MX"/>
              </w:rPr>
              <w:t>S/E ESCOBAL 115KV (ETAPA1)</w:t>
            </w:r>
          </w:p>
        </w:tc>
        <w:tc>
          <w:tcPr>
            <w:tcW w:w="1413" w:type="dxa"/>
            <w:shd w:val="clear" w:color="auto" w:fill="auto"/>
            <w:noWrap/>
            <w:vAlign w:val="center"/>
            <w:hideMark/>
          </w:tcPr>
          <w:p w14:paraId="2A2994B7"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2024</w:t>
            </w:r>
          </w:p>
        </w:tc>
      </w:tr>
      <w:tr w:rsidR="00717A21" w:rsidRPr="006B671F" w14:paraId="122B2735" w14:textId="77777777" w:rsidTr="0038772A">
        <w:trPr>
          <w:trHeight w:val="300"/>
        </w:trPr>
        <w:tc>
          <w:tcPr>
            <w:tcW w:w="2767" w:type="dxa"/>
            <w:shd w:val="clear" w:color="auto" w:fill="auto"/>
            <w:noWrap/>
            <w:vAlign w:val="center"/>
            <w:hideMark/>
          </w:tcPr>
          <w:p w14:paraId="29AEF87E"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CELSIATOL-EXP-LIN-FACTS-CAJAMARCA-REGIVIT115</w:t>
            </w:r>
          </w:p>
        </w:tc>
        <w:tc>
          <w:tcPr>
            <w:tcW w:w="5166" w:type="dxa"/>
            <w:shd w:val="clear" w:color="auto" w:fill="auto"/>
            <w:noWrap/>
            <w:vAlign w:val="center"/>
            <w:hideMark/>
          </w:tcPr>
          <w:p w14:paraId="387FBE1C"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FACTS CAJAMARCA - REGIVIT 115 KV</w:t>
            </w:r>
          </w:p>
        </w:tc>
        <w:tc>
          <w:tcPr>
            <w:tcW w:w="1413" w:type="dxa"/>
            <w:shd w:val="clear" w:color="auto" w:fill="auto"/>
            <w:noWrap/>
            <w:vAlign w:val="center"/>
            <w:hideMark/>
          </w:tcPr>
          <w:p w14:paraId="3AA2C9F9"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2024</w:t>
            </w:r>
          </w:p>
        </w:tc>
      </w:tr>
      <w:tr w:rsidR="00717A21" w:rsidRPr="006B671F" w14:paraId="52768EF2" w14:textId="77777777" w:rsidTr="0038772A">
        <w:trPr>
          <w:trHeight w:val="300"/>
        </w:trPr>
        <w:tc>
          <w:tcPr>
            <w:tcW w:w="2767" w:type="dxa"/>
            <w:shd w:val="clear" w:color="auto" w:fill="auto"/>
            <w:noWrap/>
            <w:vAlign w:val="center"/>
            <w:hideMark/>
          </w:tcPr>
          <w:p w14:paraId="1C8BD640"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CELSIATOL-EXP-SUB-PERALES-115KV-2025</w:t>
            </w:r>
          </w:p>
        </w:tc>
        <w:tc>
          <w:tcPr>
            <w:tcW w:w="5166" w:type="dxa"/>
            <w:shd w:val="clear" w:color="auto" w:fill="auto"/>
            <w:noWrap/>
            <w:vAlign w:val="center"/>
            <w:hideMark/>
          </w:tcPr>
          <w:p w14:paraId="3BA71F5B"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S/E PERALES 115/34,5/13,2KV</w:t>
            </w:r>
          </w:p>
        </w:tc>
        <w:tc>
          <w:tcPr>
            <w:tcW w:w="1413" w:type="dxa"/>
            <w:shd w:val="clear" w:color="auto" w:fill="auto"/>
            <w:noWrap/>
            <w:vAlign w:val="center"/>
            <w:hideMark/>
          </w:tcPr>
          <w:p w14:paraId="3E3355FD"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2025</w:t>
            </w:r>
          </w:p>
        </w:tc>
      </w:tr>
      <w:tr w:rsidR="00717A21" w:rsidRPr="006B671F" w14:paraId="0AFDB0BD" w14:textId="77777777" w:rsidTr="0038772A">
        <w:trPr>
          <w:trHeight w:val="300"/>
        </w:trPr>
        <w:tc>
          <w:tcPr>
            <w:tcW w:w="2767" w:type="dxa"/>
            <w:shd w:val="clear" w:color="auto" w:fill="auto"/>
            <w:noWrap/>
            <w:vAlign w:val="center"/>
            <w:hideMark/>
          </w:tcPr>
          <w:p w14:paraId="2956B10F"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E_AMP_SD2</w:t>
            </w:r>
          </w:p>
        </w:tc>
        <w:tc>
          <w:tcPr>
            <w:tcW w:w="5166" w:type="dxa"/>
            <w:shd w:val="clear" w:color="auto" w:fill="auto"/>
            <w:noWrap/>
            <w:vAlign w:val="center"/>
            <w:hideMark/>
          </w:tcPr>
          <w:p w14:paraId="7DD34970"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 xml:space="preserve">S/E ARREBOLES 115/34,5/13,2KV </w:t>
            </w:r>
          </w:p>
        </w:tc>
        <w:tc>
          <w:tcPr>
            <w:tcW w:w="1413" w:type="dxa"/>
            <w:shd w:val="clear" w:color="auto" w:fill="auto"/>
            <w:noWrap/>
            <w:vAlign w:val="center"/>
            <w:hideMark/>
          </w:tcPr>
          <w:p w14:paraId="3CB51BF1"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2025</w:t>
            </w:r>
          </w:p>
        </w:tc>
      </w:tr>
      <w:tr w:rsidR="00717A21" w:rsidRPr="006B671F" w14:paraId="0A4818D6" w14:textId="77777777" w:rsidTr="0038772A">
        <w:trPr>
          <w:trHeight w:val="300"/>
        </w:trPr>
        <w:tc>
          <w:tcPr>
            <w:tcW w:w="2767" w:type="dxa"/>
            <w:shd w:val="clear" w:color="auto" w:fill="auto"/>
            <w:noWrap/>
            <w:vAlign w:val="center"/>
            <w:hideMark/>
          </w:tcPr>
          <w:p w14:paraId="41720160"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E_AMP_EC1</w:t>
            </w:r>
          </w:p>
        </w:tc>
        <w:tc>
          <w:tcPr>
            <w:tcW w:w="5166" w:type="dxa"/>
            <w:shd w:val="clear" w:color="auto" w:fill="auto"/>
            <w:noWrap/>
            <w:vAlign w:val="center"/>
            <w:hideMark/>
          </w:tcPr>
          <w:p w14:paraId="4DAB9AFD" w14:textId="77777777" w:rsidR="00717A21" w:rsidRPr="00B70D3B" w:rsidRDefault="00717A21" w:rsidP="00470705">
            <w:pPr>
              <w:spacing w:before="100" w:beforeAutospacing="1" w:after="100" w:afterAutospacing="1"/>
              <w:jc w:val="left"/>
              <w:rPr>
                <w:rFonts w:cs="Calibri"/>
                <w:color w:val="000000"/>
                <w:sz w:val="20"/>
                <w:szCs w:val="20"/>
                <w:lang w:val="pt-PT" w:eastAsia="es-MX"/>
              </w:rPr>
            </w:pPr>
            <w:r w:rsidRPr="00B70D3B">
              <w:rPr>
                <w:rFonts w:cs="Calibri"/>
                <w:color w:val="000000"/>
                <w:sz w:val="20"/>
                <w:szCs w:val="20"/>
                <w:lang w:val="pt-PT" w:eastAsia="es-MX"/>
              </w:rPr>
              <w:t>S/E ESCOBAL 115/34,5/13,2KV (ETAPA2)</w:t>
            </w:r>
          </w:p>
        </w:tc>
        <w:tc>
          <w:tcPr>
            <w:tcW w:w="1413" w:type="dxa"/>
            <w:shd w:val="clear" w:color="auto" w:fill="auto"/>
            <w:noWrap/>
            <w:vAlign w:val="center"/>
            <w:hideMark/>
          </w:tcPr>
          <w:p w14:paraId="3F53BB60"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2025</w:t>
            </w:r>
          </w:p>
        </w:tc>
      </w:tr>
      <w:tr w:rsidR="00717A21" w:rsidRPr="006B671F" w14:paraId="3E6B1ACD" w14:textId="77777777" w:rsidTr="0038772A">
        <w:trPr>
          <w:trHeight w:val="300"/>
        </w:trPr>
        <w:tc>
          <w:tcPr>
            <w:tcW w:w="2767" w:type="dxa"/>
            <w:shd w:val="clear" w:color="auto" w:fill="auto"/>
            <w:noWrap/>
            <w:vAlign w:val="center"/>
            <w:hideMark/>
          </w:tcPr>
          <w:p w14:paraId="0AED7DBF"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R_AMP_GD</w:t>
            </w:r>
          </w:p>
        </w:tc>
        <w:tc>
          <w:tcPr>
            <w:tcW w:w="5166" w:type="dxa"/>
            <w:shd w:val="clear" w:color="auto" w:fill="auto"/>
            <w:noWrap/>
            <w:vAlign w:val="center"/>
            <w:hideMark/>
          </w:tcPr>
          <w:p w14:paraId="53FDBE1C"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REPOTENCIACIÓN TF1 Y TF2 GUALANDAY</w:t>
            </w:r>
          </w:p>
        </w:tc>
        <w:tc>
          <w:tcPr>
            <w:tcW w:w="1413" w:type="dxa"/>
            <w:shd w:val="clear" w:color="auto" w:fill="auto"/>
            <w:noWrap/>
            <w:vAlign w:val="center"/>
            <w:hideMark/>
          </w:tcPr>
          <w:p w14:paraId="3209D632"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2026</w:t>
            </w:r>
          </w:p>
        </w:tc>
      </w:tr>
      <w:tr w:rsidR="00717A21" w:rsidRPr="006B671F" w14:paraId="71EE8590" w14:textId="77777777" w:rsidTr="0038772A">
        <w:trPr>
          <w:trHeight w:val="300"/>
        </w:trPr>
        <w:tc>
          <w:tcPr>
            <w:tcW w:w="2767" w:type="dxa"/>
            <w:shd w:val="clear" w:color="auto" w:fill="auto"/>
            <w:noWrap/>
            <w:vAlign w:val="center"/>
            <w:hideMark/>
          </w:tcPr>
          <w:p w14:paraId="2DEFEDC2"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EXP-UCSE-NT4-Y1</w:t>
            </w:r>
          </w:p>
        </w:tc>
        <w:tc>
          <w:tcPr>
            <w:tcW w:w="5166" w:type="dxa"/>
            <w:shd w:val="clear" w:color="auto" w:fill="auto"/>
            <w:noWrap/>
            <w:vAlign w:val="center"/>
            <w:hideMark/>
          </w:tcPr>
          <w:p w14:paraId="688109A9" w14:textId="19FE25DA" w:rsidR="00717A21" w:rsidRPr="006B671F" w:rsidRDefault="006C4AB6"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Instalación</w:t>
            </w:r>
            <w:r w:rsidR="00717A21" w:rsidRPr="006B671F">
              <w:rPr>
                <w:rFonts w:cs="Calibri"/>
                <w:color w:val="000000"/>
                <w:sz w:val="20"/>
                <w:szCs w:val="20"/>
                <w:lang w:eastAsia="es-MX"/>
              </w:rPr>
              <w:t xml:space="preserve">  Unidades Constructivas </w:t>
            </w:r>
            <w:r w:rsidRPr="006B671F">
              <w:rPr>
                <w:rFonts w:cs="Calibri"/>
                <w:color w:val="000000"/>
                <w:sz w:val="20"/>
                <w:szCs w:val="20"/>
                <w:lang w:eastAsia="es-MX"/>
              </w:rPr>
              <w:t>Subestación</w:t>
            </w:r>
          </w:p>
        </w:tc>
        <w:tc>
          <w:tcPr>
            <w:tcW w:w="1413" w:type="dxa"/>
            <w:shd w:val="clear" w:color="auto" w:fill="auto"/>
            <w:noWrap/>
            <w:vAlign w:val="center"/>
            <w:hideMark/>
          </w:tcPr>
          <w:p w14:paraId="45DE083A"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2023</w:t>
            </w:r>
          </w:p>
        </w:tc>
      </w:tr>
      <w:tr w:rsidR="00717A21" w:rsidRPr="006B671F" w14:paraId="581AF647" w14:textId="77777777" w:rsidTr="0038772A">
        <w:trPr>
          <w:trHeight w:val="300"/>
        </w:trPr>
        <w:tc>
          <w:tcPr>
            <w:tcW w:w="2767" w:type="dxa"/>
            <w:shd w:val="clear" w:color="auto" w:fill="auto"/>
            <w:noWrap/>
            <w:vAlign w:val="center"/>
            <w:hideMark/>
          </w:tcPr>
          <w:p w14:paraId="6686E61D"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EXP-UCSE-NT4-Y3</w:t>
            </w:r>
          </w:p>
        </w:tc>
        <w:tc>
          <w:tcPr>
            <w:tcW w:w="5166" w:type="dxa"/>
            <w:shd w:val="clear" w:color="auto" w:fill="auto"/>
            <w:noWrap/>
            <w:vAlign w:val="center"/>
            <w:hideMark/>
          </w:tcPr>
          <w:p w14:paraId="6036C9AA" w14:textId="5B12EF6C" w:rsidR="00717A21" w:rsidRPr="006B671F" w:rsidRDefault="006C4AB6"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Instalación</w:t>
            </w:r>
            <w:r w:rsidR="00717A21" w:rsidRPr="006B671F">
              <w:rPr>
                <w:rFonts w:cs="Calibri"/>
                <w:color w:val="000000"/>
                <w:sz w:val="20"/>
                <w:szCs w:val="20"/>
                <w:lang w:eastAsia="es-MX"/>
              </w:rPr>
              <w:t xml:space="preserve">  Unidades Constructivas </w:t>
            </w:r>
            <w:r w:rsidRPr="006B671F">
              <w:rPr>
                <w:rFonts w:cs="Calibri"/>
                <w:color w:val="000000"/>
                <w:sz w:val="20"/>
                <w:szCs w:val="20"/>
                <w:lang w:eastAsia="es-MX"/>
              </w:rPr>
              <w:t>Subestación</w:t>
            </w:r>
          </w:p>
        </w:tc>
        <w:tc>
          <w:tcPr>
            <w:tcW w:w="1413" w:type="dxa"/>
            <w:shd w:val="clear" w:color="auto" w:fill="auto"/>
            <w:noWrap/>
            <w:vAlign w:val="center"/>
            <w:hideMark/>
          </w:tcPr>
          <w:p w14:paraId="26564ED5"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2025</w:t>
            </w:r>
          </w:p>
        </w:tc>
      </w:tr>
      <w:tr w:rsidR="00717A21" w:rsidRPr="006B671F" w14:paraId="78628DC7" w14:textId="77777777" w:rsidTr="0038772A">
        <w:trPr>
          <w:trHeight w:val="300"/>
        </w:trPr>
        <w:tc>
          <w:tcPr>
            <w:tcW w:w="2767" w:type="dxa"/>
            <w:shd w:val="clear" w:color="auto" w:fill="auto"/>
            <w:noWrap/>
            <w:vAlign w:val="center"/>
            <w:hideMark/>
          </w:tcPr>
          <w:p w14:paraId="1D66E4C7"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EXP-UCSE-NT4-Y4</w:t>
            </w:r>
          </w:p>
        </w:tc>
        <w:tc>
          <w:tcPr>
            <w:tcW w:w="5166" w:type="dxa"/>
            <w:shd w:val="clear" w:color="auto" w:fill="auto"/>
            <w:noWrap/>
            <w:vAlign w:val="center"/>
            <w:hideMark/>
          </w:tcPr>
          <w:p w14:paraId="0F6357C0" w14:textId="14535345" w:rsidR="00717A21" w:rsidRPr="006B671F" w:rsidRDefault="006C4AB6"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Instalación</w:t>
            </w:r>
            <w:r w:rsidR="00717A21" w:rsidRPr="006B671F">
              <w:rPr>
                <w:rFonts w:cs="Calibri"/>
                <w:color w:val="000000"/>
                <w:sz w:val="20"/>
                <w:szCs w:val="20"/>
                <w:lang w:eastAsia="es-MX"/>
              </w:rPr>
              <w:t xml:space="preserve">  Unidades Constructivas </w:t>
            </w:r>
            <w:r w:rsidRPr="006B671F">
              <w:rPr>
                <w:rFonts w:cs="Calibri"/>
                <w:color w:val="000000"/>
                <w:sz w:val="20"/>
                <w:szCs w:val="20"/>
                <w:lang w:eastAsia="es-MX"/>
              </w:rPr>
              <w:t>Subestación</w:t>
            </w:r>
          </w:p>
        </w:tc>
        <w:tc>
          <w:tcPr>
            <w:tcW w:w="1413" w:type="dxa"/>
            <w:shd w:val="clear" w:color="auto" w:fill="auto"/>
            <w:noWrap/>
            <w:vAlign w:val="center"/>
            <w:hideMark/>
          </w:tcPr>
          <w:p w14:paraId="09B824A5"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2026</w:t>
            </w:r>
          </w:p>
        </w:tc>
      </w:tr>
      <w:tr w:rsidR="00717A21" w:rsidRPr="006B671F" w14:paraId="28965EC6" w14:textId="77777777" w:rsidTr="0038772A">
        <w:trPr>
          <w:trHeight w:val="300"/>
        </w:trPr>
        <w:tc>
          <w:tcPr>
            <w:tcW w:w="2767" w:type="dxa"/>
            <w:shd w:val="clear" w:color="auto" w:fill="auto"/>
            <w:noWrap/>
            <w:vAlign w:val="center"/>
            <w:hideMark/>
          </w:tcPr>
          <w:p w14:paraId="77E60233"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EXP-UCSE-TC-NT4-Y2</w:t>
            </w:r>
          </w:p>
        </w:tc>
        <w:tc>
          <w:tcPr>
            <w:tcW w:w="5166" w:type="dxa"/>
            <w:shd w:val="clear" w:color="auto" w:fill="auto"/>
            <w:noWrap/>
            <w:vAlign w:val="center"/>
            <w:hideMark/>
          </w:tcPr>
          <w:p w14:paraId="4DEF68EB" w14:textId="487DF2D4" w:rsidR="00717A21" w:rsidRPr="006B671F" w:rsidRDefault="006C4AB6"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Instalación</w:t>
            </w:r>
            <w:r w:rsidR="00717A21" w:rsidRPr="006B671F">
              <w:rPr>
                <w:rFonts w:cs="Calibri"/>
                <w:color w:val="000000"/>
                <w:sz w:val="20"/>
                <w:szCs w:val="20"/>
                <w:lang w:eastAsia="es-MX"/>
              </w:rPr>
              <w:t xml:space="preserve"> de Transformadores de </w:t>
            </w:r>
            <w:r w:rsidRPr="006B671F">
              <w:rPr>
                <w:rFonts w:cs="Calibri"/>
                <w:color w:val="000000"/>
                <w:sz w:val="20"/>
                <w:szCs w:val="20"/>
                <w:lang w:eastAsia="es-MX"/>
              </w:rPr>
              <w:t>tensión</w:t>
            </w:r>
          </w:p>
        </w:tc>
        <w:tc>
          <w:tcPr>
            <w:tcW w:w="1413" w:type="dxa"/>
            <w:shd w:val="clear" w:color="auto" w:fill="auto"/>
            <w:noWrap/>
            <w:vAlign w:val="center"/>
            <w:hideMark/>
          </w:tcPr>
          <w:p w14:paraId="557C9CC0"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2024</w:t>
            </w:r>
          </w:p>
        </w:tc>
      </w:tr>
      <w:tr w:rsidR="00717A21" w:rsidRPr="006B671F" w14:paraId="19C4E62F" w14:textId="77777777" w:rsidTr="0038772A">
        <w:trPr>
          <w:trHeight w:val="300"/>
        </w:trPr>
        <w:tc>
          <w:tcPr>
            <w:tcW w:w="2767" w:type="dxa"/>
            <w:shd w:val="clear" w:color="auto" w:fill="auto"/>
            <w:noWrap/>
            <w:vAlign w:val="center"/>
            <w:hideMark/>
          </w:tcPr>
          <w:p w14:paraId="2BBE906C"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EXP-UCSE-TC-NT4-Y3</w:t>
            </w:r>
          </w:p>
        </w:tc>
        <w:tc>
          <w:tcPr>
            <w:tcW w:w="5166" w:type="dxa"/>
            <w:shd w:val="clear" w:color="auto" w:fill="auto"/>
            <w:noWrap/>
            <w:vAlign w:val="center"/>
            <w:hideMark/>
          </w:tcPr>
          <w:p w14:paraId="48B74571" w14:textId="0E21EE35" w:rsidR="00717A21" w:rsidRPr="006B671F" w:rsidRDefault="006C4AB6"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Instalación</w:t>
            </w:r>
            <w:r w:rsidR="00717A21" w:rsidRPr="006B671F">
              <w:rPr>
                <w:rFonts w:cs="Calibri"/>
                <w:color w:val="000000"/>
                <w:sz w:val="20"/>
                <w:szCs w:val="20"/>
                <w:lang w:eastAsia="es-MX"/>
              </w:rPr>
              <w:t xml:space="preserve"> de Transformadores de </w:t>
            </w:r>
            <w:r w:rsidRPr="006B671F">
              <w:rPr>
                <w:rFonts w:cs="Calibri"/>
                <w:color w:val="000000"/>
                <w:sz w:val="20"/>
                <w:szCs w:val="20"/>
                <w:lang w:eastAsia="es-MX"/>
              </w:rPr>
              <w:t>tensión</w:t>
            </w:r>
          </w:p>
        </w:tc>
        <w:tc>
          <w:tcPr>
            <w:tcW w:w="1413" w:type="dxa"/>
            <w:shd w:val="clear" w:color="auto" w:fill="auto"/>
            <w:noWrap/>
            <w:vAlign w:val="center"/>
            <w:hideMark/>
          </w:tcPr>
          <w:p w14:paraId="6E1E4188"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2025</w:t>
            </w:r>
          </w:p>
        </w:tc>
      </w:tr>
      <w:tr w:rsidR="00717A21" w:rsidRPr="006B671F" w14:paraId="70C9BF6C" w14:textId="77777777" w:rsidTr="0038772A">
        <w:trPr>
          <w:trHeight w:val="300"/>
        </w:trPr>
        <w:tc>
          <w:tcPr>
            <w:tcW w:w="2767" w:type="dxa"/>
            <w:shd w:val="clear" w:color="auto" w:fill="auto"/>
            <w:noWrap/>
            <w:vAlign w:val="center"/>
            <w:hideMark/>
          </w:tcPr>
          <w:p w14:paraId="31BF6294"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EXP-EQSE-PT-NT4-Y1</w:t>
            </w:r>
          </w:p>
        </w:tc>
        <w:tc>
          <w:tcPr>
            <w:tcW w:w="5166" w:type="dxa"/>
            <w:shd w:val="clear" w:color="auto" w:fill="auto"/>
            <w:noWrap/>
            <w:vAlign w:val="center"/>
            <w:hideMark/>
          </w:tcPr>
          <w:p w14:paraId="1635A8E0" w14:textId="3BFDCB37" w:rsidR="00717A21" w:rsidRPr="006B671F" w:rsidRDefault="006C4AB6"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Instalación</w:t>
            </w:r>
            <w:r w:rsidR="00717A21" w:rsidRPr="006B671F">
              <w:rPr>
                <w:rFonts w:cs="Calibri"/>
                <w:color w:val="000000"/>
                <w:sz w:val="20"/>
                <w:szCs w:val="20"/>
                <w:lang w:eastAsia="es-MX"/>
              </w:rPr>
              <w:t xml:space="preserve"> de Transformadores de </w:t>
            </w:r>
            <w:r w:rsidRPr="006B671F">
              <w:rPr>
                <w:rFonts w:cs="Calibri"/>
                <w:color w:val="000000"/>
                <w:sz w:val="20"/>
                <w:szCs w:val="20"/>
                <w:lang w:eastAsia="es-MX"/>
              </w:rPr>
              <w:t>tensión</w:t>
            </w:r>
          </w:p>
        </w:tc>
        <w:tc>
          <w:tcPr>
            <w:tcW w:w="1413" w:type="dxa"/>
            <w:shd w:val="clear" w:color="auto" w:fill="auto"/>
            <w:noWrap/>
            <w:vAlign w:val="center"/>
            <w:hideMark/>
          </w:tcPr>
          <w:p w14:paraId="61F43608"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2023</w:t>
            </w:r>
          </w:p>
        </w:tc>
      </w:tr>
      <w:tr w:rsidR="00717A21" w:rsidRPr="006B671F" w14:paraId="39928EED" w14:textId="77777777" w:rsidTr="0038772A">
        <w:trPr>
          <w:trHeight w:val="300"/>
        </w:trPr>
        <w:tc>
          <w:tcPr>
            <w:tcW w:w="2767" w:type="dxa"/>
            <w:shd w:val="clear" w:color="auto" w:fill="auto"/>
            <w:noWrap/>
            <w:vAlign w:val="center"/>
            <w:hideMark/>
          </w:tcPr>
          <w:p w14:paraId="06C18F5E"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EXP-EQSE-PT-NT5-Y2</w:t>
            </w:r>
          </w:p>
        </w:tc>
        <w:tc>
          <w:tcPr>
            <w:tcW w:w="5166" w:type="dxa"/>
            <w:shd w:val="clear" w:color="auto" w:fill="auto"/>
            <w:noWrap/>
            <w:vAlign w:val="center"/>
            <w:hideMark/>
          </w:tcPr>
          <w:p w14:paraId="4AA5C9A9" w14:textId="7FEA78E6" w:rsidR="00717A21" w:rsidRPr="006B671F" w:rsidRDefault="006C4AB6"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Instalación</w:t>
            </w:r>
            <w:r w:rsidR="00717A21" w:rsidRPr="006B671F">
              <w:rPr>
                <w:rFonts w:cs="Calibri"/>
                <w:color w:val="000000"/>
                <w:sz w:val="20"/>
                <w:szCs w:val="20"/>
                <w:lang w:eastAsia="es-MX"/>
              </w:rPr>
              <w:t xml:space="preserve"> de Transformadores de </w:t>
            </w:r>
            <w:r w:rsidRPr="006B671F">
              <w:rPr>
                <w:rFonts w:cs="Calibri"/>
                <w:color w:val="000000"/>
                <w:sz w:val="20"/>
                <w:szCs w:val="20"/>
                <w:lang w:eastAsia="es-MX"/>
              </w:rPr>
              <w:t>tensión</w:t>
            </w:r>
          </w:p>
        </w:tc>
        <w:tc>
          <w:tcPr>
            <w:tcW w:w="1413" w:type="dxa"/>
            <w:shd w:val="clear" w:color="auto" w:fill="auto"/>
            <w:noWrap/>
            <w:vAlign w:val="center"/>
            <w:hideMark/>
          </w:tcPr>
          <w:p w14:paraId="25DA0F88"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2024</w:t>
            </w:r>
          </w:p>
        </w:tc>
      </w:tr>
      <w:tr w:rsidR="00717A21" w:rsidRPr="006B671F" w14:paraId="3C168C27" w14:textId="77777777" w:rsidTr="0038772A">
        <w:trPr>
          <w:trHeight w:val="300"/>
        </w:trPr>
        <w:tc>
          <w:tcPr>
            <w:tcW w:w="2767" w:type="dxa"/>
            <w:shd w:val="clear" w:color="auto" w:fill="auto"/>
            <w:noWrap/>
            <w:vAlign w:val="center"/>
            <w:hideMark/>
          </w:tcPr>
          <w:p w14:paraId="4681EE9E"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EXP-EQSE-PT-NT4-Y3</w:t>
            </w:r>
          </w:p>
        </w:tc>
        <w:tc>
          <w:tcPr>
            <w:tcW w:w="5166" w:type="dxa"/>
            <w:shd w:val="clear" w:color="auto" w:fill="auto"/>
            <w:noWrap/>
            <w:vAlign w:val="center"/>
            <w:hideMark/>
          </w:tcPr>
          <w:p w14:paraId="01ABF90C" w14:textId="191B734B" w:rsidR="00717A21" w:rsidRPr="006B671F" w:rsidRDefault="006C4AB6"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Instalación</w:t>
            </w:r>
            <w:r w:rsidR="00717A21" w:rsidRPr="006B671F">
              <w:rPr>
                <w:rFonts w:cs="Calibri"/>
                <w:color w:val="000000"/>
                <w:sz w:val="20"/>
                <w:szCs w:val="20"/>
                <w:lang w:eastAsia="es-MX"/>
              </w:rPr>
              <w:t xml:space="preserve"> de Transformadores de </w:t>
            </w:r>
            <w:r w:rsidRPr="006B671F">
              <w:rPr>
                <w:rFonts w:cs="Calibri"/>
                <w:color w:val="000000"/>
                <w:sz w:val="20"/>
                <w:szCs w:val="20"/>
                <w:lang w:eastAsia="es-MX"/>
              </w:rPr>
              <w:t>tensión</w:t>
            </w:r>
          </w:p>
        </w:tc>
        <w:tc>
          <w:tcPr>
            <w:tcW w:w="1413" w:type="dxa"/>
            <w:shd w:val="clear" w:color="auto" w:fill="auto"/>
            <w:noWrap/>
            <w:vAlign w:val="center"/>
            <w:hideMark/>
          </w:tcPr>
          <w:p w14:paraId="3F04F422"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2025</w:t>
            </w:r>
          </w:p>
        </w:tc>
      </w:tr>
      <w:tr w:rsidR="00717A21" w:rsidRPr="006B671F" w14:paraId="676F1ABA" w14:textId="77777777" w:rsidTr="0038772A">
        <w:trPr>
          <w:trHeight w:val="300"/>
        </w:trPr>
        <w:tc>
          <w:tcPr>
            <w:tcW w:w="2767" w:type="dxa"/>
            <w:shd w:val="clear" w:color="auto" w:fill="auto"/>
            <w:noWrap/>
            <w:vAlign w:val="center"/>
            <w:hideMark/>
          </w:tcPr>
          <w:p w14:paraId="480B78CD"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EXP-EQSE-PT-NT4-Y4</w:t>
            </w:r>
          </w:p>
        </w:tc>
        <w:tc>
          <w:tcPr>
            <w:tcW w:w="5166" w:type="dxa"/>
            <w:shd w:val="clear" w:color="auto" w:fill="auto"/>
            <w:noWrap/>
            <w:vAlign w:val="center"/>
            <w:hideMark/>
          </w:tcPr>
          <w:p w14:paraId="7B2638FF" w14:textId="480EA475" w:rsidR="00717A21" w:rsidRPr="006B671F" w:rsidRDefault="006C4AB6"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Instalación</w:t>
            </w:r>
            <w:r w:rsidR="00717A21" w:rsidRPr="006B671F">
              <w:rPr>
                <w:rFonts w:cs="Calibri"/>
                <w:color w:val="000000"/>
                <w:sz w:val="20"/>
                <w:szCs w:val="20"/>
                <w:lang w:eastAsia="es-MX"/>
              </w:rPr>
              <w:t xml:space="preserve"> de Transformadores de </w:t>
            </w:r>
            <w:r w:rsidRPr="006B671F">
              <w:rPr>
                <w:rFonts w:cs="Calibri"/>
                <w:color w:val="000000"/>
                <w:sz w:val="20"/>
                <w:szCs w:val="20"/>
                <w:lang w:eastAsia="es-MX"/>
              </w:rPr>
              <w:t>tensión</w:t>
            </w:r>
          </w:p>
        </w:tc>
        <w:tc>
          <w:tcPr>
            <w:tcW w:w="1413" w:type="dxa"/>
            <w:shd w:val="clear" w:color="auto" w:fill="auto"/>
            <w:noWrap/>
            <w:vAlign w:val="center"/>
            <w:hideMark/>
          </w:tcPr>
          <w:p w14:paraId="0AA7EE56"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2026</w:t>
            </w:r>
          </w:p>
        </w:tc>
      </w:tr>
      <w:tr w:rsidR="00717A21" w:rsidRPr="006B671F" w14:paraId="436C511F" w14:textId="77777777" w:rsidTr="0038772A">
        <w:trPr>
          <w:trHeight w:val="300"/>
        </w:trPr>
        <w:tc>
          <w:tcPr>
            <w:tcW w:w="2767" w:type="dxa"/>
            <w:shd w:val="clear" w:color="auto" w:fill="auto"/>
            <w:noWrap/>
            <w:vAlign w:val="center"/>
            <w:hideMark/>
          </w:tcPr>
          <w:p w14:paraId="2C614855"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EXP-EQSE-PT-NT4-Y5</w:t>
            </w:r>
          </w:p>
        </w:tc>
        <w:tc>
          <w:tcPr>
            <w:tcW w:w="5166" w:type="dxa"/>
            <w:shd w:val="clear" w:color="auto" w:fill="auto"/>
            <w:noWrap/>
            <w:vAlign w:val="center"/>
            <w:hideMark/>
          </w:tcPr>
          <w:p w14:paraId="2B20BAE6" w14:textId="3525CC72" w:rsidR="00717A21" w:rsidRPr="006B671F" w:rsidRDefault="006C4AB6"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Instalación</w:t>
            </w:r>
            <w:r w:rsidR="00717A21" w:rsidRPr="006B671F">
              <w:rPr>
                <w:rFonts w:cs="Calibri"/>
                <w:color w:val="000000"/>
                <w:sz w:val="20"/>
                <w:szCs w:val="20"/>
                <w:lang w:eastAsia="es-MX"/>
              </w:rPr>
              <w:t xml:space="preserve"> de Transformadores de </w:t>
            </w:r>
            <w:r w:rsidRPr="006B671F">
              <w:rPr>
                <w:rFonts w:cs="Calibri"/>
                <w:color w:val="000000"/>
                <w:sz w:val="20"/>
                <w:szCs w:val="20"/>
                <w:lang w:eastAsia="es-MX"/>
              </w:rPr>
              <w:t>tensión</w:t>
            </w:r>
          </w:p>
        </w:tc>
        <w:tc>
          <w:tcPr>
            <w:tcW w:w="1413" w:type="dxa"/>
            <w:shd w:val="clear" w:color="auto" w:fill="auto"/>
            <w:noWrap/>
            <w:vAlign w:val="center"/>
            <w:hideMark/>
          </w:tcPr>
          <w:p w14:paraId="23C1231A"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2027</w:t>
            </w:r>
          </w:p>
        </w:tc>
      </w:tr>
      <w:tr w:rsidR="00717A21" w:rsidRPr="006B671F" w14:paraId="41775E89" w14:textId="77777777" w:rsidTr="0038772A">
        <w:trPr>
          <w:trHeight w:val="300"/>
        </w:trPr>
        <w:tc>
          <w:tcPr>
            <w:tcW w:w="2767" w:type="dxa"/>
            <w:shd w:val="clear" w:color="auto" w:fill="auto"/>
            <w:noWrap/>
            <w:vAlign w:val="center"/>
            <w:hideMark/>
          </w:tcPr>
          <w:p w14:paraId="2D70E057"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SDEAI_4_25</w:t>
            </w:r>
          </w:p>
        </w:tc>
        <w:tc>
          <w:tcPr>
            <w:tcW w:w="5166" w:type="dxa"/>
            <w:shd w:val="clear" w:color="auto" w:fill="auto"/>
            <w:noWrap/>
            <w:vAlign w:val="center"/>
            <w:hideMark/>
          </w:tcPr>
          <w:p w14:paraId="5E5B276B" w14:textId="0620FCDF" w:rsidR="00717A21" w:rsidRPr="006B671F" w:rsidRDefault="006C4AB6"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Extinción</w:t>
            </w:r>
            <w:r w:rsidR="00717A21" w:rsidRPr="006B671F">
              <w:rPr>
                <w:rFonts w:cs="Calibri"/>
                <w:color w:val="000000"/>
                <w:sz w:val="20"/>
                <w:szCs w:val="20"/>
                <w:lang w:eastAsia="es-MX"/>
              </w:rPr>
              <w:t xml:space="preserve"> de incendio Sub 115</w:t>
            </w:r>
          </w:p>
        </w:tc>
        <w:tc>
          <w:tcPr>
            <w:tcW w:w="1413" w:type="dxa"/>
            <w:shd w:val="clear" w:color="auto" w:fill="auto"/>
            <w:noWrap/>
            <w:vAlign w:val="center"/>
            <w:hideMark/>
          </w:tcPr>
          <w:p w14:paraId="093E98C4"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2025</w:t>
            </w:r>
          </w:p>
        </w:tc>
      </w:tr>
      <w:tr w:rsidR="00717A21" w:rsidRPr="006B671F" w14:paraId="7101E03F" w14:textId="77777777" w:rsidTr="0038772A">
        <w:trPr>
          <w:trHeight w:val="300"/>
        </w:trPr>
        <w:tc>
          <w:tcPr>
            <w:tcW w:w="2767" w:type="dxa"/>
            <w:shd w:val="clear" w:color="auto" w:fill="auto"/>
            <w:noWrap/>
            <w:vAlign w:val="center"/>
            <w:hideMark/>
          </w:tcPr>
          <w:p w14:paraId="1B72849D"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MEUNI_24</w:t>
            </w:r>
          </w:p>
        </w:tc>
        <w:tc>
          <w:tcPr>
            <w:tcW w:w="5166" w:type="dxa"/>
            <w:shd w:val="clear" w:color="auto" w:fill="auto"/>
            <w:noWrap/>
            <w:vAlign w:val="center"/>
            <w:hideMark/>
          </w:tcPr>
          <w:p w14:paraId="13564285"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MERGING UNIT Subestaciones 2024</w:t>
            </w:r>
          </w:p>
        </w:tc>
        <w:tc>
          <w:tcPr>
            <w:tcW w:w="1413" w:type="dxa"/>
            <w:shd w:val="clear" w:color="auto" w:fill="auto"/>
            <w:noWrap/>
            <w:vAlign w:val="center"/>
            <w:hideMark/>
          </w:tcPr>
          <w:p w14:paraId="5A079C3E"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2024</w:t>
            </w:r>
          </w:p>
        </w:tc>
      </w:tr>
      <w:tr w:rsidR="00717A21" w:rsidRPr="006B671F" w14:paraId="74CB5360" w14:textId="77777777" w:rsidTr="0038772A">
        <w:trPr>
          <w:trHeight w:val="300"/>
        </w:trPr>
        <w:tc>
          <w:tcPr>
            <w:tcW w:w="2767" w:type="dxa"/>
            <w:shd w:val="clear" w:color="auto" w:fill="auto"/>
            <w:noWrap/>
            <w:vAlign w:val="center"/>
            <w:hideMark/>
          </w:tcPr>
          <w:p w14:paraId="7004B60A"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MEUNI_25</w:t>
            </w:r>
          </w:p>
        </w:tc>
        <w:tc>
          <w:tcPr>
            <w:tcW w:w="5166" w:type="dxa"/>
            <w:shd w:val="clear" w:color="auto" w:fill="auto"/>
            <w:noWrap/>
            <w:vAlign w:val="center"/>
            <w:hideMark/>
          </w:tcPr>
          <w:p w14:paraId="7FC87FB6" w14:textId="77777777" w:rsidR="00717A21" w:rsidRPr="006B671F" w:rsidRDefault="00717A21"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MERGING UNIT Subestaciones 2025</w:t>
            </w:r>
          </w:p>
        </w:tc>
        <w:tc>
          <w:tcPr>
            <w:tcW w:w="1413" w:type="dxa"/>
            <w:shd w:val="clear" w:color="auto" w:fill="auto"/>
            <w:noWrap/>
            <w:vAlign w:val="center"/>
            <w:hideMark/>
          </w:tcPr>
          <w:p w14:paraId="695ECC2A" w14:textId="77777777" w:rsidR="00717A21" w:rsidRPr="006B671F" w:rsidRDefault="00717A21"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2025</w:t>
            </w:r>
          </w:p>
        </w:tc>
      </w:tr>
    </w:tbl>
    <w:p w14:paraId="56C98F96" w14:textId="7F70AFBB" w:rsidR="00DC5247" w:rsidRPr="006B671F" w:rsidRDefault="00693449" w:rsidP="00470705">
      <w:pPr>
        <w:spacing w:before="100" w:beforeAutospacing="1" w:after="100" w:afterAutospacing="1"/>
        <w:rPr>
          <w:rFonts w:eastAsia="Bookman Old Style"/>
        </w:rPr>
      </w:pPr>
      <w:r w:rsidRPr="006B671F">
        <w:rPr>
          <w:rFonts w:eastAsia="Bookman Old Style"/>
        </w:rPr>
        <w:t>Entre estos proyectos se destacan los</w:t>
      </w:r>
      <w:r w:rsidR="00982F70" w:rsidRPr="006B671F">
        <w:rPr>
          <w:rFonts w:eastAsia="Bookman Old Style"/>
        </w:rPr>
        <w:t xml:space="preserve"> siguientes</w:t>
      </w:r>
      <w:r w:rsidR="00014DE6">
        <w:rPr>
          <w:rFonts w:eastAsia="Bookman Old Style"/>
        </w:rPr>
        <w:t>, frente a los cuales</w:t>
      </w:r>
      <w:r w:rsidR="00982F70" w:rsidRPr="006B671F">
        <w:rPr>
          <w:rFonts w:eastAsia="Bookman Old Style"/>
        </w:rPr>
        <w:t xml:space="preserve"> CELSIA COLOMBIA S.A. E.S.P. </w:t>
      </w:r>
      <w:r w:rsidR="00AE4754" w:rsidRPr="006B671F">
        <w:rPr>
          <w:rFonts w:eastAsia="Bookman Old Style"/>
        </w:rPr>
        <w:t>suministra el concepto</w:t>
      </w:r>
      <w:r w:rsidR="00BC353A">
        <w:rPr>
          <w:rFonts w:eastAsia="Bookman Old Style"/>
        </w:rPr>
        <w:t xml:space="preserve"> </w:t>
      </w:r>
      <w:r w:rsidR="0098525F">
        <w:rPr>
          <w:rFonts w:eastAsia="Bookman Old Style"/>
        </w:rPr>
        <w:t>entregado por</w:t>
      </w:r>
      <w:r w:rsidR="00BC353A">
        <w:rPr>
          <w:rFonts w:eastAsia="Bookman Old Style"/>
        </w:rPr>
        <w:t xml:space="preserve"> la</w:t>
      </w:r>
      <w:r w:rsidR="00AE4754" w:rsidRPr="006B671F">
        <w:rPr>
          <w:rFonts w:eastAsia="Bookman Old Style"/>
        </w:rPr>
        <w:t xml:space="preserve"> UPME:</w:t>
      </w:r>
    </w:p>
    <w:p w14:paraId="74D88568" w14:textId="77777777" w:rsidR="00AE4754" w:rsidRPr="006B671F" w:rsidRDefault="00AE4754" w:rsidP="00470705">
      <w:pPr>
        <w:spacing w:before="100" w:beforeAutospacing="1" w:after="100" w:afterAutospacing="1"/>
        <w:rPr>
          <w:i/>
          <w:iCs/>
        </w:rPr>
      </w:pPr>
      <w:r w:rsidRPr="006B671F">
        <w:rPr>
          <w:i/>
          <w:iCs/>
        </w:rPr>
        <w:t>(…)</w:t>
      </w:r>
    </w:p>
    <w:p w14:paraId="74DAAC21" w14:textId="7F830A1A" w:rsidR="00AE4754" w:rsidRPr="006B671F" w:rsidRDefault="00A82258"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Se relaciona el listado de los Proyectos conceptuados por la UPME y el numero de la Resolución expedida por está, los cuales también se adjuntan a este recurso como Pruebas (Pruebas No.1 y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2220"/>
        <w:gridCol w:w="2220"/>
        <w:gridCol w:w="2220"/>
      </w:tblGrid>
      <w:tr w:rsidR="00395DEF" w:rsidRPr="006B671F" w14:paraId="20221565" w14:textId="77777777" w:rsidTr="004B2667">
        <w:trPr>
          <w:trHeight w:val="229"/>
          <w:jc w:val="center"/>
        </w:trPr>
        <w:tc>
          <w:tcPr>
            <w:tcW w:w="2220" w:type="dxa"/>
            <w:vAlign w:val="center"/>
          </w:tcPr>
          <w:p w14:paraId="76658882" w14:textId="577AE616" w:rsidR="00395DEF" w:rsidRPr="006B671F" w:rsidRDefault="00395DEF" w:rsidP="00470705">
            <w:pPr>
              <w:spacing w:before="100" w:beforeAutospacing="1" w:after="100" w:afterAutospacing="1"/>
              <w:jc w:val="center"/>
              <w:rPr>
                <w:rFonts w:eastAsia="Bookman Old Style" w:cs="Bookman Old Style"/>
                <w:b/>
                <w:bCs/>
                <w:i/>
                <w:iCs/>
                <w:sz w:val="18"/>
                <w:szCs w:val="18"/>
              </w:rPr>
            </w:pPr>
            <w:r w:rsidRPr="006B671F">
              <w:rPr>
                <w:rFonts w:eastAsia="Bookman Old Style" w:cs="Bookman Old Style"/>
                <w:b/>
                <w:bCs/>
                <w:i/>
                <w:iCs/>
                <w:sz w:val="18"/>
                <w:szCs w:val="18"/>
              </w:rPr>
              <w:t>CODIGO CREG</w:t>
            </w:r>
          </w:p>
        </w:tc>
        <w:tc>
          <w:tcPr>
            <w:tcW w:w="2220" w:type="dxa"/>
            <w:vAlign w:val="center"/>
          </w:tcPr>
          <w:p w14:paraId="3032CEFA" w14:textId="20D9B46F" w:rsidR="00395DEF" w:rsidRPr="006B671F" w:rsidRDefault="00395DEF" w:rsidP="00470705">
            <w:pPr>
              <w:spacing w:before="100" w:beforeAutospacing="1" w:after="100" w:afterAutospacing="1"/>
              <w:jc w:val="center"/>
              <w:rPr>
                <w:rFonts w:eastAsia="Bookman Old Style" w:cs="Bookman Old Style"/>
                <w:b/>
                <w:bCs/>
                <w:i/>
                <w:iCs/>
                <w:sz w:val="18"/>
                <w:szCs w:val="18"/>
              </w:rPr>
            </w:pPr>
            <w:r w:rsidRPr="006B671F">
              <w:rPr>
                <w:rFonts w:eastAsia="Bookman Old Style" w:cs="Bookman Old Style"/>
                <w:b/>
                <w:bCs/>
                <w:i/>
                <w:iCs/>
                <w:sz w:val="18"/>
                <w:szCs w:val="18"/>
              </w:rPr>
              <w:t>NOMBRE</w:t>
            </w:r>
          </w:p>
        </w:tc>
        <w:tc>
          <w:tcPr>
            <w:tcW w:w="2220" w:type="dxa"/>
            <w:vAlign w:val="center"/>
          </w:tcPr>
          <w:p w14:paraId="283B07F1" w14:textId="5AEBC304" w:rsidR="00395DEF" w:rsidRPr="006B671F" w:rsidRDefault="00395DEF" w:rsidP="00470705">
            <w:pPr>
              <w:spacing w:before="100" w:beforeAutospacing="1" w:after="100" w:afterAutospacing="1"/>
              <w:jc w:val="center"/>
              <w:rPr>
                <w:rFonts w:eastAsia="Bookman Old Style" w:cs="Bookman Old Style"/>
                <w:b/>
                <w:bCs/>
                <w:i/>
                <w:iCs/>
                <w:sz w:val="18"/>
                <w:szCs w:val="18"/>
              </w:rPr>
            </w:pPr>
            <w:r w:rsidRPr="006B671F">
              <w:rPr>
                <w:rFonts w:eastAsia="Bookman Old Style" w:cs="Bookman Old Style"/>
                <w:b/>
                <w:bCs/>
                <w:i/>
                <w:iCs/>
                <w:sz w:val="18"/>
                <w:szCs w:val="18"/>
              </w:rPr>
              <w:t>CONCEPTO UPME</w:t>
            </w:r>
          </w:p>
        </w:tc>
        <w:tc>
          <w:tcPr>
            <w:tcW w:w="2220" w:type="dxa"/>
            <w:vAlign w:val="center"/>
          </w:tcPr>
          <w:p w14:paraId="7BAC6816" w14:textId="1B06468E" w:rsidR="00395DEF" w:rsidRPr="006B671F" w:rsidRDefault="00395DEF" w:rsidP="00470705">
            <w:pPr>
              <w:spacing w:before="100" w:beforeAutospacing="1" w:after="100" w:afterAutospacing="1"/>
              <w:jc w:val="center"/>
              <w:rPr>
                <w:rFonts w:eastAsia="Bookman Old Style" w:cs="Bookman Old Style"/>
                <w:b/>
                <w:bCs/>
                <w:i/>
                <w:iCs/>
                <w:sz w:val="18"/>
                <w:szCs w:val="18"/>
              </w:rPr>
            </w:pPr>
            <w:r w:rsidRPr="006B671F">
              <w:rPr>
                <w:rFonts w:eastAsia="Bookman Old Style" w:cs="Bookman Old Style"/>
                <w:b/>
                <w:bCs/>
                <w:i/>
                <w:iCs/>
                <w:sz w:val="18"/>
                <w:szCs w:val="18"/>
              </w:rPr>
              <w:t>FECHA (dd/mm/aaaa)</w:t>
            </w:r>
          </w:p>
        </w:tc>
      </w:tr>
      <w:tr w:rsidR="00395DEF" w:rsidRPr="006B671F" w14:paraId="1CBE652B" w14:textId="77777777" w:rsidTr="004B2667">
        <w:trPr>
          <w:trHeight w:val="356"/>
          <w:jc w:val="center"/>
        </w:trPr>
        <w:tc>
          <w:tcPr>
            <w:tcW w:w="2220" w:type="dxa"/>
            <w:vAlign w:val="center"/>
          </w:tcPr>
          <w:p w14:paraId="569B91D7" w14:textId="71B51B72" w:rsidR="00395DEF" w:rsidRPr="006B671F" w:rsidRDefault="00395DEF" w:rsidP="00470705">
            <w:pPr>
              <w:spacing w:before="100" w:beforeAutospacing="1" w:after="100" w:afterAutospacing="1"/>
              <w:jc w:val="center"/>
              <w:rPr>
                <w:rFonts w:eastAsia="Bookman Old Style" w:cs="Bookman Old Style"/>
                <w:i/>
                <w:iCs/>
                <w:sz w:val="18"/>
                <w:szCs w:val="18"/>
              </w:rPr>
            </w:pPr>
            <w:r w:rsidRPr="006B671F">
              <w:rPr>
                <w:rFonts w:eastAsia="Bookman Old Style" w:cs="Bookman Old Style"/>
                <w:i/>
                <w:iCs/>
                <w:sz w:val="18"/>
                <w:szCs w:val="18"/>
              </w:rPr>
              <w:t>CELSIATOL-EXP-TR-SAN-FELIPE-220-115-2023</w:t>
            </w:r>
          </w:p>
        </w:tc>
        <w:tc>
          <w:tcPr>
            <w:tcW w:w="2220" w:type="dxa"/>
            <w:vAlign w:val="center"/>
          </w:tcPr>
          <w:p w14:paraId="2936D041" w14:textId="4BEAE895" w:rsidR="00395DEF" w:rsidRPr="006B671F" w:rsidRDefault="00395DEF" w:rsidP="00470705">
            <w:pPr>
              <w:spacing w:before="100" w:beforeAutospacing="1" w:after="100" w:afterAutospacing="1"/>
              <w:jc w:val="center"/>
              <w:rPr>
                <w:rFonts w:eastAsia="Bookman Old Style" w:cs="Bookman Old Style"/>
                <w:i/>
                <w:iCs/>
                <w:sz w:val="18"/>
                <w:szCs w:val="18"/>
              </w:rPr>
            </w:pPr>
            <w:r w:rsidRPr="006B671F">
              <w:rPr>
                <w:rFonts w:eastAsia="Bookman Old Style" w:cs="Bookman Old Style"/>
                <w:i/>
                <w:iCs/>
                <w:sz w:val="18"/>
                <w:szCs w:val="18"/>
              </w:rPr>
              <w:t>SEGUNDO ATR SAN FELIPE 220/115KV</w:t>
            </w:r>
          </w:p>
        </w:tc>
        <w:tc>
          <w:tcPr>
            <w:tcW w:w="2220" w:type="dxa"/>
            <w:vAlign w:val="center"/>
          </w:tcPr>
          <w:p w14:paraId="36E01DB6" w14:textId="0DE97E5D" w:rsidR="00395DEF" w:rsidRPr="006B671F" w:rsidRDefault="00395DEF" w:rsidP="00470705">
            <w:pPr>
              <w:spacing w:before="100" w:beforeAutospacing="1" w:after="100" w:afterAutospacing="1"/>
              <w:jc w:val="center"/>
              <w:rPr>
                <w:rFonts w:eastAsia="Bookman Old Style" w:cs="Bookman Old Style"/>
                <w:i/>
                <w:iCs/>
                <w:sz w:val="18"/>
                <w:szCs w:val="18"/>
              </w:rPr>
            </w:pPr>
            <w:r w:rsidRPr="006B671F">
              <w:rPr>
                <w:rFonts w:eastAsia="Bookman Old Style" w:cs="Bookman Old Style"/>
                <w:i/>
                <w:iCs/>
                <w:sz w:val="18"/>
                <w:szCs w:val="18"/>
              </w:rPr>
              <w:t>20221520111851</w:t>
            </w:r>
          </w:p>
        </w:tc>
        <w:tc>
          <w:tcPr>
            <w:tcW w:w="2220" w:type="dxa"/>
            <w:vAlign w:val="center"/>
          </w:tcPr>
          <w:p w14:paraId="4EE0AFA0" w14:textId="3EF368E7" w:rsidR="00395DEF" w:rsidRPr="006B671F" w:rsidRDefault="00395DEF" w:rsidP="00470705">
            <w:pPr>
              <w:spacing w:before="100" w:beforeAutospacing="1" w:after="100" w:afterAutospacing="1"/>
              <w:jc w:val="center"/>
              <w:rPr>
                <w:rFonts w:eastAsia="Bookman Old Style" w:cs="Bookman Old Style"/>
                <w:i/>
                <w:iCs/>
                <w:sz w:val="18"/>
                <w:szCs w:val="18"/>
              </w:rPr>
            </w:pPr>
            <w:r w:rsidRPr="006B671F">
              <w:rPr>
                <w:rFonts w:eastAsia="Bookman Old Style" w:cs="Bookman Old Style"/>
                <w:i/>
                <w:iCs/>
                <w:sz w:val="18"/>
                <w:szCs w:val="18"/>
              </w:rPr>
              <w:t>18/08/2022</w:t>
            </w:r>
          </w:p>
        </w:tc>
      </w:tr>
      <w:tr w:rsidR="00395DEF" w:rsidRPr="006B671F" w14:paraId="368A65EB" w14:textId="77777777" w:rsidTr="004B2667">
        <w:trPr>
          <w:trHeight w:val="356"/>
          <w:jc w:val="center"/>
        </w:trPr>
        <w:tc>
          <w:tcPr>
            <w:tcW w:w="2220" w:type="dxa"/>
            <w:vAlign w:val="center"/>
          </w:tcPr>
          <w:p w14:paraId="4F3BE681" w14:textId="51A16E48" w:rsidR="00395DEF" w:rsidRPr="00B70D3B" w:rsidRDefault="00395DEF" w:rsidP="00470705">
            <w:pPr>
              <w:spacing w:before="100" w:beforeAutospacing="1" w:after="100" w:afterAutospacing="1"/>
              <w:jc w:val="center"/>
              <w:rPr>
                <w:rFonts w:eastAsia="Bookman Old Style" w:cs="Bookman Old Style"/>
                <w:i/>
                <w:iCs/>
                <w:sz w:val="18"/>
                <w:szCs w:val="18"/>
                <w:lang w:val="pt-PT"/>
              </w:rPr>
            </w:pPr>
            <w:r w:rsidRPr="00B70D3B">
              <w:rPr>
                <w:rFonts w:eastAsia="Bookman Old Style" w:cs="Bookman Old Style"/>
                <w:i/>
                <w:iCs/>
                <w:sz w:val="18"/>
                <w:szCs w:val="18"/>
                <w:lang w:val="pt-PT"/>
              </w:rPr>
              <w:t>CELSIATOL-EXP-LIN-MIROLINDO-BRISAS-115-2023</w:t>
            </w:r>
          </w:p>
        </w:tc>
        <w:tc>
          <w:tcPr>
            <w:tcW w:w="2220" w:type="dxa"/>
            <w:vAlign w:val="center"/>
          </w:tcPr>
          <w:p w14:paraId="4806D26E" w14:textId="39109859" w:rsidR="00395DEF" w:rsidRPr="006B671F" w:rsidRDefault="00395DEF" w:rsidP="00470705">
            <w:pPr>
              <w:spacing w:before="100" w:beforeAutospacing="1" w:after="100" w:afterAutospacing="1"/>
              <w:jc w:val="center"/>
              <w:rPr>
                <w:rFonts w:eastAsia="Bookman Old Style" w:cs="Bookman Old Style"/>
                <w:i/>
                <w:iCs/>
                <w:sz w:val="18"/>
                <w:szCs w:val="18"/>
              </w:rPr>
            </w:pPr>
            <w:r w:rsidRPr="006B671F">
              <w:rPr>
                <w:rFonts w:eastAsia="Bookman Old Style" w:cs="Bookman Old Style"/>
                <w:i/>
                <w:iCs/>
                <w:sz w:val="18"/>
                <w:szCs w:val="18"/>
              </w:rPr>
              <w:t>LÍNEA MIROLINDO - BRISAS 2 115KV</w:t>
            </w:r>
          </w:p>
        </w:tc>
        <w:tc>
          <w:tcPr>
            <w:tcW w:w="2220" w:type="dxa"/>
            <w:vAlign w:val="center"/>
          </w:tcPr>
          <w:p w14:paraId="48C3B18F" w14:textId="4CB16027" w:rsidR="00395DEF" w:rsidRPr="006B671F" w:rsidRDefault="00395DEF" w:rsidP="00470705">
            <w:pPr>
              <w:spacing w:before="100" w:beforeAutospacing="1" w:after="100" w:afterAutospacing="1"/>
              <w:jc w:val="center"/>
              <w:rPr>
                <w:rFonts w:eastAsia="Bookman Old Style" w:cs="Bookman Old Style"/>
                <w:i/>
                <w:iCs/>
                <w:sz w:val="18"/>
                <w:szCs w:val="18"/>
              </w:rPr>
            </w:pPr>
            <w:r w:rsidRPr="006B671F">
              <w:rPr>
                <w:rFonts w:eastAsia="Bookman Old Style" w:cs="Bookman Old Style"/>
                <w:i/>
                <w:iCs/>
                <w:sz w:val="18"/>
                <w:szCs w:val="18"/>
              </w:rPr>
              <w:t>20201520070081</w:t>
            </w:r>
          </w:p>
        </w:tc>
        <w:tc>
          <w:tcPr>
            <w:tcW w:w="2220" w:type="dxa"/>
            <w:vAlign w:val="center"/>
          </w:tcPr>
          <w:p w14:paraId="167F8E7F" w14:textId="1B0C4228" w:rsidR="00395DEF" w:rsidRPr="006B671F" w:rsidRDefault="00395DEF" w:rsidP="00470705">
            <w:pPr>
              <w:spacing w:before="100" w:beforeAutospacing="1" w:after="100" w:afterAutospacing="1"/>
              <w:jc w:val="center"/>
              <w:rPr>
                <w:rFonts w:eastAsia="Bookman Old Style" w:cs="Bookman Old Style"/>
                <w:i/>
                <w:iCs/>
                <w:sz w:val="18"/>
                <w:szCs w:val="18"/>
              </w:rPr>
            </w:pPr>
            <w:r w:rsidRPr="006B671F">
              <w:rPr>
                <w:rFonts w:eastAsia="Bookman Old Style" w:cs="Bookman Old Style"/>
                <w:i/>
                <w:iCs/>
                <w:sz w:val="18"/>
                <w:szCs w:val="18"/>
              </w:rPr>
              <w:t>24/12/2020</w:t>
            </w:r>
          </w:p>
        </w:tc>
      </w:tr>
      <w:tr w:rsidR="00395DEF" w:rsidRPr="006B671F" w14:paraId="695282DE" w14:textId="77777777" w:rsidTr="004B2667">
        <w:trPr>
          <w:trHeight w:val="230"/>
          <w:jc w:val="center"/>
        </w:trPr>
        <w:tc>
          <w:tcPr>
            <w:tcW w:w="2220" w:type="dxa"/>
            <w:vAlign w:val="center"/>
          </w:tcPr>
          <w:p w14:paraId="7674C2A8" w14:textId="4BC29F7E" w:rsidR="00395DEF" w:rsidRPr="006B671F" w:rsidRDefault="00395DEF" w:rsidP="00470705">
            <w:pPr>
              <w:spacing w:before="100" w:beforeAutospacing="1" w:after="100" w:afterAutospacing="1"/>
              <w:jc w:val="center"/>
              <w:rPr>
                <w:rFonts w:eastAsia="Bookman Old Style" w:cs="Bookman Old Style"/>
                <w:i/>
                <w:iCs/>
                <w:sz w:val="18"/>
                <w:szCs w:val="18"/>
              </w:rPr>
            </w:pPr>
            <w:r w:rsidRPr="006B671F">
              <w:rPr>
                <w:rFonts w:eastAsia="Bookman Old Style" w:cs="Bookman Old Style"/>
                <w:i/>
                <w:iCs/>
                <w:sz w:val="18"/>
                <w:szCs w:val="18"/>
              </w:rPr>
              <w:t>CELSIATOL-EXP-SUB-SALADO-115-2024</w:t>
            </w:r>
          </w:p>
        </w:tc>
        <w:tc>
          <w:tcPr>
            <w:tcW w:w="2220" w:type="dxa"/>
            <w:vAlign w:val="center"/>
          </w:tcPr>
          <w:p w14:paraId="785CA283" w14:textId="046D9120" w:rsidR="00395DEF" w:rsidRPr="00B70D3B" w:rsidRDefault="00395DEF" w:rsidP="00470705">
            <w:pPr>
              <w:spacing w:before="100" w:beforeAutospacing="1" w:after="100" w:afterAutospacing="1"/>
              <w:jc w:val="center"/>
              <w:rPr>
                <w:rFonts w:eastAsia="Bookman Old Style" w:cs="Bookman Old Style"/>
                <w:i/>
                <w:iCs/>
                <w:sz w:val="18"/>
                <w:szCs w:val="18"/>
                <w:lang w:val="pt-PT"/>
              </w:rPr>
            </w:pPr>
            <w:r w:rsidRPr="00B70D3B">
              <w:rPr>
                <w:rFonts w:eastAsia="Bookman Old Style" w:cs="Bookman Old Style"/>
                <w:i/>
                <w:iCs/>
                <w:sz w:val="18"/>
                <w:szCs w:val="18"/>
                <w:lang w:val="pt-PT"/>
              </w:rPr>
              <w:t>S/E ARREBOLES 115KV (SALADO ETAPA1)</w:t>
            </w:r>
          </w:p>
        </w:tc>
        <w:tc>
          <w:tcPr>
            <w:tcW w:w="2220" w:type="dxa"/>
            <w:vAlign w:val="center"/>
          </w:tcPr>
          <w:p w14:paraId="14D3629F" w14:textId="7A651EC3" w:rsidR="00395DEF" w:rsidRPr="006B671F" w:rsidRDefault="00395DEF" w:rsidP="00470705">
            <w:pPr>
              <w:spacing w:before="100" w:beforeAutospacing="1" w:after="100" w:afterAutospacing="1"/>
              <w:jc w:val="center"/>
              <w:rPr>
                <w:rFonts w:eastAsia="Bookman Old Style" w:cs="Bookman Old Style"/>
                <w:i/>
                <w:iCs/>
                <w:sz w:val="18"/>
                <w:szCs w:val="18"/>
              </w:rPr>
            </w:pPr>
            <w:r w:rsidRPr="006B671F">
              <w:rPr>
                <w:rFonts w:eastAsia="Bookman Old Style" w:cs="Bookman Old Style"/>
                <w:i/>
                <w:iCs/>
                <w:sz w:val="18"/>
                <w:szCs w:val="18"/>
              </w:rPr>
              <w:t>20201520070081</w:t>
            </w:r>
          </w:p>
        </w:tc>
        <w:tc>
          <w:tcPr>
            <w:tcW w:w="2220" w:type="dxa"/>
            <w:vAlign w:val="center"/>
          </w:tcPr>
          <w:p w14:paraId="0C7B17F3" w14:textId="4052C303" w:rsidR="00395DEF" w:rsidRPr="006B671F" w:rsidRDefault="00395DEF" w:rsidP="00470705">
            <w:pPr>
              <w:spacing w:before="100" w:beforeAutospacing="1" w:after="100" w:afterAutospacing="1"/>
              <w:jc w:val="center"/>
              <w:rPr>
                <w:rFonts w:eastAsia="Bookman Old Style" w:cs="Bookman Old Style"/>
                <w:i/>
                <w:iCs/>
                <w:sz w:val="18"/>
                <w:szCs w:val="18"/>
              </w:rPr>
            </w:pPr>
            <w:r w:rsidRPr="006B671F">
              <w:rPr>
                <w:rFonts w:eastAsia="Bookman Old Style" w:cs="Bookman Old Style"/>
                <w:i/>
                <w:iCs/>
                <w:sz w:val="18"/>
                <w:szCs w:val="18"/>
              </w:rPr>
              <w:t>24/12/2020</w:t>
            </w:r>
          </w:p>
        </w:tc>
      </w:tr>
      <w:tr w:rsidR="00395DEF" w:rsidRPr="006B671F" w14:paraId="3181A3EC" w14:textId="77777777" w:rsidTr="004B2667">
        <w:trPr>
          <w:trHeight w:val="230"/>
          <w:jc w:val="center"/>
        </w:trPr>
        <w:tc>
          <w:tcPr>
            <w:tcW w:w="2220" w:type="dxa"/>
            <w:vAlign w:val="center"/>
          </w:tcPr>
          <w:p w14:paraId="1D736454" w14:textId="145A0A24" w:rsidR="00395DEF" w:rsidRPr="00B70D3B" w:rsidRDefault="00395DEF" w:rsidP="00470705">
            <w:pPr>
              <w:spacing w:before="100" w:beforeAutospacing="1" w:after="100" w:afterAutospacing="1"/>
              <w:jc w:val="center"/>
              <w:rPr>
                <w:rFonts w:eastAsia="Bookman Old Style" w:cs="Bookman Old Style"/>
                <w:i/>
                <w:iCs/>
                <w:sz w:val="18"/>
                <w:szCs w:val="18"/>
                <w:lang w:val="pt-PT"/>
              </w:rPr>
            </w:pPr>
            <w:r w:rsidRPr="00B70D3B">
              <w:rPr>
                <w:rFonts w:eastAsia="Bookman Old Style" w:cs="Bookman Old Style"/>
                <w:i/>
                <w:iCs/>
                <w:sz w:val="18"/>
                <w:szCs w:val="18"/>
                <w:lang w:val="pt-PT"/>
              </w:rPr>
              <w:t>CELSIATOL-EXP-SUB-Escobal-115KV-2024</w:t>
            </w:r>
          </w:p>
        </w:tc>
        <w:tc>
          <w:tcPr>
            <w:tcW w:w="2220" w:type="dxa"/>
            <w:vAlign w:val="center"/>
          </w:tcPr>
          <w:p w14:paraId="6EDCB0A5" w14:textId="5D43BEC0" w:rsidR="00395DEF" w:rsidRPr="00B70D3B" w:rsidRDefault="00395DEF" w:rsidP="00470705">
            <w:pPr>
              <w:spacing w:before="100" w:beforeAutospacing="1" w:after="100" w:afterAutospacing="1"/>
              <w:jc w:val="center"/>
              <w:rPr>
                <w:rFonts w:eastAsia="Bookman Old Style" w:cs="Bookman Old Style"/>
                <w:i/>
                <w:iCs/>
                <w:sz w:val="18"/>
                <w:szCs w:val="18"/>
                <w:lang w:val="pt-PT"/>
              </w:rPr>
            </w:pPr>
            <w:r w:rsidRPr="00B70D3B">
              <w:rPr>
                <w:rFonts w:eastAsia="Bookman Old Style" w:cs="Bookman Old Style"/>
                <w:i/>
                <w:iCs/>
                <w:sz w:val="18"/>
                <w:szCs w:val="18"/>
                <w:lang w:val="pt-PT"/>
              </w:rPr>
              <w:t>S/E ESCOBAL 115KV (ETAPA1)</w:t>
            </w:r>
          </w:p>
        </w:tc>
        <w:tc>
          <w:tcPr>
            <w:tcW w:w="2220" w:type="dxa"/>
            <w:vAlign w:val="center"/>
          </w:tcPr>
          <w:p w14:paraId="2371AABF" w14:textId="0AF9A405" w:rsidR="00395DEF" w:rsidRPr="006B671F" w:rsidRDefault="00395DEF" w:rsidP="00470705">
            <w:pPr>
              <w:spacing w:before="100" w:beforeAutospacing="1" w:after="100" w:afterAutospacing="1"/>
              <w:jc w:val="center"/>
              <w:rPr>
                <w:rFonts w:eastAsia="Bookman Old Style" w:cs="Bookman Old Style"/>
                <w:i/>
                <w:iCs/>
                <w:sz w:val="18"/>
                <w:szCs w:val="18"/>
              </w:rPr>
            </w:pPr>
            <w:r w:rsidRPr="006B671F">
              <w:rPr>
                <w:rFonts w:eastAsia="Bookman Old Style" w:cs="Bookman Old Style"/>
                <w:i/>
                <w:iCs/>
                <w:sz w:val="18"/>
                <w:szCs w:val="18"/>
              </w:rPr>
              <w:t>20201520070081</w:t>
            </w:r>
          </w:p>
        </w:tc>
        <w:tc>
          <w:tcPr>
            <w:tcW w:w="2220" w:type="dxa"/>
            <w:vAlign w:val="center"/>
          </w:tcPr>
          <w:p w14:paraId="5AB01E27" w14:textId="421012B2" w:rsidR="00395DEF" w:rsidRPr="006B671F" w:rsidRDefault="00395DEF" w:rsidP="00470705">
            <w:pPr>
              <w:spacing w:before="100" w:beforeAutospacing="1" w:after="100" w:afterAutospacing="1"/>
              <w:jc w:val="center"/>
              <w:rPr>
                <w:rFonts w:eastAsia="Bookman Old Style" w:cs="Bookman Old Style"/>
                <w:i/>
                <w:iCs/>
                <w:sz w:val="18"/>
                <w:szCs w:val="18"/>
              </w:rPr>
            </w:pPr>
            <w:r w:rsidRPr="006B671F">
              <w:rPr>
                <w:rFonts w:eastAsia="Bookman Old Style" w:cs="Bookman Old Style"/>
                <w:i/>
                <w:iCs/>
                <w:sz w:val="18"/>
                <w:szCs w:val="18"/>
              </w:rPr>
              <w:t>24/12/2020</w:t>
            </w:r>
          </w:p>
        </w:tc>
      </w:tr>
    </w:tbl>
    <w:p w14:paraId="3182E928" w14:textId="77777777" w:rsidR="00AE4754" w:rsidRPr="006B671F" w:rsidRDefault="00AE4754" w:rsidP="00470705">
      <w:pPr>
        <w:spacing w:before="100" w:beforeAutospacing="1" w:after="100" w:afterAutospacing="1"/>
        <w:rPr>
          <w:i/>
          <w:iCs/>
        </w:rPr>
      </w:pPr>
      <w:r w:rsidRPr="006B671F">
        <w:rPr>
          <w:i/>
          <w:iCs/>
        </w:rPr>
        <w:t>(…)</w:t>
      </w:r>
    </w:p>
    <w:p w14:paraId="33F92E19" w14:textId="77777777" w:rsidR="007F355C" w:rsidRPr="006B671F" w:rsidRDefault="007F355C" w:rsidP="007F355C">
      <w:pPr>
        <w:spacing w:before="100" w:beforeAutospacing="1" w:after="100" w:afterAutospacing="1"/>
      </w:pPr>
      <w:r w:rsidRPr="006B671F">
        <w:t>Sobre estos proyectos es importante destacar el de código CELSIATOL-EXP-TR-SAN-FELIPE-220-115-2023</w:t>
      </w:r>
      <w:r>
        <w:t>,</w:t>
      </w:r>
      <w:r w:rsidRPr="006B671F">
        <w:t xml:space="preserve"> ya que corresponde a la instalación de transformadores de potencia en el</w:t>
      </w:r>
      <w:r>
        <w:t xml:space="preserve"> Sistema de Transmisión Nacional,</w:t>
      </w:r>
      <w:r w:rsidRPr="006B671F">
        <w:t xml:space="preserve"> STN</w:t>
      </w:r>
      <w:r>
        <w:t>,</w:t>
      </w:r>
      <w:r w:rsidRPr="006B671F">
        <w:t xml:space="preserve"> y el OR no suministr</w:t>
      </w:r>
      <w:r>
        <w:t>ó</w:t>
      </w:r>
      <w:r w:rsidRPr="006B671F">
        <w:t xml:space="preserve"> concepto UPME, independientemente del tipo de inversión.</w:t>
      </w:r>
    </w:p>
    <w:p w14:paraId="35B5C3E6" w14:textId="6DD93EC6" w:rsidR="003A6C10" w:rsidRDefault="003A6C10" w:rsidP="00470705">
      <w:pPr>
        <w:spacing w:before="100" w:beforeAutospacing="1" w:after="100" w:afterAutospacing="1"/>
      </w:pPr>
      <w:r w:rsidRPr="006B671F">
        <w:t xml:space="preserve">Considerando lo presentado por el OR y los aspectos regulatorios asociados a los proyectos de inversión tipo IV, la </w:t>
      </w:r>
      <w:r w:rsidR="00837FD6">
        <w:t>Comisión</w:t>
      </w:r>
      <w:r w:rsidRPr="006B671F">
        <w:t xml:space="preserve"> decide </w:t>
      </w:r>
      <w:r w:rsidR="007B78ED" w:rsidRPr="006B671F">
        <w:t xml:space="preserve">incluir </w:t>
      </w:r>
      <w:r w:rsidRPr="006B671F">
        <w:t>en el reconocimiento de activos para el ajuste al plan de inversión 2023-2027</w:t>
      </w:r>
      <w:r w:rsidR="00396069">
        <w:t>,</w:t>
      </w:r>
      <w:r w:rsidRPr="006B671F">
        <w:t xml:space="preserve"> los activos de nivel de tensión 4 pertenecientes a proyectos tipo IV</w:t>
      </w:r>
      <w:r w:rsidR="00014DE6">
        <w:t>,</w:t>
      </w:r>
      <w:r w:rsidR="00811BEE" w:rsidRPr="006B671F">
        <w:t xml:space="preserve"> que presentaron como única observación de la </w:t>
      </w:r>
      <w:r w:rsidR="00837FD6">
        <w:t>Comisión</w:t>
      </w:r>
      <w:r w:rsidR="00811BEE" w:rsidRPr="006B671F">
        <w:t xml:space="preserve"> el no suministro del concepto UPME</w:t>
      </w:r>
      <w:r w:rsidR="00396069">
        <w:t xml:space="preserve">, es decir, aquellos asociados a los proyectos mencionados en la tabla anterior, con conceptos UPME </w:t>
      </w:r>
      <w:r w:rsidR="00312838" w:rsidRPr="00312838">
        <w:t>20201520070081</w:t>
      </w:r>
      <w:r w:rsidR="00312838">
        <w:t xml:space="preserve"> y </w:t>
      </w:r>
      <w:r w:rsidR="00312838" w:rsidRPr="00312838">
        <w:t>20221520111851</w:t>
      </w:r>
      <w:r w:rsidR="00396069">
        <w:t>.</w:t>
      </w:r>
    </w:p>
    <w:p w14:paraId="70E41E3D" w14:textId="512297E6" w:rsidR="00451326" w:rsidRPr="00B94F50" w:rsidRDefault="00451326" w:rsidP="004417F9">
      <w:pPr>
        <w:pStyle w:val="Prrafodelista"/>
        <w:numPr>
          <w:ilvl w:val="0"/>
          <w:numId w:val="12"/>
        </w:numPr>
        <w:spacing w:before="100" w:beforeAutospacing="1" w:after="100" w:afterAutospacing="1"/>
        <w:ind w:left="426" w:hanging="437"/>
        <w:rPr>
          <w:rFonts w:eastAsia="Bookman Old Style" w:cs="Bookman Old Style"/>
          <w:b/>
          <w:bCs/>
        </w:rPr>
      </w:pPr>
      <w:r>
        <w:rPr>
          <w:rFonts w:eastAsia="Bookman Old Style" w:cs="Bookman Old Style"/>
          <w:b/>
          <w:bCs/>
        </w:rPr>
        <w:t>Tercera</w:t>
      </w:r>
      <w:r w:rsidRPr="00B94F50">
        <w:rPr>
          <w:rFonts w:eastAsia="Bookman Old Style" w:cs="Bookman Old Style"/>
          <w:b/>
          <w:bCs/>
        </w:rPr>
        <w:t xml:space="preserve"> </w:t>
      </w:r>
      <w:r>
        <w:rPr>
          <w:rFonts w:eastAsia="Bookman Old Style" w:cs="Bookman Old Style"/>
          <w:b/>
          <w:bCs/>
        </w:rPr>
        <w:t>solicitud</w:t>
      </w:r>
    </w:p>
    <w:p w14:paraId="6E391CB5" w14:textId="4E06FC87" w:rsidR="008E3926" w:rsidRPr="006B671F" w:rsidRDefault="008E3926" w:rsidP="00470705">
      <w:pPr>
        <w:spacing w:before="100" w:beforeAutospacing="1" w:after="100" w:afterAutospacing="1"/>
        <w:rPr>
          <w:i/>
          <w:iCs/>
        </w:rPr>
      </w:pPr>
      <w:r w:rsidRPr="006B671F">
        <w:rPr>
          <w:i/>
          <w:iCs/>
        </w:rPr>
        <w:t>(…)</w:t>
      </w:r>
    </w:p>
    <w:p w14:paraId="421F1341" w14:textId="77777777" w:rsidR="00FF2C43" w:rsidRPr="006B671F" w:rsidRDefault="00FF2C43" w:rsidP="00470705">
      <w:pPr>
        <w:spacing w:before="100" w:beforeAutospacing="1" w:after="100" w:afterAutospacing="1"/>
        <w:ind w:left="284"/>
        <w:rPr>
          <w:b/>
          <w:bCs/>
        </w:rPr>
      </w:pPr>
      <w:r w:rsidRPr="006B671F">
        <w:rPr>
          <w:rFonts w:eastAsia="Bookman Old Style" w:cs="Bookman Old Style"/>
          <w:b/>
          <w:bCs/>
          <w:i/>
          <w:iCs/>
          <w:sz w:val="20"/>
          <w:szCs w:val="20"/>
        </w:rPr>
        <w:t>2.3 Negación de Unidades Constructivas especiales.</w:t>
      </w:r>
    </w:p>
    <w:p w14:paraId="37AB31F9" w14:textId="2F78C905" w:rsidR="006943B4" w:rsidRPr="006B671F" w:rsidRDefault="00FF2C43"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La CREG negó el reconocimiento de las unidades constructivas especiales reportadas en el Plan de Inversión, haciendo la manifestación de incumplimiento con lo establecido en el Capítulo 14 de la Resolución CREG 015 de 2018, por no contar con las consideraciones técnicas de justificación</w:t>
      </w:r>
      <w:r w:rsidR="001A2059" w:rsidRPr="006B671F">
        <w:rPr>
          <w:rFonts w:eastAsia="Bookman Old Style" w:cs="Bookman Old Style"/>
          <w:i/>
          <w:iCs/>
          <w:sz w:val="20"/>
          <w:szCs w:val="20"/>
        </w:rPr>
        <w:t>:</w:t>
      </w:r>
    </w:p>
    <w:p w14:paraId="36C7B4E2" w14:textId="55083A23" w:rsidR="008E3926" w:rsidRPr="006B671F" w:rsidRDefault="008E3926" w:rsidP="00470705">
      <w:pPr>
        <w:spacing w:before="100" w:beforeAutospacing="1" w:after="100" w:afterAutospacing="1"/>
        <w:rPr>
          <w:i/>
          <w:iCs/>
        </w:rPr>
      </w:pPr>
      <w:r w:rsidRPr="006B671F">
        <w:rPr>
          <w:i/>
          <w:iCs/>
        </w:rPr>
        <w:t>(…)</w:t>
      </w:r>
    </w:p>
    <w:p w14:paraId="67898017" w14:textId="25ACDD74" w:rsidR="00A06943" w:rsidRPr="006B671F" w:rsidRDefault="00A06943" w:rsidP="00470705">
      <w:pPr>
        <w:spacing w:before="100" w:beforeAutospacing="1" w:after="100" w:afterAutospacing="1"/>
        <w:rPr>
          <w:rFonts w:eastAsia="Bookman Old Style"/>
          <w:b/>
          <w:bCs/>
        </w:rPr>
      </w:pPr>
      <w:r w:rsidRPr="006B671F">
        <w:rPr>
          <w:rFonts w:eastAsia="Bookman Old Style"/>
          <w:b/>
          <w:bCs/>
        </w:rPr>
        <w:t xml:space="preserve">Análisis de la </w:t>
      </w:r>
      <w:r w:rsidR="00837FD6">
        <w:rPr>
          <w:rFonts w:eastAsia="Bookman Old Style"/>
          <w:b/>
          <w:bCs/>
        </w:rPr>
        <w:t>Comisión</w:t>
      </w:r>
    </w:p>
    <w:p w14:paraId="4FACE485" w14:textId="6D860AFA" w:rsidR="008E3926" w:rsidRPr="006B671F" w:rsidRDefault="00457689" w:rsidP="00470705">
      <w:pPr>
        <w:spacing w:before="100" w:beforeAutospacing="1" w:after="100" w:afterAutospacing="1"/>
      </w:pPr>
      <w:r w:rsidRPr="006B671F">
        <w:t>Las unidades constructivas especiales</w:t>
      </w:r>
      <w:r w:rsidR="00666D82">
        <w:t>, UC especiales,</w:t>
      </w:r>
      <w:r w:rsidRPr="006B671F">
        <w:t xml:space="preserve"> </w:t>
      </w:r>
      <w:r w:rsidR="00191954" w:rsidRPr="006B671F">
        <w:t>solicitadas por el OR se muestran en la siguiente tabla:</w:t>
      </w:r>
    </w:p>
    <w:tbl>
      <w:tblPr>
        <w:tblW w:w="9365" w:type="dxa"/>
        <w:tblLayout w:type="fixed"/>
        <w:tblCellMar>
          <w:left w:w="70" w:type="dxa"/>
          <w:right w:w="70" w:type="dxa"/>
        </w:tblCellMar>
        <w:tblLook w:val="04A0" w:firstRow="1" w:lastRow="0" w:firstColumn="1" w:lastColumn="0" w:noHBand="0" w:noVBand="1"/>
      </w:tblPr>
      <w:tblGrid>
        <w:gridCol w:w="1838"/>
        <w:gridCol w:w="4394"/>
        <w:gridCol w:w="1418"/>
        <w:gridCol w:w="1553"/>
        <w:gridCol w:w="162"/>
      </w:tblGrid>
      <w:tr w:rsidR="004B2667" w:rsidRPr="006B671F" w14:paraId="2C40B2D3" w14:textId="26BAAC2A" w:rsidTr="00E50D1A">
        <w:trPr>
          <w:trHeight w:val="83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D0EFE" w14:textId="77777777" w:rsidR="004B2667" w:rsidRPr="006B671F" w:rsidRDefault="004B2667" w:rsidP="00470705">
            <w:pPr>
              <w:spacing w:before="100" w:beforeAutospacing="1" w:after="100" w:afterAutospacing="1"/>
              <w:jc w:val="center"/>
              <w:rPr>
                <w:rFonts w:cs="Calibri"/>
                <w:b/>
                <w:bCs/>
                <w:color w:val="000000"/>
                <w:sz w:val="20"/>
                <w:szCs w:val="20"/>
                <w:lang w:eastAsia="es-MX"/>
              </w:rPr>
            </w:pPr>
            <w:r w:rsidRPr="006B671F">
              <w:rPr>
                <w:rFonts w:cs="Calibri"/>
                <w:b/>
                <w:bCs/>
                <w:color w:val="000000"/>
                <w:sz w:val="20"/>
                <w:szCs w:val="20"/>
                <w:lang w:eastAsia="es-MX"/>
              </w:rPr>
              <w:t>Código UCE</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19651745" w14:textId="77777777" w:rsidR="004B2667" w:rsidRPr="006B671F" w:rsidRDefault="004B2667" w:rsidP="00470705">
            <w:pPr>
              <w:spacing w:before="100" w:beforeAutospacing="1" w:after="100" w:afterAutospacing="1"/>
              <w:jc w:val="center"/>
              <w:rPr>
                <w:rFonts w:cs="Calibri"/>
                <w:b/>
                <w:bCs/>
                <w:color w:val="000000"/>
                <w:sz w:val="20"/>
                <w:szCs w:val="20"/>
                <w:lang w:eastAsia="es-MX"/>
              </w:rPr>
            </w:pPr>
            <w:r w:rsidRPr="006B671F">
              <w:rPr>
                <w:rFonts w:cs="Calibri"/>
                <w:b/>
                <w:bCs/>
                <w:color w:val="000000"/>
                <w:sz w:val="20"/>
                <w:szCs w:val="20"/>
                <w:lang w:eastAsia="es-MX"/>
              </w:rPr>
              <w:t xml:space="preserve">Descripción UC especial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8D7DCDC" w14:textId="77777777" w:rsidR="004B2667" w:rsidRPr="006B671F" w:rsidRDefault="004B2667" w:rsidP="00470705">
            <w:pPr>
              <w:spacing w:before="100" w:beforeAutospacing="1" w:after="100" w:afterAutospacing="1"/>
              <w:jc w:val="center"/>
              <w:rPr>
                <w:rFonts w:cs="Calibri"/>
                <w:b/>
                <w:bCs/>
                <w:color w:val="000000"/>
                <w:sz w:val="20"/>
                <w:szCs w:val="20"/>
                <w:lang w:eastAsia="es-MX"/>
              </w:rPr>
            </w:pPr>
            <w:r w:rsidRPr="006B671F">
              <w:rPr>
                <w:rFonts w:cs="Calibri"/>
                <w:b/>
                <w:bCs/>
                <w:color w:val="000000"/>
                <w:sz w:val="20"/>
                <w:szCs w:val="20"/>
                <w:lang w:eastAsia="es-MX"/>
              </w:rPr>
              <w:t>CATEGORÍA</w:t>
            </w:r>
          </w:p>
        </w:tc>
        <w:tc>
          <w:tcPr>
            <w:tcW w:w="1553" w:type="dxa"/>
            <w:tcBorders>
              <w:top w:val="single" w:sz="4" w:space="0" w:color="auto"/>
              <w:left w:val="nil"/>
              <w:bottom w:val="single" w:sz="4" w:space="0" w:color="auto"/>
              <w:right w:val="nil"/>
            </w:tcBorders>
            <w:shd w:val="clear" w:color="auto" w:fill="auto"/>
            <w:vAlign w:val="center"/>
          </w:tcPr>
          <w:p w14:paraId="55FD3C08" w14:textId="1166CD3A" w:rsidR="004B2667" w:rsidRPr="006B671F" w:rsidRDefault="004B2667" w:rsidP="00470705">
            <w:pPr>
              <w:spacing w:before="100" w:beforeAutospacing="1" w:after="100" w:afterAutospacing="1"/>
              <w:jc w:val="center"/>
              <w:rPr>
                <w:rFonts w:cs="Calibri"/>
                <w:b/>
                <w:bCs/>
                <w:color w:val="000000"/>
                <w:sz w:val="20"/>
                <w:szCs w:val="20"/>
                <w:lang w:eastAsia="es-MX"/>
              </w:rPr>
            </w:pPr>
            <w:r w:rsidRPr="006B671F">
              <w:rPr>
                <w:rFonts w:cs="Calibri"/>
                <w:b/>
                <w:bCs/>
                <w:color w:val="000000"/>
                <w:sz w:val="20"/>
                <w:szCs w:val="20"/>
                <w:lang w:eastAsia="es-MX"/>
              </w:rPr>
              <w:t xml:space="preserve"> Valor unitario solicitado</w:t>
            </w:r>
            <w:r w:rsidR="00A9494D" w:rsidRPr="006B671F">
              <w:rPr>
                <w:rFonts w:cs="Calibri"/>
                <w:b/>
                <w:bCs/>
                <w:color w:val="000000"/>
                <w:sz w:val="20"/>
                <w:szCs w:val="20"/>
                <w:lang w:eastAsia="es-MX"/>
              </w:rPr>
              <w:t xml:space="preserve"> (dic-2017)</w:t>
            </w:r>
            <w:r w:rsidRPr="006B671F">
              <w:rPr>
                <w:rFonts w:cs="Calibri"/>
                <w:b/>
                <w:bCs/>
                <w:color w:val="000000"/>
                <w:sz w:val="20"/>
                <w:szCs w:val="20"/>
                <w:lang w:eastAsia="es-MX"/>
              </w:rPr>
              <w:t xml:space="preserve"> </w:t>
            </w:r>
          </w:p>
        </w:tc>
        <w:tc>
          <w:tcPr>
            <w:tcW w:w="162" w:type="dxa"/>
            <w:tcBorders>
              <w:top w:val="single" w:sz="4" w:space="0" w:color="auto"/>
              <w:left w:val="nil"/>
              <w:bottom w:val="single" w:sz="4" w:space="0" w:color="auto"/>
              <w:right w:val="single" w:sz="4" w:space="0" w:color="auto"/>
            </w:tcBorders>
            <w:shd w:val="clear" w:color="auto" w:fill="auto"/>
          </w:tcPr>
          <w:p w14:paraId="626B7FD4" w14:textId="3D112675" w:rsidR="004B2667" w:rsidRPr="006B671F" w:rsidRDefault="004B2667" w:rsidP="00470705">
            <w:pPr>
              <w:spacing w:before="100" w:beforeAutospacing="1" w:after="100" w:afterAutospacing="1"/>
              <w:jc w:val="center"/>
              <w:rPr>
                <w:rFonts w:ascii="Calibri" w:hAnsi="Calibri" w:cs="Calibri"/>
                <w:b/>
                <w:bCs/>
                <w:color w:val="000000"/>
                <w:sz w:val="28"/>
                <w:szCs w:val="28"/>
                <w:lang w:eastAsia="es-CO"/>
              </w:rPr>
            </w:pPr>
          </w:p>
        </w:tc>
      </w:tr>
      <w:tr w:rsidR="00A9494D" w:rsidRPr="006B671F" w14:paraId="13DEAE45" w14:textId="1362CF10" w:rsidTr="00E50D1A">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9190665" w14:textId="77777777" w:rsidR="00A9494D" w:rsidRPr="006B671F" w:rsidRDefault="00A9494D"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N4_MEUNI_BL</w:t>
            </w:r>
          </w:p>
        </w:tc>
        <w:tc>
          <w:tcPr>
            <w:tcW w:w="4394" w:type="dxa"/>
            <w:tcBorders>
              <w:top w:val="nil"/>
              <w:left w:val="nil"/>
              <w:bottom w:val="single" w:sz="4" w:space="0" w:color="auto"/>
              <w:right w:val="single" w:sz="4" w:space="0" w:color="auto"/>
            </w:tcBorders>
            <w:shd w:val="clear" w:color="auto" w:fill="auto"/>
            <w:noWrap/>
            <w:vAlign w:val="center"/>
            <w:hideMark/>
          </w:tcPr>
          <w:p w14:paraId="60171DF1" w14:textId="77777777" w:rsidR="00A9494D" w:rsidRPr="006B671F" w:rsidRDefault="00A9494D"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Merging unit - MEUNI_BL (bahía de línea)</w:t>
            </w:r>
          </w:p>
        </w:tc>
        <w:tc>
          <w:tcPr>
            <w:tcW w:w="1418" w:type="dxa"/>
            <w:tcBorders>
              <w:top w:val="nil"/>
              <w:left w:val="nil"/>
              <w:bottom w:val="single" w:sz="4" w:space="0" w:color="auto"/>
              <w:right w:val="single" w:sz="4" w:space="0" w:color="auto"/>
            </w:tcBorders>
            <w:shd w:val="clear" w:color="auto" w:fill="auto"/>
            <w:noWrap/>
            <w:vAlign w:val="center"/>
            <w:hideMark/>
          </w:tcPr>
          <w:p w14:paraId="67ADDC06" w14:textId="77777777" w:rsidR="00A9494D" w:rsidRPr="006B671F" w:rsidRDefault="00A9494D"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4</w:t>
            </w:r>
          </w:p>
        </w:tc>
        <w:tc>
          <w:tcPr>
            <w:tcW w:w="1553" w:type="dxa"/>
            <w:tcBorders>
              <w:top w:val="nil"/>
              <w:left w:val="nil"/>
              <w:bottom w:val="single" w:sz="4" w:space="0" w:color="auto"/>
              <w:right w:val="nil"/>
            </w:tcBorders>
            <w:shd w:val="clear" w:color="auto" w:fill="auto"/>
            <w:vAlign w:val="center"/>
          </w:tcPr>
          <w:p w14:paraId="33824BFA" w14:textId="4AB1B263" w:rsidR="00A9494D" w:rsidRPr="006B671F" w:rsidRDefault="00A9494D"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178.105.076</w:t>
            </w:r>
          </w:p>
        </w:tc>
        <w:tc>
          <w:tcPr>
            <w:tcW w:w="162" w:type="dxa"/>
            <w:tcBorders>
              <w:top w:val="nil"/>
              <w:left w:val="nil"/>
              <w:bottom w:val="single" w:sz="4" w:space="0" w:color="auto"/>
              <w:right w:val="single" w:sz="4" w:space="0" w:color="auto"/>
            </w:tcBorders>
            <w:shd w:val="clear" w:color="auto" w:fill="auto"/>
          </w:tcPr>
          <w:p w14:paraId="50AE5B46" w14:textId="4CECCD06" w:rsidR="00A9494D" w:rsidRPr="006B671F" w:rsidRDefault="00A9494D" w:rsidP="00470705">
            <w:pPr>
              <w:spacing w:before="100" w:beforeAutospacing="1" w:after="100" w:afterAutospacing="1"/>
              <w:jc w:val="right"/>
              <w:rPr>
                <w:rFonts w:cs="Calibri"/>
                <w:color w:val="000000"/>
                <w:sz w:val="20"/>
                <w:szCs w:val="20"/>
                <w:lang w:eastAsia="es-MX"/>
              </w:rPr>
            </w:pPr>
          </w:p>
        </w:tc>
      </w:tr>
      <w:tr w:rsidR="00A9494D" w:rsidRPr="006B671F" w14:paraId="7536B8D3" w14:textId="01CB319A" w:rsidTr="00E50D1A">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0D0499B" w14:textId="77777777" w:rsidR="00A9494D" w:rsidRPr="006B671F" w:rsidRDefault="00A9494D"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N4_MEUNI_BA</w:t>
            </w:r>
          </w:p>
        </w:tc>
        <w:tc>
          <w:tcPr>
            <w:tcW w:w="4394" w:type="dxa"/>
            <w:tcBorders>
              <w:top w:val="nil"/>
              <w:left w:val="nil"/>
              <w:bottom w:val="single" w:sz="4" w:space="0" w:color="auto"/>
              <w:right w:val="single" w:sz="4" w:space="0" w:color="auto"/>
            </w:tcBorders>
            <w:shd w:val="clear" w:color="auto" w:fill="auto"/>
            <w:noWrap/>
            <w:vAlign w:val="center"/>
            <w:hideMark/>
          </w:tcPr>
          <w:p w14:paraId="31A4B685" w14:textId="77777777" w:rsidR="00A9494D" w:rsidRPr="006B671F" w:rsidRDefault="00A9494D"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Merging unit - MEUNI_BA (bahía de acople)</w:t>
            </w:r>
          </w:p>
        </w:tc>
        <w:tc>
          <w:tcPr>
            <w:tcW w:w="1418" w:type="dxa"/>
            <w:tcBorders>
              <w:top w:val="nil"/>
              <w:left w:val="nil"/>
              <w:bottom w:val="single" w:sz="4" w:space="0" w:color="auto"/>
              <w:right w:val="single" w:sz="4" w:space="0" w:color="auto"/>
            </w:tcBorders>
            <w:shd w:val="clear" w:color="auto" w:fill="auto"/>
            <w:noWrap/>
            <w:vAlign w:val="center"/>
            <w:hideMark/>
          </w:tcPr>
          <w:p w14:paraId="324DFEDA" w14:textId="77777777" w:rsidR="00A9494D" w:rsidRPr="006B671F" w:rsidRDefault="00A9494D"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4</w:t>
            </w:r>
          </w:p>
        </w:tc>
        <w:tc>
          <w:tcPr>
            <w:tcW w:w="1553" w:type="dxa"/>
            <w:tcBorders>
              <w:top w:val="nil"/>
              <w:left w:val="nil"/>
              <w:bottom w:val="single" w:sz="4" w:space="0" w:color="auto"/>
              <w:right w:val="nil"/>
            </w:tcBorders>
            <w:shd w:val="clear" w:color="auto" w:fill="auto"/>
            <w:vAlign w:val="center"/>
          </w:tcPr>
          <w:p w14:paraId="3AAAB723" w14:textId="36E065F4" w:rsidR="00A9494D" w:rsidRPr="006B671F" w:rsidRDefault="00A9494D"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136.324.001</w:t>
            </w:r>
          </w:p>
        </w:tc>
        <w:tc>
          <w:tcPr>
            <w:tcW w:w="162" w:type="dxa"/>
            <w:tcBorders>
              <w:top w:val="nil"/>
              <w:left w:val="nil"/>
              <w:bottom w:val="single" w:sz="4" w:space="0" w:color="auto"/>
              <w:right w:val="single" w:sz="4" w:space="0" w:color="auto"/>
            </w:tcBorders>
            <w:shd w:val="clear" w:color="auto" w:fill="auto"/>
          </w:tcPr>
          <w:p w14:paraId="6B3A9EE9" w14:textId="11CE8400" w:rsidR="00A9494D" w:rsidRPr="006B671F" w:rsidRDefault="00A9494D" w:rsidP="00470705">
            <w:pPr>
              <w:spacing w:before="100" w:beforeAutospacing="1" w:after="100" w:afterAutospacing="1"/>
              <w:jc w:val="right"/>
              <w:rPr>
                <w:rFonts w:cs="Calibri"/>
                <w:color w:val="000000"/>
                <w:sz w:val="20"/>
                <w:szCs w:val="20"/>
                <w:lang w:eastAsia="es-MX"/>
              </w:rPr>
            </w:pPr>
          </w:p>
        </w:tc>
      </w:tr>
      <w:tr w:rsidR="00A9494D" w:rsidRPr="006B671F" w14:paraId="31895647" w14:textId="687BB643" w:rsidTr="00E50D1A">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F5D695E" w14:textId="77777777" w:rsidR="00A9494D" w:rsidRPr="006B671F" w:rsidRDefault="00A9494D"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N4_MEUNI_TR</w:t>
            </w:r>
          </w:p>
        </w:tc>
        <w:tc>
          <w:tcPr>
            <w:tcW w:w="4394" w:type="dxa"/>
            <w:tcBorders>
              <w:top w:val="nil"/>
              <w:left w:val="nil"/>
              <w:bottom w:val="single" w:sz="4" w:space="0" w:color="auto"/>
              <w:right w:val="single" w:sz="4" w:space="0" w:color="auto"/>
            </w:tcBorders>
            <w:shd w:val="clear" w:color="auto" w:fill="auto"/>
            <w:noWrap/>
            <w:vAlign w:val="center"/>
            <w:hideMark/>
          </w:tcPr>
          <w:p w14:paraId="4DA01895" w14:textId="77777777" w:rsidR="00A9494D" w:rsidRPr="006B671F" w:rsidRDefault="00A9494D"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Merging unit - MEUNI_TR (bahía de transformador)</w:t>
            </w:r>
          </w:p>
        </w:tc>
        <w:tc>
          <w:tcPr>
            <w:tcW w:w="1418" w:type="dxa"/>
            <w:tcBorders>
              <w:top w:val="nil"/>
              <w:left w:val="nil"/>
              <w:bottom w:val="single" w:sz="4" w:space="0" w:color="auto"/>
              <w:right w:val="single" w:sz="4" w:space="0" w:color="auto"/>
            </w:tcBorders>
            <w:shd w:val="clear" w:color="auto" w:fill="auto"/>
            <w:noWrap/>
            <w:vAlign w:val="center"/>
            <w:hideMark/>
          </w:tcPr>
          <w:p w14:paraId="3EFAAB45" w14:textId="77777777" w:rsidR="00A9494D" w:rsidRPr="006B671F" w:rsidRDefault="00A9494D"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4</w:t>
            </w:r>
          </w:p>
        </w:tc>
        <w:tc>
          <w:tcPr>
            <w:tcW w:w="1553" w:type="dxa"/>
            <w:tcBorders>
              <w:top w:val="nil"/>
              <w:left w:val="nil"/>
              <w:bottom w:val="single" w:sz="4" w:space="0" w:color="auto"/>
              <w:right w:val="nil"/>
            </w:tcBorders>
            <w:shd w:val="clear" w:color="auto" w:fill="auto"/>
            <w:vAlign w:val="center"/>
          </w:tcPr>
          <w:p w14:paraId="3498F36C" w14:textId="6C475E19" w:rsidR="00A9494D" w:rsidRPr="006B671F" w:rsidRDefault="00A9494D"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381.160.237</w:t>
            </w:r>
          </w:p>
        </w:tc>
        <w:tc>
          <w:tcPr>
            <w:tcW w:w="162" w:type="dxa"/>
            <w:tcBorders>
              <w:top w:val="nil"/>
              <w:left w:val="nil"/>
              <w:bottom w:val="single" w:sz="4" w:space="0" w:color="auto"/>
              <w:right w:val="single" w:sz="4" w:space="0" w:color="auto"/>
            </w:tcBorders>
            <w:shd w:val="clear" w:color="auto" w:fill="auto"/>
          </w:tcPr>
          <w:p w14:paraId="6D0C1CDA" w14:textId="41354B5D" w:rsidR="00A9494D" w:rsidRPr="006B671F" w:rsidRDefault="00A9494D" w:rsidP="00470705">
            <w:pPr>
              <w:spacing w:before="100" w:beforeAutospacing="1" w:after="100" w:afterAutospacing="1"/>
              <w:jc w:val="right"/>
              <w:rPr>
                <w:rFonts w:cs="Calibri"/>
                <w:color w:val="000000"/>
                <w:sz w:val="20"/>
                <w:szCs w:val="20"/>
                <w:lang w:eastAsia="es-MX"/>
              </w:rPr>
            </w:pPr>
          </w:p>
        </w:tc>
      </w:tr>
      <w:tr w:rsidR="00E50D1A" w:rsidRPr="006B671F" w14:paraId="2E5A599E" w14:textId="632C7E6C" w:rsidTr="00E50D1A">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CBF9DF5" w14:textId="77777777" w:rsidR="00E50D1A" w:rsidRPr="006B671F" w:rsidRDefault="00E50D1A"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N4_SDEAI</w:t>
            </w:r>
          </w:p>
        </w:tc>
        <w:tc>
          <w:tcPr>
            <w:tcW w:w="4394" w:type="dxa"/>
            <w:tcBorders>
              <w:top w:val="nil"/>
              <w:left w:val="nil"/>
              <w:bottom w:val="single" w:sz="4" w:space="0" w:color="auto"/>
              <w:right w:val="single" w:sz="4" w:space="0" w:color="auto"/>
            </w:tcBorders>
            <w:shd w:val="clear" w:color="auto" w:fill="auto"/>
            <w:noWrap/>
            <w:vAlign w:val="center"/>
            <w:hideMark/>
          </w:tcPr>
          <w:p w14:paraId="5E1BBABC" w14:textId="77777777" w:rsidR="00E50D1A" w:rsidRPr="006B671F" w:rsidRDefault="00E50D1A"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Sistema de Detección de Incendios</w:t>
            </w:r>
          </w:p>
        </w:tc>
        <w:tc>
          <w:tcPr>
            <w:tcW w:w="1418" w:type="dxa"/>
            <w:tcBorders>
              <w:top w:val="nil"/>
              <w:left w:val="nil"/>
              <w:bottom w:val="single" w:sz="4" w:space="0" w:color="auto"/>
              <w:right w:val="single" w:sz="4" w:space="0" w:color="auto"/>
            </w:tcBorders>
            <w:shd w:val="clear" w:color="auto" w:fill="auto"/>
            <w:noWrap/>
            <w:vAlign w:val="center"/>
            <w:hideMark/>
          </w:tcPr>
          <w:p w14:paraId="35022536" w14:textId="77777777" w:rsidR="00E50D1A" w:rsidRPr="006B671F" w:rsidRDefault="00E50D1A"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6</w:t>
            </w:r>
          </w:p>
        </w:tc>
        <w:tc>
          <w:tcPr>
            <w:tcW w:w="1553" w:type="dxa"/>
            <w:tcBorders>
              <w:top w:val="nil"/>
              <w:left w:val="nil"/>
              <w:bottom w:val="single" w:sz="4" w:space="0" w:color="auto"/>
              <w:right w:val="nil"/>
            </w:tcBorders>
            <w:shd w:val="clear" w:color="auto" w:fill="auto"/>
            <w:vAlign w:val="center"/>
          </w:tcPr>
          <w:p w14:paraId="33EEA3E6" w14:textId="08F1C7EB" w:rsidR="00E50D1A" w:rsidRPr="006B671F" w:rsidRDefault="00E50D1A"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184.508.561</w:t>
            </w:r>
          </w:p>
        </w:tc>
        <w:tc>
          <w:tcPr>
            <w:tcW w:w="162" w:type="dxa"/>
            <w:tcBorders>
              <w:top w:val="nil"/>
              <w:left w:val="nil"/>
              <w:bottom w:val="single" w:sz="4" w:space="0" w:color="auto"/>
              <w:right w:val="single" w:sz="4" w:space="0" w:color="auto"/>
            </w:tcBorders>
            <w:shd w:val="clear" w:color="auto" w:fill="auto"/>
          </w:tcPr>
          <w:p w14:paraId="3CFAEB66" w14:textId="626ABD57" w:rsidR="00E50D1A" w:rsidRPr="006B671F" w:rsidRDefault="00E50D1A" w:rsidP="00470705">
            <w:pPr>
              <w:spacing w:before="100" w:beforeAutospacing="1" w:after="100" w:afterAutospacing="1"/>
              <w:jc w:val="right"/>
              <w:rPr>
                <w:rFonts w:cs="Calibri"/>
                <w:color w:val="000000"/>
                <w:sz w:val="20"/>
                <w:szCs w:val="20"/>
                <w:lang w:eastAsia="es-MX"/>
              </w:rPr>
            </w:pPr>
          </w:p>
        </w:tc>
      </w:tr>
      <w:tr w:rsidR="00E50D1A" w:rsidRPr="006B671F" w14:paraId="68BA306F" w14:textId="68318B9E" w:rsidTr="00E50D1A">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B2CC36F" w14:textId="77777777" w:rsidR="00E50D1A" w:rsidRPr="006B671F" w:rsidRDefault="00E50D1A"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N3_SDEAI</w:t>
            </w:r>
          </w:p>
        </w:tc>
        <w:tc>
          <w:tcPr>
            <w:tcW w:w="4394" w:type="dxa"/>
            <w:tcBorders>
              <w:top w:val="nil"/>
              <w:left w:val="nil"/>
              <w:bottom w:val="single" w:sz="4" w:space="0" w:color="auto"/>
              <w:right w:val="single" w:sz="4" w:space="0" w:color="auto"/>
            </w:tcBorders>
            <w:shd w:val="clear" w:color="auto" w:fill="auto"/>
            <w:noWrap/>
            <w:vAlign w:val="center"/>
            <w:hideMark/>
          </w:tcPr>
          <w:p w14:paraId="5F526CA3" w14:textId="77777777" w:rsidR="00E50D1A" w:rsidRPr="006B671F" w:rsidRDefault="00E50D1A"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Sistema de Detección de Incendios</w:t>
            </w:r>
          </w:p>
        </w:tc>
        <w:tc>
          <w:tcPr>
            <w:tcW w:w="1418" w:type="dxa"/>
            <w:tcBorders>
              <w:top w:val="nil"/>
              <w:left w:val="nil"/>
              <w:bottom w:val="single" w:sz="4" w:space="0" w:color="auto"/>
              <w:right w:val="single" w:sz="4" w:space="0" w:color="auto"/>
            </w:tcBorders>
            <w:shd w:val="clear" w:color="auto" w:fill="auto"/>
            <w:noWrap/>
            <w:vAlign w:val="center"/>
            <w:hideMark/>
          </w:tcPr>
          <w:p w14:paraId="48B87DAD" w14:textId="77777777" w:rsidR="00E50D1A" w:rsidRPr="006B671F" w:rsidRDefault="00E50D1A"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6</w:t>
            </w:r>
          </w:p>
        </w:tc>
        <w:tc>
          <w:tcPr>
            <w:tcW w:w="1553" w:type="dxa"/>
            <w:tcBorders>
              <w:top w:val="nil"/>
              <w:left w:val="nil"/>
              <w:bottom w:val="single" w:sz="4" w:space="0" w:color="auto"/>
              <w:right w:val="nil"/>
            </w:tcBorders>
            <w:shd w:val="clear" w:color="auto" w:fill="auto"/>
            <w:vAlign w:val="center"/>
          </w:tcPr>
          <w:p w14:paraId="127E2844" w14:textId="14B032ED" w:rsidR="00E50D1A" w:rsidRPr="006B671F" w:rsidRDefault="00E50D1A"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184.508.561</w:t>
            </w:r>
          </w:p>
        </w:tc>
        <w:tc>
          <w:tcPr>
            <w:tcW w:w="162" w:type="dxa"/>
            <w:tcBorders>
              <w:top w:val="nil"/>
              <w:left w:val="nil"/>
              <w:bottom w:val="single" w:sz="4" w:space="0" w:color="auto"/>
              <w:right w:val="single" w:sz="4" w:space="0" w:color="auto"/>
            </w:tcBorders>
            <w:shd w:val="clear" w:color="auto" w:fill="auto"/>
          </w:tcPr>
          <w:p w14:paraId="4FC60F31" w14:textId="59D3194B" w:rsidR="00E50D1A" w:rsidRPr="006B671F" w:rsidRDefault="00E50D1A" w:rsidP="00470705">
            <w:pPr>
              <w:spacing w:before="100" w:beforeAutospacing="1" w:after="100" w:afterAutospacing="1"/>
              <w:jc w:val="right"/>
              <w:rPr>
                <w:rFonts w:cs="Calibri"/>
                <w:color w:val="000000"/>
                <w:sz w:val="20"/>
                <w:szCs w:val="20"/>
                <w:lang w:eastAsia="es-MX"/>
              </w:rPr>
            </w:pPr>
          </w:p>
        </w:tc>
      </w:tr>
      <w:tr w:rsidR="00A9494D" w:rsidRPr="006B671F" w14:paraId="7A5DF801" w14:textId="1B74A80C" w:rsidTr="00E50D1A">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9E10351" w14:textId="77777777" w:rsidR="00A9494D" w:rsidRPr="006B671F" w:rsidRDefault="00A9494D"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SCMGDIF_MED</w:t>
            </w:r>
          </w:p>
        </w:tc>
        <w:tc>
          <w:tcPr>
            <w:tcW w:w="4394" w:type="dxa"/>
            <w:tcBorders>
              <w:top w:val="nil"/>
              <w:left w:val="nil"/>
              <w:bottom w:val="single" w:sz="4" w:space="0" w:color="auto"/>
              <w:right w:val="single" w:sz="4" w:space="0" w:color="auto"/>
            </w:tcBorders>
            <w:shd w:val="clear" w:color="auto" w:fill="auto"/>
            <w:noWrap/>
            <w:vAlign w:val="center"/>
            <w:hideMark/>
          </w:tcPr>
          <w:p w14:paraId="584910F8" w14:textId="0C03FB33" w:rsidR="00A9494D" w:rsidRPr="006B671F" w:rsidRDefault="000631F6"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Sistema de comunicaciones para el monitoreo y gestión de eventos emitidos por los dispositivos indicadores de falla 13,2 kv</w:t>
            </w:r>
          </w:p>
        </w:tc>
        <w:tc>
          <w:tcPr>
            <w:tcW w:w="1418" w:type="dxa"/>
            <w:tcBorders>
              <w:top w:val="nil"/>
              <w:left w:val="nil"/>
              <w:bottom w:val="single" w:sz="4" w:space="0" w:color="auto"/>
              <w:right w:val="single" w:sz="4" w:space="0" w:color="auto"/>
            </w:tcBorders>
            <w:shd w:val="clear" w:color="auto" w:fill="auto"/>
            <w:noWrap/>
            <w:vAlign w:val="center"/>
            <w:hideMark/>
          </w:tcPr>
          <w:p w14:paraId="19CD7714" w14:textId="77777777" w:rsidR="00A9494D" w:rsidRPr="006B671F" w:rsidRDefault="00A9494D"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4</w:t>
            </w:r>
          </w:p>
        </w:tc>
        <w:tc>
          <w:tcPr>
            <w:tcW w:w="1553" w:type="dxa"/>
            <w:tcBorders>
              <w:top w:val="nil"/>
              <w:left w:val="nil"/>
              <w:bottom w:val="single" w:sz="4" w:space="0" w:color="auto"/>
              <w:right w:val="nil"/>
            </w:tcBorders>
            <w:shd w:val="clear" w:color="auto" w:fill="auto"/>
            <w:vAlign w:val="center"/>
          </w:tcPr>
          <w:p w14:paraId="48C83ED7" w14:textId="43B365DA" w:rsidR="00A9494D" w:rsidRPr="006B671F" w:rsidRDefault="00A9494D"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564.874</w:t>
            </w:r>
          </w:p>
        </w:tc>
        <w:tc>
          <w:tcPr>
            <w:tcW w:w="162" w:type="dxa"/>
            <w:tcBorders>
              <w:top w:val="nil"/>
              <w:left w:val="nil"/>
              <w:bottom w:val="single" w:sz="4" w:space="0" w:color="auto"/>
              <w:right w:val="single" w:sz="4" w:space="0" w:color="auto"/>
            </w:tcBorders>
            <w:shd w:val="clear" w:color="auto" w:fill="auto"/>
          </w:tcPr>
          <w:p w14:paraId="655F8223" w14:textId="7B034DAF" w:rsidR="00A9494D" w:rsidRPr="006B671F" w:rsidRDefault="00A9494D" w:rsidP="00470705">
            <w:pPr>
              <w:spacing w:before="100" w:beforeAutospacing="1" w:after="100" w:afterAutospacing="1"/>
              <w:jc w:val="right"/>
              <w:rPr>
                <w:rFonts w:cs="Calibri"/>
                <w:color w:val="000000"/>
                <w:sz w:val="20"/>
                <w:szCs w:val="20"/>
                <w:lang w:eastAsia="es-MX"/>
              </w:rPr>
            </w:pPr>
          </w:p>
        </w:tc>
      </w:tr>
      <w:tr w:rsidR="00A9494D" w:rsidRPr="006B671F" w14:paraId="3B852C96" w14:textId="75E4435E" w:rsidTr="00E50D1A">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20031FB" w14:textId="77777777" w:rsidR="00A9494D" w:rsidRPr="006B671F" w:rsidRDefault="00A9494D"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SCMGDIF_MCO</w:t>
            </w:r>
          </w:p>
        </w:tc>
        <w:tc>
          <w:tcPr>
            <w:tcW w:w="4394" w:type="dxa"/>
            <w:tcBorders>
              <w:top w:val="nil"/>
              <w:left w:val="nil"/>
              <w:bottom w:val="single" w:sz="4" w:space="0" w:color="auto"/>
              <w:right w:val="single" w:sz="4" w:space="0" w:color="auto"/>
            </w:tcBorders>
            <w:shd w:val="clear" w:color="auto" w:fill="auto"/>
            <w:noWrap/>
            <w:vAlign w:val="center"/>
            <w:hideMark/>
          </w:tcPr>
          <w:p w14:paraId="5C8A2826" w14:textId="1C5A32BE" w:rsidR="00A9494D" w:rsidRPr="006B671F" w:rsidRDefault="000631F6"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Sistema de comunicaciones para el monitoreo y gestión de eventos emitidos por los dispositivos indicadores de falla 13,2 kv</w:t>
            </w:r>
          </w:p>
        </w:tc>
        <w:tc>
          <w:tcPr>
            <w:tcW w:w="1418" w:type="dxa"/>
            <w:tcBorders>
              <w:top w:val="nil"/>
              <w:left w:val="nil"/>
              <w:bottom w:val="single" w:sz="4" w:space="0" w:color="auto"/>
              <w:right w:val="single" w:sz="4" w:space="0" w:color="auto"/>
            </w:tcBorders>
            <w:shd w:val="clear" w:color="auto" w:fill="auto"/>
            <w:noWrap/>
            <w:vAlign w:val="center"/>
            <w:hideMark/>
          </w:tcPr>
          <w:p w14:paraId="32C49B43" w14:textId="77777777" w:rsidR="00A9494D" w:rsidRPr="006B671F" w:rsidRDefault="00A9494D"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4</w:t>
            </w:r>
          </w:p>
        </w:tc>
        <w:tc>
          <w:tcPr>
            <w:tcW w:w="1553" w:type="dxa"/>
            <w:tcBorders>
              <w:top w:val="nil"/>
              <w:left w:val="nil"/>
              <w:bottom w:val="single" w:sz="4" w:space="0" w:color="auto"/>
              <w:right w:val="nil"/>
            </w:tcBorders>
            <w:shd w:val="clear" w:color="auto" w:fill="auto"/>
            <w:vAlign w:val="center"/>
          </w:tcPr>
          <w:p w14:paraId="27BB4693" w14:textId="314AC2BC" w:rsidR="00A9494D" w:rsidRPr="006B671F" w:rsidRDefault="00A9494D"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1.358.073</w:t>
            </w:r>
          </w:p>
        </w:tc>
        <w:tc>
          <w:tcPr>
            <w:tcW w:w="162" w:type="dxa"/>
            <w:tcBorders>
              <w:top w:val="nil"/>
              <w:left w:val="nil"/>
              <w:bottom w:val="single" w:sz="4" w:space="0" w:color="auto"/>
              <w:right w:val="single" w:sz="4" w:space="0" w:color="auto"/>
            </w:tcBorders>
            <w:shd w:val="clear" w:color="auto" w:fill="auto"/>
          </w:tcPr>
          <w:p w14:paraId="50F95E5D" w14:textId="6AC52221" w:rsidR="00A9494D" w:rsidRPr="006B671F" w:rsidRDefault="00A9494D" w:rsidP="00470705">
            <w:pPr>
              <w:spacing w:before="100" w:beforeAutospacing="1" w:after="100" w:afterAutospacing="1"/>
              <w:jc w:val="right"/>
              <w:rPr>
                <w:rFonts w:cs="Calibri"/>
                <w:color w:val="000000"/>
                <w:sz w:val="20"/>
                <w:szCs w:val="20"/>
                <w:lang w:eastAsia="es-MX"/>
              </w:rPr>
            </w:pPr>
          </w:p>
        </w:tc>
      </w:tr>
      <w:tr w:rsidR="00A9494D" w:rsidRPr="006B671F" w14:paraId="4BA588B7" w14:textId="7C506FB1" w:rsidTr="00E50D1A">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F0C48C3" w14:textId="77777777" w:rsidR="00A9494D" w:rsidRPr="006B671F" w:rsidRDefault="00A9494D"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SCMGDIF_MRE</w:t>
            </w:r>
          </w:p>
        </w:tc>
        <w:tc>
          <w:tcPr>
            <w:tcW w:w="4394" w:type="dxa"/>
            <w:tcBorders>
              <w:top w:val="nil"/>
              <w:left w:val="nil"/>
              <w:bottom w:val="single" w:sz="4" w:space="0" w:color="auto"/>
              <w:right w:val="single" w:sz="4" w:space="0" w:color="auto"/>
            </w:tcBorders>
            <w:shd w:val="clear" w:color="auto" w:fill="auto"/>
            <w:noWrap/>
            <w:vAlign w:val="center"/>
            <w:hideMark/>
          </w:tcPr>
          <w:p w14:paraId="15504B9E" w14:textId="3FF3202B" w:rsidR="00A9494D" w:rsidRPr="006B671F" w:rsidRDefault="000631F6"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Sistema de comunicaciones para el monitoreo y gestión de eventos emitidos por los dispositivos indicadores de falla 13,2 kv</w:t>
            </w:r>
          </w:p>
        </w:tc>
        <w:tc>
          <w:tcPr>
            <w:tcW w:w="1418" w:type="dxa"/>
            <w:tcBorders>
              <w:top w:val="nil"/>
              <w:left w:val="nil"/>
              <w:bottom w:val="single" w:sz="4" w:space="0" w:color="auto"/>
              <w:right w:val="single" w:sz="4" w:space="0" w:color="auto"/>
            </w:tcBorders>
            <w:shd w:val="clear" w:color="auto" w:fill="auto"/>
            <w:noWrap/>
            <w:vAlign w:val="center"/>
            <w:hideMark/>
          </w:tcPr>
          <w:p w14:paraId="552370A7" w14:textId="77777777" w:rsidR="00A9494D" w:rsidRPr="006B671F" w:rsidRDefault="00A9494D"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4</w:t>
            </w:r>
          </w:p>
        </w:tc>
        <w:tc>
          <w:tcPr>
            <w:tcW w:w="1553" w:type="dxa"/>
            <w:tcBorders>
              <w:top w:val="nil"/>
              <w:left w:val="nil"/>
              <w:bottom w:val="single" w:sz="4" w:space="0" w:color="auto"/>
              <w:right w:val="nil"/>
            </w:tcBorders>
            <w:shd w:val="clear" w:color="auto" w:fill="auto"/>
            <w:vAlign w:val="center"/>
          </w:tcPr>
          <w:p w14:paraId="31662107" w14:textId="31D25B83" w:rsidR="00A9494D" w:rsidRPr="006B671F" w:rsidRDefault="00A9494D"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1.452.929</w:t>
            </w:r>
          </w:p>
        </w:tc>
        <w:tc>
          <w:tcPr>
            <w:tcW w:w="162" w:type="dxa"/>
            <w:tcBorders>
              <w:top w:val="nil"/>
              <w:left w:val="nil"/>
              <w:bottom w:val="single" w:sz="4" w:space="0" w:color="auto"/>
              <w:right w:val="single" w:sz="4" w:space="0" w:color="auto"/>
            </w:tcBorders>
            <w:shd w:val="clear" w:color="auto" w:fill="auto"/>
          </w:tcPr>
          <w:p w14:paraId="34D9D994" w14:textId="1163815A" w:rsidR="00A9494D" w:rsidRPr="006B671F" w:rsidRDefault="00A9494D" w:rsidP="00470705">
            <w:pPr>
              <w:spacing w:before="100" w:beforeAutospacing="1" w:after="100" w:afterAutospacing="1"/>
              <w:jc w:val="right"/>
              <w:rPr>
                <w:rFonts w:cs="Calibri"/>
                <w:color w:val="000000"/>
                <w:sz w:val="20"/>
                <w:szCs w:val="20"/>
                <w:lang w:eastAsia="es-MX"/>
              </w:rPr>
            </w:pPr>
          </w:p>
        </w:tc>
      </w:tr>
      <w:tr w:rsidR="00A9494D" w:rsidRPr="006B671F" w14:paraId="4C930716" w14:textId="64FA9352" w:rsidTr="00E50D1A">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87AAA5A" w14:textId="77777777" w:rsidR="00A9494D" w:rsidRPr="006B671F" w:rsidRDefault="00A9494D"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SCMGDIF_MGA</w:t>
            </w:r>
          </w:p>
        </w:tc>
        <w:tc>
          <w:tcPr>
            <w:tcW w:w="4394" w:type="dxa"/>
            <w:tcBorders>
              <w:top w:val="nil"/>
              <w:left w:val="nil"/>
              <w:bottom w:val="single" w:sz="4" w:space="0" w:color="auto"/>
              <w:right w:val="single" w:sz="4" w:space="0" w:color="auto"/>
            </w:tcBorders>
            <w:shd w:val="clear" w:color="auto" w:fill="auto"/>
            <w:noWrap/>
            <w:vAlign w:val="center"/>
            <w:hideMark/>
          </w:tcPr>
          <w:p w14:paraId="04E5F852" w14:textId="63289B24" w:rsidR="00A9494D" w:rsidRPr="006B671F" w:rsidRDefault="000631F6"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Sistema de comunicaciones para el monitoreo y gestión de eventos emitidos por los dispositivos indicadores de falla 13,2 kv</w:t>
            </w:r>
          </w:p>
        </w:tc>
        <w:tc>
          <w:tcPr>
            <w:tcW w:w="1418" w:type="dxa"/>
            <w:tcBorders>
              <w:top w:val="nil"/>
              <w:left w:val="nil"/>
              <w:bottom w:val="single" w:sz="4" w:space="0" w:color="auto"/>
              <w:right w:val="single" w:sz="4" w:space="0" w:color="auto"/>
            </w:tcBorders>
            <w:shd w:val="clear" w:color="auto" w:fill="auto"/>
            <w:noWrap/>
            <w:vAlign w:val="center"/>
            <w:hideMark/>
          </w:tcPr>
          <w:p w14:paraId="4F8C1874" w14:textId="77777777" w:rsidR="00A9494D" w:rsidRPr="006B671F" w:rsidRDefault="00A9494D"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4</w:t>
            </w:r>
          </w:p>
        </w:tc>
        <w:tc>
          <w:tcPr>
            <w:tcW w:w="1553" w:type="dxa"/>
            <w:tcBorders>
              <w:top w:val="nil"/>
              <w:left w:val="nil"/>
              <w:bottom w:val="single" w:sz="4" w:space="0" w:color="auto"/>
              <w:right w:val="nil"/>
            </w:tcBorders>
            <w:shd w:val="clear" w:color="auto" w:fill="auto"/>
            <w:vAlign w:val="center"/>
          </w:tcPr>
          <w:p w14:paraId="3BF0B467" w14:textId="141222D9" w:rsidR="00A9494D" w:rsidRPr="006B671F" w:rsidRDefault="00A9494D"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2.391.370</w:t>
            </w:r>
          </w:p>
        </w:tc>
        <w:tc>
          <w:tcPr>
            <w:tcW w:w="162" w:type="dxa"/>
            <w:tcBorders>
              <w:top w:val="nil"/>
              <w:left w:val="nil"/>
              <w:bottom w:val="single" w:sz="4" w:space="0" w:color="auto"/>
              <w:right w:val="single" w:sz="4" w:space="0" w:color="auto"/>
            </w:tcBorders>
            <w:shd w:val="clear" w:color="auto" w:fill="auto"/>
          </w:tcPr>
          <w:p w14:paraId="7BF29F61" w14:textId="5CB8E331" w:rsidR="00A9494D" w:rsidRPr="006B671F" w:rsidRDefault="00A9494D" w:rsidP="00470705">
            <w:pPr>
              <w:spacing w:before="100" w:beforeAutospacing="1" w:after="100" w:afterAutospacing="1"/>
              <w:jc w:val="right"/>
              <w:rPr>
                <w:rFonts w:cs="Calibri"/>
                <w:color w:val="000000"/>
                <w:sz w:val="20"/>
                <w:szCs w:val="20"/>
                <w:lang w:eastAsia="es-MX"/>
              </w:rPr>
            </w:pPr>
          </w:p>
        </w:tc>
      </w:tr>
      <w:tr w:rsidR="003E29C9" w:rsidRPr="006B671F" w14:paraId="5A0ACD84" w14:textId="1E8060C9" w:rsidTr="00E50D1A">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F83B4E1" w14:textId="1B8BF653" w:rsidR="003E29C9" w:rsidRPr="006B671F" w:rsidRDefault="003E29C9"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N1EQ1</w:t>
            </w:r>
          </w:p>
        </w:tc>
        <w:tc>
          <w:tcPr>
            <w:tcW w:w="4394" w:type="dxa"/>
            <w:tcBorders>
              <w:top w:val="nil"/>
              <w:left w:val="nil"/>
              <w:bottom w:val="single" w:sz="4" w:space="0" w:color="auto"/>
              <w:right w:val="single" w:sz="4" w:space="0" w:color="auto"/>
            </w:tcBorders>
            <w:shd w:val="clear" w:color="auto" w:fill="auto"/>
            <w:noWrap/>
            <w:vAlign w:val="center"/>
            <w:hideMark/>
          </w:tcPr>
          <w:p w14:paraId="3ABEE611" w14:textId="328F9A65" w:rsidR="003E29C9" w:rsidRPr="006B671F" w:rsidRDefault="003E29C9" w:rsidP="00470705">
            <w:pPr>
              <w:spacing w:before="100" w:beforeAutospacing="1" w:after="100" w:afterAutospacing="1"/>
              <w:jc w:val="left"/>
              <w:rPr>
                <w:rFonts w:cs="Calibri"/>
                <w:color w:val="000000"/>
                <w:sz w:val="20"/>
                <w:szCs w:val="20"/>
                <w:lang w:eastAsia="es-MX"/>
              </w:rPr>
            </w:pPr>
            <w:r w:rsidRPr="006B671F">
              <w:rPr>
                <w:rFonts w:cs="Calibri"/>
                <w:color w:val="000000"/>
                <w:sz w:val="20"/>
                <w:szCs w:val="20"/>
                <w:lang w:eastAsia="es-MX"/>
              </w:rPr>
              <w:t>Barraje de derivación subterráneo</w:t>
            </w:r>
          </w:p>
        </w:tc>
        <w:tc>
          <w:tcPr>
            <w:tcW w:w="1418" w:type="dxa"/>
            <w:tcBorders>
              <w:top w:val="nil"/>
              <w:left w:val="nil"/>
              <w:bottom w:val="single" w:sz="4" w:space="0" w:color="auto"/>
              <w:right w:val="single" w:sz="4" w:space="0" w:color="auto"/>
            </w:tcBorders>
            <w:shd w:val="clear" w:color="auto" w:fill="auto"/>
            <w:noWrap/>
            <w:vAlign w:val="center"/>
            <w:hideMark/>
          </w:tcPr>
          <w:p w14:paraId="638E02B5" w14:textId="3A115E79" w:rsidR="003E29C9" w:rsidRPr="006B671F" w:rsidRDefault="003E29C9"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12</w:t>
            </w:r>
          </w:p>
        </w:tc>
        <w:tc>
          <w:tcPr>
            <w:tcW w:w="1553" w:type="dxa"/>
            <w:tcBorders>
              <w:top w:val="nil"/>
              <w:left w:val="nil"/>
              <w:bottom w:val="single" w:sz="4" w:space="0" w:color="auto"/>
              <w:right w:val="nil"/>
            </w:tcBorders>
            <w:shd w:val="clear" w:color="auto" w:fill="auto"/>
            <w:vAlign w:val="center"/>
          </w:tcPr>
          <w:p w14:paraId="3ACC0D85" w14:textId="373A8F32" w:rsidR="003E29C9" w:rsidRPr="006B671F" w:rsidRDefault="003E29C9" w:rsidP="00470705">
            <w:pPr>
              <w:spacing w:before="100" w:beforeAutospacing="1" w:after="100" w:afterAutospacing="1"/>
              <w:jc w:val="center"/>
              <w:rPr>
                <w:rFonts w:cs="Calibri"/>
                <w:color w:val="000000"/>
                <w:sz w:val="20"/>
                <w:szCs w:val="20"/>
                <w:lang w:eastAsia="es-MX"/>
              </w:rPr>
            </w:pPr>
            <w:r w:rsidRPr="006B671F">
              <w:rPr>
                <w:rFonts w:cs="Calibri"/>
                <w:color w:val="000000"/>
                <w:sz w:val="20"/>
                <w:szCs w:val="20"/>
                <w:lang w:eastAsia="es-MX"/>
              </w:rPr>
              <w:t>348.878</w:t>
            </w:r>
          </w:p>
        </w:tc>
        <w:tc>
          <w:tcPr>
            <w:tcW w:w="162" w:type="dxa"/>
            <w:tcBorders>
              <w:top w:val="nil"/>
              <w:left w:val="nil"/>
              <w:bottom w:val="single" w:sz="4" w:space="0" w:color="auto"/>
              <w:right w:val="single" w:sz="4" w:space="0" w:color="auto"/>
            </w:tcBorders>
            <w:shd w:val="clear" w:color="auto" w:fill="auto"/>
          </w:tcPr>
          <w:p w14:paraId="3E0DB63E" w14:textId="3A99D6A3" w:rsidR="003E29C9" w:rsidRPr="006B671F" w:rsidRDefault="003E29C9" w:rsidP="00470705">
            <w:pPr>
              <w:spacing w:before="100" w:beforeAutospacing="1" w:after="100" w:afterAutospacing="1"/>
              <w:jc w:val="right"/>
              <w:rPr>
                <w:rFonts w:cs="Calibri"/>
                <w:color w:val="000000"/>
                <w:sz w:val="20"/>
                <w:szCs w:val="20"/>
                <w:lang w:eastAsia="es-MX"/>
              </w:rPr>
            </w:pPr>
          </w:p>
        </w:tc>
      </w:tr>
    </w:tbl>
    <w:p w14:paraId="64E8A7A4" w14:textId="03661854" w:rsidR="00271C3E" w:rsidRPr="006B671F" w:rsidRDefault="00271C3E" w:rsidP="00470705">
      <w:pPr>
        <w:spacing w:before="100" w:beforeAutospacing="1" w:after="100" w:afterAutospacing="1"/>
        <w:rPr>
          <w:rFonts w:eastAsia="Bookman Old Style" w:cs="Bookman Old Style"/>
        </w:rPr>
      </w:pPr>
      <w:r w:rsidRPr="006B671F">
        <w:rPr>
          <w:rFonts w:eastAsia="Bookman Old Style" w:cs="Bookman Old Style"/>
        </w:rPr>
        <w:t xml:space="preserve">A continuación, se presenta para las UC especiales el respectivo análisis realizado por la </w:t>
      </w:r>
      <w:r w:rsidR="00837FD6">
        <w:rPr>
          <w:rFonts w:eastAsia="Bookman Old Style" w:cs="Bookman Old Style"/>
        </w:rPr>
        <w:t>Comisión</w:t>
      </w:r>
      <w:r w:rsidRPr="006B671F">
        <w:rPr>
          <w:rFonts w:eastAsia="Bookman Old Style" w:cs="Bookman Old Style"/>
        </w:rPr>
        <w:t>:</w:t>
      </w:r>
    </w:p>
    <w:p w14:paraId="0CD551F1" w14:textId="3B554194" w:rsidR="00191954" w:rsidRPr="006B671F" w:rsidRDefault="000F4CDE" w:rsidP="00470705">
      <w:pPr>
        <w:spacing w:before="100" w:beforeAutospacing="1" w:after="100" w:afterAutospacing="1"/>
        <w:rPr>
          <w:b/>
          <w:bCs/>
        </w:rPr>
      </w:pPr>
      <w:r w:rsidRPr="006B671F">
        <w:rPr>
          <w:b/>
          <w:bCs/>
        </w:rPr>
        <w:t xml:space="preserve">Merging unit </w:t>
      </w:r>
      <w:r w:rsidR="00FE0820" w:rsidRPr="006B671F">
        <w:rPr>
          <w:b/>
          <w:bCs/>
        </w:rPr>
        <w:t>bahía de línea, merging unit bahía de acople y merging unit bahía de transformador</w:t>
      </w:r>
    </w:p>
    <w:p w14:paraId="1F062337" w14:textId="05B764CC" w:rsidR="00300436" w:rsidRPr="006B671F" w:rsidRDefault="00300436" w:rsidP="00470705">
      <w:pPr>
        <w:spacing w:before="100" w:beforeAutospacing="1" w:after="100" w:afterAutospacing="1"/>
        <w:rPr>
          <w:rFonts w:eastAsia="Bookman Old Style" w:cs="Bookman Old Style"/>
        </w:rPr>
      </w:pPr>
      <w:r w:rsidRPr="006B671F">
        <w:rPr>
          <w:rFonts w:eastAsia="Bookman Old Style" w:cs="Bookman Old Style"/>
        </w:rPr>
        <w:t>El OR reporta estas UC especiales en el formato 5.</w:t>
      </w:r>
      <w:r w:rsidR="00ED58D7" w:rsidRPr="006B671F">
        <w:rPr>
          <w:rFonts w:eastAsia="Bookman Old Style" w:cs="Bookman Old Style"/>
        </w:rPr>
        <w:t>6</w:t>
      </w:r>
      <w:r w:rsidRPr="006B671F">
        <w:rPr>
          <w:rFonts w:eastAsia="Bookman Old Style" w:cs="Bookman Old Style"/>
        </w:rPr>
        <w:t xml:space="preserve"> relacionadas con activos de</w:t>
      </w:r>
      <w:r w:rsidR="00ED58D7" w:rsidRPr="006B671F">
        <w:rPr>
          <w:rFonts w:eastAsia="Bookman Old Style" w:cs="Bookman Old Style"/>
        </w:rPr>
        <w:t xml:space="preserve"> subestaciones</w:t>
      </w:r>
      <w:r w:rsidRPr="006B671F">
        <w:rPr>
          <w:rFonts w:eastAsia="Bookman Old Style" w:cs="Bookman Old Style"/>
        </w:rPr>
        <w:t xml:space="preserve"> en el tipo de inversión IV.</w:t>
      </w:r>
    </w:p>
    <w:p w14:paraId="6AF51B89" w14:textId="464643D4" w:rsidR="00C35C5B" w:rsidRDefault="00300436" w:rsidP="00470705">
      <w:pPr>
        <w:spacing w:before="100" w:beforeAutospacing="1" w:after="100" w:afterAutospacing="1"/>
        <w:rPr>
          <w:rFonts w:eastAsia="Bookman Old Style" w:cs="Bookman Old Style"/>
        </w:rPr>
      </w:pPr>
      <w:r w:rsidRPr="006B671F">
        <w:rPr>
          <w:rFonts w:eastAsia="Bookman Old Style" w:cs="Bookman Old Style"/>
        </w:rPr>
        <w:t>Es importante destacar que en las inversiones de tipo IV</w:t>
      </w:r>
      <w:r w:rsidR="00C35C5B">
        <w:rPr>
          <w:rFonts w:eastAsia="Bookman Old Style" w:cs="Bookman Old Style"/>
        </w:rPr>
        <w:t xml:space="preserve">, </w:t>
      </w:r>
      <w:r w:rsidRPr="006B671F">
        <w:rPr>
          <w:rFonts w:eastAsia="Bookman Old Style" w:cs="Bookman Old Style"/>
        </w:rPr>
        <w:t xml:space="preserve">el OR debe resaltar las metas a cumplir en materia del mejoramiento de la calidad del servicio con relación a la </w:t>
      </w:r>
      <w:r w:rsidR="00C35C5B">
        <w:rPr>
          <w:rFonts w:eastAsia="Bookman Old Style" w:cs="Bookman Old Style"/>
        </w:rPr>
        <w:t>UC</w:t>
      </w:r>
      <w:r w:rsidRPr="006B671F">
        <w:rPr>
          <w:rFonts w:eastAsia="Bookman Old Style" w:cs="Bookman Old Style"/>
        </w:rPr>
        <w:t xml:space="preserve"> especial</w:t>
      </w:r>
      <w:r w:rsidR="00C35C5B">
        <w:rPr>
          <w:rFonts w:eastAsia="Bookman Old Style" w:cs="Bookman Old Style"/>
        </w:rPr>
        <w:t>,</w:t>
      </w:r>
      <w:r w:rsidRPr="006B671F">
        <w:rPr>
          <w:rFonts w:eastAsia="Bookman Old Style" w:cs="Bookman Old Style"/>
        </w:rPr>
        <w:t xml:space="preserve"> tal como se resalta en el numeral 6.3.3.2 del </w:t>
      </w:r>
      <w:r w:rsidR="00C51827">
        <w:rPr>
          <w:rFonts w:eastAsia="Bookman Old Style" w:cs="Bookman Old Style"/>
        </w:rPr>
        <w:t>Anexo General</w:t>
      </w:r>
      <w:r w:rsidRPr="006B671F">
        <w:rPr>
          <w:rFonts w:eastAsia="Bookman Old Style" w:cs="Bookman Old Style"/>
        </w:rPr>
        <w:t xml:space="preserve"> de la Resolución CREG 015 de 2018</w:t>
      </w:r>
      <w:r w:rsidR="00C35C5B">
        <w:rPr>
          <w:rFonts w:eastAsia="Bookman Old Style" w:cs="Bookman Old Style"/>
        </w:rPr>
        <w:t>. No obstante,</w:t>
      </w:r>
      <w:r w:rsidRPr="006B671F">
        <w:rPr>
          <w:rFonts w:eastAsia="Bookman Old Style" w:cs="Bookman Old Style"/>
        </w:rPr>
        <w:t xml:space="preserve"> en la documentación suministrada no hay evidencia objetiva de dichas metas, es decir, el OR no presenta una justificación del porque estas inversiones son de tipo IV.</w:t>
      </w:r>
      <w:r w:rsidR="00AA2163" w:rsidRPr="006B671F">
        <w:rPr>
          <w:rFonts w:eastAsia="Bookman Old Style" w:cs="Bookman Old Style"/>
        </w:rPr>
        <w:t xml:space="preserve"> </w:t>
      </w:r>
    </w:p>
    <w:p w14:paraId="315BA565" w14:textId="254DD2CB" w:rsidR="00FE0820" w:rsidRPr="006B671F" w:rsidRDefault="00AA2163" w:rsidP="00470705">
      <w:pPr>
        <w:spacing w:before="100" w:beforeAutospacing="1" w:after="100" w:afterAutospacing="1"/>
        <w:rPr>
          <w:rFonts w:eastAsia="Bookman Old Style" w:cs="Bookman Old Style"/>
        </w:rPr>
      </w:pPr>
      <w:r w:rsidRPr="006B671F">
        <w:rPr>
          <w:rFonts w:eastAsia="Bookman Old Style" w:cs="Bookman Old Style"/>
        </w:rPr>
        <w:t xml:space="preserve">Por otro lado, </w:t>
      </w:r>
      <w:r w:rsidR="00DA5182" w:rsidRPr="006B671F">
        <w:rPr>
          <w:rFonts w:eastAsia="Bookman Old Style" w:cs="Bookman Old Style"/>
        </w:rPr>
        <w:t xml:space="preserve">al analizar la composición de estas </w:t>
      </w:r>
      <w:r w:rsidR="00C35C5B">
        <w:rPr>
          <w:rFonts w:eastAsia="Bookman Old Style" w:cs="Bookman Old Style"/>
        </w:rPr>
        <w:t>UC</w:t>
      </w:r>
      <w:r w:rsidR="00DA5182" w:rsidRPr="006B671F">
        <w:rPr>
          <w:rFonts w:eastAsia="Bookman Old Style" w:cs="Bookman Old Style"/>
        </w:rPr>
        <w:t xml:space="preserve"> especiales</w:t>
      </w:r>
      <w:r w:rsidR="0098744A" w:rsidRPr="006B671F">
        <w:rPr>
          <w:rFonts w:eastAsia="Bookman Old Style" w:cs="Bookman Old Style"/>
        </w:rPr>
        <w:t xml:space="preserve"> se identifica que </w:t>
      </w:r>
      <w:r w:rsidR="000A7940" w:rsidRPr="006B671F">
        <w:rPr>
          <w:rFonts w:eastAsia="Bookman Old Style" w:cs="Bookman Old Style"/>
        </w:rPr>
        <w:t>por sus funciones y comportamiento</w:t>
      </w:r>
      <w:r w:rsidR="00C35C5B">
        <w:rPr>
          <w:rFonts w:eastAsia="Bookman Old Style" w:cs="Bookman Old Style"/>
        </w:rPr>
        <w:t>,</w:t>
      </w:r>
      <w:r w:rsidR="000A7940" w:rsidRPr="006B671F">
        <w:rPr>
          <w:rFonts w:eastAsia="Bookman Old Style" w:cs="Bookman Old Style"/>
        </w:rPr>
        <w:t xml:space="preserve"> </w:t>
      </w:r>
      <w:r w:rsidR="004B7792" w:rsidRPr="006B671F">
        <w:rPr>
          <w:rFonts w:eastAsia="Bookman Old Style" w:cs="Bookman Old Style"/>
        </w:rPr>
        <w:t xml:space="preserve">corresponden a componentes de </w:t>
      </w:r>
      <w:r w:rsidR="00C35C5B">
        <w:rPr>
          <w:rFonts w:eastAsia="Bookman Old Style" w:cs="Bookman Old Style"/>
        </w:rPr>
        <w:t>UC</w:t>
      </w:r>
      <w:r w:rsidR="004B7792" w:rsidRPr="006B671F">
        <w:rPr>
          <w:rFonts w:eastAsia="Bookman Old Style" w:cs="Bookman Old Style"/>
        </w:rPr>
        <w:t xml:space="preserve"> de control de subestaciones</w:t>
      </w:r>
      <w:r w:rsidR="00AC47CD" w:rsidRPr="006B671F">
        <w:rPr>
          <w:rFonts w:eastAsia="Bookman Old Style" w:cs="Bookman Old Style"/>
        </w:rPr>
        <w:t xml:space="preserve">, por lo que no se presentan características técnicas </w:t>
      </w:r>
      <w:r w:rsidR="00480D2F" w:rsidRPr="006B671F">
        <w:rPr>
          <w:rFonts w:eastAsia="Bookman Old Style" w:cs="Bookman Old Style"/>
        </w:rPr>
        <w:t xml:space="preserve">distintas a las </w:t>
      </w:r>
      <w:r w:rsidR="00C35C5B">
        <w:rPr>
          <w:rFonts w:eastAsia="Bookman Old Style" w:cs="Bookman Old Style"/>
        </w:rPr>
        <w:t>UC</w:t>
      </w:r>
      <w:r w:rsidR="00480D2F" w:rsidRPr="006B671F">
        <w:rPr>
          <w:rFonts w:eastAsia="Bookman Old Style" w:cs="Bookman Old Style"/>
        </w:rPr>
        <w:t xml:space="preserve"> establecidas en el capítulo 14 del </w:t>
      </w:r>
      <w:r w:rsidR="00C51827">
        <w:rPr>
          <w:rFonts w:eastAsia="Bookman Old Style" w:cs="Bookman Old Style"/>
        </w:rPr>
        <w:t>Anexo General</w:t>
      </w:r>
      <w:r w:rsidR="00480D2F" w:rsidRPr="006B671F">
        <w:rPr>
          <w:rFonts w:eastAsia="Bookman Old Style" w:cs="Bookman Old Style"/>
        </w:rPr>
        <w:t xml:space="preserve"> de la Resolución CREG 015 de 2018.</w:t>
      </w:r>
    </w:p>
    <w:p w14:paraId="1E1D7299" w14:textId="359C7D3B" w:rsidR="004B7F05" w:rsidRDefault="004B7F05" w:rsidP="00470705">
      <w:pPr>
        <w:spacing w:before="100" w:beforeAutospacing="1" w:after="100" w:afterAutospacing="1"/>
        <w:rPr>
          <w:rFonts w:eastAsia="Bookman Old Style" w:cs="Bookman Old Style"/>
        </w:rPr>
      </w:pPr>
      <w:r w:rsidRPr="006B671F">
        <w:rPr>
          <w:rFonts w:eastAsia="Bookman Old Style" w:cs="Bookman Old Style"/>
        </w:rPr>
        <w:t xml:space="preserve">Por lo anterior, la </w:t>
      </w:r>
      <w:r w:rsidR="00837FD6">
        <w:rPr>
          <w:rFonts w:eastAsia="Bookman Old Style" w:cs="Bookman Old Style"/>
        </w:rPr>
        <w:t>Comisión</w:t>
      </w:r>
      <w:r w:rsidRPr="006B671F">
        <w:rPr>
          <w:rFonts w:eastAsia="Bookman Old Style" w:cs="Bookman Old Style"/>
        </w:rPr>
        <w:t xml:space="preserve"> decide no reponer la decisión y mantener el no reconocimiento de estas </w:t>
      </w:r>
      <w:r w:rsidR="00C35C5B">
        <w:rPr>
          <w:rFonts w:eastAsia="Bookman Old Style" w:cs="Bookman Old Style"/>
        </w:rPr>
        <w:t>UC</w:t>
      </w:r>
      <w:r w:rsidRPr="006B671F">
        <w:rPr>
          <w:rFonts w:eastAsia="Bookman Old Style" w:cs="Bookman Old Style"/>
        </w:rPr>
        <w:t xml:space="preserve"> especiales.</w:t>
      </w:r>
    </w:p>
    <w:p w14:paraId="44891B3E" w14:textId="605A3E20" w:rsidR="00485536" w:rsidRPr="006B671F" w:rsidRDefault="00485536" w:rsidP="00470705">
      <w:pPr>
        <w:spacing w:before="100" w:beforeAutospacing="1" w:after="100" w:afterAutospacing="1"/>
        <w:rPr>
          <w:b/>
          <w:bCs/>
        </w:rPr>
      </w:pPr>
      <w:r>
        <w:rPr>
          <w:b/>
          <w:bCs/>
        </w:rPr>
        <w:t>S</w:t>
      </w:r>
      <w:r w:rsidRPr="006B671F">
        <w:rPr>
          <w:b/>
          <w:bCs/>
        </w:rPr>
        <w:t>istema de comunicaciones para el monitoreo y gestión de eventos emitidos por los dispositivos indicadores de falla</w:t>
      </w:r>
    </w:p>
    <w:p w14:paraId="43D7B009" w14:textId="7B3827D0" w:rsidR="00485536" w:rsidRDefault="008C7D4D" w:rsidP="00470705">
      <w:pPr>
        <w:spacing w:before="100" w:beforeAutospacing="1" w:after="100" w:afterAutospacing="1"/>
      </w:pPr>
      <w:r>
        <w:t>Respecto a esta UC especial</w:t>
      </w:r>
      <w:r w:rsidR="002852D5">
        <w:t xml:space="preserve"> se destacan varios aspectos:</w:t>
      </w:r>
    </w:p>
    <w:p w14:paraId="564865A3" w14:textId="4F7CFED9" w:rsidR="002852D5" w:rsidRDefault="002852D5" w:rsidP="00470705">
      <w:pPr>
        <w:pStyle w:val="Prrafodelista"/>
        <w:numPr>
          <w:ilvl w:val="0"/>
          <w:numId w:val="8"/>
        </w:numPr>
        <w:spacing w:before="100" w:beforeAutospacing="1" w:after="100" w:afterAutospacing="1"/>
      </w:pPr>
      <w:r>
        <w:t xml:space="preserve">La metodología de remuneración </w:t>
      </w:r>
      <w:r w:rsidR="0033413B">
        <w:t xml:space="preserve">definida en la Resolución CREG 015 de 2018 </w:t>
      </w:r>
      <w:r w:rsidR="00006097">
        <w:t xml:space="preserve">proporciona el </w:t>
      </w:r>
      <w:r w:rsidR="00BC3764">
        <w:t xml:space="preserve">esquema necesario para que </w:t>
      </w:r>
      <w:r w:rsidR="005029C4">
        <w:t>los ingresos y los cargos del</w:t>
      </w:r>
      <w:r w:rsidR="005537F9">
        <w:t xml:space="preserve"> Sistema de Distribución Local,</w:t>
      </w:r>
      <w:r w:rsidR="005029C4">
        <w:t xml:space="preserve"> SDL</w:t>
      </w:r>
      <w:r w:rsidR="005537F9">
        <w:t>,</w:t>
      </w:r>
      <w:r w:rsidR="005029C4">
        <w:t xml:space="preserve"> varíen según los índices de calidad del servicio prestado </w:t>
      </w:r>
      <w:r w:rsidR="00E2797C">
        <w:t xml:space="preserve">(literal a, </w:t>
      </w:r>
      <w:r w:rsidR="00C35C5B">
        <w:t>a</w:t>
      </w:r>
      <w:r w:rsidR="00E2797C">
        <w:t>rtículo</w:t>
      </w:r>
      <w:r w:rsidR="006952D0">
        <w:t xml:space="preserve"> 4). Estos ingresos e incentivos pretenden que </w:t>
      </w:r>
      <w:r w:rsidR="00F72223">
        <w:t>los OR alcancen los niveles esperado</w:t>
      </w:r>
      <w:r w:rsidR="00172E40">
        <w:t xml:space="preserve">s en calidad, </w:t>
      </w:r>
      <w:r w:rsidR="00685152">
        <w:t xml:space="preserve">confiabilidad y seguridad </w:t>
      </w:r>
      <w:r w:rsidR="00EB2D0B">
        <w:t>en la prestación del servicio</w:t>
      </w:r>
      <w:r w:rsidR="0083340A">
        <w:t>.</w:t>
      </w:r>
      <w:r w:rsidR="007323B5">
        <w:t xml:space="preserve"> Particularmente, </w:t>
      </w:r>
      <w:r w:rsidR="002E1183">
        <w:t>los incentivos relacionados con la calidad del servicio</w:t>
      </w:r>
      <w:r w:rsidR="00C35C5B">
        <w:t>,</w:t>
      </w:r>
      <w:r w:rsidR="002E1183">
        <w:t xml:space="preserve"> pretenden</w:t>
      </w:r>
      <w:r w:rsidR="0008290E">
        <w:t xml:space="preserve"> que el OR pueda realizar las inversiones necesarias para </w:t>
      </w:r>
      <w:r w:rsidR="00B948BB">
        <w:t>su</w:t>
      </w:r>
      <w:r w:rsidR="0008290E">
        <w:t xml:space="preserve"> constante mejoramiento</w:t>
      </w:r>
      <w:r w:rsidR="00522D1F">
        <w:t xml:space="preserve">, por lo tanto, es responsabilidad del OR </w:t>
      </w:r>
      <w:r w:rsidR="00B948BB">
        <w:t>realizar acciones que deriven</w:t>
      </w:r>
      <w:r w:rsidR="00F0072F">
        <w:t xml:space="preserve"> en inversiones</w:t>
      </w:r>
      <w:r w:rsidR="000158C6">
        <w:t xml:space="preserve"> adicionales en</w:t>
      </w:r>
      <w:r w:rsidR="00F0072F">
        <w:t xml:space="preserve"> activos que no están contemplados </w:t>
      </w:r>
      <w:r w:rsidR="00127434">
        <w:t>en la Resolución CREG 015 de 2018 en materia de calidad, confiabilidad y seguridad.</w:t>
      </w:r>
    </w:p>
    <w:p w14:paraId="3613641B" w14:textId="0875FD89" w:rsidR="00900B63" w:rsidRDefault="00A26975" w:rsidP="00470705">
      <w:pPr>
        <w:pStyle w:val="Prrafodelista"/>
        <w:numPr>
          <w:ilvl w:val="0"/>
          <w:numId w:val="8"/>
        </w:numPr>
        <w:spacing w:before="100" w:beforeAutospacing="1" w:after="100" w:afterAutospacing="1"/>
      </w:pPr>
      <w:r>
        <w:t xml:space="preserve">El numeral 5.2.10 </w:t>
      </w:r>
      <w:r w:rsidR="00451B48">
        <w:t xml:space="preserve">del </w:t>
      </w:r>
      <w:r w:rsidR="00C51827">
        <w:t>Anexo General</w:t>
      </w:r>
      <w:r w:rsidR="00451B48">
        <w:t xml:space="preserve"> de la Resolución CREG 015 de 2018</w:t>
      </w:r>
      <w:r w:rsidR="005C54FD">
        <w:t xml:space="preserve"> señala l</w:t>
      </w:r>
      <w:r w:rsidR="00E91C57">
        <w:t xml:space="preserve">os requisitos </w:t>
      </w:r>
      <w:r w:rsidR="0076612D">
        <w:t>que los OR deben cumplir para establecer el esquema de incentivos y compensaciones de calidad.</w:t>
      </w:r>
      <w:r w:rsidR="008C13FC">
        <w:t xml:space="preserve"> En par</w:t>
      </w:r>
      <w:r w:rsidR="00D91453">
        <w:t>ticular</w:t>
      </w:r>
      <w:r w:rsidR="00C35C5B">
        <w:t>,</w:t>
      </w:r>
      <w:r w:rsidR="00D91453">
        <w:t xml:space="preserve"> los literales d y e señalan que </w:t>
      </w:r>
      <w:r w:rsidR="00A4514F">
        <w:t xml:space="preserve">en todas las cabeceras de circuito </w:t>
      </w:r>
      <w:r w:rsidR="006F352D">
        <w:t xml:space="preserve">deben existir </w:t>
      </w:r>
      <w:r w:rsidR="003746DD">
        <w:t xml:space="preserve">elementos de telemedición, así como en el 90% </w:t>
      </w:r>
      <w:r w:rsidR="00D208B8">
        <w:t xml:space="preserve">de los circuitos de niveles de tensión 2 y 3 debe existir un elemento </w:t>
      </w:r>
      <w:r w:rsidR="002040BF">
        <w:t xml:space="preserve">de iguales características. </w:t>
      </w:r>
      <w:r w:rsidR="00C01091">
        <w:t xml:space="preserve">Por lo tanto, un OR debe </w:t>
      </w:r>
      <w:r w:rsidR="005604B9">
        <w:t xml:space="preserve">tener </w:t>
      </w:r>
      <w:r w:rsidR="00C01091">
        <w:t>para la</w:t>
      </w:r>
      <w:r w:rsidR="00636783">
        <w:t>s</w:t>
      </w:r>
      <w:r w:rsidR="00C01091">
        <w:t xml:space="preserve"> líneas </w:t>
      </w:r>
      <w:r w:rsidR="005604B9">
        <w:t xml:space="preserve">ya construidas </w:t>
      </w:r>
      <w:r w:rsidR="00875D52">
        <w:t>tales elementos que cumplen con las funciones de las UC especiales solicitadas.</w:t>
      </w:r>
    </w:p>
    <w:p w14:paraId="50DFD3DE" w14:textId="1AFA45DD" w:rsidR="002277CB" w:rsidRDefault="008F798E" w:rsidP="00470705">
      <w:pPr>
        <w:pStyle w:val="Prrafodelista"/>
        <w:numPr>
          <w:ilvl w:val="0"/>
          <w:numId w:val="8"/>
        </w:numPr>
        <w:spacing w:before="100" w:beforeAutospacing="1" w:after="100" w:afterAutospacing="1"/>
      </w:pPr>
      <w:r>
        <w:t xml:space="preserve">La metodología de remuneración de la actividad de distribución de energía eléctrica definida en la Resolución CREG 015 de 2018 es de carácter integral por lo que su correcta y eficiente aplicación depende directamente del OR, además, las UC definidas en el capítulo 14 del </w:t>
      </w:r>
      <w:r w:rsidR="00C51827">
        <w:t>Anexo General</w:t>
      </w:r>
      <w:r>
        <w:t xml:space="preserve"> de la Resolución CREG 015 de 2018 consideran las condiciones generales del territorio colombiano</w:t>
      </w:r>
      <w:r w:rsidR="004336F1">
        <w:t xml:space="preserve"> en materia de sistemas de energía eléctrica</w:t>
      </w:r>
      <w:r>
        <w:t>.</w:t>
      </w:r>
    </w:p>
    <w:p w14:paraId="32F948BF" w14:textId="7F01CFFD" w:rsidR="00FE2042" w:rsidRPr="006B671F" w:rsidRDefault="00FE2042" w:rsidP="00470705">
      <w:pPr>
        <w:spacing w:before="100" w:beforeAutospacing="1" w:after="100" w:afterAutospacing="1"/>
      </w:pPr>
      <w:r>
        <w:t xml:space="preserve">Bajo estos aspectos </w:t>
      </w:r>
      <w:r w:rsidR="00647AAE">
        <w:t xml:space="preserve">y luego del análisis de la información suministrada por el OR respecto a la UC especial, la </w:t>
      </w:r>
      <w:r w:rsidR="00837FD6">
        <w:t>Comisión</w:t>
      </w:r>
      <w:r w:rsidR="00647AAE">
        <w:t xml:space="preserve"> decide no reponer la decisión y mantener el no reconocimiento de la UC especial.</w:t>
      </w:r>
    </w:p>
    <w:p w14:paraId="603C2764" w14:textId="30073C27" w:rsidR="003A6C10" w:rsidRPr="006B671F" w:rsidRDefault="000631F6" w:rsidP="00470705">
      <w:pPr>
        <w:spacing w:before="100" w:beforeAutospacing="1" w:after="100" w:afterAutospacing="1"/>
        <w:rPr>
          <w:b/>
          <w:bCs/>
        </w:rPr>
      </w:pPr>
      <w:r w:rsidRPr="006B671F">
        <w:rPr>
          <w:b/>
          <w:bCs/>
        </w:rPr>
        <w:t>Sistema de detección y protección de incendios</w:t>
      </w:r>
      <w:r w:rsidR="00D442B1">
        <w:rPr>
          <w:b/>
          <w:bCs/>
        </w:rPr>
        <w:t xml:space="preserve"> </w:t>
      </w:r>
      <w:r w:rsidR="00D442B1" w:rsidRPr="006B671F">
        <w:rPr>
          <w:b/>
          <w:bCs/>
        </w:rPr>
        <w:t>y barraje de derivación subterráneo</w:t>
      </w:r>
    </w:p>
    <w:p w14:paraId="50A972A3" w14:textId="0949B070" w:rsidR="006D35FE" w:rsidRPr="006B671F" w:rsidRDefault="006D35FE" w:rsidP="00470705">
      <w:pPr>
        <w:spacing w:before="100" w:beforeAutospacing="1" w:after="100" w:afterAutospacing="1"/>
        <w:rPr>
          <w:rFonts w:eastAsia="Bookman Old Style" w:cs="Bookman Old Style"/>
        </w:rPr>
      </w:pPr>
      <w:r w:rsidRPr="006B671F">
        <w:rPr>
          <w:rFonts w:eastAsia="Bookman Old Style" w:cs="Bookman Old Style"/>
        </w:rPr>
        <w:t xml:space="preserve">En lo que respecta a estas UC especiales, luego del análisis de la </w:t>
      </w:r>
      <w:r w:rsidR="00837FD6">
        <w:rPr>
          <w:rFonts w:eastAsia="Bookman Old Style" w:cs="Bookman Old Style"/>
        </w:rPr>
        <w:t>Comisión</w:t>
      </w:r>
      <w:r w:rsidRPr="006B671F">
        <w:rPr>
          <w:rFonts w:eastAsia="Bookman Old Style" w:cs="Bookman Old Style"/>
        </w:rPr>
        <w:t xml:space="preserve"> se concluye que cuentan con características técnicas distintas a las establecidas en el capítulo 14 del </w:t>
      </w:r>
      <w:r w:rsidR="00C51827">
        <w:rPr>
          <w:rFonts w:eastAsia="Bookman Old Style" w:cs="Bookman Old Style"/>
        </w:rPr>
        <w:t>Anexo General</w:t>
      </w:r>
      <w:r w:rsidRPr="006B671F">
        <w:rPr>
          <w:rFonts w:eastAsia="Bookman Old Style" w:cs="Bookman Old Style"/>
        </w:rPr>
        <w:t xml:space="preserve"> de la Resolución CREG 015 de 2018</w:t>
      </w:r>
      <w:r w:rsidR="00C35C5B">
        <w:rPr>
          <w:rFonts w:eastAsia="Bookman Old Style" w:cs="Bookman Old Style"/>
        </w:rPr>
        <w:t xml:space="preserve">, </w:t>
      </w:r>
      <w:r w:rsidRPr="006B671F">
        <w:rPr>
          <w:rFonts w:eastAsia="Bookman Old Style" w:cs="Bookman Old Style"/>
        </w:rPr>
        <w:t xml:space="preserve">y por lo tanto </w:t>
      </w:r>
      <w:r w:rsidR="00AF6FF3">
        <w:rPr>
          <w:rFonts w:eastAsia="Bookman Old Style" w:cs="Bookman Old Style"/>
        </w:rPr>
        <w:t>l</w:t>
      </w:r>
      <w:r w:rsidRPr="006B671F">
        <w:rPr>
          <w:rFonts w:eastAsia="Bookman Old Style" w:cs="Bookman Old Style"/>
        </w:rPr>
        <w:t xml:space="preserve">a </w:t>
      </w:r>
      <w:r w:rsidR="00837FD6">
        <w:rPr>
          <w:rFonts w:eastAsia="Bookman Old Style" w:cs="Bookman Old Style"/>
        </w:rPr>
        <w:t>Comisión</w:t>
      </w:r>
      <w:r w:rsidRPr="006B671F">
        <w:rPr>
          <w:rFonts w:eastAsia="Bookman Old Style" w:cs="Bookman Old Style"/>
        </w:rPr>
        <w:t xml:space="preserve"> decide reponer la decisión y dar reconocimiento a estas UC</w:t>
      </w:r>
      <w:r w:rsidR="00D442B1">
        <w:rPr>
          <w:rFonts w:eastAsia="Bookman Old Style" w:cs="Bookman Old Style"/>
        </w:rPr>
        <w:t xml:space="preserve"> especiales</w:t>
      </w:r>
      <w:r w:rsidRPr="006B671F">
        <w:rPr>
          <w:rFonts w:eastAsia="Bookman Old Style" w:cs="Bookman Old Style"/>
        </w:rPr>
        <w:t xml:space="preserve"> dentro del plan de inversión aprobado en la Resolución CREG 501 041 de 2024. La siguiente tabla presenta el código asignado a cada una de estas UC especiales junto a su valoración y consideraciones:</w:t>
      </w:r>
    </w:p>
    <w:tbl>
      <w:tblPr>
        <w:tblW w:w="5000" w:type="pct"/>
        <w:tblLayout w:type="fixed"/>
        <w:tblCellMar>
          <w:left w:w="70" w:type="dxa"/>
          <w:right w:w="70" w:type="dxa"/>
        </w:tblCellMar>
        <w:tblLook w:val="04A0" w:firstRow="1" w:lastRow="0" w:firstColumn="1" w:lastColumn="0" w:noHBand="0" w:noVBand="1"/>
      </w:tblPr>
      <w:tblGrid>
        <w:gridCol w:w="1269"/>
        <w:gridCol w:w="2411"/>
        <w:gridCol w:w="1135"/>
        <w:gridCol w:w="850"/>
        <w:gridCol w:w="1419"/>
        <w:gridCol w:w="2262"/>
      </w:tblGrid>
      <w:tr w:rsidR="000D3752" w:rsidRPr="000D3752" w14:paraId="0F607772" w14:textId="77777777" w:rsidTr="003E4C33">
        <w:trPr>
          <w:trHeight w:val="636"/>
          <w:tblHeader/>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4B79FB" w14:textId="77777777" w:rsidR="000D3752" w:rsidRPr="000D3752" w:rsidRDefault="000D3752" w:rsidP="00470705">
            <w:pPr>
              <w:spacing w:before="100" w:beforeAutospacing="1" w:after="100" w:afterAutospacing="1"/>
              <w:jc w:val="center"/>
              <w:rPr>
                <w:rFonts w:cs="Calibri"/>
                <w:b/>
                <w:bCs/>
                <w:color w:val="000000"/>
                <w:sz w:val="20"/>
                <w:szCs w:val="20"/>
                <w:lang w:eastAsia="es-MX"/>
              </w:rPr>
            </w:pPr>
            <w:r w:rsidRPr="000D3752">
              <w:rPr>
                <w:rFonts w:cs="Calibri"/>
                <w:b/>
                <w:bCs/>
                <w:color w:val="000000"/>
                <w:sz w:val="20"/>
                <w:szCs w:val="20"/>
                <w:lang w:eastAsia="es-MX"/>
              </w:rPr>
              <w:t>Código UC especial asignado</w:t>
            </w:r>
          </w:p>
        </w:tc>
        <w:tc>
          <w:tcPr>
            <w:tcW w:w="1290" w:type="pct"/>
            <w:tcBorders>
              <w:top w:val="single" w:sz="4" w:space="0" w:color="auto"/>
              <w:left w:val="nil"/>
              <w:bottom w:val="single" w:sz="4" w:space="0" w:color="auto"/>
              <w:right w:val="single" w:sz="4" w:space="0" w:color="auto"/>
            </w:tcBorders>
            <w:shd w:val="clear" w:color="auto" w:fill="auto"/>
            <w:noWrap/>
            <w:vAlign w:val="center"/>
            <w:hideMark/>
          </w:tcPr>
          <w:p w14:paraId="23933E78" w14:textId="77777777" w:rsidR="000D3752" w:rsidRPr="000D3752" w:rsidRDefault="000D3752" w:rsidP="00470705">
            <w:pPr>
              <w:spacing w:before="100" w:beforeAutospacing="1" w:after="100" w:afterAutospacing="1"/>
              <w:jc w:val="center"/>
              <w:rPr>
                <w:rFonts w:cs="Calibri"/>
                <w:b/>
                <w:bCs/>
                <w:color w:val="000000"/>
                <w:sz w:val="20"/>
                <w:szCs w:val="20"/>
                <w:lang w:eastAsia="es-MX"/>
              </w:rPr>
            </w:pPr>
            <w:r w:rsidRPr="000D3752">
              <w:rPr>
                <w:rFonts w:cs="Calibri"/>
                <w:b/>
                <w:bCs/>
                <w:color w:val="000000"/>
                <w:sz w:val="20"/>
                <w:szCs w:val="20"/>
                <w:lang w:eastAsia="es-MX"/>
              </w:rPr>
              <w:t>Descripción</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62D0427B" w14:textId="4DBBEBAA" w:rsidR="000D3752" w:rsidRPr="000D3752" w:rsidRDefault="000D3752" w:rsidP="00470705">
            <w:pPr>
              <w:spacing w:before="100" w:beforeAutospacing="1" w:after="100" w:afterAutospacing="1"/>
              <w:jc w:val="center"/>
              <w:rPr>
                <w:rFonts w:cs="Calibri"/>
                <w:b/>
                <w:bCs/>
                <w:color w:val="000000"/>
                <w:sz w:val="20"/>
                <w:szCs w:val="20"/>
                <w:lang w:eastAsia="es-MX"/>
              </w:rPr>
            </w:pPr>
            <w:r w:rsidRPr="000D3752">
              <w:rPr>
                <w:rFonts w:cs="Calibri"/>
                <w:b/>
                <w:bCs/>
                <w:color w:val="000000"/>
                <w:sz w:val="20"/>
                <w:szCs w:val="20"/>
                <w:lang w:eastAsia="es-MX"/>
              </w:rPr>
              <w:t>Categoría</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A934E0F" w14:textId="77777777" w:rsidR="000D3752" w:rsidRPr="000D3752" w:rsidRDefault="000D3752" w:rsidP="00470705">
            <w:pPr>
              <w:spacing w:before="100" w:beforeAutospacing="1" w:after="100" w:afterAutospacing="1"/>
              <w:jc w:val="center"/>
              <w:rPr>
                <w:rFonts w:cs="Calibri"/>
                <w:b/>
                <w:bCs/>
                <w:color w:val="000000"/>
                <w:sz w:val="20"/>
                <w:szCs w:val="20"/>
                <w:lang w:eastAsia="es-MX"/>
              </w:rPr>
            </w:pPr>
            <w:r w:rsidRPr="000D3752">
              <w:rPr>
                <w:rFonts w:cs="Calibri"/>
                <w:b/>
                <w:bCs/>
                <w:color w:val="000000"/>
                <w:sz w:val="20"/>
                <w:szCs w:val="20"/>
                <w:lang w:eastAsia="es-MX"/>
              </w:rPr>
              <w:t>NT UC</w:t>
            </w:r>
          </w:p>
        </w:tc>
        <w:tc>
          <w:tcPr>
            <w:tcW w:w="759" w:type="pct"/>
            <w:tcBorders>
              <w:top w:val="single" w:sz="4" w:space="0" w:color="auto"/>
              <w:left w:val="nil"/>
              <w:bottom w:val="single" w:sz="4" w:space="0" w:color="auto"/>
              <w:right w:val="single" w:sz="4" w:space="0" w:color="auto"/>
            </w:tcBorders>
            <w:shd w:val="clear" w:color="auto" w:fill="auto"/>
            <w:vAlign w:val="center"/>
            <w:hideMark/>
          </w:tcPr>
          <w:p w14:paraId="30268C70" w14:textId="77777777" w:rsidR="000D3752" w:rsidRPr="000D3752" w:rsidRDefault="000D3752" w:rsidP="00470705">
            <w:pPr>
              <w:spacing w:before="100" w:beforeAutospacing="1" w:after="100" w:afterAutospacing="1"/>
              <w:jc w:val="center"/>
              <w:rPr>
                <w:rFonts w:cs="Calibri"/>
                <w:b/>
                <w:bCs/>
                <w:color w:val="000000"/>
                <w:sz w:val="20"/>
                <w:szCs w:val="20"/>
                <w:lang w:eastAsia="es-MX"/>
              </w:rPr>
            </w:pPr>
            <w:r w:rsidRPr="000D3752">
              <w:rPr>
                <w:rFonts w:cs="Calibri"/>
                <w:b/>
                <w:bCs/>
                <w:color w:val="000000"/>
                <w:sz w:val="20"/>
                <w:szCs w:val="20"/>
                <w:lang w:eastAsia="es-MX"/>
              </w:rPr>
              <w:t xml:space="preserve"> Valor UC especial reconocido (dic/17) </w:t>
            </w:r>
          </w:p>
        </w:tc>
        <w:tc>
          <w:tcPr>
            <w:tcW w:w="1211" w:type="pct"/>
            <w:tcBorders>
              <w:top w:val="single" w:sz="4" w:space="0" w:color="auto"/>
              <w:left w:val="nil"/>
              <w:bottom w:val="single" w:sz="4" w:space="0" w:color="auto"/>
              <w:right w:val="single" w:sz="4" w:space="0" w:color="auto"/>
            </w:tcBorders>
            <w:shd w:val="clear" w:color="auto" w:fill="auto"/>
            <w:vAlign w:val="center"/>
            <w:hideMark/>
          </w:tcPr>
          <w:p w14:paraId="51E6693F" w14:textId="77777777" w:rsidR="000D3752" w:rsidRPr="000D3752" w:rsidRDefault="000D3752" w:rsidP="00470705">
            <w:pPr>
              <w:spacing w:before="100" w:beforeAutospacing="1" w:after="100" w:afterAutospacing="1"/>
              <w:jc w:val="center"/>
              <w:rPr>
                <w:rFonts w:cs="Calibri"/>
                <w:b/>
                <w:bCs/>
                <w:color w:val="000000"/>
                <w:sz w:val="20"/>
                <w:szCs w:val="20"/>
                <w:lang w:eastAsia="es-MX"/>
              </w:rPr>
            </w:pPr>
            <w:r w:rsidRPr="000D3752">
              <w:rPr>
                <w:rFonts w:cs="Calibri"/>
                <w:b/>
                <w:bCs/>
                <w:color w:val="000000"/>
                <w:sz w:val="20"/>
                <w:szCs w:val="20"/>
                <w:lang w:eastAsia="es-MX"/>
              </w:rPr>
              <w:t>Observaciones</w:t>
            </w:r>
          </w:p>
        </w:tc>
      </w:tr>
      <w:tr w:rsidR="00E91098" w:rsidRPr="000D3752" w14:paraId="2E267EFE" w14:textId="77777777" w:rsidTr="00475AFA">
        <w:trPr>
          <w:trHeight w:val="30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02D316ED" w14:textId="77777777" w:rsidR="00E91098" w:rsidRPr="000D3752" w:rsidRDefault="00E91098" w:rsidP="00470705">
            <w:pPr>
              <w:spacing w:before="100" w:beforeAutospacing="1" w:after="100" w:afterAutospacing="1"/>
              <w:jc w:val="left"/>
              <w:rPr>
                <w:rFonts w:cs="Calibri"/>
                <w:color w:val="000000"/>
                <w:sz w:val="18"/>
                <w:szCs w:val="18"/>
                <w:lang w:eastAsia="es-MX"/>
              </w:rPr>
            </w:pPr>
            <w:r w:rsidRPr="000D3752">
              <w:rPr>
                <w:rFonts w:cs="Calibri"/>
                <w:color w:val="000000"/>
                <w:sz w:val="18"/>
                <w:szCs w:val="18"/>
                <w:lang w:eastAsia="es-MX"/>
              </w:rPr>
              <w:t>N4S79</w:t>
            </w:r>
          </w:p>
        </w:tc>
        <w:tc>
          <w:tcPr>
            <w:tcW w:w="1290" w:type="pct"/>
            <w:tcBorders>
              <w:top w:val="nil"/>
              <w:left w:val="nil"/>
              <w:bottom w:val="single" w:sz="4" w:space="0" w:color="auto"/>
              <w:right w:val="single" w:sz="4" w:space="0" w:color="auto"/>
            </w:tcBorders>
            <w:shd w:val="clear" w:color="auto" w:fill="auto"/>
            <w:noWrap/>
            <w:vAlign w:val="center"/>
            <w:hideMark/>
          </w:tcPr>
          <w:p w14:paraId="772332A6" w14:textId="77777777" w:rsidR="00E91098" w:rsidRPr="000D3752" w:rsidRDefault="00E91098" w:rsidP="00470705">
            <w:pPr>
              <w:spacing w:before="100" w:beforeAutospacing="1" w:after="100" w:afterAutospacing="1"/>
              <w:jc w:val="left"/>
              <w:rPr>
                <w:rFonts w:cs="Calibri"/>
                <w:color w:val="000000"/>
                <w:sz w:val="18"/>
                <w:szCs w:val="18"/>
                <w:lang w:eastAsia="es-MX"/>
              </w:rPr>
            </w:pPr>
            <w:r w:rsidRPr="000D3752">
              <w:rPr>
                <w:rFonts w:cs="Calibri"/>
                <w:color w:val="000000"/>
                <w:sz w:val="18"/>
                <w:szCs w:val="18"/>
                <w:lang w:eastAsia="es-MX"/>
              </w:rPr>
              <w:t>Sistema de Detección de Incendios para subestaciones N4</w:t>
            </w:r>
          </w:p>
        </w:tc>
        <w:tc>
          <w:tcPr>
            <w:tcW w:w="607" w:type="pct"/>
            <w:tcBorders>
              <w:top w:val="nil"/>
              <w:left w:val="nil"/>
              <w:bottom w:val="single" w:sz="4" w:space="0" w:color="auto"/>
              <w:right w:val="single" w:sz="4" w:space="0" w:color="auto"/>
            </w:tcBorders>
            <w:shd w:val="clear" w:color="auto" w:fill="auto"/>
            <w:noWrap/>
            <w:vAlign w:val="center"/>
            <w:hideMark/>
          </w:tcPr>
          <w:p w14:paraId="1C5AFF1F" w14:textId="77777777" w:rsidR="00E91098" w:rsidRPr="000D3752" w:rsidRDefault="00E91098" w:rsidP="00470705">
            <w:pPr>
              <w:spacing w:before="100" w:beforeAutospacing="1" w:after="100" w:afterAutospacing="1"/>
              <w:jc w:val="center"/>
              <w:rPr>
                <w:rFonts w:cs="Calibri"/>
                <w:color w:val="000000"/>
                <w:sz w:val="18"/>
                <w:szCs w:val="18"/>
                <w:lang w:eastAsia="es-MX"/>
              </w:rPr>
            </w:pPr>
            <w:r w:rsidRPr="000D3752">
              <w:rPr>
                <w:rFonts w:cs="Calibri"/>
                <w:color w:val="000000"/>
                <w:sz w:val="18"/>
                <w:szCs w:val="18"/>
                <w:lang w:eastAsia="es-MX"/>
              </w:rPr>
              <w:t>6</w:t>
            </w:r>
          </w:p>
        </w:tc>
        <w:tc>
          <w:tcPr>
            <w:tcW w:w="455" w:type="pct"/>
            <w:tcBorders>
              <w:top w:val="nil"/>
              <w:left w:val="nil"/>
              <w:bottom w:val="single" w:sz="4" w:space="0" w:color="auto"/>
              <w:right w:val="single" w:sz="4" w:space="0" w:color="auto"/>
            </w:tcBorders>
            <w:shd w:val="clear" w:color="auto" w:fill="auto"/>
            <w:noWrap/>
            <w:vAlign w:val="center"/>
            <w:hideMark/>
          </w:tcPr>
          <w:p w14:paraId="69FA198F" w14:textId="77777777" w:rsidR="00E91098" w:rsidRPr="000D3752" w:rsidRDefault="00E91098" w:rsidP="00470705">
            <w:pPr>
              <w:spacing w:before="100" w:beforeAutospacing="1" w:after="100" w:afterAutospacing="1"/>
              <w:jc w:val="center"/>
              <w:rPr>
                <w:rFonts w:cs="Calibri"/>
                <w:color w:val="000000"/>
                <w:sz w:val="18"/>
                <w:szCs w:val="18"/>
                <w:lang w:eastAsia="es-MX"/>
              </w:rPr>
            </w:pPr>
            <w:r w:rsidRPr="000D3752">
              <w:rPr>
                <w:rFonts w:cs="Calibri"/>
                <w:color w:val="000000"/>
                <w:sz w:val="18"/>
                <w:szCs w:val="18"/>
                <w:lang w:eastAsia="es-MX"/>
              </w:rPr>
              <w:t>4</w:t>
            </w:r>
          </w:p>
        </w:tc>
        <w:tc>
          <w:tcPr>
            <w:tcW w:w="759" w:type="pct"/>
            <w:tcBorders>
              <w:top w:val="nil"/>
              <w:left w:val="nil"/>
              <w:bottom w:val="single" w:sz="4" w:space="0" w:color="auto"/>
              <w:right w:val="single" w:sz="4" w:space="0" w:color="auto"/>
            </w:tcBorders>
            <w:shd w:val="clear" w:color="auto" w:fill="auto"/>
            <w:noWrap/>
            <w:vAlign w:val="center"/>
            <w:hideMark/>
          </w:tcPr>
          <w:p w14:paraId="3AB35FDC" w14:textId="239582A0" w:rsidR="00E91098" w:rsidRPr="000D3752" w:rsidRDefault="00E91098" w:rsidP="00470705">
            <w:pPr>
              <w:spacing w:before="100" w:beforeAutospacing="1" w:after="100" w:afterAutospacing="1"/>
              <w:jc w:val="center"/>
              <w:rPr>
                <w:rFonts w:cs="Calibri"/>
                <w:color w:val="000000"/>
                <w:sz w:val="18"/>
                <w:szCs w:val="18"/>
                <w:lang w:eastAsia="es-MX"/>
              </w:rPr>
            </w:pPr>
            <w:r w:rsidRPr="00475AFA">
              <w:rPr>
                <w:rFonts w:cs="Calibri"/>
                <w:color w:val="000000"/>
                <w:sz w:val="18"/>
                <w:szCs w:val="18"/>
                <w:lang w:eastAsia="es-MX"/>
              </w:rPr>
              <w:t>184.508.561</w:t>
            </w:r>
          </w:p>
        </w:tc>
        <w:tc>
          <w:tcPr>
            <w:tcW w:w="1211" w:type="pct"/>
            <w:tcBorders>
              <w:top w:val="nil"/>
              <w:left w:val="nil"/>
              <w:bottom w:val="single" w:sz="4" w:space="0" w:color="auto"/>
              <w:right w:val="single" w:sz="4" w:space="0" w:color="auto"/>
            </w:tcBorders>
            <w:shd w:val="clear" w:color="auto" w:fill="auto"/>
            <w:noWrap/>
            <w:vAlign w:val="center"/>
            <w:hideMark/>
          </w:tcPr>
          <w:p w14:paraId="0E715DC1" w14:textId="4059B3BA" w:rsidR="00E91098" w:rsidRPr="000D3752" w:rsidRDefault="00E91098" w:rsidP="00470705">
            <w:pPr>
              <w:spacing w:before="100" w:beforeAutospacing="1" w:after="100" w:afterAutospacing="1"/>
              <w:jc w:val="left"/>
              <w:rPr>
                <w:rFonts w:cs="Calibri"/>
                <w:color w:val="000000"/>
                <w:sz w:val="18"/>
                <w:szCs w:val="18"/>
                <w:lang w:eastAsia="es-MX"/>
              </w:rPr>
            </w:pPr>
            <w:r w:rsidRPr="000D3752">
              <w:rPr>
                <w:rFonts w:cs="Calibri"/>
                <w:color w:val="000000"/>
                <w:sz w:val="18"/>
                <w:szCs w:val="18"/>
                <w:lang w:eastAsia="es-MX"/>
              </w:rPr>
              <w:t>Valor reconocido considerando la evidencia suministrada</w:t>
            </w:r>
          </w:p>
        </w:tc>
      </w:tr>
      <w:tr w:rsidR="00E91098" w:rsidRPr="000D3752" w14:paraId="232C52CD" w14:textId="77777777" w:rsidTr="00475AFA">
        <w:trPr>
          <w:trHeight w:val="30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15E2B3DD" w14:textId="77777777" w:rsidR="00E91098" w:rsidRPr="000D3752" w:rsidRDefault="00E91098" w:rsidP="00470705">
            <w:pPr>
              <w:spacing w:before="100" w:beforeAutospacing="1" w:after="100" w:afterAutospacing="1"/>
              <w:jc w:val="left"/>
              <w:rPr>
                <w:rFonts w:cs="Calibri"/>
                <w:color w:val="000000"/>
                <w:sz w:val="18"/>
                <w:szCs w:val="18"/>
                <w:lang w:eastAsia="es-MX"/>
              </w:rPr>
            </w:pPr>
            <w:r w:rsidRPr="000D3752">
              <w:rPr>
                <w:rFonts w:cs="Calibri"/>
                <w:color w:val="000000"/>
                <w:sz w:val="18"/>
                <w:szCs w:val="18"/>
                <w:lang w:eastAsia="es-MX"/>
              </w:rPr>
              <w:t>N3S63</w:t>
            </w:r>
          </w:p>
        </w:tc>
        <w:tc>
          <w:tcPr>
            <w:tcW w:w="1290" w:type="pct"/>
            <w:tcBorders>
              <w:top w:val="nil"/>
              <w:left w:val="nil"/>
              <w:bottom w:val="single" w:sz="4" w:space="0" w:color="auto"/>
              <w:right w:val="single" w:sz="4" w:space="0" w:color="auto"/>
            </w:tcBorders>
            <w:shd w:val="clear" w:color="auto" w:fill="auto"/>
            <w:noWrap/>
            <w:vAlign w:val="center"/>
            <w:hideMark/>
          </w:tcPr>
          <w:p w14:paraId="351AD3BE" w14:textId="77777777" w:rsidR="00E91098" w:rsidRPr="000D3752" w:rsidRDefault="00E91098" w:rsidP="00470705">
            <w:pPr>
              <w:spacing w:before="100" w:beforeAutospacing="1" w:after="100" w:afterAutospacing="1"/>
              <w:jc w:val="left"/>
              <w:rPr>
                <w:rFonts w:cs="Calibri"/>
                <w:color w:val="000000"/>
                <w:sz w:val="18"/>
                <w:szCs w:val="18"/>
                <w:lang w:eastAsia="es-MX"/>
              </w:rPr>
            </w:pPr>
            <w:r w:rsidRPr="000D3752">
              <w:rPr>
                <w:rFonts w:cs="Calibri"/>
                <w:color w:val="000000"/>
                <w:sz w:val="18"/>
                <w:szCs w:val="18"/>
                <w:lang w:eastAsia="es-MX"/>
              </w:rPr>
              <w:t>Sistema de Detección de Incendios para subestaciones N3</w:t>
            </w:r>
          </w:p>
        </w:tc>
        <w:tc>
          <w:tcPr>
            <w:tcW w:w="607" w:type="pct"/>
            <w:tcBorders>
              <w:top w:val="nil"/>
              <w:left w:val="nil"/>
              <w:bottom w:val="single" w:sz="4" w:space="0" w:color="auto"/>
              <w:right w:val="single" w:sz="4" w:space="0" w:color="auto"/>
            </w:tcBorders>
            <w:shd w:val="clear" w:color="auto" w:fill="auto"/>
            <w:noWrap/>
            <w:vAlign w:val="center"/>
            <w:hideMark/>
          </w:tcPr>
          <w:p w14:paraId="6139EB2D" w14:textId="77777777" w:rsidR="00E91098" w:rsidRPr="000D3752" w:rsidRDefault="00E91098" w:rsidP="00470705">
            <w:pPr>
              <w:spacing w:before="100" w:beforeAutospacing="1" w:after="100" w:afterAutospacing="1"/>
              <w:jc w:val="center"/>
              <w:rPr>
                <w:rFonts w:cs="Calibri"/>
                <w:color w:val="000000"/>
                <w:sz w:val="18"/>
                <w:szCs w:val="18"/>
                <w:lang w:eastAsia="es-MX"/>
              </w:rPr>
            </w:pPr>
            <w:r w:rsidRPr="000D3752">
              <w:rPr>
                <w:rFonts w:cs="Calibri"/>
                <w:color w:val="000000"/>
                <w:sz w:val="18"/>
                <w:szCs w:val="18"/>
                <w:lang w:eastAsia="es-MX"/>
              </w:rPr>
              <w:t>6</w:t>
            </w:r>
          </w:p>
        </w:tc>
        <w:tc>
          <w:tcPr>
            <w:tcW w:w="455" w:type="pct"/>
            <w:tcBorders>
              <w:top w:val="nil"/>
              <w:left w:val="nil"/>
              <w:bottom w:val="single" w:sz="4" w:space="0" w:color="auto"/>
              <w:right w:val="single" w:sz="4" w:space="0" w:color="auto"/>
            </w:tcBorders>
            <w:shd w:val="clear" w:color="auto" w:fill="auto"/>
            <w:noWrap/>
            <w:vAlign w:val="center"/>
            <w:hideMark/>
          </w:tcPr>
          <w:p w14:paraId="05FFFE4F" w14:textId="77777777" w:rsidR="00E91098" w:rsidRPr="000D3752" w:rsidRDefault="00E91098" w:rsidP="00470705">
            <w:pPr>
              <w:spacing w:before="100" w:beforeAutospacing="1" w:after="100" w:afterAutospacing="1"/>
              <w:jc w:val="center"/>
              <w:rPr>
                <w:rFonts w:cs="Calibri"/>
                <w:color w:val="000000"/>
                <w:sz w:val="18"/>
                <w:szCs w:val="18"/>
                <w:lang w:eastAsia="es-MX"/>
              </w:rPr>
            </w:pPr>
            <w:r w:rsidRPr="000D3752">
              <w:rPr>
                <w:rFonts w:cs="Calibri"/>
                <w:color w:val="000000"/>
                <w:sz w:val="18"/>
                <w:szCs w:val="18"/>
                <w:lang w:eastAsia="es-MX"/>
              </w:rPr>
              <w:t>3</w:t>
            </w:r>
          </w:p>
        </w:tc>
        <w:tc>
          <w:tcPr>
            <w:tcW w:w="759" w:type="pct"/>
            <w:tcBorders>
              <w:top w:val="nil"/>
              <w:left w:val="nil"/>
              <w:bottom w:val="single" w:sz="4" w:space="0" w:color="auto"/>
              <w:right w:val="single" w:sz="4" w:space="0" w:color="auto"/>
            </w:tcBorders>
            <w:shd w:val="clear" w:color="auto" w:fill="auto"/>
            <w:noWrap/>
            <w:vAlign w:val="center"/>
            <w:hideMark/>
          </w:tcPr>
          <w:p w14:paraId="48CBD1D3" w14:textId="39C100A1" w:rsidR="00E91098" w:rsidRPr="000D3752" w:rsidRDefault="00E91098" w:rsidP="00470705">
            <w:pPr>
              <w:spacing w:before="100" w:beforeAutospacing="1" w:after="100" w:afterAutospacing="1"/>
              <w:jc w:val="center"/>
              <w:rPr>
                <w:rFonts w:cs="Calibri"/>
                <w:color w:val="000000"/>
                <w:sz w:val="18"/>
                <w:szCs w:val="18"/>
                <w:lang w:eastAsia="es-MX"/>
              </w:rPr>
            </w:pPr>
            <w:r w:rsidRPr="00475AFA">
              <w:rPr>
                <w:rFonts w:cs="Calibri"/>
                <w:color w:val="000000"/>
                <w:sz w:val="18"/>
                <w:szCs w:val="18"/>
                <w:lang w:eastAsia="es-MX"/>
              </w:rPr>
              <w:t>184.508.561</w:t>
            </w:r>
          </w:p>
        </w:tc>
        <w:tc>
          <w:tcPr>
            <w:tcW w:w="1211" w:type="pct"/>
            <w:tcBorders>
              <w:top w:val="nil"/>
              <w:left w:val="nil"/>
              <w:bottom w:val="single" w:sz="4" w:space="0" w:color="auto"/>
              <w:right w:val="single" w:sz="4" w:space="0" w:color="auto"/>
            </w:tcBorders>
            <w:shd w:val="clear" w:color="auto" w:fill="auto"/>
            <w:noWrap/>
            <w:vAlign w:val="center"/>
            <w:hideMark/>
          </w:tcPr>
          <w:p w14:paraId="4E3D5D2C" w14:textId="4C50B47F" w:rsidR="00E91098" w:rsidRPr="000D3752" w:rsidRDefault="00E91098" w:rsidP="00470705">
            <w:pPr>
              <w:spacing w:before="100" w:beforeAutospacing="1" w:after="100" w:afterAutospacing="1"/>
              <w:jc w:val="left"/>
              <w:rPr>
                <w:rFonts w:cs="Calibri"/>
                <w:color w:val="000000"/>
                <w:sz w:val="18"/>
                <w:szCs w:val="18"/>
                <w:lang w:eastAsia="es-MX"/>
              </w:rPr>
            </w:pPr>
            <w:r w:rsidRPr="000D3752">
              <w:rPr>
                <w:rFonts w:cs="Calibri"/>
                <w:color w:val="000000"/>
                <w:sz w:val="18"/>
                <w:szCs w:val="18"/>
                <w:lang w:eastAsia="es-MX"/>
              </w:rPr>
              <w:t>Valor reconocido considerando la evidencia suministrada</w:t>
            </w:r>
          </w:p>
        </w:tc>
      </w:tr>
      <w:tr w:rsidR="00E91098" w:rsidRPr="000D3752" w14:paraId="74BD6CAD" w14:textId="77777777" w:rsidTr="00475AFA">
        <w:trPr>
          <w:trHeight w:val="30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767158F0" w14:textId="77777777" w:rsidR="00E91098" w:rsidRPr="000D3752" w:rsidRDefault="00E91098" w:rsidP="00470705">
            <w:pPr>
              <w:spacing w:before="100" w:beforeAutospacing="1" w:after="100" w:afterAutospacing="1"/>
              <w:jc w:val="left"/>
              <w:rPr>
                <w:rFonts w:cs="Calibri"/>
                <w:color w:val="000000"/>
                <w:sz w:val="18"/>
                <w:szCs w:val="18"/>
                <w:lang w:eastAsia="es-MX"/>
              </w:rPr>
            </w:pPr>
            <w:r w:rsidRPr="000D3752">
              <w:rPr>
                <w:rFonts w:cs="Calibri"/>
                <w:color w:val="000000"/>
                <w:sz w:val="18"/>
                <w:szCs w:val="18"/>
                <w:lang w:eastAsia="es-MX"/>
              </w:rPr>
              <w:t>N1EQ6</w:t>
            </w:r>
          </w:p>
        </w:tc>
        <w:tc>
          <w:tcPr>
            <w:tcW w:w="1290" w:type="pct"/>
            <w:tcBorders>
              <w:top w:val="nil"/>
              <w:left w:val="nil"/>
              <w:bottom w:val="single" w:sz="4" w:space="0" w:color="auto"/>
              <w:right w:val="single" w:sz="4" w:space="0" w:color="auto"/>
            </w:tcBorders>
            <w:shd w:val="clear" w:color="auto" w:fill="auto"/>
            <w:noWrap/>
            <w:vAlign w:val="center"/>
            <w:hideMark/>
          </w:tcPr>
          <w:p w14:paraId="756DE08D" w14:textId="77777777" w:rsidR="00E91098" w:rsidRPr="000D3752" w:rsidRDefault="00E91098" w:rsidP="00470705">
            <w:pPr>
              <w:spacing w:before="100" w:beforeAutospacing="1" w:after="100" w:afterAutospacing="1"/>
              <w:jc w:val="left"/>
              <w:rPr>
                <w:rFonts w:cs="Calibri"/>
                <w:color w:val="000000"/>
                <w:sz w:val="18"/>
                <w:szCs w:val="18"/>
                <w:lang w:eastAsia="es-MX"/>
              </w:rPr>
            </w:pPr>
            <w:r w:rsidRPr="000D3752">
              <w:rPr>
                <w:rFonts w:cs="Calibri"/>
                <w:color w:val="000000"/>
                <w:sz w:val="18"/>
                <w:szCs w:val="18"/>
                <w:lang w:eastAsia="es-MX"/>
              </w:rPr>
              <w:t>Barraje de derivación subterráneo</w:t>
            </w:r>
          </w:p>
        </w:tc>
        <w:tc>
          <w:tcPr>
            <w:tcW w:w="607" w:type="pct"/>
            <w:tcBorders>
              <w:top w:val="nil"/>
              <w:left w:val="nil"/>
              <w:bottom w:val="single" w:sz="4" w:space="0" w:color="auto"/>
              <w:right w:val="single" w:sz="4" w:space="0" w:color="auto"/>
            </w:tcBorders>
            <w:shd w:val="clear" w:color="auto" w:fill="auto"/>
            <w:noWrap/>
            <w:vAlign w:val="center"/>
            <w:hideMark/>
          </w:tcPr>
          <w:p w14:paraId="134C7AAF" w14:textId="77777777" w:rsidR="00E91098" w:rsidRPr="000D3752" w:rsidRDefault="00E91098" w:rsidP="00470705">
            <w:pPr>
              <w:spacing w:before="100" w:beforeAutospacing="1" w:after="100" w:afterAutospacing="1"/>
              <w:jc w:val="center"/>
              <w:rPr>
                <w:rFonts w:cs="Calibri"/>
                <w:color w:val="000000"/>
                <w:sz w:val="18"/>
                <w:szCs w:val="18"/>
                <w:lang w:eastAsia="es-MX"/>
              </w:rPr>
            </w:pPr>
            <w:r w:rsidRPr="000D3752">
              <w:rPr>
                <w:rFonts w:cs="Calibri"/>
                <w:color w:val="000000"/>
                <w:sz w:val="18"/>
                <w:szCs w:val="18"/>
                <w:lang w:eastAsia="es-MX"/>
              </w:rPr>
              <w:t>12</w:t>
            </w:r>
          </w:p>
        </w:tc>
        <w:tc>
          <w:tcPr>
            <w:tcW w:w="455" w:type="pct"/>
            <w:tcBorders>
              <w:top w:val="nil"/>
              <w:left w:val="nil"/>
              <w:bottom w:val="single" w:sz="4" w:space="0" w:color="auto"/>
              <w:right w:val="single" w:sz="4" w:space="0" w:color="auto"/>
            </w:tcBorders>
            <w:shd w:val="clear" w:color="auto" w:fill="auto"/>
            <w:noWrap/>
            <w:vAlign w:val="center"/>
            <w:hideMark/>
          </w:tcPr>
          <w:p w14:paraId="780B4FFB" w14:textId="77777777" w:rsidR="00E91098" w:rsidRPr="000D3752" w:rsidRDefault="00E91098" w:rsidP="00470705">
            <w:pPr>
              <w:spacing w:before="100" w:beforeAutospacing="1" w:after="100" w:afterAutospacing="1"/>
              <w:jc w:val="center"/>
              <w:rPr>
                <w:rFonts w:cs="Calibri"/>
                <w:color w:val="000000"/>
                <w:sz w:val="18"/>
                <w:szCs w:val="18"/>
                <w:lang w:eastAsia="es-MX"/>
              </w:rPr>
            </w:pPr>
            <w:r w:rsidRPr="000D3752">
              <w:rPr>
                <w:rFonts w:cs="Calibri"/>
                <w:color w:val="000000"/>
                <w:sz w:val="18"/>
                <w:szCs w:val="18"/>
                <w:lang w:eastAsia="es-MX"/>
              </w:rPr>
              <w:t>1</w:t>
            </w:r>
          </w:p>
        </w:tc>
        <w:tc>
          <w:tcPr>
            <w:tcW w:w="759" w:type="pct"/>
            <w:tcBorders>
              <w:top w:val="nil"/>
              <w:left w:val="nil"/>
              <w:bottom w:val="single" w:sz="4" w:space="0" w:color="auto"/>
              <w:right w:val="single" w:sz="4" w:space="0" w:color="auto"/>
            </w:tcBorders>
            <w:shd w:val="clear" w:color="auto" w:fill="auto"/>
            <w:noWrap/>
            <w:vAlign w:val="center"/>
            <w:hideMark/>
          </w:tcPr>
          <w:p w14:paraId="65084A2A" w14:textId="3C41E56C" w:rsidR="00E91098" w:rsidRPr="000D3752" w:rsidRDefault="00E91098" w:rsidP="00470705">
            <w:pPr>
              <w:spacing w:before="100" w:beforeAutospacing="1" w:after="100" w:afterAutospacing="1"/>
              <w:jc w:val="center"/>
              <w:rPr>
                <w:rFonts w:cs="Calibri"/>
                <w:color w:val="000000"/>
                <w:sz w:val="18"/>
                <w:szCs w:val="18"/>
                <w:lang w:eastAsia="es-MX"/>
              </w:rPr>
            </w:pPr>
            <w:r w:rsidRPr="00475AFA">
              <w:rPr>
                <w:rFonts w:cs="Calibri"/>
                <w:color w:val="000000"/>
                <w:sz w:val="18"/>
                <w:szCs w:val="18"/>
                <w:lang w:eastAsia="es-MX"/>
              </w:rPr>
              <w:t>348.878</w:t>
            </w:r>
          </w:p>
        </w:tc>
        <w:tc>
          <w:tcPr>
            <w:tcW w:w="1211" w:type="pct"/>
            <w:tcBorders>
              <w:top w:val="nil"/>
              <w:left w:val="nil"/>
              <w:bottom w:val="single" w:sz="4" w:space="0" w:color="auto"/>
              <w:right w:val="single" w:sz="4" w:space="0" w:color="auto"/>
            </w:tcBorders>
            <w:shd w:val="clear" w:color="auto" w:fill="auto"/>
            <w:noWrap/>
            <w:vAlign w:val="center"/>
            <w:hideMark/>
          </w:tcPr>
          <w:p w14:paraId="0A122260" w14:textId="4F294261" w:rsidR="00E91098" w:rsidRPr="000D3752" w:rsidRDefault="00E91098" w:rsidP="00470705">
            <w:pPr>
              <w:spacing w:before="100" w:beforeAutospacing="1" w:after="100" w:afterAutospacing="1"/>
              <w:jc w:val="left"/>
              <w:rPr>
                <w:rFonts w:cs="Calibri"/>
                <w:color w:val="000000"/>
                <w:sz w:val="18"/>
                <w:szCs w:val="18"/>
                <w:lang w:eastAsia="es-MX"/>
              </w:rPr>
            </w:pPr>
            <w:r w:rsidRPr="000D3752">
              <w:rPr>
                <w:rFonts w:cs="Calibri"/>
                <w:color w:val="000000"/>
                <w:sz w:val="18"/>
                <w:szCs w:val="18"/>
                <w:lang w:eastAsia="es-MX"/>
              </w:rPr>
              <w:t>Valor reconocido considerando la evidencia suministrada</w:t>
            </w:r>
          </w:p>
        </w:tc>
      </w:tr>
    </w:tbl>
    <w:p w14:paraId="65FE8948" w14:textId="6C43CABD" w:rsidR="009C00FA" w:rsidRPr="006B671F" w:rsidRDefault="009C00FA" w:rsidP="00470705">
      <w:pPr>
        <w:spacing w:before="100" w:beforeAutospacing="1" w:after="100" w:afterAutospacing="1"/>
        <w:rPr>
          <w:rFonts w:eastAsia="Bookman Old Style"/>
        </w:rPr>
      </w:pPr>
      <w:r w:rsidRPr="006B671F">
        <w:rPr>
          <w:rFonts w:eastAsia="Bookman Old Style"/>
        </w:rPr>
        <w:t>Se aclara que la valoración de estas UC especiales consideró la información suministrada por el OR, por lo cual se reconoce el valor de suministro del activo.</w:t>
      </w:r>
      <w:r w:rsidR="0004273E">
        <w:rPr>
          <w:rFonts w:eastAsia="Bookman Old Style"/>
        </w:rPr>
        <w:t xml:space="preserve"> Además, tiene efecto sobre el plan de inversiones </w:t>
      </w:r>
      <w:r w:rsidR="0051596E">
        <w:rPr>
          <w:rFonts w:eastAsia="Bookman Old Style"/>
        </w:rPr>
        <w:t>objeto del presente análisis.</w:t>
      </w:r>
    </w:p>
    <w:p w14:paraId="26D0E4B5" w14:textId="540216FB" w:rsidR="006D35FE" w:rsidRDefault="009C00FA" w:rsidP="00470705">
      <w:pPr>
        <w:spacing w:before="100" w:beforeAutospacing="1" w:after="100" w:afterAutospacing="1"/>
      </w:pPr>
      <w:r w:rsidRPr="006B671F">
        <w:t xml:space="preserve">Vale la pena destacar que en el documento </w:t>
      </w:r>
      <w:r w:rsidR="002C1516" w:rsidRPr="006B671F">
        <w:rPr>
          <w:i/>
          <w:iCs/>
        </w:rPr>
        <w:t xml:space="preserve">“Prueba N.4 Documento Detalles UCE” </w:t>
      </w:r>
      <w:r w:rsidR="0019633D" w:rsidRPr="006B671F">
        <w:t>el OR</w:t>
      </w:r>
      <w:r w:rsidR="002C1516" w:rsidRPr="006B671F">
        <w:t xml:space="preserve"> menciona una UC</w:t>
      </w:r>
      <w:r w:rsidR="000934FB">
        <w:t xml:space="preserve"> especial</w:t>
      </w:r>
      <w:r w:rsidR="002C1516" w:rsidRPr="006B671F">
        <w:t xml:space="preserve"> llamada </w:t>
      </w:r>
      <w:r w:rsidR="002C1516" w:rsidRPr="006B671F">
        <w:rPr>
          <w:i/>
          <w:iCs/>
        </w:rPr>
        <w:t>“</w:t>
      </w:r>
      <w:r w:rsidR="001C31A4" w:rsidRPr="006B671F">
        <w:rPr>
          <w:i/>
          <w:iCs/>
        </w:rPr>
        <w:t xml:space="preserve">Caja de maniobra NT1” </w:t>
      </w:r>
      <w:r w:rsidR="0019633D" w:rsidRPr="006B671F">
        <w:t>la cual no se encuentra en los inventarios presentados ni en los anexos suministrados durante la actuación administrativa</w:t>
      </w:r>
      <w:r w:rsidR="000A3924" w:rsidRPr="006B671F">
        <w:t xml:space="preserve">. Por lo tanto, esta </w:t>
      </w:r>
      <w:r w:rsidR="000934FB">
        <w:t>UC especial</w:t>
      </w:r>
      <w:r w:rsidR="000A3924" w:rsidRPr="006B671F">
        <w:t xml:space="preserve"> no hizo parte del análisis </w:t>
      </w:r>
      <w:r w:rsidR="00F07E1D" w:rsidRPr="006B671F">
        <w:t xml:space="preserve">realizado por la </w:t>
      </w:r>
      <w:r w:rsidR="00837FD6">
        <w:t>Comisión</w:t>
      </w:r>
      <w:r w:rsidR="00F07E1D" w:rsidRPr="006B671F">
        <w:t xml:space="preserve"> para dar respuesta al recurso de reposición interpuesto</w:t>
      </w:r>
      <w:r w:rsidR="00B70D3B">
        <w:t>.</w:t>
      </w:r>
    </w:p>
    <w:p w14:paraId="20003D5F" w14:textId="0D94ECD1" w:rsidR="00E77DCF" w:rsidRPr="00B94F50" w:rsidRDefault="00E77DCF" w:rsidP="004417F9">
      <w:pPr>
        <w:pStyle w:val="Prrafodelista"/>
        <w:numPr>
          <w:ilvl w:val="0"/>
          <w:numId w:val="12"/>
        </w:numPr>
        <w:spacing w:before="100" w:beforeAutospacing="1" w:after="100" w:afterAutospacing="1"/>
        <w:ind w:left="426" w:hanging="437"/>
        <w:rPr>
          <w:rFonts w:eastAsia="Bookman Old Style" w:cs="Bookman Old Style"/>
          <w:b/>
          <w:bCs/>
        </w:rPr>
      </w:pPr>
      <w:r>
        <w:rPr>
          <w:rFonts w:eastAsia="Bookman Old Style" w:cs="Bookman Old Style"/>
          <w:b/>
          <w:bCs/>
        </w:rPr>
        <w:t>Cuarta</w:t>
      </w:r>
      <w:r w:rsidRPr="00B94F50">
        <w:rPr>
          <w:rFonts w:eastAsia="Bookman Old Style" w:cs="Bookman Old Style"/>
          <w:b/>
          <w:bCs/>
        </w:rPr>
        <w:t xml:space="preserve"> </w:t>
      </w:r>
      <w:r>
        <w:rPr>
          <w:rFonts w:eastAsia="Bookman Old Style" w:cs="Bookman Old Style"/>
          <w:b/>
          <w:bCs/>
        </w:rPr>
        <w:t>solicitud</w:t>
      </w:r>
    </w:p>
    <w:p w14:paraId="45ACA2D3" w14:textId="77777777" w:rsidR="00617BE6" w:rsidRPr="006B671F" w:rsidRDefault="00617BE6" w:rsidP="00470705">
      <w:pPr>
        <w:spacing w:before="100" w:beforeAutospacing="1" w:after="100" w:afterAutospacing="1"/>
        <w:rPr>
          <w:i/>
          <w:iCs/>
        </w:rPr>
      </w:pPr>
      <w:r w:rsidRPr="006B671F">
        <w:rPr>
          <w:i/>
          <w:iCs/>
        </w:rPr>
        <w:t>(…)</w:t>
      </w:r>
    </w:p>
    <w:p w14:paraId="6780C1CE" w14:textId="1CDB3942" w:rsidR="00617BE6" w:rsidRPr="006B671F" w:rsidRDefault="00617BE6" w:rsidP="00470705">
      <w:pPr>
        <w:spacing w:before="100" w:beforeAutospacing="1" w:after="100" w:afterAutospacing="1"/>
        <w:ind w:left="284"/>
        <w:rPr>
          <w:rFonts w:eastAsia="Bookman Old Style"/>
          <w:b/>
          <w:bCs/>
        </w:rPr>
      </w:pPr>
      <w:r w:rsidRPr="006B671F">
        <w:rPr>
          <w:rFonts w:eastAsia="Bookman Old Style" w:cs="Bookman Old Style"/>
          <w:b/>
          <w:bCs/>
          <w:i/>
          <w:iCs/>
          <w:sz w:val="20"/>
          <w:szCs w:val="20"/>
        </w:rPr>
        <w:t xml:space="preserve">2.4 Falta de información en formatos informativos (F3) </w:t>
      </w:r>
      <w:r w:rsidRPr="006B671F">
        <w:rPr>
          <w:rFonts w:eastAsia="Bookman Old Style"/>
          <w:b/>
          <w:bCs/>
        </w:rPr>
        <w:t xml:space="preserve"> </w:t>
      </w:r>
    </w:p>
    <w:p w14:paraId="760EB51D" w14:textId="2B68FDCB" w:rsidR="00CF205A" w:rsidRPr="006B671F" w:rsidRDefault="00617BE6"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 xml:space="preserve">En el archivo “Inventario_reconocido_INVA_OR_-_TOLIMA_2023_2027” la </w:t>
      </w:r>
      <w:r w:rsidR="00837FD6">
        <w:rPr>
          <w:rFonts w:eastAsia="Bookman Old Style" w:cs="Bookman Old Style"/>
          <w:i/>
          <w:iCs/>
          <w:sz w:val="20"/>
          <w:szCs w:val="20"/>
        </w:rPr>
        <w:t>Comisión</w:t>
      </w:r>
      <w:r w:rsidRPr="006B671F">
        <w:rPr>
          <w:rFonts w:eastAsia="Bookman Old Style" w:cs="Bookman Old Style"/>
          <w:i/>
          <w:iCs/>
          <w:sz w:val="20"/>
          <w:szCs w:val="20"/>
        </w:rPr>
        <w:t xml:space="preserve"> indica</w:t>
      </w:r>
      <w:r w:rsidR="009F3C2F" w:rsidRPr="006B671F">
        <w:rPr>
          <w:rFonts w:eastAsia="Bookman Old Style" w:cs="Bookman Old Style"/>
          <w:i/>
          <w:iCs/>
          <w:sz w:val="20"/>
          <w:szCs w:val="20"/>
        </w:rPr>
        <w:t xml:space="preserve"> </w:t>
      </w:r>
      <w:r w:rsidRPr="006B671F">
        <w:rPr>
          <w:rFonts w:eastAsia="Bookman Old Style" w:cs="Bookman Old Style"/>
          <w:i/>
          <w:iCs/>
          <w:sz w:val="20"/>
          <w:szCs w:val="20"/>
        </w:rPr>
        <w:t>que en algunas unidades constructivas "No se relaciona el código de proyecto CELSIATOLEXP-SUB-LIBANO34.5-2024</w:t>
      </w:r>
      <w:r w:rsidR="009F3C2F" w:rsidRPr="006B671F">
        <w:rPr>
          <w:rFonts w:eastAsia="Bookman Old Style" w:cs="Bookman Old Style"/>
          <w:i/>
          <w:iCs/>
          <w:sz w:val="20"/>
          <w:szCs w:val="20"/>
        </w:rPr>
        <w:t xml:space="preserve"> </w:t>
      </w:r>
      <w:r w:rsidRPr="006B671F">
        <w:rPr>
          <w:rFonts w:eastAsia="Bookman Old Style" w:cs="Bookman Old Style"/>
          <w:i/>
          <w:iCs/>
          <w:sz w:val="20"/>
          <w:szCs w:val="20"/>
        </w:rPr>
        <w:t>con</w:t>
      </w:r>
      <w:r w:rsidR="009F3C2F" w:rsidRPr="006B671F">
        <w:rPr>
          <w:rFonts w:eastAsia="Bookman Old Style" w:cs="Bookman Old Style"/>
          <w:i/>
          <w:iCs/>
          <w:sz w:val="20"/>
          <w:szCs w:val="20"/>
        </w:rPr>
        <w:t xml:space="preserve"> </w:t>
      </w:r>
      <w:r w:rsidRPr="006B671F">
        <w:rPr>
          <w:rFonts w:eastAsia="Bookman Old Style" w:cs="Bookman Old Style"/>
          <w:i/>
          <w:iCs/>
          <w:sz w:val="20"/>
          <w:szCs w:val="20"/>
        </w:rPr>
        <w:t>IUL</w:t>
      </w:r>
      <w:r w:rsidR="009F3C2F" w:rsidRPr="006B671F">
        <w:rPr>
          <w:rFonts w:eastAsia="Bookman Old Style" w:cs="Bookman Old Style"/>
          <w:i/>
          <w:iCs/>
          <w:sz w:val="20"/>
          <w:szCs w:val="20"/>
        </w:rPr>
        <w:t xml:space="preserve"> </w:t>
      </w:r>
      <w:r w:rsidRPr="006B671F">
        <w:rPr>
          <w:rFonts w:eastAsia="Bookman Old Style" w:cs="Bookman Old Style"/>
          <w:i/>
          <w:iCs/>
          <w:sz w:val="20"/>
          <w:szCs w:val="20"/>
        </w:rPr>
        <w:t>0376</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en</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el</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Formato</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5,3”,</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“No</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se</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relaciona</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el</w:t>
      </w:r>
      <w:r w:rsidR="00750305" w:rsidRPr="006B671F">
        <w:rPr>
          <w:rFonts w:eastAsia="Bookman Old Style" w:cs="Bookman Old Style"/>
          <w:i/>
          <w:iCs/>
          <w:sz w:val="20"/>
          <w:szCs w:val="20"/>
        </w:rPr>
        <w:t xml:space="preserve"> código </w:t>
      </w:r>
      <w:r w:rsidRPr="006B671F">
        <w:rPr>
          <w:rFonts w:eastAsia="Bookman Old Style" w:cs="Bookman Old Style"/>
          <w:i/>
          <w:iCs/>
          <w:sz w:val="20"/>
          <w:szCs w:val="20"/>
        </w:rPr>
        <w:t>de</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proyecto</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CELSIATOL-EXP-SUB-NUEVA-GUALI34.5-2025</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con</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IUL</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0547</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en</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el</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Formato</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5,3”,</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información</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que</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no</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es</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relevante</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para</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la</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evaluación</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de</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las</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unidades</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constructivas,</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ya</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que</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no</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se</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necesita para la evaluación pues es meramente informativa y referente a la ubicación</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geográfica de las subestaciones, sin injerencia en el análisis de la procedencia del</w:t>
      </w:r>
      <w:r w:rsidR="00750305" w:rsidRPr="006B671F">
        <w:rPr>
          <w:rFonts w:eastAsia="Bookman Old Style" w:cs="Bookman Old Style"/>
          <w:i/>
          <w:iCs/>
          <w:sz w:val="20"/>
          <w:szCs w:val="20"/>
        </w:rPr>
        <w:t xml:space="preserve"> </w:t>
      </w:r>
      <w:r w:rsidRPr="006B671F">
        <w:rPr>
          <w:rFonts w:eastAsia="Bookman Old Style" w:cs="Bookman Old Style"/>
          <w:i/>
          <w:iCs/>
          <w:sz w:val="20"/>
          <w:szCs w:val="20"/>
        </w:rPr>
        <w:t>reconocimiento de la remuneración.</w:t>
      </w:r>
    </w:p>
    <w:p w14:paraId="4F89A118" w14:textId="77777777" w:rsidR="00617BE6" w:rsidRPr="006B671F" w:rsidRDefault="00617BE6" w:rsidP="00470705">
      <w:pPr>
        <w:spacing w:before="100" w:beforeAutospacing="1" w:after="100" w:afterAutospacing="1"/>
        <w:rPr>
          <w:i/>
          <w:iCs/>
        </w:rPr>
      </w:pPr>
      <w:r w:rsidRPr="006B671F">
        <w:rPr>
          <w:i/>
          <w:iCs/>
        </w:rPr>
        <w:t>(…)</w:t>
      </w:r>
    </w:p>
    <w:p w14:paraId="1F4A349B" w14:textId="3C3ADCC0" w:rsidR="00750305" w:rsidRPr="006B671F" w:rsidRDefault="00750305" w:rsidP="00470705">
      <w:pPr>
        <w:spacing w:before="100" w:beforeAutospacing="1" w:after="100" w:afterAutospacing="1"/>
        <w:rPr>
          <w:rFonts w:eastAsia="Bookman Old Style"/>
          <w:b/>
          <w:bCs/>
        </w:rPr>
      </w:pPr>
      <w:r w:rsidRPr="006B671F">
        <w:rPr>
          <w:rFonts w:eastAsia="Bookman Old Style"/>
          <w:b/>
          <w:bCs/>
        </w:rPr>
        <w:t xml:space="preserve">Análisis de la </w:t>
      </w:r>
      <w:r w:rsidR="00837FD6">
        <w:rPr>
          <w:rFonts w:eastAsia="Bookman Old Style"/>
          <w:b/>
          <w:bCs/>
        </w:rPr>
        <w:t>Comisión</w:t>
      </w:r>
    </w:p>
    <w:p w14:paraId="381B2DAD" w14:textId="6B0277DA" w:rsidR="00F87C8D" w:rsidRDefault="00C97D8F" w:rsidP="00470705">
      <w:pPr>
        <w:spacing w:before="100" w:beforeAutospacing="1" w:after="100" w:afterAutospacing="1"/>
      </w:pPr>
      <w:r w:rsidRPr="006B671F">
        <w:t xml:space="preserve">Esta observación </w:t>
      </w:r>
      <w:r w:rsidR="00D32315" w:rsidRPr="006B671F">
        <w:t>está</w:t>
      </w:r>
      <w:r w:rsidRPr="006B671F">
        <w:t xml:space="preserve"> vinculada con </w:t>
      </w:r>
      <w:r w:rsidR="00881D1F" w:rsidRPr="006B671F">
        <w:t>varias</w:t>
      </w:r>
      <w:r w:rsidR="00706073" w:rsidRPr="006B671F">
        <w:t xml:space="preserve"> </w:t>
      </w:r>
      <w:r w:rsidR="00F87C8D">
        <w:t>UC</w:t>
      </w:r>
      <w:r w:rsidR="00706073" w:rsidRPr="006B671F">
        <w:t xml:space="preserve"> solicitadas en el formato 5.7</w:t>
      </w:r>
      <w:r w:rsidR="00D32315" w:rsidRPr="006B671F">
        <w:t xml:space="preserve"> del archivo </w:t>
      </w:r>
      <w:r w:rsidR="00D32315" w:rsidRPr="006B671F">
        <w:rPr>
          <w:i/>
          <w:iCs/>
        </w:rPr>
        <w:t>“Inventario_reconocido_INVA_OR_-_TOLIMA_2023_2027”</w:t>
      </w:r>
      <w:r w:rsidR="00D32315" w:rsidRPr="006B671F">
        <w:t xml:space="preserve"> </w:t>
      </w:r>
      <w:r w:rsidR="00706073" w:rsidRPr="006B671F">
        <w:t xml:space="preserve">ya que el </w:t>
      </w:r>
      <w:r w:rsidR="003D7123">
        <w:t xml:space="preserve">Identificador </w:t>
      </w:r>
      <w:r w:rsidR="00E12069">
        <w:t>Ú</w:t>
      </w:r>
      <w:r w:rsidR="003D7123">
        <w:t>nico de Línea,</w:t>
      </w:r>
      <w:r w:rsidR="00706073" w:rsidRPr="006B671F">
        <w:t xml:space="preserve"> IUL</w:t>
      </w:r>
      <w:r w:rsidR="003D7123">
        <w:t>,</w:t>
      </w:r>
      <w:r w:rsidR="00706073" w:rsidRPr="006B671F">
        <w:t xml:space="preserve"> reportado</w:t>
      </w:r>
      <w:r w:rsidR="00881D1F" w:rsidRPr="006B671F">
        <w:t xml:space="preserve"> no se encuentra </w:t>
      </w:r>
      <w:r w:rsidR="00C24475" w:rsidRPr="006B671F">
        <w:t>reportado en el formato 5.3</w:t>
      </w:r>
      <w:r w:rsidR="00F87C8D">
        <w:t>,</w:t>
      </w:r>
      <w:r w:rsidR="00C24475" w:rsidRPr="006B671F">
        <w:t xml:space="preserve"> </w:t>
      </w:r>
      <w:r w:rsidR="00FD514E" w:rsidRPr="006B671F">
        <w:t xml:space="preserve">por lo que no es posible rastrear </w:t>
      </w:r>
      <w:r w:rsidR="00DA5470" w:rsidRPr="006B671F">
        <w:t xml:space="preserve">de forma correcta a que línea pertenece la UC que reporta el OR. </w:t>
      </w:r>
    </w:p>
    <w:p w14:paraId="3D321A2A" w14:textId="6C24528E" w:rsidR="006A577C" w:rsidRPr="006B671F" w:rsidRDefault="00DA5470" w:rsidP="00470705">
      <w:pPr>
        <w:spacing w:before="100" w:beforeAutospacing="1" w:after="100" w:afterAutospacing="1"/>
      </w:pPr>
      <w:r w:rsidRPr="006B671F">
        <w:t xml:space="preserve">Si bien, </w:t>
      </w:r>
      <w:r w:rsidR="003B60D4" w:rsidRPr="006B671F">
        <w:t>la información que reporta el OR en los formatos 5.2 de subestaciones y 5.3 de líneas</w:t>
      </w:r>
      <w:r w:rsidR="00F87C8D">
        <w:t>,</w:t>
      </w:r>
      <w:r w:rsidR="00063751" w:rsidRPr="006B671F">
        <w:t xml:space="preserve"> es informativa es importante destacar que </w:t>
      </w:r>
      <w:r w:rsidR="00354A5F" w:rsidRPr="006B671F">
        <w:t>es utilizada</w:t>
      </w:r>
      <w:r w:rsidR="00A45FFB" w:rsidRPr="006B671F">
        <w:t xml:space="preserve"> por la </w:t>
      </w:r>
      <w:r w:rsidR="00837FD6">
        <w:t>Comisión</w:t>
      </w:r>
      <w:r w:rsidR="00354A5F" w:rsidRPr="006B671F">
        <w:t xml:space="preserve"> </w:t>
      </w:r>
      <w:r w:rsidR="00A45FFB" w:rsidRPr="006B671F">
        <w:t xml:space="preserve">para rastrear y </w:t>
      </w:r>
      <w:r w:rsidR="00FB335B" w:rsidRPr="006B671F">
        <w:t>confirmar</w:t>
      </w:r>
      <w:r w:rsidR="00A45FFB" w:rsidRPr="006B671F">
        <w:t xml:space="preserve"> que las </w:t>
      </w:r>
      <w:r w:rsidR="00F87C8D">
        <w:t>UC</w:t>
      </w:r>
      <w:r w:rsidR="00A45FFB" w:rsidRPr="006B671F">
        <w:t xml:space="preserve"> solicitadas</w:t>
      </w:r>
      <w:r w:rsidR="00F87C8D">
        <w:t xml:space="preserve">, </w:t>
      </w:r>
      <w:r w:rsidR="00787906" w:rsidRPr="006B671F">
        <w:t>en los demás formatos</w:t>
      </w:r>
      <w:r w:rsidR="00F87C8D">
        <w:t>,</w:t>
      </w:r>
      <w:r w:rsidR="00787906" w:rsidRPr="006B671F">
        <w:t xml:space="preserve"> </w:t>
      </w:r>
      <w:r w:rsidR="00EC2FFB" w:rsidRPr="006B671F">
        <w:t xml:space="preserve">sean válidas </w:t>
      </w:r>
      <w:r w:rsidR="004D2400" w:rsidRPr="006B671F">
        <w:t xml:space="preserve">y consistentes </w:t>
      </w:r>
      <w:r w:rsidR="00D50F3E" w:rsidRPr="006B671F">
        <w:t xml:space="preserve">respecto al sistema de cada OR, por lo tanto, si existen </w:t>
      </w:r>
      <w:r w:rsidR="00F87C8D">
        <w:t>UC</w:t>
      </w:r>
      <w:r w:rsidR="00D50F3E" w:rsidRPr="006B671F">
        <w:t xml:space="preserve"> </w:t>
      </w:r>
      <w:r w:rsidR="00F87C8D">
        <w:t>que</w:t>
      </w:r>
      <w:r w:rsidR="00D50F3E" w:rsidRPr="006B671F">
        <w:t xml:space="preserve"> </w:t>
      </w:r>
      <w:r w:rsidR="00AC405A" w:rsidRPr="006B671F">
        <w:t>present</w:t>
      </w:r>
      <w:r w:rsidR="00F87C8D">
        <w:t>e</w:t>
      </w:r>
      <w:r w:rsidR="00AC405A" w:rsidRPr="006B671F">
        <w:t>n inconsistencias</w:t>
      </w:r>
      <w:r w:rsidR="001444A5" w:rsidRPr="006B671F">
        <w:t xml:space="preserve"> en</w:t>
      </w:r>
      <w:r w:rsidR="00AC405A" w:rsidRPr="006B671F">
        <w:t xml:space="preserve"> campos como</w:t>
      </w:r>
      <w:r w:rsidR="001444A5" w:rsidRPr="006B671F">
        <w:t xml:space="preserve"> el</w:t>
      </w:r>
      <w:r w:rsidR="00AC405A" w:rsidRPr="006B671F">
        <w:t xml:space="preserve"> IUL, </w:t>
      </w:r>
      <w:r w:rsidR="00E12069">
        <w:t xml:space="preserve">el Identificador Único de Subestación, </w:t>
      </w:r>
      <w:r w:rsidR="00AC405A" w:rsidRPr="006B671F">
        <w:t>IUS</w:t>
      </w:r>
      <w:r w:rsidR="00E12069">
        <w:t>,</w:t>
      </w:r>
      <w:r w:rsidR="006A5A1A" w:rsidRPr="006B671F">
        <w:t xml:space="preserve"> </w:t>
      </w:r>
      <w:r w:rsidR="001444A5" w:rsidRPr="006B671F">
        <w:t xml:space="preserve">y/o </w:t>
      </w:r>
      <w:r w:rsidR="009C5D2D" w:rsidRPr="006B671F">
        <w:t>código de proyecto</w:t>
      </w:r>
      <w:r w:rsidR="00F87C8D">
        <w:t>,</w:t>
      </w:r>
      <w:r w:rsidR="009C5D2D" w:rsidRPr="006B671F">
        <w:t xml:space="preserve"> se interpreta que son </w:t>
      </w:r>
      <w:r w:rsidR="00F87C8D">
        <w:t>UC</w:t>
      </w:r>
      <w:r w:rsidR="009C5D2D" w:rsidRPr="006B671F">
        <w:t xml:space="preserve"> que </w:t>
      </w:r>
      <w:r w:rsidR="006A5A1A" w:rsidRPr="006B671F">
        <w:t>no tienen relación con el plan de inversión</w:t>
      </w:r>
      <w:r w:rsidR="00F87C8D">
        <w:t>,</w:t>
      </w:r>
      <w:r w:rsidR="006A5A1A" w:rsidRPr="006B671F">
        <w:t xml:space="preserve"> </w:t>
      </w:r>
      <w:r w:rsidR="001444A5" w:rsidRPr="006B671F">
        <w:t>y por consiguiente no pueden ser reconocidas</w:t>
      </w:r>
      <w:r w:rsidR="00017216" w:rsidRPr="006B671F">
        <w:t>. Además, es responsabilidad del OR garantizar que</w:t>
      </w:r>
      <w:r w:rsidR="00624A80" w:rsidRPr="006B671F">
        <w:t xml:space="preserve"> los formatos</w:t>
      </w:r>
      <w:r w:rsidR="00017216" w:rsidRPr="006B671F">
        <w:t xml:space="preserve"> </w:t>
      </w:r>
      <w:r w:rsidR="00624A80" w:rsidRPr="006B671F">
        <w:t>d</w:t>
      </w:r>
      <w:r w:rsidR="00017216" w:rsidRPr="006B671F">
        <w:t xml:space="preserve">el plan de inversión </w:t>
      </w:r>
      <w:r w:rsidR="000C406C" w:rsidRPr="006B671F">
        <w:t>se encuentre</w:t>
      </w:r>
      <w:r w:rsidR="00624A80" w:rsidRPr="006B671F">
        <w:t>n totalmente normalizado</w:t>
      </w:r>
      <w:r w:rsidR="00B73E7D" w:rsidRPr="006B671F">
        <w:t>s</w:t>
      </w:r>
      <w:r w:rsidR="00BA1E60" w:rsidRPr="006B671F">
        <w:t>, sea</w:t>
      </w:r>
      <w:r w:rsidR="00B70104">
        <w:t>n</w:t>
      </w:r>
      <w:r w:rsidR="00BA1E60" w:rsidRPr="006B671F">
        <w:t xml:space="preserve"> consistente</w:t>
      </w:r>
      <w:r w:rsidR="00B70104">
        <w:t>s</w:t>
      </w:r>
      <w:r w:rsidR="00BA1E60" w:rsidRPr="006B671F">
        <w:t xml:space="preserve"> y garantice</w:t>
      </w:r>
      <w:r w:rsidR="00B70104">
        <w:t>n</w:t>
      </w:r>
      <w:r w:rsidR="00BA1E60" w:rsidRPr="006B671F">
        <w:t xml:space="preserve"> que</w:t>
      </w:r>
      <w:r w:rsidR="00B009B7" w:rsidRPr="006B671F">
        <w:t xml:space="preserve"> las relaciones entre todos los campos de los formatos sean correctas.</w:t>
      </w:r>
    </w:p>
    <w:p w14:paraId="25BB0255" w14:textId="55C1237B" w:rsidR="00B73E7D" w:rsidRDefault="00B73E7D" w:rsidP="00470705">
      <w:pPr>
        <w:spacing w:before="100" w:beforeAutospacing="1" w:after="100" w:afterAutospacing="1"/>
      </w:pPr>
      <w:r w:rsidRPr="006B671F">
        <w:t xml:space="preserve">Con </w:t>
      </w:r>
      <w:r w:rsidR="00665050">
        <w:t>base en</w:t>
      </w:r>
      <w:r w:rsidR="00B70104">
        <w:t xml:space="preserve"> e</w:t>
      </w:r>
      <w:r w:rsidRPr="006B671F">
        <w:t xml:space="preserve">l archivo </w:t>
      </w:r>
      <w:r w:rsidR="005C11D6" w:rsidRPr="006B671F">
        <w:rPr>
          <w:i/>
          <w:iCs/>
        </w:rPr>
        <w:t xml:space="preserve">“Prueba N.5 Documento Comentarios_Inventario Res CREG 501 041-24” </w:t>
      </w:r>
      <w:r w:rsidR="005C11D6" w:rsidRPr="006B671F">
        <w:t>suministrado por el OR</w:t>
      </w:r>
      <w:r w:rsidR="00F5085D" w:rsidRPr="006B671F">
        <w:t xml:space="preserve"> en el radicado CREG E2024008581</w:t>
      </w:r>
      <w:r w:rsidR="005C11D6" w:rsidRPr="006B671F">
        <w:t xml:space="preserve">, </w:t>
      </w:r>
      <w:r w:rsidR="00F5085D" w:rsidRPr="006B671F">
        <w:t xml:space="preserve">se verifica </w:t>
      </w:r>
      <w:r w:rsidR="00AA795E" w:rsidRPr="006B671F">
        <w:t xml:space="preserve">que </w:t>
      </w:r>
      <w:r w:rsidR="00976E3F" w:rsidRPr="006B671F">
        <w:t>el</w:t>
      </w:r>
      <w:r w:rsidR="00AA795E" w:rsidRPr="006B671F">
        <w:t xml:space="preserve"> </w:t>
      </w:r>
      <w:r w:rsidR="00976E3F" w:rsidRPr="006B671F">
        <w:t>campo</w:t>
      </w:r>
      <w:r w:rsidR="00AA795E" w:rsidRPr="006B671F">
        <w:t xml:space="preserve"> IUL</w:t>
      </w:r>
      <w:r w:rsidR="00773294" w:rsidRPr="006B671F">
        <w:t xml:space="preserve"> del formato 5.7</w:t>
      </w:r>
      <w:r w:rsidR="00AA795E" w:rsidRPr="006B671F">
        <w:t xml:space="preserve"> relacionado con las observaciones dadas por la </w:t>
      </w:r>
      <w:r w:rsidR="00837FD6">
        <w:t>Comisión</w:t>
      </w:r>
      <w:r w:rsidR="00F87C8D">
        <w:t>,</w:t>
      </w:r>
      <w:r w:rsidR="000B4E36" w:rsidRPr="006B671F">
        <w:t xml:space="preserve"> se ajustaron de forma </w:t>
      </w:r>
      <w:r w:rsidR="00773294" w:rsidRPr="006B671F">
        <w:t>válida</w:t>
      </w:r>
      <w:r w:rsidR="008C43F5" w:rsidRPr="006B671F">
        <w:t xml:space="preserve"> y consistente </w:t>
      </w:r>
      <w:r w:rsidR="00773294" w:rsidRPr="006B671F">
        <w:t>con el formato 5.3 de líneas</w:t>
      </w:r>
      <w:r w:rsidR="00E214C3" w:rsidRPr="006B671F">
        <w:t xml:space="preserve">. Por lo tanto, la </w:t>
      </w:r>
      <w:r w:rsidR="00837FD6">
        <w:t>Comisión</w:t>
      </w:r>
      <w:r w:rsidR="00E214C3" w:rsidRPr="006B671F">
        <w:t xml:space="preserve"> decide reponer la decisión tomada y </w:t>
      </w:r>
      <w:r w:rsidR="00372FD3" w:rsidRPr="006B671F">
        <w:t>dar reconocimiento a las unidades constructivas objeto de la observación.</w:t>
      </w:r>
    </w:p>
    <w:p w14:paraId="5258524C" w14:textId="2D6BC34F" w:rsidR="00E77DCF" w:rsidRPr="00B94F50" w:rsidRDefault="00E77DCF" w:rsidP="004417F9">
      <w:pPr>
        <w:pStyle w:val="Prrafodelista"/>
        <w:numPr>
          <w:ilvl w:val="0"/>
          <w:numId w:val="12"/>
        </w:numPr>
        <w:spacing w:before="100" w:beforeAutospacing="1" w:after="100" w:afterAutospacing="1"/>
        <w:ind w:left="426" w:hanging="437"/>
        <w:rPr>
          <w:rFonts w:eastAsia="Bookman Old Style" w:cs="Bookman Old Style"/>
          <w:b/>
          <w:bCs/>
        </w:rPr>
      </w:pPr>
      <w:r>
        <w:rPr>
          <w:rFonts w:eastAsia="Bookman Old Style" w:cs="Bookman Old Style"/>
          <w:b/>
          <w:bCs/>
        </w:rPr>
        <w:t>Quinta</w:t>
      </w:r>
      <w:r w:rsidRPr="00B94F50">
        <w:rPr>
          <w:rFonts w:eastAsia="Bookman Old Style" w:cs="Bookman Old Style"/>
          <w:b/>
          <w:bCs/>
        </w:rPr>
        <w:t xml:space="preserve"> </w:t>
      </w:r>
      <w:r>
        <w:rPr>
          <w:rFonts w:eastAsia="Bookman Old Style" w:cs="Bookman Old Style"/>
          <w:b/>
          <w:bCs/>
        </w:rPr>
        <w:t>solicitud</w:t>
      </w:r>
    </w:p>
    <w:p w14:paraId="79AD1245" w14:textId="77777777" w:rsidR="00502946" w:rsidRPr="006B671F" w:rsidRDefault="00502946" w:rsidP="00470705">
      <w:pPr>
        <w:spacing w:before="100" w:beforeAutospacing="1" w:after="100" w:afterAutospacing="1"/>
        <w:rPr>
          <w:i/>
          <w:iCs/>
        </w:rPr>
      </w:pPr>
      <w:r w:rsidRPr="006B671F">
        <w:rPr>
          <w:i/>
          <w:iCs/>
        </w:rPr>
        <w:t>(…)</w:t>
      </w:r>
    </w:p>
    <w:p w14:paraId="411755E8" w14:textId="3DC6EA93" w:rsidR="00502946" w:rsidRPr="006B671F" w:rsidRDefault="00502946" w:rsidP="00470705">
      <w:pPr>
        <w:spacing w:before="100" w:beforeAutospacing="1" w:after="100" w:afterAutospacing="1"/>
        <w:ind w:left="284"/>
        <w:rPr>
          <w:rFonts w:eastAsia="Bookman Old Style" w:cs="Bookman Old Style"/>
          <w:b/>
          <w:bCs/>
          <w:i/>
          <w:iCs/>
          <w:sz w:val="20"/>
          <w:szCs w:val="20"/>
        </w:rPr>
      </w:pPr>
      <w:r w:rsidRPr="006B671F">
        <w:rPr>
          <w:rFonts w:eastAsia="Bookman Old Style" w:cs="Bookman Old Style"/>
          <w:b/>
          <w:bCs/>
          <w:i/>
          <w:iCs/>
          <w:sz w:val="20"/>
          <w:szCs w:val="20"/>
        </w:rPr>
        <w:t>2.5 Módulos comunes</w:t>
      </w:r>
    </w:p>
    <w:p w14:paraId="39CA4BEA" w14:textId="0625E95E" w:rsidR="000B143C" w:rsidRPr="006B671F" w:rsidRDefault="00502946" w:rsidP="00470705">
      <w:pPr>
        <w:spacing w:before="100" w:beforeAutospacing="1" w:after="100" w:afterAutospacing="1"/>
        <w:ind w:left="284"/>
        <w:rPr>
          <w:rFonts w:eastAsia="Bookman Old Style" w:cs="Bookman Old Style"/>
          <w:i/>
          <w:iCs/>
          <w:sz w:val="20"/>
          <w:szCs w:val="20"/>
        </w:rPr>
      </w:pPr>
      <w:r w:rsidRPr="006B671F">
        <w:rPr>
          <w:rFonts w:eastAsia="Bookman Old Style" w:cs="Bookman Old Style"/>
          <w:i/>
          <w:iCs/>
          <w:sz w:val="20"/>
          <w:szCs w:val="20"/>
        </w:rPr>
        <w:t>Para los módulos comunes, la CREG manifiesta que las bahías relacionadas no corresponden a la UC reportada, sin embargo, la asimilación de la unidad constructiva realizada por CELSIA COLOMBIA se ajusta a lo indicado en los literales “j”, “k”, “m” y “o” del numeral 14.1 de la Resolución CREG 015 de 2018, ya que se considera la totalidad de las bahías de la Subestación al momento de definir el tipo de módulo común:</w:t>
      </w:r>
    </w:p>
    <w:p w14:paraId="38B335F3" w14:textId="77777777" w:rsidR="00502946" w:rsidRPr="006B671F" w:rsidRDefault="00502946" w:rsidP="00470705">
      <w:pPr>
        <w:spacing w:before="100" w:beforeAutospacing="1" w:after="100" w:afterAutospacing="1"/>
        <w:rPr>
          <w:i/>
          <w:iCs/>
        </w:rPr>
      </w:pPr>
      <w:r w:rsidRPr="006B671F">
        <w:rPr>
          <w:i/>
          <w:iCs/>
        </w:rPr>
        <w:t>(…)</w:t>
      </w:r>
    </w:p>
    <w:p w14:paraId="0FB23C10" w14:textId="3CD7FD7B" w:rsidR="00502946" w:rsidRPr="006B671F" w:rsidRDefault="00502946" w:rsidP="00470705">
      <w:pPr>
        <w:spacing w:before="100" w:beforeAutospacing="1" w:after="100" w:afterAutospacing="1"/>
        <w:rPr>
          <w:rFonts w:eastAsia="Bookman Old Style"/>
          <w:b/>
          <w:bCs/>
        </w:rPr>
      </w:pPr>
      <w:r w:rsidRPr="006B671F">
        <w:rPr>
          <w:rFonts w:eastAsia="Bookman Old Style"/>
          <w:b/>
          <w:bCs/>
        </w:rPr>
        <w:t xml:space="preserve">Análisis de la </w:t>
      </w:r>
      <w:r w:rsidR="00837FD6">
        <w:rPr>
          <w:rFonts w:eastAsia="Bookman Old Style"/>
          <w:b/>
          <w:bCs/>
        </w:rPr>
        <w:t>Comisión</w:t>
      </w:r>
    </w:p>
    <w:p w14:paraId="574CC214" w14:textId="559969C0" w:rsidR="0065035C" w:rsidRDefault="008F6652" w:rsidP="00470705">
      <w:pPr>
        <w:spacing w:before="100" w:beforeAutospacing="1" w:after="100" w:afterAutospacing="1"/>
      </w:pPr>
      <w:r w:rsidRPr="006B671F">
        <w:t xml:space="preserve">Para el análisis de esta observación, se toma el documento </w:t>
      </w:r>
      <w:r w:rsidR="00713C72" w:rsidRPr="006B671F">
        <w:rPr>
          <w:i/>
          <w:iCs/>
        </w:rPr>
        <w:t xml:space="preserve">“Prueba N.5 Documento Soportes Módulos Comunes” </w:t>
      </w:r>
      <w:r w:rsidR="00155D6C" w:rsidRPr="006B671F">
        <w:t>suministrado como anexo</w:t>
      </w:r>
      <w:r w:rsidR="00713C72" w:rsidRPr="006B671F">
        <w:t xml:space="preserve"> del radicado CREG E2024008581</w:t>
      </w:r>
      <w:r w:rsidR="00155D6C" w:rsidRPr="006B671F">
        <w:t xml:space="preserve">. </w:t>
      </w:r>
      <w:r w:rsidR="0065035C" w:rsidRPr="006B671F">
        <w:t>Se debe resaltar que para la verificación de la cantidad de bahías</w:t>
      </w:r>
      <w:r w:rsidR="00F87C8D">
        <w:t>,</w:t>
      </w:r>
      <w:r w:rsidR="0065035C" w:rsidRPr="006B671F">
        <w:t xml:space="preserve"> se </w:t>
      </w:r>
      <w:r w:rsidR="004336E0" w:rsidRPr="006B671F">
        <w:t xml:space="preserve">toma la base de activos </w:t>
      </w:r>
      <w:r w:rsidR="00AF270C" w:rsidRPr="006B671F">
        <w:t xml:space="preserve">inmediatamente anterior al primer año </w:t>
      </w:r>
      <w:r w:rsidR="00CF3D9C" w:rsidRPr="006B671F">
        <w:t>del plan de inversión.</w:t>
      </w:r>
    </w:p>
    <w:p w14:paraId="7A54F2A5" w14:textId="1813F8C9" w:rsidR="00654D23" w:rsidRDefault="00654D23" w:rsidP="00470705">
      <w:pPr>
        <w:spacing w:before="100" w:beforeAutospacing="1" w:after="100" w:afterAutospacing="1"/>
      </w:pPr>
      <w:r w:rsidRPr="006B671F">
        <w:t>Cada análisis</w:t>
      </w:r>
      <w:r>
        <w:t xml:space="preserve"> y respuesta de la </w:t>
      </w:r>
      <w:r w:rsidR="00837FD6">
        <w:t>Comisión</w:t>
      </w:r>
      <w:r w:rsidRPr="006B671F">
        <w:t xml:space="preserve"> se </w:t>
      </w:r>
      <w:r w:rsidR="0010004A">
        <w:t>realizó</w:t>
      </w:r>
      <w:r w:rsidRPr="006B671F">
        <w:t xml:space="preserve"> por</w:t>
      </w:r>
      <w:r>
        <w:t xml:space="preserve"> código de</w:t>
      </w:r>
      <w:r w:rsidRPr="006B671F">
        <w:t xml:space="preserve"> proyecto involucrado como se muestra </w:t>
      </w:r>
      <w:r>
        <w:t>en la siguiente tabla</w:t>
      </w:r>
      <w:r w:rsidRPr="006B671F">
        <w:t>:</w:t>
      </w:r>
    </w:p>
    <w:tbl>
      <w:tblPr>
        <w:tblW w:w="5000" w:type="pct"/>
        <w:tblCellMar>
          <w:left w:w="70" w:type="dxa"/>
          <w:right w:w="70" w:type="dxa"/>
        </w:tblCellMar>
        <w:tblLook w:val="04A0" w:firstRow="1" w:lastRow="0" w:firstColumn="1" w:lastColumn="0" w:noHBand="0" w:noVBand="1"/>
      </w:tblPr>
      <w:tblGrid>
        <w:gridCol w:w="1527"/>
        <w:gridCol w:w="538"/>
        <w:gridCol w:w="845"/>
        <w:gridCol w:w="2047"/>
        <w:gridCol w:w="2267"/>
        <w:gridCol w:w="2122"/>
      </w:tblGrid>
      <w:tr w:rsidR="00E367EE" w:rsidRPr="002E3CD2" w14:paraId="6C01AE89" w14:textId="77777777" w:rsidTr="00727584">
        <w:trPr>
          <w:trHeight w:val="840"/>
          <w:tblHeader/>
        </w:trPr>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7EDD4" w14:textId="77777777" w:rsidR="002E3CD2" w:rsidRPr="002E3CD2" w:rsidRDefault="002E3CD2" w:rsidP="00470705">
            <w:pPr>
              <w:spacing w:before="100" w:beforeAutospacing="1" w:after="100" w:afterAutospacing="1"/>
              <w:jc w:val="center"/>
              <w:rPr>
                <w:rFonts w:cs="Calibri"/>
                <w:b/>
                <w:bCs/>
                <w:color w:val="000000"/>
                <w:sz w:val="18"/>
                <w:szCs w:val="18"/>
                <w:lang w:eastAsia="es-MX"/>
              </w:rPr>
            </w:pPr>
            <w:r w:rsidRPr="002E3CD2">
              <w:rPr>
                <w:rFonts w:cs="Calibri"/>
                <w:b/>
                <w:bCs/>
                <w:color w:val="000000"/>
                <w:sz w:val="18"/>
                <w:szCs w:val="18"/>
                <w:lang w:eastAsia="es-MX"/>
              </w:rPr>
              <w:t>Código de proyecto</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1D6B94CA" w14:textId="5470A92E" w:rsidR="002E3CD2" w:rsidRPr="002E3CD2" w:rsidRDefault="002E3CD2" w:rsidP="00470705">
            <w:pPr>
              <w:spacing w:before="100" w:beforeAutospacing="1" w:after="100" w:afterAutospacing="1"/>
              <w:jc w:val="center"/>
              <w:rPr>
                <w:rFonts w:cs="Calibri"/>
                <w:b/>
                <w:bCs/>
                <w:color w:val="000000"/>
                <w:sz w:val="18"/>
                <w:szCs w:val="18"/>
                <w:lang w:eastAsia="es-MX"/>
              </w:rPr>
            </w:pPr>
            <w:r w:rsidRPr="002E3CD2">
              <w:rPr>
                <w:rFonts w:cs="Calibri"/>
                <w:b/>
                <w:bCs/>
                <w:color w:val="000000"/>
                <w:sz w:val="18"/>
                <w:szCs w:val="18"/>
                <w:lang w:eastAsia="es-MX"/>
              </w:rPr>
              <w:t>IUS</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4337DAC1" w14:textId="77777777" w:rsidR="002E3CD2" w:rsidRPr="002E3CD2" w:rsidRDefault="002E3CD2" w:rsidP="00470705">
            <w:pPr>
              <w:spacing w:before="100" w:beforeAutospacing="1" w:after="100" w:afterAutospacing="1"/>
              <w:jc w:val="center"/>
              <w:rPr>
                <w:rFonts w:cs="Calibri"/>
                <w:b/>
                <w:bCs/>
                <w:color w:val="000000"/>
                <w:sz w:val="18"/>
                <w:szCs w:val="18"/>
                <w:lang w:eastAsia="es-MX"/>
              </w:rPr>
            </w:pPr>
            <w:r w:rsidRPr="002E3CD2">
              <w:rPr>
                <w:rFonts w:cs="Calibri"/>
                <w:b/>
                <w:bCs/>
                <w:color w:val="000000"/>
                <w:sz w:val="18"/>
                <w:szCs w:val="18"/>
                <w:lang w:eastAsia="es-MX"/>
              </w:rPr>
              <w:t>Nivel de tensión</w:t>
            </w:r>
          </w:p>
        </w:tc>
        <w:tc>
          <w:tcPr>
            <w:tcW w:w="1095" w:type="pct"/>
            <w:tcBorders>
              <w:top w:val="single" w:sz="4" w:space="0" w:color="auto"/>
              <w:left w:val="nil"/>
              <w:bottom w:val="single" w:sz="4" w:space="0" w:color="auto"/>
              <w:right w:val="single" w:sz="4" w:space="0" w:color="auto"/>
            </w:tcBorders>
            <w:shd w:val="clear" w:color="auto" w:fill="auto"/>
            <w:vAlign w:val="center"/>
            <w:hideMark/>
          </w:tcPr>
          <w:p w14:paraId="50D001FE" w14:textId="77777777" w:rsidR="002E3CD2" w:rsidRPr="002E3CD2" w:rsidRDefault="002E3CD2" w:rsidP="00470705">
            <w:pPr>
              <w:spacing w:before="100" w:beforeAutospacing="1" w:after="100" w:afterAutospacing="1"/>
              <w:jc w:val="center"/>
              <w:rPr>
                <w:rFonts w:cs="Calibri"/>
                <w:b/>
                <w:bCs/>
                <w:color w:val="000000"/>
                <w:sz w:val="18"/>
                <w:szCs w:val="18"/>
                <w:lang w:eastAsia="es-MX"/>
              </w:rPr>
            </w:pPr>
            <w:r w:rsidRPr="002E3CD2">
              <w:rPr>
                <w:rFonts w:cs="Calibri"/>
                <w:b/>
                <w:bCs/>
                <w:color w:val="000000"/>
                <w:sz w:val="18"/>
                <w:szCs w:val="18"/>
                <w:lang w:eastAsia="es-MX"/>
              </w:rPr>
              <w:t>UC de módulo común reportado</w:t>
            </w:r>
          </w:p>
        </w:tc>
        <w:tc>
          <w:tcPr>
            <w:tcW w:w="1213" w:type="pct"/>
            <w:tcBorders>
              <w:top w:val="single" w:sz="4" w:space="0" w:color="auto"/>
              <w:left w:val="nil"/>
              <w:bottom w:val="single" w:sz="4" w:space="0" w:color="auto"/>
              <w:right w:val="single" w:sz="4" w:space="0" w:color="auto"/>
            </w:tcBorders>
            <w:shd w:val="clear" w:color="auto" w:fill="auto"/>
            <w:vAlign w:val="center"/>
            <w:hideMark/>
          </w:tcPr>
          <w:p w14:paraId="56E94BFB" w14:textId="77777777" w:rsidR="002E3CD2" w:rsidRPr="002E3CD2" w:rsidRDefault="002E3CD2" w:rsidP="00470705">
            <w:pPr>
              <w:spacing w:before="100" w:beforeAutospacing="1" w:after="100" w:afterAutospacing="1"/>
              <w:jc w:val="center"/>
              <w:rPr>
                <w:rFonts w:cs="Calibri"/>
                <w:b/>
                <w:bCs/>
                <w:color w:val="000000"/>
                <w:sz w:val="18"/>
                <w:szCs w:val="18"/>
                <w:lang w:eastAsia="es-MX"/>
              </w:rPr>
            </w:pPr>
            <w:r w:rsidRPr="002E3CD2">
              <w:rPr>
                <w:rFonts w:cs="Calibri"/>
                <w:b/>
                <w:bCs/>
                <w:color w:val="000000"/>
                <w:sz w:val="18"/>
                <w:szCs w:val="18"/>
                <w:lang w:eastAsia="es-MX"/>
              </w:rPr>
              <w:t>Análisis CREG</w:t>
            </w:r>
          </w:p>
        </w:tc>
        <w:tc>
          <w:tcPr>
            <w:tcW w:w="1135" w:type="pct"/>
            <w:tcBorders>
              <w:top w:val="single" w:sz="4" w:space="0" w:color="auto"/>
              <w:left w:val="nil"/>
              <w:bottom w:val="single" w:sz="4" w:space="0" w:color="auto"/>
              <w:right w:val="single" w:sz="4" w:space="0" w:color="auto"/>
            </w:tcBorders>
            <w:shd w:val="clear" w:color="auto" w:fill="auto"/>
            <w:vAlign w:val="center"/>
            <w:hideMark/>
          </w:tcPr>
          <w:p w14:paraId="4F14CCCD" w14:textId="77777777" w:rsidR="002E3CD2" w:rsidRPr="002E3CD2" w:rsidRDefault="002E3CD2" w:rsidP="00470705">
            <w:pPr>
              <w:spacing w:before="100" w:beforeAutospacing="1" w:after="100" w:afterAutospacing="1"/>
              <w:jc w:val="center"/>
              <w:rPr>
                <w:rFonts w:cs="Calibri"/>
                <w:b/>
                <w:bCs/>
                <w:color w:val="000000"/>
                <w:sz w:val="18"/>
                <w:szCs w:val="18"/>
                <w:lang w:eastAsia="es-MX"/>
              </w:rPr>
            </w:pPr>
            <w:r w:rsidRPr="002E3CD2">
              <w:rPr>
                <w:rFonts w:cs="Calibri"/>
                <w:b/>
                <w:bCs/>
                <w:color w:val="000000"/>
                <w:sz w:val="18"/>
                <w:szCs w:val="18"/>
                <w:lang w:eastAsia="es-MX"/>
              </w:rPr>
              <w:t>Respuesta CREG</w:t>
            </w:r>
          </w:p>
        </w:tc>
      </w:tr>
      <w:tr w:rsidR="00E367EE" w:rsidRPr="002E3CD2" w14:paraId="5C793362" w14:textId="77777777" w:rsidTr="00727584">
        <w:trPr>
          <w:trHeight w:val="747"/>
        </w:trPr>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14:paraId="1791A459" w14:textId="77777777" w:rsidR="002E3CD2" w:rsidRPr="002E3CD2" w:rsidRDefault="002E3CD2" w:rsidP="00470705">
            <w:pPr>
              <w:spacing w:before="100" w:beforeAutospacing="1" w:after="100" w:afterAutospacing="1"/>
              <w:jc w:val="center"/>
              <w:rPr>
                <w:rFonts w:cs="Calibri"/>
                <w:color w:val="000000"/>
                <w:sz w:val="16"/>
                <w:szCs w:val="16"/>
                <w:lang w:val="pt-PT" w:eastAsia="es-CO"/>
              </w:rPr>
            </w:pPr>
            <w:r w:rsidRPr="002E3CD2">
              <w:rPr>
                <w:rFonts w:cs="Calibri"/>
                <w:color w:val="000000"/>
                <w:sz w:val="16"/>
                <w:szCs w:val="16"/>
                <w:lang w:val="pt-PT" w:eastAsia="es-CO"/>
              </w:rPr>
              <w:t>CELSIATOL-EXP-SUB-NATAGAIMA-TF3-2023</w:t>
            </w:r>
          </w:p>
        </w:tc>
        <w:tc>
          <w:tcPr>
            <w:tcW w:w="288" w:type="pct"/>
            <w:tcBorders>
              <w:top w:val="nil"/>
              <w:left w:val="nil"/>
              <w:bottom w:val="single" w:sz="4" w:space="0" w:color="auto"/>
              <w:right w:val="single" w:sz="4" w:space="0" w:color="auto"/>
            </w:tcBorders>
            <w:shd w:val="clear" w:color="auto" w:fill="auto"/>
            <w:noWrap/>
            <w:vAlign w:val="center"/>
            <w:hideMark/>
          </w:tcPr>
          <w:p w14:paraId="495AB76F"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0043</w:t>
            </w:r>
          </w:p>
        </w:tc>
        <w:tc>
          <w:tcPr>
            <w:tcW w:w="452" w:type="pct"/>
            <w:tcBorders>
              <w:top w:val="nil"/>
              <w:left w:val="nil"/>
              <w:bottom w:val="single" w:sz="4" w:space="0" w:color="auto"/>
              <w:right w:val="single" w:sz="4" w:space="0" w:color="auto"/>
            </w:tcBorders>
            <w:shd w:val="clear" w:color="auto" w:fill="auto"/>
            <w:noWrap/>
            <w:vAlign w:val="center"/>
            <w:hideMark/>
          </w:tcPr>
          <w:p w14:paraId="383BF3A4"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2</w:t>
            </w:r>
          </w:p>
        </w:tc>
        <w:tc>
          <w:tcPr>
            <w:tcW w:w="1095" w:type="pct"/>
            <w:tcBorders>
              <w:top w:val="nil"/>
              <w:left w:val="nil"/>
              <w:bottom w:val="single" w:sz="4" w:space="0" w:color="auto"/>
              <w:right w:val="single" w:sz="4" w:space="0" w:color="auto"/>
            </w:tcBorders>
            <w:shd w:val="clear" w:color="auto" w:fill="auto"/>
            <w:vAlign w:val="center"/>
            <w:hideMark/>
          </w:tcPr>
          <w:p w14:paraId="6EFEBE01"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N3S35 (Módulo común/bahía - tipo 2 (4 a 6 bahías) tipo convencional o encapsulada exterior)</w:t>
            </w:r>
          </w:p>
        </w:tc>
        <w:tc>
          <w:tcPr>
            <w:tcW w:w="1213" w:type="pct"/>
            <w:tcBorders>
              <w:top w:val="nil"/>
              <w:left w:val="nil"/>
              <w:bottom w:val="single" w:sz="4" w:space="0" w:color="auto"/>
              <w:right w:val="single" w:sz="4" w:space="0" w:color="auto"/>
            </w:tcBorders>
            <w:shd w:val="clear" w:color="auto" w:fill="auto"/>
            <w:vAlign w:val="center"/>
            <w:hideMark/>
          </w:tcPr>
          <w:p w14:paraId="3DCC2DFD"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La cantidad de bahías reportadas en la base de activos más las bahías solicitadas NO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5D0D260A"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No se repone la decisión y se mantiene el no reconocimiento de la UC</w:t>
            </w:r>
          </w:p>
        </w:tc>
      </w:tr>
      <w:tr w:rsidR="00E367EE" w:rsidRPr="002E3CD2" w14:paraId="0F4E080E" w14:textId="77777777" w:rsidTr="00727584">
        <w:trPr>
          <w:trHeight w:val="904"/>
        </w:trPr>
        <w:tc>
          <w:tcPr>
            <w:tcW w:w="817" w:type="pct"/>
            <w:vMerge/>
            <w:tcBorders>
              <w:top w:val="nil"/>
              <w:left w:val="single" w:sz="4" w:space="0" w:color="auto"/>
              <w:bottom w:val="single" w:sz="4" w:space="0" w:color="auto"/>
              <w:right w:val="single" w:sz="4" w:space="0" w:color="auto"/>
            </w:tcBorders>
            <w:shd w:val="clear" w:color="auto" w:fill="auto"/>
            <w:vAlign w:val="center"/>
            <w:hideMark/>
          </w:tcPr>
          <w:p w14:paraId="30B52A11" w14:textId="77777777" w:rsidR="002E3CD2" w:rsidRPr="002E3CD2" w:rsidRDefault="002E3CD2" w:rsidP="00470705">
            <w:pPr>
              <w:spacing w:before="100" w:beforeAutospacing="1" w:after="100" w:afterAutospacing="1"/>
              <w:jc w:val="center"/>
              <w:rPr>
                <w:rFonts w:cs="Calibri"/>
                <w:color w:val="000000"/>
                <w:sz w:val="16"/>
                <w:szCs w:val="16"/>
                <w:lang w:eastAsia="es-CO"/>
              </w:rPr>
            </w:pPr>
          </w:p>
        </w:tc>
        <w:tc>
          <w:tcPr>
            <w:tcW w:w="288" w:type="pct"/>
            <w:tcBorders>
              <w:top w:val="nil"/>
              <w:left w:val="nil"/>
              <w:bottom w:val="single" w:sz="4" w:space="0" w:color="auto"/>
              <w:right w:val="single" w:sz="4" w:space="0" w:color="auto"/>
            </w:tcBorders>
            <w:shd w:val="clear" w:color="auto" w:fill="auto"/>
            <w:noWrap/>
            <w:vAlign w:val="center"/>
            <w:hideMark/>
          </w:tcPr>
          <w:p w14:paraId="311BA47F"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0043</w:t>
            </w:r>
          </w:p>
        </w:tc>
        <w:tc>
          <w:tcPr>
            <w:tcW w:w="452" w:type="pct"/>
            <w:tcBorders>
              <w:top w:val="nil"/>
              <w:left w:val="nil"/>
              <w:bottom w:val="single" w:sz="4" w:space="0" w:color="auto"/>
              <w:right w:val="single" w:sz="4" w:space="0" w:color="auto"/>
            </w:tcBorders>
            <w:shd w:val="clear" w:color="auto" w:fill="auto"/>
            <w:noWrap/>
            <w:vAlign w:val="center"/>
            <w:hideMark/>
          </w:tcPr>
          <w:p w14:paraId="0C825935"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2</w:t>
            </w:r>
          </w:p>
        </w:tc>
        <w:tc>
          <w:tcPr>
            <w:tcW w:w="1095" w:type="pct"/>
            <w:tcBorders>
              <w:top w:val="nil"/>
              <w:left w:val="nil"/>
              <w:bottom w:val="single" w:sz="4" w:space="0" w:color="auto"/>
              <w:right w:val="single" w:sz="4" w:space="0" w:color="auto"/>
            </w:tcBorders>
            <w:shd w:val="clear" w:color="auto" w:fill="auto"/>
            <w:vAlign w:val="center"/>
            <w:hideMark/>
          </w:tcPr>
          <w:p w14:paraId="7FA4FB26"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N2S64 (Módulo común/bahía - tipo 4 - tipo interior)</w:t>
            </w:r>
          </w:p>
        </w:tc>
        <w:tc>
          <w:tcPr>
            <w:tcW w:w="1213" w:type="pct"/>
            <w:tcBorders>
              <w:top w:val="nil"/>
              <w:left w:val="nil"/>
              <w:bottom w:val="single" w:sz="4" w:space="0" w:color="auto"/>
              <w:right w:val="single" w:sz="4" w:space="0" w:color="auto"/>
            </w:tcBorders>
            <w:shd w:val="clear" w:color="auto" w:fill="auto"/>
            <w:vAlign w:val="center"/>
            <w:hideMark/>
          </w:tcPr>
          <w:p w14:paraId="7743EA25"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037A8BB3"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Se repone la decisión y se reconoce la UC</w:t>
            </w:r>
          </w:p>
        </w:tc>
      </w:tr>
      <w:tr w:rsidR="00E367EE" w:rsidRPr="002E3CD2" w14:paraId="109E6774" w14:textId="77777777" w:rsidTr="00727584">
        <w:trPr>
          <w:trHeight w:val="751"/>
        </w:trPr>
        <w:tc>
          <w:tcPr>
            <w:tcW w:w="817" w:type="pct"/>
            <w:tcBorders>
              <w:top w:val="nil"/>
              <w:left w:val="single" w:sz="4" w:space="0" w:color="auto"/>
              <w:bottom w:val="single" w:sz="4" w:space="0" w:color="auto"/>
              <w:right w:val="single" w:sz="4" w:space="0" w:color="auto"/>
            </w:tcBorders>
            <w:shd w:val="clear" w:color="auto" w:fill="auto"/>
            <w:vAlign w:val="center"/>
            <w:hideMark/>
          </w:tcPr>
          <w:p w14:paraId="3F97B323" w14:textId="77777777" w:rsidR="002E3CD2" w:rsidRPr="002E3CD2" w:rsidRDefault="002E3CD2" w:rsidP="00470705">
            <w:pPr>
              <w:spacing w:before="100" w:beforeAutospacing="1" w:after="100" w:afterAutospacing="1"/>
              <w:jc w:val="center"/>
              <w:rPr>
                <w:rFonts w:cs="Calibri"/>
                <w:color w:val="000000"/>
                <w:sz w:val="16"/>
                <w:szCs w:val="16"/>
                <w:lang w:val="pt-PT" w:eastAsia="es-CO"/>
              </w:rPr>
            </w:pPr>
            <w:r w:rsidRPr="002E3CD2">
              <w:rPr>
                <w:rFonts w:cs="Calibri"/>
                <w:color w:val="000000"/>
                <w:sz w:val="16"/>
                <w:szCs w:val="16"/>
                <w:lang w:val="pt-PT" w:eastAsia="es-CO"/>
              </w:rPr>
              <w:t>CELSIATOL-EXP-SUB-TULUNI-TF4-2023</w:t>
            </w:r>
          </w:p>
        </w:tc>
        <w:tc>
          <w:tcPr>
            <w:tcW w:w="288" w:type="pct"/>
            <w:tcBorders>
              <w:top w:val="nil"/>
              <w:left w:val="nil"/>
              <w:bottom w:val="single" w:sz="4" w:space="0" w:color="auto"/>
              <w:right w:val="single" w:sz="4" w:space="0" w:color="auto"/>
            </w:tcBorders>
            <w:shd w:val="clear" w:color="auto" w:fill="auto"/>
            <w:noWrap/>
            <w:vAlign w:val="center"/>
            <w:hideMark/>
          </w:tcPr>
          <w:p w14:paraId="39C02C71"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0068</w:t>
            </w:r>
          </w:p>
        </w:tc>
        <w:tc>
          <w:tcPr>
            <w:tcW w:w="452" w:type="pct"/>
            <w:tcBorders>
              <w:top w:val="nil"/>
              <w:left w:val="nil"/>
              <w:bottom w:val="single" w:sz="4" w:space="0" w:color="auto"/>
              <w:right w:val="single" w:sz="4" w:space="0" w:color="auto"/>
            </w:tcBorders>
            <w:shd w:val="clear" w:color="auto" w:fill="auto"/>
            <w:noWrap/>
            <w:vAlign w:val="center"/>
            <w:hideMark/>
          </w:tcPr>
          <w:p w14:paraId="1C75C604"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2</w:t>
            </w:r>
          </w:p>
        </w:tc>
        <w:tc>
          <w:tcPr>
            <w:tcW w:w="1095" w:type="pct"/>
            <w:tcBorders>
              <w:top w:val="nil"/>
              <w:left w:val="nil"/>
              <w:bottom w:val="single" w:sz="4" w:space="0" w:color="auto"/>
              <w:right w:val="single" w:sz="4" w:space="0" w:color="auto"/>
            </w:tcBorders>
            <w:shd w:val="clear" w:color="auto" w:fill="auto"/>
            <w:vAlign w:val="center"/>
            <w:hideMark/>
          </w:tcPr>
          <w:p w14:paraId="6D3A4E8F"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 xml:space="preserve">N2S62 (Módulo común/bahía - tipo 2 (4 a 6 bahías) tipo convencional o encapsulada exterior) </w:t>
            </w:r>
          </w:p>
        </w:tc>
        <w:tc>
          <w:tcPr>
            <w:tcW w:w="1213" w:type="pct"/>
            <w:tcBorders>
              <w:top w:val="nil"/>
              <w:left w:val="nil"/>
              <w:bottom w:val="single" w:sz="4" w:space="0" w:color="auto"/>
              <w:right w:val="single" w:sz="4" w:space="0" w:color="auto"/>
            </w:tcBorders>
            <w:shd w:val="clear" w:color="auto" w:fill="auto"/>
            <w:vAlign w:val="center"/>
            <w:hideMark/>
          </w:tcPr>
          <w:p w14:paraId="70E4AC3F"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0FB0E719"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Se repone la decisión y se reconoce la UC</w:t>
            </w:r>
          </w:p>
        </w:tc>
      </w:tr>
      <w:tr w:rsidR="00E367EE" w:rsidRPr="002E3CD2" w14:paraId="786224FC" w14:textId="77777777" w:rsidTr="00727584">
        <w:trPr>
          <w:trHeight w:val="739"/>
        </w:trPr>
        <w:tc>
          <w:tcPr>
            <w:tcW w:w="817" w:type="pct"/>
            <w:tcBorders>
              <w:top w:val="nil"/>
              <w:left w:val="single" w:sz="4" w:space="0" w:color="auto"/>
              <w:bottom w:val="single" w:sz="4" w:space="0" w:color="auto"/>
              <w:right w:val="single" w:sz="4" w:space="0" w:color="auto"/>
            </w:tcBorders>
            <w:shd w:val="clear" w:color="auto" w:fill="auto"/>
            <w:vAlign w:val="center"/>
            <w:hideMark/>
          </w:tcPr>
          <w:p w14:paraId="27F3778D" w14:textId="77777777" w:rsidR="002E3CD2" w:rsidRPr="002E3CD2" w:rsidRDefault="002E3CD2" w:rsidP="00470705">
            <w:pPr>
              <w:spacing w:before="100" w:beforeAutospacing="1" w:after="100" w:afterAutospacing="1"/>
              <w:jc w:val="center"/>
              <w:rPr>
                <w:rFonts w:cs="Calibri"/>
                <w:color w:val="000000"/>
                <w:sz w:val="16"/>
                <w:szCs w:val="16"/>
                <w:lang w:val="pt-PT" w:eastAsia="es-CO"/>
              </w:rPr>
            </w:pPr>
            <w:r w:rsidRPr="002E3CD2">
              <w:rPr>
                <w:rFonts w:cs="Calibri"/>
                <w:color w:val="000000"/>
                <w:sz w:val="16"/>
                <w:szCs w:val="16"/>
                <w:lang w:val="pt-PT" w:eastAsia="es-CO"/>
              </w:rPr>
              <w:t>E-SUB-PORV</w:t>
            </w:r>
          </w:p>
        </w:tc>
        <w:tc>
          <w:tcPr>
            <w:tcW w:w="288" w:type="pct"/>
            <w:tcBorders>
              <w:top w:val="nil"/>
              <w:left w:val="nil"/>
              <w:bottom w:val="single" w:sz="4" w:space="0" w:color="auto"/>
              <w:right w:val="single" w:sz="4" w:space="0" w:color="auto"/>
            </w:tcBorders>
            <w:shd w:val="clear" w:color="auto" w:fill="auto"/>
            <w:noWrap/>
            <w:vAlign w:val="center"/>
            <w:hideMark/>
          </w:tcPr>
          <w:p w14:paraId="423E2EB8"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0091</w:t>
            </w:r>
          </w:p>
        </w:tc>
        <w:tc>
          <w:tcPr>
            <w:tcW w:w="452" w:type="pct"/>
            <w:tcBorders>
              <w:top w:val="nil"/>
              <w:left w:val="nil"/>
              <w:bottom w:val="single" w:sz="4" w:space="0" w:color="auto"/>
              <w:right w:val="single" w:sz="4" w:space="0" w:color="auto"/>
            </w:tcBorders>
            <w:shd w:val="clear" w:color="auto" w:fill="auto"/>
            <w:noWrap/>
            <w:vAlign w:val="center"/>
            <w:hideMark/>
          </w:tcPr>
          <w:p w14:paraId="66932228"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2</w:t>
            </w:r>
          </w:p>
        </w:tc>
        <w:tc>
          <w:tcPr>
            <w:tcW w:w="1095" w:type="pct"/>
            <w:tcBorders>
              <w:top w:val="nil"/>
              <w:left w:val="nil"/>
              <w:bottom w:val="single" w:sz="4" w:space="0" w:color="auto"/>
              <w:right w:val="single" w:sz="4" w:space="0" w:color="auto"/>
            </w:tcBorders>
            <w:shd w:val="clear" w:color="auto" w:fill="auto"/>
            <w:vAlign w:val="center"/>
            <w:hideMark/>
          </w:tcPr>
          <w:p w14:paraId="35924627"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N2S64 (Módulo común/bahía - tipo 4 - tipo interior)</w:t>
            </w:r>
          </w:p>
        </w:tc>
        <w:tc>
          <w:tcPr>
            <w:tcW w:w="1213" w:type="pct"/>
            <w:tcBorders>
              <w:top w:val="nil"/>
              <w:left w:val="nil"/>
              <w:bottom w:val="single" w:sz="4" w:space="0" w:color="auto"/>
              <w:right w:val="single" w:sz="4" w:space="0" w:color="auto"/>
            </w:tcBorders>
            <w:shd w:val="clear" w:color="auto" w:fill="auto"/>
            <w:vAlign w:val="center"/>
            <w:hideMark/>
          </w:tcPr>
          <w:p w14:paraId="479A160B"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7D4C6F98"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Se repone la decisión y se reconoce la UC</w:t>
            </w:r>
          </w:p>
        </w:tc>
      </w:tr>
      <w:tr w:rsidR="00E367EE" w:rsidRPr="002E3CD2" w14:paraId="10729739" w14:textId="77777777" w:rsidTr="00727584">
        <w:trPr>
          <w:trHeight w:val="315"/>
        </w:trPr>
        <w:tc>
          <w:tcPr>
            <w:tcW w:w="817" w:type="pct"/>
            <w:tcBorders>
              <w:top w:val="nil"/>
              <w:left w:val="single" w:sz="4" w:space="0" w:color="auto"/>
              <w:bottom w:val="single" w:sz="4" w:space="0" w:color="auto"/>
              <w:right w:val="single" w:sz="4" w:space="0" w:color="auto"/>
            </w:tcBorders>
            <w:shd w:val="clear" w:color="auto" w:fill="auto"/>
            <w:vAlign w:val="center"/>
            <w:hideMark/>
          </w:tcPr>
          <w:p w14:paraId="6831C0AB"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CELSIATOL-EXP-SUB-NUEVA-GUALI34.5-2025</w:t>
            </w:r>
          </w:p>
        </w:tc>
        <w:tc>
          <w:tcPr>
            <w:tcW w:w="288" w:type="pct"/>
            <w:tcBorders>
              <w:top w:val="nil"/>
              <w:left w:val="nil"/>
              <w:bottom w:val="single" w:sz="4" w:space="0" w:color="auto"/>
              <w:right w:val="single" w:sz="4" w:space="0" w:color="auto"/>
            </w:tcBorders>
            <w:shd w:val="clear" w:color="auto" w:fill="auto"/>
            <w:noWrap/>
            <w:vAlign w:val="center"/>
            <w:hideMark/>
          </w:tcPr>
          <w:p w14:paraId="57B95A54"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0094</w:t>
            </w:r>
          </w:p>
        </w:tc>
        <w:tc>
          <w:tcPr>
            <w:tcW w:w="452" w:type="pct"/>
            <w:tcBorders>
              <w:top w:val="nil"/>
              <w:left w:val="nil"/>
              <w:bottom w:val="single" w:sz="4" w:space="0" w:color="auto"/>
              <w:right w:val="single" w:sz="4" w:space="0" w:color="auto"/>
            </w:tcBorders>
            <w:shd w:val="clear" w:color="auto" w:fill="auto"/>
            <w:noWrap/>
            <w:vAlign w:val="center"/>
            <w:hideMark/>
          </w:tcPr>
          <w:p w14:paraId="7CCB2C2B"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2</w:t>
            </w:r>
          </w:p>
        </w:tc>
        <w:tc>
          <w:tcPr>
            <w:tcW w:w="1095" w:type="pct"/>
            <w:tcBorders>
              <w:top w:val="nil"/>
              <w:left w:val="nil"/>
              <w:bottom w:val="single" w:sz="4" w:space="0" w:color="auto"/>
              <w:right w:val="single" w:sz="4" w:space="0" w:color="auto"/>
            </w:tcBorders>
            <w:shd w:val="clear" w:color="auto" w:fill="auto"/>
            <w:vAlign w:val="center"/>
            <w:hideMark/>
          </w:tcPr>
          <w:p w14:paraId="196A5DCB"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N2S64 (Módulo común/bahía - tipo 4 - tipo interior)</w:t>
            </w:r>
          </w:p>
        </w:tc>
        <w:tc>
          <w:tcPr>
            <w:tcW w:w="1213" w:type="pct"/>
            <w:tcBorders>
              <w:top w:val="nil"/>
              <w:left w:val="nil"/>
              <w:bottom w:val="single" w:sz="4" w:space="0" w:color="auto"/>
              <w:right w:val="single" w:sz="4" w:space="0" w:color="auto"/>
            </w:tcBorders>
            <w:shd w:val="clear" w:color="auto" w:fill="auto"/>
            <w:vAlign w:val="center"/>
            <w:hideMark/>
          </w:tcPr>
          <w:p w14:paraId="209CE514"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3E0CE9D0"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Se repone la decisión y se reconoce la UC</w:t>
            </w:r>
          </w:p>
        </w:tc>
      </w:tr>
      <w:tr w:rsidR="00E367EE" w:rsidRPr="002E3CD2" w14:paraId="38C1048B" w14:textId="77777777" w:rsidTr="00727584">
        <w:trPr>
          <w:trHeight w:val="587"/>
        </w:trPr>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14:paraId="17202433" w14:textId="77777777" w:rsidR="002E3CD2" w:rsidRPr="002E3CD2" w:rsidRDefault="002E3CD2" w:rsidP="00470705">
            <w:pPr>
              <w:spacing w:before="100" w:beforeAutospacing="1" w:after="100" w:afterAutospacing="1"/>
              <w:jc w:val="center"/>
              <w:rPr>
                <w:rFonts w:cs="Calibri"/>
                <w:color w:val="000000"/>
                <w:sz w:val="16"/>
                <w:szCs w:val="16"/>
                <w:lang w:val="pt-PT" w:eastAsia="es-CO"/>
              </w:rPr>
            </w:pPr>
            <w:r w:rsidRPr="002E3CD2">
              <w:rPr>
                <w:rFonts w:cs="Calibri"/>
                <w:color w:val="000000"/>
                <w:sz w:val="16"/>
                <w:szCs w:val="16"/>
                <w:lang w:val="pt-PT" w:eastAsia="es-CO"/>
              </w:rPr>
              <w:t>CELSIATOL-EXP-LIN-MIROLINDO-BRISAS-115-2023</w:t>
            </w:r>
          </w:p>
        </w:tc>
        <w:tc>
          <w:tcPr>
            <w:tcW w:w="288" w:type="pct"/>
            <w:tcBorders>
              <w:top w:val="nil"/>
              <w:left w:val="nil"/>
              <w:bottom w:val="single" w:sz="4" w:space="0" w:color="auto"/>
              <w:right w:val="single" w:sz="4" w:space="0" w:color="auto"/>
            </w:tcBorders>
            <w:shd w:val="clear" w:color="auto" w:fill="auto"/>
            <w:noWrap/>
            <w:vAlign w:val="center"/>
            <w:hideMark/>
          </w:tcPr>
          <w:p w14:paraId="47197EBC"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0042</w:t>
            </w:r>
          </w:p>
        </w:tc>
        <w:tc>
          <w:tcPr>
            <w:tcW w:w="452" w:type="pct"/>
            <w:tcBorders>
              <w:top w:val="nil"/>
              <w:left w:val="nil"/>
              <w:bottom w:val="single" w:sz="4" w:space="0" w:color="auto"/>
              <w:right w:val="single" w:sz="4" w:space="0" w:color="auto"/>
            </w:tcBorders>
            <w:shd w:val="clear" w:color="auto" w:fill="auto"/>
            <w:noWrap/>
            <w:vAlign w:val="center"/>
            <w:hideMark/>
          </w:tcPr>
          <w:p w14:paraId="381FD3B4"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4</w:t>
            </w:r>
          </w:p>
        </w:tc>
        <w:tc>
          <w:tcPr>
            <w:tcW w:w="1095" w:type="pct"/>
            <w:tcBorders>
              <w:top w:val="nil"/>
              <w:left w:val="nil"/>
              <w:bottom w:val="single" w:sz="4" w:space="0" w:color="auto"/>
              <w:right w:val="single" w:sz="4" w:space="0" w:color="auto"/>
            </w:tcBorders>
            <w:shd w:val="clear" w:color="auto" w:fill="auto"/>
            <w:vAlign w:val="center"/>
            <w:hideMark/>
          </w:tcPr>
          <w:p w14:paraId="38097F53"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 xml:space="preserve">N4S43 (Módulo común/bahía tipo 3 (9 a 12 bahías) - tipo convencional - cualquier configuración) </w:t>
            </w:r>
          </w:p>
        </w:tc>
        <w:tc>
          <w:tcPr>
            <w:tcW w:w="1213" w:type="pct"/>
            <w:tcBorders>
              <w:top w:val="nil"/>
              <w:left w:val="nil"/>
              <w:bottom w:val="single" w:sz="4" w:space="0" w:color="auto"/>
              <w:right w:val="single" w:sz="4" w:space="0" w:color="auto"/>
            </w:tcBorders>
            <w:shd w:val="clear" w:color="auto" w:fill="auto"/>
            <w:vAlign w:val="center"/>
            <w:hideMark/>
          </w:tcPr>
          <w:p w14:paraId="5F66724F"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783C34C3"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Se repone la decisión y se reconoce la UC</w:t>
            </w:r>
          </w:p>
        </w:tc>
      </w:tr>
      <w:tr w:rsidR="00E367EE" w:rsidRPr="002E3CD2" w14:paraId="048462A9" w14:textId="77777777" w:rsidTr="00727584">
        <w:trPr>
          <w:trHeight w:val="461"/>
        </w:trPr>
        <w:tc>
          <w:tcPr>
            <w:tcW w:w="817" w:type="pct"/>
            <w:vMerge/>
            <w:tcBorders>
              <w:top w:val="nil"/>
              <w:left w:val="single" w:sz="4" w:space="0" w:color="auto"/>
              <w:bottom w:val="single" w:sz="4" w:space="0" w:color="auto"/>
              <w:right w:val="single" w:sz="4" w:space="0" w:color="auto"/>
            </w:tcBorders>
            <w:shd w:val="clear" w:color="auto" w:fill="auto"/>
            <w:vAlign w:val="center"/>
            <w:hideMark/>
          </w:tcPr>
          <w:p w14:paraId="5FD80AF5" w14:textId="77777777" w:rsidR="002E3CD2" w:rsidRPr="008F048F" w:rsidRDefault="002E3CD2" w:rsidP="00470705">
            <w:pPr>
              <w:spacing w:before="100" w:beforeAutospacing="1" w:after="100" w:afterAutospacing="1"/>
              <w:jc w:val="center"/>
              <w:rPr>
                <w:rFonts w:cs="Calibri"/>
                <w:color w:val="000000"/>
                <w:sz w:val="16"/>
                <w:szCs w:val="16"/>
                <w:lang w:eastAsia="es-CO"/>
              </w:rPr>
            </w:pPr>
          </w:p>
        </w:tc>
        <w:tc>
          <w:tcPr>
            <w:tcW w:w="288" w:type="pct"/>
            <w:tcBorders>
              <w:top w:val="nil"/>
              <w:left w:val="nil"/>
              <w:bottom w:val="single" w:sz="4" w:space="0" w:color="auto"/>
              <w:right w:val="single" w:sz="4" w:space="0" w:color="auto"/>
            </w:tcBorders>
            <w:shd w:val="clear" w:color="auto" w:fill="auto"/>
            <w:noWrap/>
            <w:vAlign w:val="center"/>
            <w:hideMark/>
          </w:tcPr>
          <w:p w14:paraId="7E293743"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0008</w:t>
            </w:r>
          </w:p>
        </w:tc>
        <w:tc>
          <w:tcPr>
            <w:tcW w:w="452" w:type="pct"/>
            <w:tcBorders>
              <w:top w:val="nil"/>
              <w:left w:val="nil"/>
              <w:bottom w:val="single" w:sz="4" w:space="0" w:color="auto"/>
              <w:right w:val="single" w:sz="4" w:space="0" w:color="auto"/>
            </w:tcBorders>
            <w:shd w:val="clear" w:color="auto" w:fill="auto"/>
            <w:noWrap/>
            <w:vAlign w:val="center"/>
            <w:hideMark/>
          </w:tcPr>
          <w:p w14:paraId="0E39F284"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4</w:t>
            </w:r>
          </w:p>
        </w:tc>
        <w:tc>
          <w:tcPr>
            <w:tcW w:w="1095" w:type="pct"/>
            <w:tcBorders>
              <w:top w:val="nil"/>
              <w:left w:val="nil"/>
              <w:bottom w:val="single" w:sz="4" w:space="0" w:color="auto"/>
              <w:right w:val="single" w:sz="4" w:space="0" w:color="auto"/>
            </w:tcBorders>
            <w:shd w:val="clear" w:color="auto" w:fill="auto"/>
            <w:vAlign w:val="center"/>
            <w:hideMark/>
          </w:tcPr>
          <w:p w14:paraId="60195817"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N4S42 (Módulo común/bahía tipo 2 (5 a 8 bahías) - tipo convencional - cualquier configuración)</w:t>
            </w:r>
          </w:p>
        </w:tc>
        <w:tc>
          <w:tcPr>
            <w:tcW w:w="1213" w:type="pct"/>
            <w:tcBorders>
              <w:top w:val="nil"/>
              <w:left w:val="nil"/>
              <w:bottom w:val="single" w:sz="4" w:space="0" w:color="auto"/>
              <w:right w:val="single" w:sz="4" w:space="0" w:color="auto"/>
            </w:tcBorders>
            <w:shd w:val="clear" w:color="auto" w:fill="auto"/>
            <w:vAlign w:val="center"/>
            <w:hideMark/>
          </w:tcPr>
          <w:p w14:paraId="475555A7"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2FC3C5B4"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Se repone la decisión y se reconoce la UC</w:t>
            </w:r>
          </w:p>
        </w:tc>
      </w:tr>
      <w:tr w:rsidR="00E367EE" w:rsidRPr="002E3CD2" w14:paraId="28A8D230" w14:textId="77777777" w:rsidTr="00727584">
        <w:trPr>
          <w:trHeight w:val="307"/>
        </w:trPr>
        <w:tc>
          <w:tcPr>
            <w:tcW w:w="817" w:type="pct"/>
            <w:tcBorders>
              <w:top w:val="nil"/>
              <w:left w:val="single" w:sz="4" w:space="0" w:color="auto"/>
              <w:bottom w:val="single" w:sz="4" w:space="0" w:color="auto"/>
              <w:right w:val="single" w:sz="4" w:space="0" w:color="auto"/>
            </w:tcBorders>
            <w:shd w:val="clear" w:color="auto" w:fill="auto"/>
            <w:vAlign w:val="center"/>
            <w:hideMark/>
          </w:tcPr>
          <w:p w14:paraId="65C99FD2" w14:textId="77777777" w:rsidR="002E3CD2" w:rsidRPr="002E3CD2" w:rsidRDefault="002E3CD2" w:rsidP="00470705">
            <w:pPr>
              <w:spacing w:before="100" w:beforeAutospacing="1" w:after="100" w:afterAutospacing="1"/>
              <w:jc w:val="center"/>
              <w:rPr>
                <w:rFonts w:cs="Calibri"/>
                <w:color w:val="000000"/>
                <w:sz w:val="16"/>
                <w:szCs w:val="16"/>
                <w:lang w:val="pt-PT" w:eastAsia="es-CO"/>
              </w:rPr>
            </w:pPr>
            <w:r w:rsidRPr="002E3CD2">
              <w:rPr>
                <w:rFonts w:cs="Calibri"/>
                <w:color w:val="000000"/>
                <w:sz w:val="16"/>
                <w:szCs w:val="16"/>
                <w:lang w:val="pt-PT" w:eastAsia="es-CO"/>
              </w:rPr>
              <w:t>CELSIATOL-EXP-SUB-SALADO-115-2024</w:t>
            </w:r>
          </w:p>
        </w:tc>
        <w:tc>
          <w:tcPr>
            <w:tcW w:w="288" w:type="pct"/>
            <w:tcBorders>
              <w:top w:val="nil"/>
              <w:left w:val="nil"/>
              <w:bottom w:val="single" w:sz="4" w:space="0" w:color="auto"/>
              <w:right w:val="single" w:sz="4" w:space="0" w:color="auto"/>
            </w:tcBorders>
            <w:shd w:val="clear" w:color="auto" w:fill="auto"/>
            <w:noWrap/>
            <w:vAlign w:val="center"/>
            <w:hideMark/>
          </w:tcPr>
          <w:p w14:paraId="03051E80"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0104</w:t>
            </w:r>
          </w:p>
        </w:tc>
        <w:tc>
          <w:tcPr>
            <w:tcW w:w="452" w:type="pct"/>
            <w:tcBorders>
              <w:top w:val="nil"/>
              <w:left w:val="nil"/>
              <w:bottom w:val="single" w:sz="4" w:space="0" w:color="auto"/>
              <w:right w:val="single" w:sz="4" w:space="0" w:color="auto"/>
            </w:tcBorders>
            <w:shd w:val="clear" w:color="auto" w:fill="auto"/>
            <w:noWrap/>
            <w:vAlign w:val="center"/>
            <w:hideMark/>
          </w:tcPr>
          <w:p w14:paraId="766FB47E"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4</w:t>
            </w:r>
          </w:p>
        </w:tc>
        <w:tc>
          <w:tcPr>
            <w:tcW w:w="1095" w:type="pct"/>
            <w:tcBorders>
              <w:top w:val="nil"/>
              <w:left w:val="nil"/>
              <w:bottom w:val="single" w:sz="4" w:space="0" w:color="auto"/>
              <w:right w:val="single" w:sz="4" w:space="0" w:color="auto"/>
            </w:tcBorders>
            <w:shd w:val="clear" w:color="auto" w:fill="auto"/>
            <w:vAlign w:val="center"/>
            <w:hideMark/>
          </w:tcPr>
          <w:p w14:paraId="366C351F"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N4S63 (Módulo común/bahía tipo 3 (9 a 12 bahías) - tipo encapsulada - cualquier configuración)</w:t>
            </w:r>
          </w:p>
        </w:tc>
        <w:tc>
          <w:tcPr>
            <w:tcW w:w="1213" w:type="pct"/>
            <w:tcBorders>
              <w:top w:val="nil"/>
              <w:left w:val="nil"/>
              <w:bottom w:val="single" w:sz="4" w:space="0" w:color="auto"/>
              <w:right w:val="single" w:sz="4" w:space="0" w:color="auto"/>
            </w:tcBorders>
            <w:shd w:val="clear" w:color="auto" w:fill="auto"/>
            <w:vAlign w:val="center"/>
            <w:hideMark/>
          </w:tcPr>
          <w:p w14:paraId="703EADAA" w14:textId="77777777" w:rsidR="002E3CD2" w:rsidRPr="008F048F" w:rsidRDefault="002E3CD2" w:rsidP="00470705">
            <w:pPr>
              <w:spacing w:before="100" w:beforeAutospacing="1" w:after="100" w:afterAutospacing="1"/>
              <w:jc w:val="left"/>
              <w:rPr>
                <w:rFonts w:cs="Calibri"/>
                <w:color w:val="000000"/>
                <w:sz w:val="16"/>
                <w:szCs w:val="16"/>
                <w:lang w:val="pt-PT" w:eastAsia="es-CO"/>
              </w:rPr>
            </w:pPr>
            <w:r w:rsidRPr="008F048F">
              <w:rPr>
                <w:rFonts w:cs="Calibri"/>
                <w:color w:val="000000"/>
                <w:sz w:val="16"/>
                <w:szCs w:val="16"/>
                <w:lang w:val="pt-PT" w:eastAsia="es-CO"/>
              </w:rPr>
              <w:t>Cambia de N4S63 a N4S61</w:t>
            </w:r>
          </w:p>
        </w:tc>
        <w:tc>
          <w:tcPr>
            <w:tcW w:w="1135" w:type="pct"/>
            <w:tcBorders>
              <w:top w:val="nil"/>
              <w:left w:val="nil"/>
              <w:bottom w:val="single" w:sz="4" w:space="0" w:color="auto"/>
              <w:right w:val="single" w:sz="4" w:space="0" w:color="auto"/>
            </w:tcBorders>
            <w:shd w:val="clear" w:color="auto" w:fill="auto"/>
            <w:vAlign w:val="center"/>
            <w:hideMark/>
          </w:tcPr>
          <w:p w14:paraId="2F9956EF"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Se repone la decisión y se reconoce la UC</w:t>
            </w:r>
          </w:p>
        </w:tc>
      </w:tr>
      <w:tr w:rsidR="00E367EE" w:rsidRPr="002E3CD2" w14:paraId="6ED9EBF0" w14:textId="77777777" w:rsidTr="00727584">
        <w:trPr>
          <w:trHeight w:val="1320"/>
        </w:trPr>
        <w:tc>
          <w:tcPr>
            <w:tcW w:w="817" w:type="pct"/>
            <w:tcBorders>
              <w:top w:val="nil"/>
              <w:left w:val="single" w:sz="4" w:space="0" w:color="auto"/>
              <w:bottom w:val="single" w:sz="4" w:space="0" w:color="auto"/>
              <w:right w:val="single" w:sz="4" w:space="0" w:color="auto"/>
            </w:tcBorders>
            <w:shd w:val="clear" w:color="auto" w:fill="auto"/>
            <w:vAlign w:val="center"/>
            <w:hideMark/>
          </w:tcPr>
          <w:p w14:paraId="6F943A3A" w14:textId="77777777" w:rsidR="002E3CD2" w:rsidRPr="002E3CD2" w:rsidRDefault="002E3CD2" w:rsidP="00470705">
            <w:pPr>
              <w:spacing w:before="100" w:beforeAutospacing="1" w:after="100" w:afterAutospacing="1"/>
              <w:jc w:val="center"/>
              <w:rPr>
                <w:rFonts w:cs="Calibri"/>
                <w:color w:val="000000"/>
                <w:sz w:val="16"/>
                <w:szCs w:val="16"/>
                <w:lang w:val="pt-PT" w:eastAsia="es-CO"/>
              </w:rPr>
            </w:pPr>
            <w:r w:rsidRPr="002E3CD2">
              <w:rPr>
                <w:rFonts w:cs="Calibri"/>
                <w:color w:val="000000"/>
                <w:sz w:val="16"/>
                <w:szCs w:val="16"/>
                <w:lang w:val="pt-PT" w:eastAsia="es-CO"/>
              </w:rPr>
              <w:t>CELSIATOL-EXP-SUB-Escobal-115KV-2024</w:t>
            </w:r>
          </w:p>
        </w:tc>
        <w:tc>
          <w:tcPr>
            <w:tcW w:w="288" w:type="pct"/>
            <w:tcBorders>
              <w:top w:val="nil"/>
              <w:left w:val="nil"/>
              <w:bottom w:val="single" w:sz="4" w:space="0" w:color="auto"/>
              <w:right w:val="single" w:sz="4" w:space="0" w:color="auto"/>
            </w:tcBorders>
            <w:shd w:val="clear" w:color="auto" w:fill="auto"/>
            <w:noWrap/>
            <w:vAlign w:val="center"/>
            <w:hideMark/>
          </w:tcPr>
          <w:p w14:paraId="248AA527"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0106</w:t>
            </w:r>
          </w:p>
        </w:tc>
        <w:tc>
          <w:tcPr>
            <w:tcW w:w="452" w:type="pct"/>
            <w:tcBorders>
              <w:top w:val="nil"/>
              <w:left w:val="nil"/>
              <w:bottom w:val="single" w:sz="4" w:space="0" w:color="auto"/>
              <w:right w:val="single" w:sz="4" w:space="0" w:color="auto"/>
            </w:tcBorders>
            <w:shd w:val="clear" w:color="auto" w:fill="auto"/>
            <w:noWrap/>
            <w:vAlign w:val="center"/>
            <w:hideMark/>
          </w:tcPr>
          <w:p w14:paraId="75EE9A2A"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4</w:t>
            </w:r>
          </w:p>
        </w:tc>
        <w:tc>
          <w:tcPr>
            <w:tcW w:w="1095" w:type="pct"/>
            <w:tcBorders>
              <w:top w:val="nil"/>
              <w:left w:val="nil"/>
              <w:bottom w:val="single" w:sz="4" w:space="0" w:color="auto"/>
              <w:right w:val="single" w:sz="4" w:space="0" w:color="auto"/>
            </w:tcBorders>
            <w:shd w:val="clear" w:color="auto" w:fill="auto"/>
            <w:vAlign w:val="center"/>
            <w:hideMark/>
          </w:tcPr>
          <w:p w14:paraId="5D9D24A8"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N4S42 (Módulo común/bahía tipo 2 (5 a 8 bahías) - tipo convencional- cualquier configuración)</w:t>
            </w:r>
          </w:p>
        </w:tc>
        <w:tc>
          <w:tcPr>
            <w:tcW w:w="1213" w:type="pct"/>
            <w:tcBorders>
              <w:top w:val="nil"/>
              <w:left w:val="nil"/>
              <w:bottom w:val="single" w:sz="4" w:space="0" w:color="auto"/>
              <w:right w:val="single" w:sz="4" w:space="0" w:color="auto"/>
            </w:tcBorders>
            <w:shd w:val="clear" w:color="auto" w:fill="auto"/>
            <w:vAlign w:val="center"/>
            <w:hideMark/>
          </w:tcPr>
          <w:p w14:paraId="70943458" w14:textId="77777777" w:rsidR="002E3CD2" w:rsidRPr="008F048F" w:rsidRDefault="002E3CD2" w:rsidP="00470705">
            <w:pPr>
              <w:spacing w:before="100" w:beforeAutospacing="1" w:after="100" w:afterAutospacing="1"/>
              <w:jc w:val="left"/>
              <w:rPr>
                <w:rFonts w:cs="Calibri"/>
                <w:color w:val="000000"/>
                <w:sz w:val="16"/>
                <w:szCs w:val="16"/>
                <w:lang w:val="pt-PT" w:eastAsia="es-CO"/>
              </w:rPr>
            </w:pPr>
            <w:r w:rsidRPr="008F048F">
              <w:rPr>
                <w:rFonts w:cs="Calibri"/>
                <w:color w:val="000000"/>
                <w:sz w:val="16"/>
                <w:szCs w:val="16"/>
                <w:lang w:val="pt-PT" w:eastAsia="es-CO"/>
              </w:rPr>
              <w:t>Cambia de N4S42 a N4S62</w:t>
            </w:r>
          </w:p>
        </w:tc>
        <w:tc>
          <w:tcPr>
            <w:tcW w:w="1135" w:type="pct"/>
            <w:tcBorders>
              <w:top w:val="nil"/>
              <w:left w:val="nil"/>
              <w:bottom w:val="single" w:sz="4" w:space="0" w:color="auto"/>
              <w:right w:val="single" w:sz="4" w:space="0" w:color="auto"/>
            </w:tcBorders>
            <w:shd w:val="clear" w:color="auto" w:fill="auto"/>
            <w:vAlign w:val="center"/>
            <w:hideMark/>
          </w:tcPr>
          <w:p w14:paraId="00A902B8"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Se repone la decisión y se reconoce la UC</w:t>
            </w:r>
          </w:p>
        </w:tc>
      </w:tr>
      <w:tr w:rsidR="00E367EE" w:rsidRPr="002E3CD2" w14:paraId="44A710F0" w14:textId="77777777" w:rsidTr="00727584">
        <w:trPr>
          <w:trHeight w:val="670"/>
        </w:trPr>
        <w:tc>
          <w:tcPr>
            <w:tcW w:w="817" w:type="pct"/>
            <w:tcBorders>
              <w:top w:val="nil"/>
              <w:left w:val="single" w:sz="4" w:space="0" w:color="auto"/>
              <w:bottom w:val="single" w:sz="4" w:space="0" w:color="auto"/>
              <w:right w:val="single" w:sz="4" w:space="0" w:color="auto"/>
            </w:tcBorders>
            <w:shd w:val="clear" w:color="auto" w:fill="auto"/>
            <w:vAlign w:val="center"/>
            <w:hideMark/>
          </w:tcPr>
          <w:p w14:paraId="393D3EA4" w14:textId="77777777" w:rsidR="002E3CD2" w:rsidRPr="002E3CD2" w:rsidRDefault="002E3CD2" w:rsidP="00470705">
            <w:pPr>
              <w:spacing w:before="100" w:beforeAutospacing="1" w:after="100" w:afterAutospacing="1"/>
              <w:jc w:val="center"/>
              <w:rPr>
                <w:rFonts w:cs="Calibri"/>
                <w:color w:val="000000"/>
                <w:sz w:val="16"/>
                <w:szCs w:val="16"/>
                <w:lang w:val="pt-PT" w:eastAsia="es-CO"/>
              </w:rPr>
            </w:pPr>
            <w:r w:rsidRPr="002E3CD2">
              <w:rPr>
                <w:rFonts w:cs="Calibri"/>
                <w:color w:val="000000"/>
                <w:sz w:val="16"/>
                <w:szCs w:val="16"/>
                <w:lang w:val="pt-PT" w:eastAsia="es-CO"/>
              </w:rPr>
              <w:t>CELSIATOL-EXP-SUB-LIBANO34.5-2024</w:t>
            </w:r>
          </w:p>
        </w:tc>
        <w:tc>
          <w:tcPr>
            <w:tcW w:w="288" w:type="pct"/>
            <w:tcBorders>
              <w:top w:val="nil"/>
              <w:left w:val="nil"/>
              <w:bottom w:val="single" w:sz="4" w:space="0" w:color="auto"/>
              <w:right w:val="single" w:sz="4" w:space="0" w:color="auto"/>
            </w:tcBorders>
            <w:shd w:val="clear" w:color="auto" w:fill="auto"/>
            <w:noWrap/>
            <w:vAlign w:val="center"/>
            <w:hideMark/>
          </w:tcPr>
          <w:p w14:paraId="7D98E088"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0092</w:t>
            </w:r>
          </w:p>
        </w:tc>
        <w:tc>
          <w:tcPr>
            <w:tcW w:w="452" w:type="pct"/>
            <w:tcBorders>
              <w:top w:val="nil"/>
              <w:left w:val="nil"/>
              <w:bottom w:val="single" w:sz="4" w:space="0" w:color="auto"/>
              <w:right w:val="single" w:sz="4" w:space="0" w:color="auto"/>
            </w:tcBorders>
            <w:shd w:val="clear" w:color="auto" w:fill="auto"/>
            <w:noWrap/>
            <w:vAlign w:val="center"/>
            <w:hideMark/>
          </w:tcPr>
          <w:p w14:paraId="6CEAC221"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2</w:t>
            </w:r>
          </w:p>
        </w:tc>
        <w:tc>
          <w:tcPr>
            <w:tcW w:w="1095" w:type="pct"/>
            <w:tcBorders>
              <w:top w:val="nil"/>
              <w:left w:val="nil"/>
              <w:bottom w:val="single" w:sz="4" w:space="0" w:color="auto"/>
              <w:right w:val="single" w:sz="4" w:space="0" w:color="auto"/>
            </w:tcBorders>
            <w:shd w:val="clear" w:color="auto" w:fill="auto"/>
            <w:vAlign w:val="center"/>
            <w:hideMark/>
          </w:tcPr>
          <w:p w14:paraId="05266E98"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N2S64 (Módulo común/bahía - tipo 4 - tipo interior)</w:t>
            </w:r>
          </w:p>
        </w:tc>
        <w:tc>
          <w:tcPr>
            <w:tcW w:w="1213" w:type="pct"/>
            <w:tcBorders>
              <w:top w:val="nil"/>
              <w:left w:val="nil"/>
              <w:bottom w:val="single" w:sz="4" w:space="0" w:color="auto"/>
              <w:right w:val="single" w:sz="4" w:space="0" w:color="auto"/>
            </w:tcBorders>
            <w:shd w:val="clear" w:color="auto" w:fill="auto"/>
            <w:vAlign w:val="center"/>
            <w:hideMark/>
          </w:tcPr>
          <w:p w14:paraId="2E6D6169"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353EC8B8"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Se repone la decisión y se reconoce la UC</w:t>
            </w:r>
          </w:p>
        </w:tc>
      </w:tr>
      <w:tr w:rsidR="00E367EE" w:rsidRPr="002E3CD2" w14:paraId="40771AAE" w14:textId="77777777" w:rsidTr="00727584">
        <w:trPr>
          <w:trHeight w:val="672"/>
        </w:trPr>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14:paraId="584195B6" w14:textId="77777777" w:rsidR="002E3CD2" w:rsidRPr="002E3CD2" w:rsidRDefault="002E3CD2" w:rsidP="00470705">
            <w:pPr>
              <w:spacing w:before="100" w:beforeAutospacing="1" w:after="100" w:afterAutospacing="1"/>
              <w:jc w:val="center"/>
              <w:rPr>
                <w:rFonts w:cs="Calibri"/>
                <w:color w:val="000000"/>
                <w:sz w:val="16"/>
                <w:szCs w:val="16"/>
                <w:lang w:val="pt-PT" w:eastAsia="es-CO"/>
              </w:rPr>
            </w:pPr>
            <w:r w:rsidRPr="002E3CD2">
              <w:rPr>
                <w:rFonts w:cs="Calibri"/>
                <w:color w:val="000000"/>
                <w:sz w:val="16"/>
                <w:szCs w:val="16"/>
                <w:lang w:val="pt-PT" w:eastAsia="es-CO"/>
              </w:rPr>
              <w:t>E_LIN_SFST</w:t>
            </w:r>
          </w:p>
        </w:tc>
        <w:tc>
          <w:tcPr>
            <w:tcW w:w="288" w:type="pct"/>
            <w:tcBorders>
              <w:top w:val="nil"/>
              <w:left w:val="nil"/>
              <w:bottom w:val="single" w:sz="4" w:space="0" w:color="auto"/>
              <w:right w:val="single" w:sz="4" w:space="0" w:color="auto"/>
            </w:tcBorders>
            <w:shd w:val="clear" w:color="auto" w:fill="auto"/>
            <w:noWrap/>
            <w:vAlign w:val="center"/>
            <w:hideMark/>
          </w:tcPr>
          <w:p w14:paraId="67194EBE"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0061</w:t>
            </w:r>
          </w:p>
        </w:tc>
        <w:tc>
          <w:tcPr>
            <w:tcW w:w="452" w:type="pct"/>
            <w:tcBorders>
              <w:top w:val="nil"/>
              <w:left w:val="nil"/>
              <w:bottom w:val="single" w:sz="4" w:space="0" w:color="auto"/>
              <w:right w:val="single" w:sz="4" w:space="0" w:color="auto"/>
            </w:tcBorders>
            <w:shd w:val="clear" w:color="auto" w:fill="auto"/>
            <w:noWrap/>
            <w:vAlign w:val="center"/>
            <w:hideMark/>
          </w:tcPr>
          <w:p w14:paraId="50EEB0E1"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3</w:t>
            </w:r>
          </w:p>
        </w:tc>
        <w:tc>
          <w:tcPr>
            <w:tcW w:w="1095" w:type="pct"/>
            <w:tcBorders>
              <w:top w:val="nil"/>
              <w:left w:val="nil"/>
              <w:bottom w:val="single" w:sz="4" w:space="0" w:color="auto"/>
              <w:right w:val="single" w:sz="4" w:space="0" w:color="auto"/>
            </w:tcBorders>
            <w:shd w:val="clear" w:color="auto" w:fill="auto"/>
            <w:vAlign w:val="center"/>
            <w:hideMark/>
          </w:tcPr>
          <w:p w14:paraId="70048A1E"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N3S36 (Módulo común/bahía - tipo 3 (más de 6 bahías) tipo convencional o encapsulada exterior)</w:t>
            </w:r>
          </w:p>
        </w:tc>
        <w:tc>
          <w:tcPr>
            <w:tcW w:w="1213" w:type="pct"/>
            <w:tcBorders>
              <w:top w:val="nil"/>
              <w:left w:val="nil"/>
              <w:bottom w:val="single" w:sz="4" w:space="0" w:color="auto"/>
              <w:right w:val="single" w:sz="4" w:space="0" w:color="auto"/>
            </w:tcBorders>
            <w:shd w:val="clear" w:color="auto" w:fill="auto"/>
            <w:vAlign w:val="center"/>
            <w:hideMark/>
          </w:tcPr>
          <w:p w14:paraId="79338DB1"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49CFB59D"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Se repone la decisión y se reconoce la UC</w:t>
            </w:r>
          </w:p>
        </w:tc>
      </w:tr>
      <w:tr w:rsidR="00E367EE" w:rsidRPr="002E3CD2" w14:paraId="11493C2B" w14:textId="77777777" w:rsidTr="00727584">
        <w:trPr>
          <w:trHeight w:val="673"/>
        </w:trPr>
        <w:tc>
          <w:tcPr>
            <w:tcW w:w="817" w:type="pct"/>
            <w:vMerge/>
            <w:tcBorders>
              <w:top w:val="nil"/>
              <w:left w:val="single" w:sz="4" w:space="0" w:color="auto"/>
              <w:bottom w:val="single" w:sz="4" w:space="0" w:color="auto"/>
              <w:right w:val="single" w:sz="4" w:space="0" w:color="auto"/>
            </w:tcBorders>
            <w:shd w:val="clear" w:color="auto" w:fill="auto"/>
            <w:vAlign w:val="center"/>
            <w:hideMark/>
          </w:tcPr>
          <w:p w14:paraId="34476C77" w14:textId="77777777" w:rsidR="002E3CD2" w:rsidRPr="008F048F" w:rsidRDefault="002E3CD2" w:rsidP="00470705">
            <w:pPr>
              <w:spacing w:before="100" w:beforeAutospacing="1" w:after="100" w:afterAutospacing="1"/>
              <w:jc w:val="center"/>
              <w:rPr>
                <w:rFonts w:cs="Calibri"/>
                <w:color w:val="000000"/>
                <w:sz w:val="16"/>
                <w:szCs w:val="16"/>
                <w:lang w:eastAsia="es-CO"/>
              </w:rPr>
            </w:pPr>
          </w:p>
        </w:tc>
        <w:tc>
          <w:tcPr>
            <w:tcW w:w="288" w:type="pct"/>
            <w:tcBorders>
              <w:top w:val="nil"/>
              <w:left w:val="nil"/>
              <w:bottom w:val="single" w:sz="4" w:space="0" w:color="auto"/>
              <w:right w:val="single" w:sz="4" w:space="0" w:color="auto"/>
            </w:tcBorders>
            <w:shd w:val="clear" w:color="auto" w:fill="auto"/>
            <w:noWrap/>
            <w:vAlign w:val="center"/>
            <w:hideMark/>
          </w:tcPr>
          <w:p w14:paraId="3318D03F"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0094</w:t>
            </w:r>
          </w:p>
        </w:tc>
        <w:tc>
          <w:tcPr>
            <w:tcW w:w="452" w:type="pct"/>
            <w:tcBorders>
              <w:top w:val="nil"/>
              <w:left w:val="nil"/>
              <w:bottom w:val="single" w:sz="4" w:space="0" w:color="auto"/>
              <w:right w:val="single" w:sz="4" w:space="0" w:color="auto"/>
            </w:tcBorders>
            <w:shd w:val="clear" w:color="auto" w:fill="auto"/>
            <w:noWrap/>
            <w:vAlign w:val="center"/>
            <w:hideMark/>
          </w:tcPr>
          <w:p w14:paraId="59F9D182"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3</w:t>
            </w:r>
          </w:p>
        </w:tc>
        <w:tc>
          <w:tcPr>
            <w:tcW w:w="1095" w:type="pct"/>
            <w:tcBorders>
              <w:top w:val="nil"/>
              <w:left w:val="nil"/>
              <w:bottom w:val="single" w:sz="4" w:space="0" w:color="auto"/>
              <w:right w:val="single" w:sz="4" w:space="0" w:color="auto"/>
            </w:tcBorders>
            <w:shd w:val="clear" w:color="auto" w:fill="auto"/>
            <w:vAlign w:val="center"/>
            <w:hideMark/>
          </w:tcPr>
          <w:p w14:paraId="5FE75326"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N3S36 (Módulo común/bahía - tipo 3 (más de 6 bahías) tipo convencional o encapsulada exterior)</w:t>
            </w:r>
          </w:p>
        </w:tc>
        <w:tc>
          <w:tcPr>
            <w:tcW w:w="1213" w:type="pct"/>
            <w:tcBorders>
              <w:top w:val="nil"/>
              <w:left w:val="nil"/>
              <w:bottom w:val="single" w:sz="4" w:space="0" w:color="auto"/>
              <w:right w:val="single" w:sz="4" w:space="0" w:color="auto"/>
            </w:tcBorders>
            <w:shd w:val="clear" w:color="auto" w:fill="auto"/>
            <w:vAlign w:val="center"/>
            <w:hideMark/>
          </w:tcPr>
          <w:p w14:paraId="486DBA5C"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La cantidad de bahías reportadas en la base de activos más las bahías solicitadas NO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3493484B"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No se repone la decisión y se mantiene el no reconocimiento de la UC</w:t>
            </w:r>
          </w:p>
        </w:tc>
      </w:tr>
      <w:tr w:rsidR="00E367EE" w:rsidRPr="002E3CD2" w14:paraId="0106CC37" w14:textId="77777777" w:rsidTr="00727584">
        <w:trPr>
          <w:trHeight w:val="519"/>
        </w:trPr>
        <w:tc>
          <w:tcPr>
            <w:tcW w:w="817" w:type="pct"/>
            <w:tcBorders>
              <w:top w:val="nil"/>
              <w:left w:val="single" w:sz="4" w:space="0" w:color="auto"/>
              <w:bottom w:val="single" w:sz="4" w:space="0" w:color="auto"/>
              <w:right w:val="single" w:sz="4" w:space="0" w:color="auto"/>
            </w:tcBorders>
            <w:shd w:val="clear" w:color="auto" w:fill="auto"/>
            <w:vAlign w:val="center"/>
            <w:hideMark/>
          </w:tcPr>
          <w:p w14:paraId="4195E5B5" w14:textId="77777777" w:rsidR="002E3CD2" w:rsidRPr="002E3CD2" w:rsidRDefault="002E3CD2" w:rsidP="00470705">
            <w:pPr>
              <w:spacing w:before="100" w:beforeAutospacing="1" w:after="100" w:afterAutospacing="1"/>
              <w:jc w:val="center"/>
              <w:rPr>
                <w:rFonts w:cs="Calibri"/>
                <w:color w:val="000000"/>
                <w:sz w:val="16"/>
                <w:szCs w:val="16"/>
                <w:lang w:val="pt-PT" w:eastAsia="es-CO"/>
              </w:rPr>
            </w:pPr>
            <w:r w:rsidRPr="002E3CD2">
              <w:rPr>
                <w:rFonts w:cs="Calibri"/>
                <w:color w:val="000000"/>
                <w:sz w:val="16"/>
                <w:szCs w:val="16"/>
                <w:lang w:val="pt-PT" w:eastAsia="es-CO"/>
              </w:rPr>
              <w:t>CELSIATOL-EXP-CONFI-AMBALEMA34.5-2024</w:t>
            </w:r>
          </w:p>
        </w:tc>
        <w:tc>
          <w:tcPr>
            <w:tcW w:w="288" w:type="pct"/>
            <w:tcBorders>
              <w:top w:val="nil"/>
              <w:left w:val="nil"/>
              <w:bottom w:val="single" w:sz="4" w:space="0" w:color="auto"/>
              <w:right w:val="single" w:sz="4" w:space="0" w:color="auto"/>
            </w:tcBorders>
            <w:shd w:val="clear" w:color="auto" w:fill="auto"/>
            <w:noWrap/>
            <w:vAlign w:val="center"/>
            <w:hideMark/>
          </w:tcPr>
          <w:p w14:paraId="2E9A316A"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0120</w:t>
            </w:r>
          </w:p>
        </w:tc>
        <w:tc>
          <w:tcPr>
            <w:tcW w:w="452" w:type="pct"/>
            <w:tcBorders>
              <w:top w:val="nil"/>
              <w:left w:val="nil"/>
              <w:bottom w:val="single" w:sz="4" w:space="0" w:color="auto"/>
              <w:right w:val="single" w:sz="4" w:space="0" w:color="auto"/>
            </w:tcBorders>
            <w:shd w:val="clear" w:color="auto" w:fill="auto"/>
            <w:noWrap/>
            <w:vAlign w:val="center"/>
            <w:hideMark/>
          </w:tcPr>
          <w:p w14:paraId="6C666F1F" w14:textId="77777777" w:rsidR="002E3CD2" w:rsidRPr="002E3CD2" w:rsidRDefault="002E3CD2" w:rsidP="00470705">
            <w:pPr>
              <w:spacing w:before="100" w:beforeAutospacing="1" w:after="100" w:afterAutospacing="1"/>
              <w:jc w:val="center"/>
              <w:rPr>
                <w:rFonts w:cs="Calibri"/>
                <w:color w:val="000000"/>
                <w:sz w:val="16"/>
                <w:szCs w:val="16"/>
                <w:lang w:eastAsia="es-CO"/>
              </w:rPr>
            </w:pPr>
            <w:r w:rsidRPr="002E3CD2">
              <w:rPr>
                <w:rFonts w:cs="Calibri"/>
                <w:color w:val="000000"/>
                <w:sz w:val="16"/>
                <w:szCs w:val="16"/>
                <w:lang w:eastAsia="es-CO"/>
              </w:rPr>
              <w:t>2</w:t>
            </w:r>
          </w:p>
        </w:tc>
        <w:tc>
          <w:tcPr>
            <w:tcW w:w="1095" w:type="pct"/>
            <w:tcBorders>
              <w:top w:val="nil"/>
              <w:left w:val="nil"/>
              <w:bottom w:val="single" w:sz="4" w:space="0" w:color="auto"/>
              <w:right w:val="single" w:sz="4" w:space="0" w:color="auto"/>
            </w:tcBorders>
            <w:shd w:val="clear" w:color="auto" w:fill="auto"/>
            <w:vAlign w:val="center"/>
            <w:hideMark/>
          </w:tcPr>
          <w:p w14:paraId="30C1DA45"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 xml:space="preserve">N2S64 (Módulo común/bahía - tipo 4 - tipo interior) </w:t>
            </w:r>
          </w:p>
        </w:tc>
        <w:tc>
          <w:tcPr>
            <w:tcW w:w="1213" w:type="pct"/>
            <w:tcBorders>
              <w:top w:val="nil"/>
              <w:left w:val="nil"/>
              <w:bottom w:val="single" w:sz="4" w:space="0" w:color="auto"/>
              <w:right w:val="single" w:sz="4" w:space="0" w:color="auto"/>
            </w:tcBorders>
            <w:shd w:val="clear" w:color="auto" w:fill="auto"/>
            <w:vAlign w:val="center"/>
            <w:hideMark/>
          </w:tcPr>
          <w:p w14:paraId="17DF5306"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La cantidad de bahías reportadas en la base de activos más las bahías solicitadas SI corresponden con el tipo de módulo común</w:t>
            </w:r>
          </w:p>
        </w:tc>
        <w:tc>
          <w:tcPr>
            <w:tcW w:w="1135" w:type="pct"/>
            <w:tcBorders>
              <w:top w:val="nil"/>
              <w:left w:val="nil"/>
              <w:bottom w:val="single" w:sz="4" w:space="0" w:color="auto"/>
              <w:right w:val="single" w:sz="4" w:space="0" w:color="auto"/>
            </w:tcBorders>
            <w:shd w:val="clear" w:color="auto" w:fill="auto"/>
            <w:vAlign w:val="center"/>
            <w:hideMark/>
          </w:tcPr>
          <w:p w14:paraId="6D80CB5E" w14:textId="77777777" w:rsidR="002E3CD2" w:rsidRPr="002E3CD2" w:rsidRDefault="002E3CD2" w:rsidP="00470705">
            <w:pPr>
              <w:spacing w:before="100" w:beforeAutospacing="1" w:after="100" w:afterAutospacing="1"/>
              <w:jc w:val="left"/>
              <w:rPr>
                <w:rFonts w:cs="Calibri"/>
                <w:color w:val="000000"/>
                <w:sz w:val="16"/>
                <w:szCs w:val="16"/>
                <w:lang w:eastAsia="es-CO"/>
              </w:rPr>
            </w:pPr>
            <w:r w:rsidRPr="002E3CD2">
              <w:rPr>
                <w:rFonts w:cs="Calibri"/>
                <w:color w:val="000000"/>
                <w:sz w:val="16"/>
                <w:szCs w:val="16"/>
                <w:lang w:eastAsia="es-CO"/>
              </w:rPr>
              <w:t>Se repone la decisión y se reconoce la UC</w:t>
            </w:r>
          </w:p>
        </w:tc>
      </w:tr>
    </w:tbl>
    <w:p w14:paraId="700D77F0" w14:textId="24E4AD1D" w:rsidR="00265C1B" w:rsidRPr="004417F9" w:rsidRDefault="00265C1B" w:rsidP="004417F9">
      <w:pPr>
        <w:pStyle w:val="Prrafodelista"/>
        <w:numPr>
          <w:ilvl w:val="0"/>
          <w:numId w:val="12"/>
        </w:numPr>
        <w:spacing w:before="100" w:beforeAutospacing="1" w:after="100" w:afterAutospacing="1"/>
        <w:ind w:left="426" w:hanging="437"/>
        <w:rPr>
          <w:rFonts w:eastAsia="Bookman Old Style" w:cs="Bookman Old Style"/>
          <w:b/>
          <w:bCs/>
        </w:rPr>
      </w:pPr>
      <w:r>
        <w:rPr>
          <w:rFonts w:eastAsia="Bookman Old Style" w:cs="Bookman Old Style"/>
          <w:b/>
          <w:bCs/>
        </w:rPr>
        <w:t>Sexta</w:t>
      </w:r>
      <w:r w:rsidRPr="00B94F50">
        <w:rPr>
          <w:rFonts w:eastAsia="Bookman Old Style" w:cs="Bookman Old Style"/>
          <w:b/>
          <w:bCs/>
        </w:rPr>
        <w:t xml:space="preserve"> </w:t>
      </w:r>
      <w:r>
        <w:rPr>
          <w:rFonts w:eastAsia="Bookman Old Style" w:cs="Bookman Old Style"/>
          <w:b/>
          <w:bCs/>
        </w:rPr>
        <w:t>solicitud</w:t>
      </w:r>
    </w:p>
    <w:p w14:paraId="029AC19F" w14:textId="32AB489D" w:rsidR="00400DE2" w:rsidRPr="006B671F" w:rsidRDefault="00400DE2" w:rsidP="00470705">
      <w:pPr>
        <w:spacing w:before="100" w:beforeAutospacing="1" w:after="100" w:afterAutospacing="1"/>
        <w:rPr>
          <w:i/>
          <w:iCs/>
        </w:rPr>
      </w:pPr>
      <w:r w:rsidRPr="006B671F">
        <w:rPr>
          <w:i/>
          <w:iCs/>
        </w:rPr>
        <w:t>(…)</w:t>
      </w:r>
    </w:p>
    <w:p w14:paraId="3C71FE7B" w14:textId="52F2EED5" w:rsidR="003D26B2" w:rsidRPr="003D26B2" w:rsidRDefault="003D26B2" w:rsidP="00470705">
      <w:pPr>
        <w:spacing w:before="100" w:beforeAutospacing="1" w:after="100" w:afterAutospacing="1"/>
        <w:ind w:left="284"/>
        <w:rPr>
          <w:rFonts w:eastAsia="Bookman Old Style" w:cs="Bookman Old Style"/>
          <w:b/>
          <w:bCs/>
          <w:i/>
          <w:iCs/>
          <w:sz w:val="20"/>
          <w:szCs w:val="20"/>
        </w:rPr>
      </w:pPr>
      <w:r w:rsidRPr="003D26B2">
        <w:rPr>
          <w:rFonts w:eastAsia="Bookman Old Style" w:cs="Bookman Old Style"/>
          <w:b/>
          <w:bCs/>
          <w:i/>
          <w:iCs/>
          <w:sz w:val="20"/>
          <w:szCs w:val="20"/>
        </w:rPr>
        <w:t>2.6 Eliminación de UC del Inventario reconocido INVA por error de revisión.</w:t>
      </w:r>
    </w:p>
    <w:p w14:paraId="229A7AAB" w14:textId="1FE031B9" w:rsidR="003D26B2" w:rsidRPr="003D26B2" w:rsidRDefault="003D26B2" w:rsidP="00470705">
      <w:pPr>
        <w:spacing w:before="100" w:beforeAutospacing="1" w:after="100" w:afterAutospacing="1"/>
        <w:ind w:left="284"/>
        <w:rPr>
          <w:rFonts w:eastAsia="Bookman Old Style" w:cs="Bookman Old Style"/>
          <w:i/>
          <w:iCs/>
          <w:sz w:val="20"/>
          <w:szCs w:val="20"/>
        </w:rPr>
      </w:pPr>
      <w:r w:rsidRPr="003D26B2">
        <w:rPr>
          <w:rFonts w:eastAsia="Bookman Old Style" w:cs="Bookman Old Style"/>
          <w:i/>
          <w:iCs/>
          <w:sz w:val="20"/>
          <w:szCs w:val="20"/>
        </w:rPr>
        <w:t xml:space="preserve">En relación al inventario de UC reconocido por la </w:t>
      </w:r>
      <w:r w:rsidR="00837FD6">
        <w:rPr>
          <w:rFonts w:eastAsia="Bookman Old Style" w:cs="Bookman Old Style"/>
          <w:i/>
          <w:iCs/>
          <w:sz w:val="20"/>
          <w:szCs w:val="20"/>
        </w:rPr>
        <w:t>Comisión</w:t>
      </w:r>
      <w:r w:rsidRPr="003D26B2">
        <w:rPr>
          <w:rFonts w:eastAsia="Bookman Old Style" w:cs="Bookman Old Style"/>
          <w:i/>
          <w:iCs/>
          <w:sz w:val="20"/>
          <w:szCs w:val="20"/>
        </w:rPr>
        <w:t>, y en el cual la anterior registra sus</w:t>
      </w:r>
      <w:r w:rsidR="002B2FDB" w:rsidRPr="006B671F">
        <w:rPr>
          <w:rFonts w:eastAsia="Bookman Old Style" w:cs="Bookman Old Style"/>
          <w:i/>
          <w:iCs/>
          <w:sz w:val="20"/>
          <w:szCs w:val="20"/>
        </w:rPr>
        <w:t xml:space="preserve"> </w:t>
      </w:r>
      <w:r w:rsidRPr="003D26B2">
        <w:rPr>
          <w:rFonts w:eastAsia="Bookman Old Style" w:cs="Bookman Old Style"/>
          <w:i/>
          <w:iCs/>
          <w:sz w:val="20"/>
          <w:szCs w:val="20"/>
        </w:rPr>
        <w:t>observaciones frente a cada Unidad Constructiva, se identifican errores de verificación, debido</w:t>
      </w:r>
      <w:r w:rsidR="002B2FDB" w:rsidRPr="006B671F">
        <w:rPr>
          <w:rFonts w:eastAsia="Bookman Old Style" w:cs="Bookman Old Style"/>
          <w:i/>
          <w:iCs/>
          <w:sz w:val="20"/>
          <w:szCs w:val="20"/>
        </w:rPr>
        <w:t xml:space="preserve"> </w:t>
      </w:r>
      <w:r w:rsidRPr="003D26B2">
        <w:rPr>
          <w:rFonts w:eastAsia="Bookman Old Style" w:cs="Bookman Old Style"/>
          <w:i/>
          <w:iCs/>
          <w:sz w:val="20"/>
          <w:szCs w:val="20"/>
        </w:rPr>
        <w:t>a que las anotaciones colocadas no obedecen a la realidad del reporte realizado por CELSIA</w:t>
      </w:r>
      <w:r w:rsidR="002B2FDB" w:rsidRPr="006B671F">
        <w:rPr>
          <w:rFonts w:eastAsia="Bookman Old Style" w:cs="Bookman Old Style"/>
          <w:i/>
          <w:iCs/>
          <w:sz w:val="20"/>
          <w:szCs w:val="20"/>
        </w:rPr>
        <w:t xml:space="preserve"> </w:t>
      </w:r>
      <w:r w:rsidRPr="003D26B2">
        <w:rPr>
          <w:rFonts w:eastAsia="Bookman Old Style" w:cs="Bookman Old Style"/>
          <w:i/>
          <w:iCs/>
          <w:sz w:val="20"/>
          <w:szCs w:val="20"/>
        </w:rPr>
        <w:t>COLOMBIA, y lo cual puede aclararse con una simple revisión adecuada de la información</w:t>
      </w:r>
      <w:r w:rsidR="002B2FDB" w:rsidRPr="006B671F">
        <w:rPr>
          <w:rFonts w:eastAsia="Bookman Old Style" w:cs="Bookman Old Style"/>
          <w:i/>
          <w:iCs/>
          <w:sz w:val="20"/>
          <w:szCs w:val="20"/>
        </w:rPr>
        <w:t xml:space="preserve"> </w:t>
      </w:r>
      <w:r w:rsidRPr="003D26B2">
        <w:rPr>
          <w:rFonts w:eastAsia="Bookman Old Style" w:cs="Bookman Old Style"/>
          <w:i/>
          <w:iCs/>
          <w:sz w:val="20"/>
          <w:szCs w:val="20"/>
        </w:rPr>
        <w:t xml:space="preserve">proporcionada por </w:t>
      </w:r>
      <w:r w:rsidR="002B2FDB" w:rsidRPr="006B671F">
        <w:rPr>
          <w:rFonts w:eastAsia="Bookman Old Style" w:cs="Bookman Old Style"/>
          <w:i/>
          <w:iCs/>
          <w:sz w:val="20"/>
          <w:szCs w:val="20"/>
        </w:rPr>
        <w:t>esta</w:t>
      </w:r>
      <w:r w:rsidRPr="003D26B2">
        <w:rPr>
          <w:rFonts w:eastAsia="Bookman Old Style" w:cs="Bookman Old Style"/>
          <w:i/>
          <w:iCs/>
          <w:sz w:val="20"/>
          <w:szCs w:val="20"/>
        </w:rPr>
        <w:t xml:space="preserve"> </w:t>
      </w:r>
      <w:r w:rsidR="00F87C8D" w:rsidRPr="003D26B2">
        <w:rPr>
          <w:rFonts w:eastAsia="Bookman Old Style" w:cs="Bookman Old Style"/>
          <w:i/>
          <w:iCs/>
          <w:sz w:val="20"/>
          <w:szCs w:val="20"/>
        </w:rPr>
        <w:t>última</w:t>
      </w:r>
      <w:r w:rsidRPr="003D26B2">
        <w:rPr>
          <w:rFonts w:eastAsia="Bookman Old Style" w:cs="Bookman Old Style"/>
          <w:i/>
          <w:iCs/>
          <w:sz w:val="20"/>
          <w:szCs w:val="20"/>
        </w:rPr>
        <w:t>, tal y como se procede a relacionar, y que además se encuentra</w:t>
      </w:r>
      <w:r w:rsidR="002B2FDB" w:rsidRPr="006B671F">
        <w:rPr>
          <w:rFonts w:eastAsia="Bookman Old Style" w:cs="Bookman Old Style"/>
          <w:i/>
          <w:iCs/>
          <w:sz w:val="20"/>
          <w:szCs w:val="20"/>
        </w:rPr>
        <w:t xml:space="preserve"> </w:t>
      </w:r>
      <w:r w:rsidRPr="003D26B2">
        <w:rPr>
          <w:rFonts w:eastAsia="Bookman Old Style" w:cs="Bookman Old Style"/>
          <w:i/>
          <w:iCs/>
          <w:sz w:val="20"/>
          <w:szCs w:val="20"/>
        </w:rPr>
        <w:t xml:space="preserve">debidamente detallado en la Prueba No.7, anexa a este escrito:  </w:t>
      </w:r>
    </w:p>
    <w:p w14:paraId="24AFC1D4" w14:textId="42893BFD" w:rsidR="003D26B2" w:rsidRPr="003D26B2" w:rsidRDefault="003D26B2" w:rsidP="00470705">
      <w:pPr>
        <w:spacing w:before="100" w:beforeAutospacing="1" w:after="100" w:afterAutospacing="1"/>
        <w:ind w:left="708"/>
        <w:rPr>
          <w:rFonts w:eastAsia="Bookman Old Style" w:cs="Bookman Old Style"/>
          <w:i/>
          <w:iCs/>
          <w:sz w:val="20"/>
          <w:szCs w:val="20"/>
        </w:rPr>
      </w:pPr>
      <w:r w:rsidRPr="003D26B2">
        <w:rPr>
          <w:rFonts w:eastAsia="Bookman Old Style" w:cs="Bookman Old Style"/>
          <w:i/>
          <w:iCs/>
          <w:sz w:val="20"/>
          <w:szCs w:val="20"/>
        </w:rPr>
        <w:t xml:space="preserve">a) Error de verificación: En el listado presentado en la hoja "casos 1", la </w:t>
      </w:r>
      <w:r w:rsidR="00837FD6">
        <w:rPr>
          <w:rFonts w:eastAsia="Bookman Old Style" w:cs="Bookman Old Style"/>
          <w:i/>
          <w:iCs/>
          <w:sz w:val="20"/>
          <w:szCs w:val="20"/>
        </w:rPr>
        <w:t>Comisión</w:t>
      </w:r>
      <w:r w:rsidRPr="003D26B2">
        <w:rPr>
          <w:rFonts w:eastAsia="Bookman Old Style" w:cs="Bookman Old Style"/>
          <w:i/>
          <w:iCs/>
          <w:sz w:val="20"/>
          <w:szCs w:val="20"/>
        </w:rPr>
        <w:t xml:space="preserve"> registro</w:t>
      </w:r>
      <w:r w:rsidR="002B2FDB" w:rsidRPr="006B671F">
        <w:rPr>
          <w:rFonts w:eastAsia="Bookman Old Style" w:cs="Bookman Old Style"/>
          <w:i/>
          <w:iCs/>
          <w:sz w:val="20"/>
          <w:szCs w:val="20"/>
        </w:rPr>
        <w:t xml:space="preserve"> </w:t>
      </w:r>
      <w:r w:rsidRPr="003D26B2">
        <w:rPr>
          <w:rFonts w:eastAsia="Bookman Old Style" w:cs="Bookman Old Style"/>
          <w:i/>
          <w:iCs/>
          <w:sz w:val="20"/>
          <w:szCs w:val="20"/>
        </w:rPr>
        <w:t>que "El módulo común solicitado no es consistente con el número de bahías existentes</w:t>
      </w:r>
      <w:r w:rsidR="002B2FDB" w:rsidRPr="006B671F">
        <w:rPr>
          <w:rFonts w:eastAsia="Bookman Old Style" w:cs="Bookman Old Style"/>
          <w:i/>
          <w:iCs/>
          <w:sz w:val="20"/>
          <w:szCs w:val="20"/>
        </w:rPr>
        <w:t xml:space="preserve"> </w:t>
      </w:r>
      <w:r w:rsidRPr="003D26B2">
        <w:rPr>
          <w:rFonts w:eastAsia="Bookman Old Style" w:cs="Bookman Old Style"/>
          <w:i/>
          <w:iCs/>
          <w:sz w:val="20"/>
          <w:szCs w:val="20"/>
        </w:rPr>
        <w:t>y solicitadas para la subestación", sin embargo, es erróneo este registro, puesto que</w:t>
      </w:r>
      <w:r w:rsidR="002B2FDB" w:rsidRPr="006B671F">
        <w:rPr>
          <w:rFonts w:eastAsia="Bookman Old Style" w:cs="Bookman Old Style"/>
          <w:i/>
          <w:iCs/>
          <w:sz w:val="20"/>
          <w:szCs w:val="20"/>
        </w:rPr>
        <w:t xml:space="preserve"> </w:t>
      </w:r>
      <w:r w:rsidRPr="003D26B2">
        <w:rPr>
          <w:rFonts w:eastAsia="Bookman Old Style" w:cs="Bookman Old Style"/>
          <w:i/>
          <w:iCs/>
          <w:sz w:val="20"/>
          <w:szCs w:val="20"/>
        </w:rPr>
        <w:t>esas UC no corresponden a módulos comunes, sino a bahías de línea, bahía de acople</w:t>
      </w:r>
      <w:r w:rsidR="002B2FDB" w:rsidRPr="006B671F">
        <w:rPr>
          <w:rFonts w:eastAsia="Bookman Old Style" w:cs="Bookman Old Style"/>
          <w:i/>
          <w:iCs/>
          <w:sz w:val="20"/>
          <w:szCs w:val="20"/>
        </w:rPr>
        <w:t xml:space="preserve"> </w:t>
      </w:r>
      <w:r w:rsidRPr="003D26B2">
        <w:rPr>
          <w:rFonts w:eastAsia="Bookman Old Style" w:cs="Bookman Old Style"/>
          <w:i/>
          <w:iCs/>
          <w:sz w:val="20"/>
          <w:szCs w:val="20"/>
        </w:rPr>
        <w:t xml:space="preserve">y casa de control, como se detalla en la pestaña “casos 1” de la prueba No. 7. </w:t>
      </w:r>
    </w:p>
    <w:p w14:paraId="49AB6749" w14:textId="631A4C40" w:rsidR="003D26B2" w:rsidRPr="003D26B2" w:rsidRDefault="003D26B2" w:rsidP="00470705">
      <w:pPr>
        <w:spacing w:before="100" w:beforeAutospacing="1" w:after="100" w:afterAutospacing="1"/>
        <w:ind w:left="708"/>
        <w:rPr>
          <w:rFonts w:eastAsia="Bookman Old Style" w:cs="Bookman Old Style"/>
          <w:i/>
          <w:iCs/>
          <w:sz w:val="20"/>
          <w:szCs w:val="20"/>
        </w:rPr>
      </w:pPr>
      <w:r w:rsidRPr="003D26B2">
        <w:rPr>
          <w:rFonts w:eastAsia="Bookman Old Style" w:cs="Bookman Old Style"/>
          <w:i/>
          <w:iCs/>
          <w:sz w:val="20"/>
          <w:szCs w:val="20"/>
        </w:rPr>
        <w:t>b) Duplicidad de IUA: Respecto al comentario "Se repite información para esta IUA</w:t>
      </w:r>
      <w:r w:rsidR="002B2FDB" w:rsidRPr="006B671F">
        <w:rPr>
          <w:rFonts w:eastAsia="Bookman Old Style" w:cs="Bookman Old Style"/>
          <w:i/>
          <w:iCs/>
          <w:sz w:val="20"/>
          <w:szCs w:val="20"/>
        </w:rPr>
        <w:t xml:space="preserve"> </w:t>
      </w:r>
      <w:r w:rsidRPr="003D26B2">
        <w:rPr>
          <w:rFonts w:eastAsia="Bookman Old Style" w:cs="Bookman Old Style"/>
          <w:i/>
          <w:iCs/>
          <w:sz w:val="20"/>
          <w:szCs w:val="20"/>
        </w:rPr>
        <w:t>provisional, IUS, Unidad Constructiva en este Formato", señalamos que las Unidades</w:t>
      </w:r>
      <w:r w:rsidR="002B2FDB" w:rsidRPr="006B671F">
        <w:rPr>
          <w:rFonts w:eastAsia="Bookman Old Style" w:cs="Bookman Old Style"/>
          <w:i/>
          <w:iCs/>
          <w:sz w:val="20"/>
          <w:szCs w:val="20"/>
        </w:rPr>
        <w:t xml:space="preserve"> </w:t>
      </w:r>
      <w:r w:rsidRPr="003D26B2">
        <w:rPr>
          <w:rFonts w:eastAsia="Bookman Old Style" w:cs="Bookman Old Style"/>
          <w:i/>
          <w:iCs/>
          <w:sz w:val="20"/>
          <w:szCs w:val="20"/>
        </w:rPr>
        <w:t>Constructivas (UC) relacionadas en la pestaña "casos 2" de la prueba No. 7., no tienen</w:t>
      </w:r>
      <w:r w:rsidR="002B2FDB" w:rsidRPr="006B671F">
        <w:rPr>
          <w:rFonts w:eastAsia="Bookman Old Style" w:cs="Bookman Old Style"/>
          <w:i/>
          <w:iCs/>
          <w:sz w:val="20"/>
          <w:szCs w:val="20"/>
        </w:rPr>
        <w:t xml:space="preserve"> </w:t>
      </w:r>
      <w:r w:rsidRPr="003D26B2">
        <w:rPr>
          <w:rFonts w:eastAsia="Bookman Old Style" w:cs="Bookman Old Style"/>
          <w:i/>
          <w:iCs/>
          <w:sz w:val="20"/>
          <w:szCs w:val="20"/>
        </w:rPr>
        <w:t xml:space="preserve">IUA repetido. </w:t>
      </w:r>
    </w:p>
    <w:p w14:paraId="69A0FD50" w14:textId="199E38A1" w:rsidR="003D26B2" w:rsidRPr="006B671F" w:rsidRDefault="003D26B2" w:rsidP="00470705">
      <w:pPr>
        <w:spacing w:before="100" w:beforeAutospacing="1" w:after="100" w:afterAutospacing="1"/>
        <w:ind w:left="708"/>
        <w:rPr>
          <w:rFonts w:eastAsia="Bookman Old Style" w:cs="Bookman Old Style"/>
          <w:i/>
          <w:iCs/>
          <w:sz w:val="20"/>
          <w:szCs w:val="20"/>
        </w:rPr>
      </w:pPr>
      <w:r w:rsidRPr="003D26B2">
        <w:rPr>
          <w:rFonts w:eastAsia="Bookman Old Style" w:cs="Bookman Old Style"/>
          <w:i/>
          <w:iCs/>
          <w:sz w:val="20"/>
          <w:szCs w:val="20"/>
        </w:rPr>
        <w:t>c) Controles de Subestación: Sobre las unidades constructivas detalladas en la pestaña</w:t>
      </w:r>
      <w:r w:rsidR="002B2FDB" w:rsidRPr="006B671F">
        <w:rPr>
          <w:rFonts w:eastAsia="Bookman Old Style" w:cs="Bookman Old Style"/>
          <w:i/>
          <w:iCs/>
          <w:sz w:val="20"/>
          <w:szCs w:val="20"/>
        </w:rPr>
        <w:t xml:space="preserve"> </w:t>
      </w:r>
      <w:r w:rsidRPr="003D26B2">
        <w:rPr>
          <w:rFonts w:eastAsia="Bookman Old Style" w:cs="Bookman Old Style"/>
          <w:i/>
          <w:iCs/>
          <w:sz w:val="20"/>
          <w:szCs w:val="20"/>
        </w:rPr>
        <w:t xml:space="preserve">“casos 3” de la prueba No. 7., que la </w:t>
      </w:r>
      <w:r w:rsidR="00837FD6">
        <w:rPr>
          <w:rFonts w:eastAsia="Bookman Old Style" w:cs="Bookman Old Style"/>
          <w:i/>
          <w:iCs/>
          <w:sz w:val="20"/>
          <w:szCs w:val="20"/>
        </w:rPr>
        <w:t>Comisión</w:t>
      </w:r>
      <w:r w:rsidRPr="003D26B2">
        <w:rPr>
          <w:rFonts w:eastAsia="Bookman Old Style" w:cs="Bookman Old Style"/>
          <w:i/>
          <w:iCs/>
          <w:sz w:val="20"/>
          <w:szCs w:val="20"/>
        </w:rPr>
        <w:t xml:space="preserve"> no aprobó manifestando “Mas controles</w:t>
      </w:r>
      <w:r w:rsidR="002B2FDB" w:rsidRPr="006B671F">
        <w:rPr>
          <w:rFonts w:eastAsia="Bookman Old Style" w:cs="Bookman Old Style"/>
          <w:i/>
          <w:iCs/>
          <w:sz w:val="20"/>
          <w:szCs w:val="20"/>
        </w:rPr>
        <w:t xml:space="preserve"> </w:t>
      </w:r>
      <w:r w:rsidRPr="003D26B2">
        <w:rPr>
          <w:rFonts w:eastAsia="Bookman Old Style" w:cs="Bookman Old Style"/>
          <w:i/>
          <w:iCs/>
          <w:sz w:val="20"/>
          <w:szCs w:val="20"/>
        </w:rPr>
        <w:t>de subestación que bahías solicitadas”, también se precisa que hay consistencia entre</w:t>
      </w:r>
      <w:r w:rsidR="002B2FDB" w:rsidRPr="006B671F">
        <w:rPr>
          <w:rFonts w:eastAsia="Bookman Old Style" w:cs="Bookman Old Style"/>
          <w:i/>
          <w:iCs/>
          <w:sz w:val="20"/>
          <w:szCs w:val="20"/>
        </w:rPr>
        <w:t xml:space="preserve"> </w:t>
      </w:r>
      <w:r w:rsidRPr="003D26B2">
        <w:rPr>
          <w:rFonts w:eastAsia="Bookman Old Style" w:cs="Bookman Old Style"/>
          <w:i/>
          <w:iCs/>
          <w:sz w:val="20"/>
          <w:szCs w:val="20"/>
        </w:rPr>
        <w:t>las unidades de control y la cantidad de bahías reportadas, de acuerdo a lo indicado</w:t>
      </w:r>
      <w:r w:rsidR="002B2FDB" w:rsidRPr="006B671F">
        <w:rPr>
          <w:rFonts w:eastAsia="Bookman Old Style" w:cs="Bookman Old Style"/>
          <w:i/>
          <w:iCs/>
          <w:sz w:val="20"/>
          <w:szCs w:val="20"/>
        </w:rPr>
        <w:t xml:space="preserve"> </w:t>
      </w:r>
      <w:r w:rsidRPr="003D26B2">
        <w:rPr>
          <w:rFonts w:eastAsia="Bookman Old Style" w:cs="Bookman Old Style"/>
          <w:i/>
          <w:iCs/>
          <w:sz w:val="20"/>
          <w:szCs w:val="20"/>
        </w:rPr>
        <w:t>en el literal “f” numeral 14.2 de la Resolución CREG 015 de 2018</w:t>
      </w:r>
      <w:r w:rsidR="002B2FDB" w:rsidRPr="006B671F">
        <w:rPr>
          <w:rFonts w:eastAsia="Bookman Old Style" w:cs="Bookman Old Style"/>
          <w:i/>
          <w:iCs/>
          <w:sz w:val="20"/>
          <w:szCs w:val="20"/>
        </w:rPr>
        <w:t>,</w:t>
      </w:r>
    </w:p>
    <w:p w14:paraId="2F4DCF4C" w14:textId="77777777" w:rsidR="00400DE2" w:rsidRPr="006B671F" w:rsidRDefault="00400DE2" w:rsidP="00470705">
      <w:pPr>
        <w:spacing w:before="100" w:beforeAutospacing="1" w:after="100" w:afterAutospacing="1"/>
        <w:rPr>
          <w:i/>
          <w:iCs/>
        </w:rPr>
      </w:pPr>
      <w:r w:rsidRPr="006B671F">
        <w:rPr>
          <w:i/>
          <w:iCs/>
        </w:rPr>
        <w:t>(…)</w:t>
      </w:r>
    </w:p>
    <w:p w14:paraId="6C3B4881" w14:textId="27648724" w:rsidR="00F96854" w:rsidRPr="006B671F" w:rsidRDefault="00F96854" w:rsidP="00470705">
      <w:pPr>
        <w:spacing w:before="100" w:beforeAutospacing="1" w:after="100" w:afterAutospacing="1"/>
        <w:rPr>
          <w:rFonts w:eastAsia="Bookman Old Style"/>
          <w:b/>
          <w:bCs/>
        </w:rPr>
      </w:pPr>
      <w:r w:rsidRPr="006B671F">
        <w:rPr>
          <w:rFonts w:eastAsia="Bookman Old Style"/>
          <w:b/>
          <w:bCs/>
        </w:rPr>
        <w:t xml:space="preserve">Análisis de la </w:t>
      </w:r>
      <w:r w:rsidR="00837FD6">
        <w:rPr>
          <w:rFonts w:eastAsia="Bookman Old Style"/>
          <w:b/>
          <w:bCs/>
        </w:rPr>
        <w:t>Comisión</w:t>
      </w:r>
    </w:p>
    <w:p w14:paraId="5A56C42C" w14:textId="7F0164F1" w:rsidR="00F87C8D" w:rsidRDefault="00E418FA" w:rsidP="00470705">
      <w:pPr>
        <w:spacing w:before="100" w:beforeAutospacing="1" w:after="100" w:afterAutospacing="1"/>
      </w:pPr>
      <w:r>
        <w:t xml:space="preserve">Respecto al literal </w:t>
      </w:r>
      <w:r w:rsidRPr="004417F9">
        <w:rPr>
          <w:i/>
          <w:iCs/>
        </w:rPr>
        <w:t>a</w:t>
      </w:r>
      <w:r w:rsidR="00312838">
        <w:t>.</w:t>
      </w:r>
      <w:r>
        <w:t xml:space="preserve"> de la observación</w:t>
      </w:r>
      <w:r w:rsidR="00F87C8D">
        <w:t>,</w:t>
      </w:r>
      <w:r w:rsidR="004D2163">
        <w:t xml:space="preserve"> se aclara </w:t>
      </w:r>
      <w:r w:rsidR="009915D6">
        <w:t>que,</w:t>
      </w:r>
      <w:r w:rsidR="004D2163">
        <w:t xml:space="preserve"> a pesar de ser un error presentado en los inventarios, este corresponde solo a un error de forma y no de fondo</w:t>
      </w:r>
      <w:r w:rsidR="00F87C8D">
        <w:t>,</w:t>
      </w:r>
      <w:r w:rsidR="004D2163">
        <w:t xml:space="preserve"> </w:t>
      </w:r>
      <w:r w:rsidR="002F2EF0">
        <w:t>que no afecta el cálculo de la valoración</w:t>
      </w:r>
      <w:r w:rsidR="009915D6">
        <w:t xml:space="preserve">. Ahora bien, </w:t>
      </w:r>
      <w:r w:rsidR="001750A0">
        <w:t xml:space="preserve">los activos señalados por el OR en el archivo </w:t>
      </w:r>
      <w:r w:rsidR="00D53C58" w:rsidRPr="00D53C58">
        <w:rPr>
          <w:i/>
          <w:iCs/>
        </w:rPr>
        <w:t>“Prueba N.7 Documento Detalle Errores CREG”</w:t>
      </w:r>
      <w:r w:rsidR="00D53C58">
        <w:rPr>
          <w:i/>
          <w:iCs/>
        </w:rPr>
        <w:t xml:space="preserve"> </w:t>
      </w:r>
      <w:r w:rsidR="00121317">
        <w:t>en la hoja casos 1</w:t>
      </w:r>
      <w:r w:rsidR="00F87C8D">
        <w:t>,</w:t>
      </w:r>
      <w:r w:rsidR="00121317">
        <w:t xml:space="preserve"> corresponden a activos </w:t>
      </w:r>
      <w:r w:rsidR="00F87C8D">
        <w:t>que</w:t>
      </w:r>
      <w:r w:rsidR="00121317">
        <w:t xml:space="preserve"> no fueron reconocidos en principio por no tener concepto UPME, sin embargo, como se detalla </w:t>
      </w:r>
      <w:r w:rsidR="006A2E41">
        <w:t xml:space="preserve">en este documento se </w:t>
      </w:r>
      <w:r w:rsidR="00946D72">
        <w:t>propone reponer la decisión y reconocer</w:t>
      </w:r>
      <w:r w:rsidR="006A2E41">
        <w:t xml:space="preserve"> estos activos considerando que son del tipo de inversión IV.</w:t>
      </w:r>
      <w:r w:rsidR="00373B17">
        <w:t xml:space="preserve"> </w:t>
      </w:r>
    </w:p>
    <w:p w14:paraId="787EDD6A" w14:textId="738A80A9" w:rsidR="0066187A" w:rsidRDefault="00373B17" w:rsidP="00470705">
      <w:pPr>
        <w:spacing w:before="100" w:beforeAutospacing="1" w:after="100" w:afterAutospacing="1"/>
      </w:pPr>
      <w:r>
        <w:t xml:space="preserve">Por </w:t>
      </w:r>
      <w:r w:rsidR="00745F15">
        <w:t>último</w:t>
      </w:r>
      <w:r w:rsidR="00CF2C2D">
        <w:t xml:space="preserve">, respecto a la UC N0P13 </w:t>
      </w:r>
      <w:r w:rsidR="00946D72">
        <w:t xml:space="preserve">para la cual </w:t>
      </w:r>
      <w:r w:rsidR="002F2905">
        <w:t>el OR</w:t>
      </w:r>
      <w:r w:rsidR="00946D72">
        <w:t xml:space="preserve"> indica </w:t>
      </w:r>
      <w:r w:rsidR="00295355">
        <w:t xml:space="preserve">que no aplica el comentario hecho por la Comisión </w:t>
      </w:r>
      <w:r w:rsidR="002F2905">
        <w:t>relacionado con</w:t>
      </w:r>
      <w:r w:rsidR="00295355">
        <w:t xml:space="preserve"> la inconsistencia </w:t>
      </w:r>
      <w:r w:rsidR="002F2905">
        <w:t>en</w:t>
      </w:r>
      <w:r w:rsidR="00295355">
        <w:t xml:space="preserve"> el número de bahías, dado que la UC no es de módulo común</w:t>
      </w:r>
      <w:r w:rsidR="00632D20">
        <w:t>,</w:t>
      </w:r>
      <w:r w:rsidR="00CF2C2D">
        <w:t xml:space="preserve"> se</w:t>
      </w:r>
      <w:r w:rsidR="00C11BA3">
        <w:t xml:space="preserve"> hace el</w:t>
      </w:r>
      <w:r w:rsidR="00CF2C2D">
        <w:t xml:space="preserve"> </w:t>
      </w:r>
      <w:r w:rsidR="00C11BA3">
        <w:t>ajuste</w:t>
      </w:r>
      <w:r w:rsidR="00CF2C2D">
        <w:t xml:space="preserve"> en los inventarios y por lo tanto la </w:t>
      </w:r>
      <w:r w:rsidR="00837FD6">
        <w:t>Comisión</w:t>
      </w:r>
      <w:r w:rsidR="00CF2C2D">
        <w:t xml:space="preserve"> decide reponer la decisión y reconocer el activo.</w:t>
      </w:r>
      <w:r w:rsidR="00745F15">
        <w:t xml:space="preserve"> </w:t>
      </w:r>
    </w:p>
    <w:p w14:paraId="140F4DAE" w14:textId="2376D134" w:rsidR="00F02E84" w:rsidRDefault="00851340" w:rsidP="00470705">
      <w:pPr>
        <w:spacing w:before="100" w:beforeAutospacing="1" w:after="100" w:afterAutospacing="1"/>
      </w:pPr>
      <w:r>
        <w:t xml:space="preserve">Respecto al literal b, </w:t>
      </w:r>
      <w:r w:rsidR="00646967">
        <w:t xml:space="preserve">el OR en el documento </w:t>
      </w:r>
      <w:r w:rsidR="00646967" w:rsidRPr="00D53C58">
        <w:rPr>
          <w:i/>
          <w:iCs/>
        </w:rPr>
        <w:t>“Prueba N.7 Documento Detalle Errores CREG”</w:t>
      </w:r>
      <w:r w:rsidR="00646967">
        <w:rPr>
          <w:i/>
          <w:iCs/>
        </w:rPr>
        <w:t xml:space="preserve"> </w:t>
      </w:r>
      <w:r w:rsidR="00A26F27">
        <w:t xml:space="preserve">reporta el siguiente listado de activos </w:t>
      </w:r>
      <w:r w:rsidR="00C03CC4">
        <w:t>en la hoja ca</w:t>
      </w:r>
      <w:r w:rsidR="00951EB7">
        <w:t>sos 2</w:t>
      </w:r>
      <w:r w:rsidR="00F87C8D">
        <w:t>,</w:t>
      </w:r>
      <w:r w:rsidR="00951EB7">
        <w:t xml:space="preserve"> los cuales presentan la observación de la duplicación</w:t>
      </w:r>
      <w:r w:rsidR="00C03CC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721"/>
        <w:gridCol w:w="1586"/>
        <w:gridCol w:w="1669"/>
      </w:tblGrid>
      <w:tr w:rsidR="00DA7B0D" w:rsidRPr="008C193F" w14:paraId="5F4A8328" w14:textId="77777777" w:rsidTr="00DA7B0D">
        <w:trPr>
          <w:trHeight w:val="300"/>
          <w:tblHeader/>
          <w:jc w:val="center"/>
        </w:trPr>
        <w:tc>
          <w:tcPr>
            <w:tcW w:w="1689" w:type="dxa"/>
            <w:shd w:val="clear" w:color="auto" w:fill="auto"/>
            <w:noWrap/>
            <w:vAlign w:val="center"/>
            <w:hideMark/>
          </w:tcPr>
          <w:p w14:paraId="678F0404" w14:textId="77777777" w:rsidR="00DA7B0D" w:rsidRPr="008C193F" w:rsidRDefault="00DA7B0D" w:rsidP="00470705">
            <w:pPr>
              <w:spacing w:before="100" w:beforeAutospacing="1" w:after="100" w:afterAutospacing="1"/>
              <w:jc w:val="center"/>
              <w:rPr>
                <w:rFonts w:cs="Calibri"/>
                <w:b/>
                <w:bCs/>
                <w:color w:val="000000"/>
                <w:sz w:val="20"/>
                <w:szCs w:val="20"/>
                <w:lang w:eastAsia="es-MX"/>
              </w:rPr>
            </w:pPr>
            <w:r w:rsidRPr="008C193F">
              <w:rPr>
                <w:rFonts w:cs="Calibri"/>
                <w:b/>
                <w:bCs/>
                <w:color w:val="000000"/>
                <w:sz w:val="20"/>
                <w:szCs w:val="20"/>
                <w:lang w:eastAsia="es-MX"/>
              </w:rPr>
              <w:t>IUA provisional</w:t>
            </w:r>
          </w:p>
        </w:tc>
        <w:tc>
          <w:tcPr>
            <w:tcW w:w="721" w:type="dxa"/>
            <w:shd w:val="clear" w:color="auto" w:fill="auto"/>
            <w:noWrap/>
            <w:vAlign w:val="center"/>
            <w:hideMark/>
          </w:tcPr>
          <w:p w14:paraId="7499FFDE" w14:textId="77777777" w:rsidR="00DA7B0D" w:rsidRPr="008C193F" w:rsidRDefault="00DA7B0D" w:rsidP="00470705">
            <w:pPr>
              <w:spacing w:before="100" w:beforeAutospacing="1" w:after="100" w:afterAutospacing="1"/>
              <w:jc w:val="center"/>
              <w:rPr>
                <w:rFonts w:cs="Calibri"/>
                <w:b/>
                <w:bCs/>
                <w:color w:val="000000"/>
                <w:sz w:val="20"/>
                <w:szCs w:val="20"/>
                <w:lang w:eastAsia="es-MX"/>
              </w:rPr>
            </w:pPr>
            <w:r w:rsidRPr="008C193F">
              <w:rPr>
                <w:rFonts w:cs="Calibri"/>
                <w:b/>
                <w:bCs/>
                <w:color w:val="000000"/>
                <w:sz w:val="20"/>
                <w:szCs w:val="20"/>
                <w:lang w:eastAsia="es-MX"/>
              </w:rPr>
              <w:t>IUS</w:t>
            </w:r>
          </w:p>
        </w:tc>
        <w:tc>
          <w:tcPr>
            <w:tcW w:w="1586" w:type="dxa"/>
            <w:shd w:val="clear" w:color="auto" w:fill="auto"/>
            <w:noWrap/>
            <w:vAlign w:val="center"/>
            <w:hideMark/>
          </w:tcPr>
          <w:p w14:paraId="52F9CF80" w14:textId="77777777" w:rsidR="00DA7B0D" w:rsidRPr="008C193F" w:rsidRDefault="00DA7B0D" w:rsidP="00470705">
            <w:pPr>
              <w:spacing w:before="100" w:beforeAutospacing="1" w:after="100" w:afterAutospacing="1"/>
              <w:jc w:val="center"/>
              <w:rPr>
                <w:rFonts w:cs="Calibri"/>
                <w:b/>
                <w:bCs/>
                <w:color w:val="000000"/>
                <w:sz w:val="20"/>
                <w:szCs w:val="20"/>
                <w:lang w:eastAsia="es-MX"/>
              </w:rPr>
            </w:pPr>
            <w:r w:rsidRPr="008C193F">
              <w:rPr>
                <w:rFonts w:cs="Calibri"/>
                <w:b/>
                <w:bCs/>
                <w:color w:val="000000"/>
                <w:sz w:val="20"/>
                <w:szCs w:val="20"/>
                <w:lang w:eastAsia="es-MX"/>
              </w:rPr>
              <w:t>Unidad Constructiva</w:t>
            </w:r>
          </w:p>
        </w:tc>
        <w:tc>
          <w:tcPr>
            <w:tcW w:w="1669" w:type="dxa"/>
            <w:shd w:val="clear" w:color="auto" w:fill="auto"/>
            <w:noWrap/>
            <w:vAlign w:val="center"/>
            <w:hideMark/>
          </w:tcPr>
          <w:p w14:paraId="549A320C" w14:textId="77777777" w:rsidR="00DA7B0D" w:rsidRPr="008C193F" w:rsidRDefault="00DA7B0D" w:rsidP="00470705">
            <w:pPr>
              <w:spacing w:before="100" w:beforeAutospacing="1" w:after="100" w:afterAutospacing="1"/>
              <w:jc w:val="center"/>
              <w:rPr>
                <w:rFonts w:cs="Calibri"/>
                <w:b/>
                <w:bCs/>
                <w:color w:val="000000"/>
                <w:sz w:val="20"/>
                <w:szCs w:val="20"/>
                <w:lang w:eastAsia="es-MX"/>
              </w:rPr>
            </w:pPr>
            <w:r w:rsidRPr="008C193F">
              <w:rPr>
                <w:rFonts w:cs="Calibri"/>
                <w:b/>
                <w:bCs/>
                <w:color w:val="000000"/>
                <w:sz w:val="20"/>
                <w:szCs w:val="20"/>
                <w:lang w:eastAsia="es-MX"/>
              </w:rPr>
              <w:t>Año entrada operación</w:t>
            </w:r>
          </w:p>
        </w:tc>
      </w:tr>
      <w:tr w:rsidR="00DA7B0D" w:rsidRPr="008C193F" w14:paraId="660219C2" w14:textId="77777777" w:rsidTr="00DA7B0D">
        <w:trPr>
          <w:trHeight w:val="300"/>
          <w:jc w:val="center"/>
        </w:trPr>
        <w:tc>
          <w:tcPr>
            <w:tcW w:w="1689" w:type="dxa"/>
            <w:shd w:val="clear" w:color="auto" w:fill="auto"/>
            <w:noWrap/>
            <w:vAlign w:val="bottom"/>
            <w:hideMark/>
          </w:tcPr>
          <w:p w14:paraId="48966FF8"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10008004B000</w:t>
            </w:r>
          </w:p>
        </w:tc>
        <w:tc>
          <w:tcPr>
            <w:tcW w:w="721" w:type="dxa"/>
            <w:shd w:val="clear" w:color="auto" w:fill="auto"/>
            <w:noWrap/>
            <w:vAlign w:val="bottom"/>
            <w:hideMark/>
          </w:tcPr>
          <w:p w14:paraId="4E526026"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0008</w:t>
            </w:r>
          </w:p>
        </w:tc>
        <w:tc>
          <w:tcPr>
            <w:tcW w:w="1586" w:type="dxa"/>
            <w:shd w:val="clear" w:color="auto" w:fill="auto"/>
            <w:noWrap/>
            <w:vAlign w:val="bottom"/>
            <w:hideMark/>
          </w:tcPr>
          <w:p w14:paraId="493F7097"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21CF2214"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2023</w:t>
            </w:r>
          </w:p>
        </w:tc>
      </w:tr>
      <w:tr w:rsidR="00DA7B0D" w:rsidRPr="008C193F" w14:paraId="65AEEFB5" w14:textId="77777777" w:rsidTr="00DA7B0D">
        <w:trPr>
          <w:trHeight w:val="300"/>
          <w:jc w:val="center"/>
        </w:trPr>
        <w:tc>
          <w:tcPr>
            <w:tcW w:w="1689" w:type="dxa"/>
            <w:shd w:val="clear" w:color="auto" w:fill="auto"/>
            <w:noWrap/>
            <w:vAlign w:val="bottom"/>
            <w:hideMark/>
          </w:tcPr>
          <w:p w14:paraId="79A30895"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10008004C000</w:t>
            </w:r>
          </w:p>
        </w:tc>
        <w:tc>
          <w:tcPr>
            <w:tcW w:w="721" w:type="dxa"/>
            <w:shd w:val="clear" w:color="auto" w:fill="auto"/>
            <w:noWrap/>
            <w:vAlign w:val="bottom"/>
            <w:hideMark/>
          </w:tcPr>
          <w:p w14:paraId="7E8D258D"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0008</w:t>
            </w:r>
          </w:p>
        </w:tc>
        <w:tc>
          <w:tcPr>
            <w:tcW w:w="1586" w:type="dxa"/>
            <w:shd w:val="clear" w:color="auto" w:fill="auto"/>
            <w:noWrap/>
            <w:vAlign w:val="bottom"/>
            <w:hideMark/>
          </w:tcPr>
          <w:p w14:paraId="07E681F2"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3113CDCC"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2023</w:t>
            </w:r>
          </w:p>
        </w:tc>
      </w:tr>
      <w:tr w:rsidR="00DA7B0D" w:rsidRPr="008C193F" w14:paraId="629DE98F" w14:textId="77777777" w:rsidTr="00DA7B0D">
        <w:trPr>
          <w:trHeight w:val="300"/>
          <w:jc w:val="center"/>
        </w:trPr>
        <w:tc>
          <w:tcPr>
            <w:tcW w:w="1689" w:type="dxa"/>
            <w:shd w:val="clear" w:color="auto" w:fill="auto"/>
            <w:noWrap/>
            <w:vAlign w:val="bottom"/>
            <w:hideMark/>
          </w:tcPr>
          <w:p w14:paraId="032EE7DF"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10008004D000</w:t>
            </w:r>
          </w:p>
        </w:tc>
        <w:tc>
          <w:tcPr>
            <w:tcW w:w="721" w:type="dxa"/>
            <w:shd w:val="clear" w:color="auto" w:fill="auto"/>
            <w:noWrap/>
            <w:vAlign w:val="bottom"/>
            <w:hideMark/>
          </w:tcPr>
          <w:p w14:paraId="398205D1"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0008</w:t>
            </w:r>
          </w:p>
        </w:tc>
        <w:tc>
          <w:tcPr>
            <w:tcW w:w="1586" w:type="dxa"/>
            <w:shd w:val="clear" w:color="auto" w:fill="auto"/>
            <w:noWrap/>
            <w:vAlign w:val="bottom"/>
            <w:hideMark/>
          </w:tcPr>
          <w:p w14:paraId="4C25F86C"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67B81B60"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2023</w:t>
            </w:r>
          </w:p>
        </w:tc>
      </w:tr>
      <w:tr w:rsidR="00DA7B0D" w:rsidRPr="008C193F" w14:paraId="439A5809" w14:textId="77777777" w:rsidTr="00DA7B0D">
        <w:trPr>
          <w:trHeight w:val="300"/>
          <w:jc w:val="center"/>
        </w:trPr>
        <w:tc>
          <w:tcPr>
            <w:tcW w:w="1689" w:type="dxa"/>
            <w:shd w:val="clear" w:color="auto" w:fill="auto"/>
            <w:noWrap/>
            <w:vAlign w:val="bottom"/>
            <w:hideMark/>
          </w:tcPr>
          <w:p w14:paraId="5F16042A"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10042009M000</w:t>
            </w:r>
          </w:p>
        </w:tc>
        <w:tc>
          <w:tcPr>
            <w:tcW w:w="721" w:type="dxa"/>
            <w:shd w:val="clear" w:color="auto" w:fill="auto"/>
            <w:noWrap/>
            <w:vAlign w:val="bottom"/>
            <w:hideMark/>
          </w:tcPr>
          <w:p w14:paraId="6AAAAAB4"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0042</w:t>
            </w:r>
          </w:p>
        </w:tc>
        <w:tc>
          <w:tcPr>
            <w:tcW w:w="1586" w:type="dxa"/>
            <w:shd w:val="clear" w:color="auto" w:fill="auto"/>
            <w:noWrap/>
            <w:vAlign w:val="bottom"/>
            <w:hideMark/>
          </w:tcPr>
          <w:p w14:paraId="3063A75D"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7A186ACE"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2023</w:t>
            </w:r>
          </w:p>
        </w:tc>
      </w:tr>
      <w:tr w:rsidR="00DA7B0D" w:rsidRPr="008C193F" w14:paraId="459EDAC4" w14:textId="77777777" w:rsidTr="00DA7B0D">
        <w:trPr>
          <w:trHeight w:val="300"/>
          <w:jc w:val="center"/>
        </w:trPr>
        <w:tc>
          <w:tcPr>
            <w:tcW w:w="1689" w:type="dxa"/>
            <w:shd w:val="clear" w:color="auto" w:fill="auto"/>
            <w:noWrap/>
            <w:vAlign w:val="bottom"/>
            <w:hideMark/>
          </w:tcPr>
          <w:p w14:paraId="13301A07"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10042009N000</w:t>
            </w:r>
          </w:p>
        </w:tc>
        <w:tc>
          <w:tcPr>
            <w:tcW w:w="721" w:type="dxa"/>
            <w:shd w:val="clear" w:color="auto" w:fill="auto"/>
            <w:noWrap/>
            <w:vAlign w:val="bottom"/>
            <w:hideMark/>
          </w:tcPr>
          <w:p w14:paraId="37634055"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0042</w:t>
            </w:r>
          </w:p>
        </w:tc>
        <w:tc>
          <w:tcPr>
            <w:tcW w:w="1586" w:type="dxa"/>
            <w:shd w:val="clear" w:color="auto" w:fill="auto"/>
            <w:noWrap/>
            <w:vAlign w:val="bottom"/>
            <w:hideMark/>
          </w:tcPr>
          <w:p w14:paraId="75A7C2C9"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3FE884EB"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2023</w:t>
            </w:r>
          </w:p>
        </w:tc>
      </w:tr>
      <w:tr w:rsidR="00DA7B0D" w:rsidRPr="008C193F" w14:paraId="110CC5B5" w14:textId="77777777" w:rsidTr="00DA7B0D">
        <w:trPr>
          <w:trHeight w:val="300"/>
          <w:jc w:val="center"/>
        </w:trPr>
        <w:tc>
          <w:tcPr>
            <w:tcW w:w="1689" w:type="dxa"/>
            <w:shd w:val="clear" w:color="auto" w:fill="auto"/>
            <w:noWrap/>
            <w:vAlign w:val="bottom"/>
            <w:hideMark/>
          </w:tcPr>
          <w:p w14:paraId="7A3B584F"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10042009O000</w:t>
            </w:r>
          </w:p>
        </w:tc>
        <w:tc>
          <w:tcPr>
            <w:tcW w:w="721" w:type="dxa"/>
            <w:shd w:val="clear" w:color="auto" w:fill="auto"/>
            <w:noWrap/>
            <w:vAlign w:val="bottom"/>
            <w:hideMark/>
          </w:tcPr>
          <w:p w14:paraId="51B7B700"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0042</w:t>
            </w:r>
          </w:p>
        </w:tc>
        <w:tc>
          <w:tcPr>
            <w:tcW w:w="1586" w:type="dxa"/>
            <w:shd w:val="clear" w:color="auto" w:fill="auto"/>
            <w:noWrap/>
            <w:vAlign w:val="bottom"/>
            <w:hideMark/>
          </w:tcPr>
          <w:p w14:paraId="0FF44ED9"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2A819820"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2023</w:t>
            </w:r>
          </w:p>
        </w:tc>
      </w:tr>
      <w:tr w:rsidR="00DA7B0D" w:rsidRPr="008C193F" w14:paraId="5BC4EF04" w14:textId="77777777" w:rsidTr="00DA7B0D">
        <w:trPr>
          <w:trHeight w:val="300"/>
          <w:jc w:val="center"/>
        </w:trPr>
        <w:tc>
          <w:tcPr>
            <w:tcW w:w="1689" w:type="dxa"/>
            <w:shd w:val="clear" w:color="auto" w:fill="auto"/>
            <w:noWrap/>
            <w:vAlign w:val="bottom"/>
            <w:hideMark/>
          </w:tcPr>
          <w:p w14:paraId="32097B89"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101040024000</w:t>
            </w:r>
          </w:p>
        </w:tc>
        <w:tc>
          <w:tcPr>
            <w:tcW w:w="721" w:type="dxa"/>
            <w:shd w:val="clear" w:color="auto" w:fill="auto"/>
            <w:noWrap/>
            <w:vAlign w:val="bottom"/>
            <w:hideMark/>
          </w:tcPr>
          <w:p w14:paraId="30D50063"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0104</w:t>
            </w:r>
          </w:p>
        </w:tc>
        <w:tc>
          <w:tcPr>
            <w:tcW w:w="1586" w:type="dxa"/>
            <w:shd w:val="clear" w:color="auto" w:fill="auto"/>
            <w:noWrap/>
            <w:vAlign w:val="bottom"/>
            <w:hideMark/>
          </w:tcPr>
          <w:p w14:paraId="767CAE57"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N4EQ4</w:t>
            </w:r>
          </w:p>
        </w:tc>
        <w:tc>
          <w:tcPr>
            <w:tcW w:w="1669" w:type="dxa"/>
            <w:shd w:val="clear" w:color="auto" w:fill="auto"/>
            <w:noWrap/>
            <w:vAlign w:val="bottom"/>
            <w:hideMark/>
          </w:tcPr>
          <w:p w14:paraId="28393608"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2024</w:t>
            </w:r>
          </w:p>
        </w:tc>
      </w:tr>
      <w:tr w:rsidR="00DA7B0D" w:rsidRPr="008C193F" w14:paraId="09B4C727" w14:textId="77777777" w:rsidTr="00DA7B0D">
        <w:trPr>
          <w:trHeight w:val="300"/>
          <w:jc w:val="center"/>
        </w:trPr>
        <w:tc>
          <w:tcPr>
            <w:tcW w:w="1689" w:type="dxa"/>
            <w:shd w:val="clear" w:color="auto" w:fill="auto"/>
            <w:noWrap/>
            <w:vAlign w:val="bottom"/>
            <w:hideMark/>
          </w:tcPr>
          <w:p w14:paraId="2D125E58"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101040025000</w:t>
            </w:r>
          </w:p>
        </w:tc>
        <w:tc>
          <w:tcPr>
            <w:tcW w:w="721" w:type="dxa"/>
            <w:shd w:val="clear" w:color="auto" w:fill="auto"/>
            <w:noWrap/>
            <w:vAlign w:val="bottom"/>
            <w:hideMark/>
          </w:tcPr>
          <w:p w14:paraId="34BA3368"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0104</w:t>
            </w:r>
          </w:p>
        </w:tc>
        <w:tc>
          <w:tcPr>
            <w:tcW w:w="1586" w:type="dxa"/>
            <w:shd w:val="clear" w:color="auto" w:fill="auto"/>
            <w:noWrap/>
            <w:vAlign w:val="bottom"/>
            <w:hideMark/>
          </w:tcPr>
          <w:p w14:paraId="6652E3A9"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N4EQ4</w:t>
            </w:r>
          </w:p>
        </w:tc>
        <w:tc>
          <w:tcPr>
            <w:tcW w:w="1669" w:type="dxa"/>
            <w:shd w:val="clear" w:color="auto" w:fill="auto"/>
            <w:noWrap/>
            <w:vAlign w:val="bottom"/>
            <w:hideMark/>
          </w:tcPr>
          <w:p w14:paraId="14F4C428"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2024</w:t>
            </w:r>
          </w:p>
        </w:tc>
      </w:tr>
      <w:tr w:rsidR="00DA7B0D" w:rsidRPr="008C193F" w14:paraId="2C7E8BFF" w14:textId="77777777" w:rsidTr="00DA7B0D">
        <w:trPr>
          <w:trHeight w:val="300"/>
          <w:jc w:val="center"/>
        </w:trPr>
        <w:tc>
          <w:tcPr>
            <w:tcW w:w="1689" w:type="dxa"/>
            <w:shd w:val="clear" w:color="auto" w:fill="auto"/>
            <w:noWrap/>
            <w:vAlign w:val="bottom"/>
            <w:hideMark/>
          </w:tcPr>
          <w:p w14:paraId="7748EADF"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101040026000</w:t>
            </w:r>
          </w:p>
        </w:tc>
        <w:tc>
          <w:tcPr>
            <w:tcW w:w="721" w:type="dxa"/>
            <w:shd w:val="clear" w:color="auto" w:fill="auto"/>
            <w:noWrap/>
            <w:vAlign w:val="bottom"/>
            <w:hideMark/>
          </w:tcPr>
          <w:p w14:paraId="436766B2"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0104</w:t>
            </w:r>
          </w:p>
        </w:tc>
        <w:tc>
          <w:tcPr>
            <w:tcW w:w="1586" w:type="dxa"/>
            <w:shd w:val="clear" w:color="auto" w:fill="auto"/>
            <w:noWrap/>
            <w:vAlign w:val="bottom"/>
            <w:hideMark/>
          </w:tcPr>
          <w:p w14:paraId="70DB93E7"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32C5EB92"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2024</w:t>
            </w:r>
          </w:p>
        </w:tc>
      </w:tr>
      <w:tr w:rsidR="00DA7B0D" w:rsidRPr="008C193F" w14:paraId="7BA5F568" w14:textId="77777777" w:rsidTr="00DA7B0D">
        <w:trPr>
          <w:trHeight w:val="300"/>
          <w:jc w:val="center"/>
        </w:trPr>
        <w:tc>
          <w:tcPr>
            <w:tcW w:w="1689" w:type="dxa"/>
            <w:shd w:val="clear" w:color="auto" w:fill="auto"/>
            <w:noWrap/>
            <w:vAlign w:val="bottom"/>
            <w:hideMark/>
          </w:tcPr>
          <w:p w14:paraId="0DCD7567"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101040027000</w:t>
            </w:r>
          </w:p>
        </w:tc>
        <w:tc>
          <w:tcPr>
            <w:tcW w:w="721" w:type="dxa"/>
            <w:shd w:val="clear" w:color="auto" w:fill="auto"/>
            <w:noWrap/>
            <w:vAlign w:val="bottom"/>
            <w:hideMark/>
          </w:tcPr>
          <w:p w14:paraId="1E1DBA00"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0104</w:t>
            </w:r>
          </w:p>
        </w:tc>
        <w:tc>
          <w:tcPr>
            <w:tcW w:w="1586" w:type="dxa"/>
            <w:shd w:val="clear" w:color="auto" w:fill="auto"/>
            <w:noWrap/>
            <w:vAlign w:val="bottom"/>
            <w:hideMark/>
          </w:tcPr>
          <w:p w14:paraId="757553B6"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3119526C"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2024</w:t>
            </w:r>
          </w:p>
        </w:tc>
      </w:tr>
      <w:tr w:rsidR="00DA7B0D" w:rsidRPr="008C193F" w14:paraId="30842644" w14:textId="77777777" w:rsidTr="00DA7B0D">
        <w:trPr>
          <w:trHeight w:val="300"/>
          <w:jc w:val="center"/>
        </w:trPr>
        <w:tc>
          <w:tcPr>
            <w:tcW w:w="1689" w:type="dxa"/>
            <w:shd w:val="clear" w:color="auto" w:fill="auto"/>
            <w:noWrap/>
            <w:vAlign w:val="bottom"/>
            <w:hideMark/>
          </w:tcPr>
          <w:p w14:paraId="28C4872D"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101040028000</w:t>
            </w:r>
          </w:p>
        </w:tc>
        <w:tc>
          <w:tcPr>
            <w:tcW w:w="721" w:type="dxa"/>
            <w:shd w:val="clear" w:color="auto" w:fill="auto"/>
            <w:noWrap/>
            <w:vAlign w:val="bottom"/>
            <w:hideMark/>
          </w:tcPr>
          <w:p w14:paraId="16828E82"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0104</w:t>
            </w:r>
          </w:p>
        </w:tc>
        <w:tc>
          <w:tcPr>
            <w:tcW w:w="1586" w:type="dxa"/>
            <w:shd w:val="clear" w:color="auto" w:fill="auto"/>
            <w:noWrap/>
            <w:vAlign w:val="bottom"/>
            <w:hideMark/>
          </w:tcPr>
          <w:p w14:paraId="29A1DDCE"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41C6F3BD"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2024</w:t>
            </w:r>
          </w:p>
        </w:tc>
      </w:tr>
      <w:tr w:rsidR="00DA7B0D" w:rsidRPr="008C193F" w14:paraId="6C4386A6" w14:textId="77777777" w:rsidTr="00DA7B0D">
        <w:trPr>
          <w:trHeight w:val="300"/>
          <w:jc w:val="center"/>
        </w:trPr>
        <w:tc>
          <w:tcPr>
            <w:tcW w:w="1689" w:type="dxa"/>
            <w:shd w:val="clear" w:color="auto" w:fill="auto"/>
            <w:noWrap/>
            <w:vAlign w:val="bottom"/>
            <w:hideMark/>
          </w:tcPr>
          <w:p w14:paraId="58BCCD4D"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101040029000</w:t>
            </w:r>
          </w:p>
        </w:tc>
        <w:tc>
          <w:tcPr>
            <w:tcW w:w="721" w:type="dxa"/>
            <w:shd w:val="clear" w:color="auto" w:fill="auto"/>
            <w:noWrap/>
            <w:vAlign w:val="bottom"/>
            <w:hideMark/>
          </w:tcPr>
          <w:p w14:paraId="5E1CF191"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0104</w:t>
            </w:r>
          </w:p>
        </w:tc>
        <w:tc>
          <w:tcPr>
            <w:tcW w:w="1586" w:type="dxa"/>
            <w:shd w:val="clear" w:color="auto" w:fill="auto"/>
            <w:noWrap/>
            <w:vAlign w:val="bottom"/>
            <w:hideMark/>
          </w:tcPr>
          <w:p w14:paraId="176C256A"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2AE40FE7"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2024</w:t>
            </w:r>
          </w:p>
        </w:tc>
      </w:tr>
      <w:tr w:rsidR="00DA7B0D" w:rsidRPr="008C193F" w14:paraId="00B7191D" w14:textId="77777777" w:rsidTr="00DA7B0D">
        <w:trPr>
          <w:trHeight w:val="300"/>
          <w:jc w:val="center"/>
        </w:trPr>
        <w:tc>
          <w:tcPr>
            <w:tcW w:w="1689" w:type="dxa"/>
            <w:shd w:val="clear" w:color="auto" w:fill="auto"/>
            <w:noWrap/>
            <w:vAlign w:val="bottom"/>
            <w:hideMark/>
          </w:tcPr>
          <w:p w14:paraId="75918357"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10104002A000</w:t>
            </w:r>
          </w:p>
        </w:tc>
        <w:tc>
          <w:tcPr>
            <w:tcW w:w="721" w:type="dxa"/>
            <w:shd w:val="clear" w:color="auto" w:fill="auto"/>
            <w:noWrap/>
            <w:vAlign w:val="bottom"/>
            <w:hideMark/>
          </w:tcPr>
          <w:p w14:paraId="6A689651"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0104</w:t>
            </w:r>
          </w:p>
        </w:tc>
        <w:tc>
          <w:tcPr>
            <w:tcW w:w="1586" w:type="dxa"/>
            <w:shd w:val="clear" w:color="auto" w:fill="auto"/>
            <w:noWrap/>
            <w:vAlign w:val="bottom"/>
            <w:hideMark/>
          </w:tcPr>
          <w:p w14:paraId="495B890D"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57A59994"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2024</w:t>
            </w:r>
          </w:p>
        </w:tc>
      </w:tr>
      <w:tr w:rsidR="00DA7B0D" w:rsidRPr="008C193F" w14:paraId="7078DD98" w14:textId="77777777" w:rsidTr="00DA7B0D">
        <w:trPr>
          <w:trHeight w:val="300"/>
          <w:jc w:val="center"/>
        </w:trPr>
        <w:tc>
          <w:tcPr>
            <w:tcW w:w="1689" w:type="dxa"/>
            <w:shd w:val="clear" w:color="auto" w:fill="auto"/>
            <w:noWrap/>
            <w:vAlign w:val="bottom"/>
            <w:hideMark/>
          </w:tcPr>
          <w:p w14:paraId="0B4B19BF"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10104002B000</w:t>
            </w:r>
          </w:p>
        </w:tc>
        <w:tc>
          <w:tcPr>
            <w:tcW w:w="721" w:type="dxa"/>
            <w:shd w:val="clear" w:color="auto" w:fill="auto"/>
            <w:noWrap/>
            <w:vAlign w:val="bottom"/>
            <w:hideMark/>
          </w:tcPr>
          <w:p w14:paraId="5B276E4E"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0104</w:t>
            </w:r>
          </w:p>
        </w:tc>
        <w:tc>
          <w:tcPr>
            <w:tcW w:w="1586" w:type="dxa"/>
            <w:shd w:val="clear" w:color="auto" w:fill="auto"/>
            <w:noWrap/>
            <w:vAlign w:val="bottom"/>
            <w:hideMark/>
          </w:tcPr>
          <w:p w14:paraId="12BF9B57"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5BB7111A"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2024</w:t>
            </w:r>
          </w:p>
        </w:tc>
      </w:tr>
      <w:tr w:rsidR="00DA7B0D" w:rsidRPr="008C193F" w14:paraId="3DE3FFAD" w14:textId="77777777" w:rsidTr="00DA7B0D">
        <w:trPr>
          <w:trHeight w:val="300"/>
          <w:jc w:val="center"/>
        </w:trPr>
        <w:tc>
          <w:tcPr>
            <w:tcW w:w="1689" w:type="dxa"/>
            <w:shd w:val="clear" w:color="auto" w:fill="auto"/>
            <w:noWrap/>
            <w:vAlign w:val="bottom"/>
            <w:hideMark/>
          </w:tcPr>
          <w:p w14:paraId="67D9FC90"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10104002C000</w:t>
            </w:r>
          </w:p>
        </w:tc>
        <w:tc>
          <w:tcPr>
            <w:tcW w:w="721" w:type="dxa"/>
            <w:shd w:val="clear" w:color="auto" w:fill="auto"/>
            <w:noWrap/>
            <w:vAlign w:val="bottom"/>
            <w:hideMark/>
          </w:tcPr>
          <w:p w14:paraId="30BB1354"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0104</w:t>
            </w:r>
          </w:p>
        </w:tc>
        <w:tc>
          <w:tcPr>
            <w:tcW w:w="1586" w:type="dxa"/>
            <w:shd w:val="clear" w:color="auto" w:fill="auto"/>
            <w:noWrap/>
            <w:vAlign w:val="bottom"/>
            <w:hideMark/>
          </w:tcPr>
          <w:p w14:paraId="13E15064"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45D5BBC2"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2024</w:t>
            </w:r>
          </w:p>
        </w:tc>
      </w:tr>
      <w:tr w:rsidR="00DA7B0D" w:rsidRPr="008C193F" w14:paraId="4793F625" w14:textId="77777777" w:rsidTr="00DA7B0D">
        <w:trPr>
          <w:trHeight w:val="300"/>
          <w:jc w:val="center"/>
        </w:trPr>
        <w:tc>
          <w:tcPr>
            <w:tcW w:w="1689" w:type="dxa"/>
            <w:shd w:val="clear" w:color="auto" w:fill="auto"/>
            <w:noWrap/>
            <w:vAlign w:val="bottom"/>
            <w:hideMark/>
          </w:tcPr>
          <w:p w14:paraId="6ED459F3"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10104002D000</w:t>
            </w:r>
          </w:p>
        </w:tc>
        <w:tc>
          <w:tcPr>
            <w:tcW w:w="721" w:type="dxa"/>
            <w:shd w:val="clear" w:color="auto" w:fill="auto"/>
            <w:noWrap/>
            <w:vAlign w:val="bottom"/>
            <w:hideMark/>
          </w:tcPr>
          <w:p w14:paraId="638BB1C4"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0104</w:t>
            </w:r>
          </w:p>
        </w:tc>
        <w:tc>
          <w:tcPr>
            <w:tcW w:w="1586" w:type="dxa"/>
            <w:shd w:val="clear" w:color="auto" w:fill="auto"/>
            <w:noWrap/>
            <w:vAlign w:val="bottom"/>
            <w:hideMark/>
          </w:tcPr>
          <w:p w14:paraId="012F9B07"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1A5B0176"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2024</w:t>
            </w:r>
          </w:p>
        </w:tc>
      </w:tr>
      <w:tr w:rsidR="00DA7B0D" w:rsidRPr="008C193F" w14:paraId="35F5C139" w14:textId="77777777" w:rsidTr="00DA7B0D">
        <w:trPr>
          <w:trHeight w:val="300"/>
          <w:jc w:val="center"/>
        </w:trPr>
        <w:tc>
          <w:tcPr>
            <w:tcW w:w="1689" w:type="dxa"/>
            <w:shd w:val="clear" w:color="auto" w:fill="auto"/>
            <w:noWrap/>
            <w:vAlign w:val="bottom"/>
            <w:hideMark/>
          </w:tcPr>
          <w:p w14:paraId="1256CD36"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10104002E000</w:t>
            </w:r>
          </w:p>
        </w:tc>
        <w:tc>
          <w:tcPr>
            <w:tcW w:w="721" w:type="dxa"/>
            <w:shd w:val="clear" w:color="auto" w:fill="auto"/>
            <w:noWrap/>
            <w:vAlign w:val="bottom"/>
            <w:hideMark/>
          </w:tcPr>
          <w:p w14:paraId="270B51A8"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0104</w:t>
            </w:r>
          </w:p>
        </w:tc>
        <w:tc>
          <w:tcPr>
            <w:tcW w:w="1586" w:type="dxa"/>
            <w:shd w:val="clear" w:color="auto" w:fill="auto"/>
            <w:noWrap/>
            <w:vAlign w:val="bottom"/>
            <w:hideMark/>
          </w:tcPr>
          <w:p w14:paraId="784866FB"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0CA399EE"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2024</w:t>
            </w:r>
          </w:p>
        </w:tc>
      </w:tr>
      <w:tr w:rsidR="00DA7B0D" w:rsidRPr="008C193F" w14:paraId="1F567FCF" w14:textId="77777777" w:rsidTr="00DA7B0D">
        <w:trPr>
          <w:trHeight w:val="300"/>
          <w:jc w:val="center"/>
        </w:trPr>
        <w:tc>
          <w:tcPr>
            <w:tcW w:w="1689" w:type="dxa"/>
            <w:shd w:val="clear" w:color="auto" w:fill="auto"/>
            <w:noWrap/>
            <w:vAlign w:val="bottom"/>
            <w:hideMark/>
          </w:tcPr>
          <w:p w14:paraId="30026AB2"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10104002F000</w:t>
            </w:r>
          </w:p>
        </w:tc>
        <w:tc>
          <w:tcPr>
            <w:tcW w:w="721" w:type="dxa"/>
            <w:shd w:val="clear" w:color="auto" w:fill="auto"/>
            <w:noWrap/>
            <w:vAlign w:val="bottom"/>
            <w:hideMark/>
          </w:tcPr>
          <w:p w14:paraId="67C3F0F9"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0104</w:t>
            </w:r>
          </w:p>
        </w:tc>
        <w:tc>
          <w:tcPr>
            <w:tcW w:w="1586" w:type="dxa"/>
            <w:shd w:val="clear" w:color="auto" w:fill="auto"/>
            <w:noWrap/>
            <w:vAlign w:val="bottom"/>
            <w:hideMark/>
          </w:tcPr>
          <w:p w14:paraId="63007724"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23E7957E"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2024</w:t>
            </w:r>
          </w:p>
        </w:tc>
      </w:tr>
      <w:tr w:rsidR="00DA7B0D" w:rsidRPr="008C193F" w14:paraId="09A64F7D" w14:textId="77777777" w:rsidTr="00DA7B0D">
        <w:trPr>
          <w:trHeight w:val="300"/>
          <w:jc w:val="center"/>
        </w:trPr>
        <w:tc>
          <w:tcPr>
            <w:tcW w:w="1689" w:type="dxa"/>
            <w:shd w:val="clear" w:color="auto" w:fill="auto"/>
            <w:noWrap/>
            <w:vAlign w:val="bottom"/>
            <w:hideMark/>
          </w:tcPr>
          <w:p w14:paraId="5471FC58"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10104002G000</w:t>
            </w:r>
          </w:p>
        </w:tc>
        <w:tc>
          <w:tcPr>
            <w:tcW w:w="721" w:type="dxa"/>
            <w:shd w:val="clear" w:color="auto" w:fill="auto"/>
            <w:noWrap/>
            <w:vAlign w:val="bottom"/>
            <w:hideMark/>
          </w:tcPr>
          <w:p w14:paraId="33EA9522"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0104</w:t>
            </w:r>
          </w:p>
        </w:tc>
        <w:tc>
          <w:tcPr>
            <w:tcW w:w="1586" w:type="dxa"/>
            <w:shd w:val="clear" w:color="auto" w:fill="auto"/>
            <w:noWrap/>
            <w:vAlign w:val="bottom"/>
            <w:hideMark/>
          </w:tcPr>
          <w:p w14:paraId="49681909"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39954663"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2024</w:t>
            </w:r>
          </w:p>
        </w:tc>
      </w:tr>
      <w:tr w:rsidR="00DA7B0D" w:rsidRPr="008C193F" w14:paraId="03F1D355" w14:textId="77777777" w:rsidTr="00DA7B0D">
        <w:trPr>
          <w:trHeight w:val="300"/>
          <w:jc w:val="center"/>
        </w:trPr>
        <w:tc>
          <w:tcPr>
            <w:tcW w:w="1689" w:type="dxa"/>
            <w:shd w:val="clear" w:color="auto" w:fill="auto"/>
            <w:noWrap/>
            <w:vAlign w:val="bottom"/>
            <w:hideMark/>
          </w:tcPr>
          <w:p w14:paraId="4C441812"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10104002H000</w:t>
            </w:r>
          </w:p>
        </w:tc>
        <w:tc>
          <w:tcPr>
            <w:tcW w:w="721" w:type="dxa"/>
            <w:shd w:val="clear" w:color="auto" w:fill="auto"/>
            <w:noWrap/>
            <w:vAlign w:val="bottom"/>
            <w:hideMark/>
          </w:tcPr>
          <w:p w14:paraId="6B5C4413"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0104</w:t>
            </w:r>
          </w:p>
        </w:tc>
        <w:tc>
          <w:tcPr>
            <w:tcW w:w="1586" w:type="dxa"/>
            <w:shd w:val="clear" w:color="auto" w:fill="auto"/>
            <w:noWrap/>
            <w:vAlign w:val="bottom"/>
            <w:hideMark/>
          </w:tcPr>
          <w:p w14:paraId="4DAC8F6D"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N4EQ2</w:t>
            </w:r>
          </w:p>
        </w:tc>
        <w:tc>
          <w:tcPr>
            <w:tcW w:w="1669" w:type="dxa"/>
            <w:shd w:val="clear" w:color="auto" w:fill="auto"/>
            <w:noWrap/>
            <w:vAlign w:val="bottom"/>
            <w:hideMark/>
          </w:tcPr>
          <w:p w14:paraId="7007329E" w14:textId="77777777" w:rsidR="00DA7B0D" w:rsidRPr="008C193F" w:rsidRDefault="00DA7B0D" w:rsidP="00470705">
            <w:pPr>
              <w:spacing w:before="100" w:beforeAutospacing="1" w:after="100" w:afterAutospacing="1"/>
              <w:jc w:val="center"/>
              <w:rPr>
                <w:rFonts w:cs="Calibri"/>
                <w:color w:val="000000"/>
                <w:sz w:val="20"/>
                <w:szCs w:val="20"/>
                <w:lang w:eastAsia="es-MX"/>
              </w:rPr>
            </w:pPr>
            <w:r w:rsidRPr="008C193F">
              <w:rPr>
                <w:rFonts w:cs="Calibri"/>
                <w:color w:val="000000"/>
                <w:sz w:val="20"/>
                <w:szCs w:val="20"/>
                <w:lang w:eastAsia="es-MX"/>
              </w:rPr>
              <w:t>2024</w:t>
            </w:r>
          </w:p>
        </w:tc>
      </w:tr>
    </w:tbl>
    <w:p w14:paraId="5E3A7BD0" w14:textId="1E7A27DF" w:rsidR="00C03CC4" w:rsidRPr="00A26F27" w:rsidRDefault="000F0DC3" w:rsidP="00470705">
      <w:pPr>
        <w:spacing w:before="100" w:beforeAutospacing="1" w:after="100" w:afterAutospacing="1"/>
      </w:pPr>
      <w:r>
        <w:t>Luego de una revisión a los inventarios del formato 5.9</w:t>
      </w:r>
      <w:r w:rsidR="00F87C8D">
        <w:t>,</w:t>
      </w:r>
      <w:r>
        <w:t xml:space="preserve"> que es de donde pertenecen </w:t>
      </w:r>
      <w:r w:rsidR="002A133E">
        <w:t>los Identificadores Únicos de Activo provisionales,</w:t>
      </w:r>
      <w:r>
        <w:t xml:space="preserve"> IUA provisionales</w:t>
      </w:r>
      <w:r w:rsidR="004B32C1">
        <w:t xml:space="preserve">, la </w:t>
      </w:r>
      <w:r w:rsidR="00837FD6">
        <w:t>Comisión</w:t>
      </w:r>
      <w:r w:rsidR="004B32C1">
        <w:t xml:space="preserve"> decide reponer la decisión y reconocer los activos de la tabla presentada.</w:t>
      </w:r>
    </w:p>
    <w:p w14:paraId="4AA18A07" w14:textId="34824818" w:rsidR="002967E7" w:rsidRDefault="009D64BE" w:rsidP="00470705">
      <w:pPr>
        <w:spacing w:before="100" w:beforeAutospacing="1" w:after="100" w:afterAutospacing="1"/>
      </w:pPr>
      <w:r>
        <w:t>Respecto al literal c</w:t>
      </w:r>
      <w:r w:rsidR="00086640">
        <w:t xml:space="preserve">, </w:t>
      </w:r>
      <w:r w:rsidR="009F23A1">
        <w:t xml:space="preserve">los siguientes IUA provisionales extraídos del archivo </w:t>
      </w:r>
      <w:r w:rsidR="009F23A1" w:rsidRPr="00D53C58">
        <w:rPr>
          <w:i/>
          <w:iCs/>
        </w:rPr>
        <w:t>“Prueba N.7 Documento Detalle Errores CREG”</w:t>
      </w:r>
      <w:r w:rsidR="009F23A1">
        <w:rPr>
          <w:i/>
          <w:iCs/>
        </w:rPr>
        <w:t xml:space="preserve"> </w:t>
      </w:r>
      <w:r w:rsidR="009F23A1">
        <w:t>de la hoja casos 3</w:t>
      </w:r>
      <w:r w:rsidR="00F87C8D">
        <w:t>,</w:t>
      </w:r>
      <w:r w:rsidR="009F23A1">
        <w:t xml:space="preserve"> </w:t>
      </w:r>
      <w:r w:rsidR="00294772">
        <w:t xml:space="preserve">presentan la observación </w:t>
      </w:r>
      <w:r w:rsidR="0071113C" w:rsidRPr="0071113C">
        <w:rPr>
          <w:i/>
          <w:iCs/>
        </w:rPr>
        <w:t>“La UUCC se ajusta a lo indicado en el literal "f" del numeral 14.2 Res. 015 de 2018</w:t>
      </w:r>
      <w:r w:rsidR="0071113C">
        <w:rPr>
          <w:i/>
          <w:iCs/>
        </w:rPr>
        <w:t>.</w:t>
      </w:r>
      <w:r w:rsidR="0071113C" w:rsidRPr="0071113C">
        <w:rPr>
          <w:i/>
          <w:iCs/>
        </w:rPr>
        <w:t>”</w:t>
      </w:r>
      <w:r w:rsidR="0071113C">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2410"/>
        <w:gridCol w:w="716"/>
        <w:gridCol w:w="1579"/>
        <w:gridCol w:w="1527"/>
      </w:tblGrid>
      <w:tr w:rsidR="00977AEB" w:rsidRPr="00977AEB" w14:paraId="3DE3BDCB" w14:textId="77777777" w:rsidTr="009C66F0">
        <w:trPr>
          <w:trHeight w:val="300"/>
          <w:tblHeader/>
        </w:trPr>
        <w:tc>
          <w:tcPr>
            <w:tcW w:w="3114" w:type="dxa"/>
            <w:shd w:val="clear" w:color="auto" w:fill="auto"/>
            <w:noWrap/>
            <w:vAlign w:val="center"/>
            <w:hideMark/>
          </w:tcPr>
          <w:p w14:paraId="67CE625C" w14:textId="77777777" w:rsidR="00977AEB" w:rsidRPr="00977AEB" w:rsidRDefault="00977AEB" w:rsidP="00470705">
            <w:pPr>
              <w:spacing w:before="100" w:beforeAutospacing="1" w:after="100" w:afterAutospacing="1"/>
              <w:jc w:val="center"/>
              <w:rPr>
                <w:rFonts w:cs="Calibri"/>
                <w:b/>
                <w:bCs/>
                <w:color w:val="000000"/>
                <w:sz w:val="20"/>
                <w:szCs w:val="20"/>
                <w:lang w:eastAsia="es-MX"/>
              </w:rPr>
            </w:pPr>
            <w:r w:rsidRPr="00977AEB">
              <w:rPr>
                <w:rFonts w:cs="Calibri"/>
                <w:b/>
                <w:bCs/>
                <w:color w:val="000000"/>
                <w:sz w:val="20"/>
                <w:szCs w:val="20"/>
                <w:lang w:eastAsia="es-MX"/>
              </w:rPr>
              <w:t>Código proyecto</w:t>
            </w:r>
          </w:p>
        </w:tc>
        <w:tc>
          <w:tcPr>
            <w:tcW w:w="2410" w:type="dxa"/>
            <w:shd w:val="clear" w:color="auto" w:fill="auto"/>
            <w:noWrap/>
            <w:vAlign w:val="center"/>
            <w:hideMark/>
          </w:tcPr>
          <w:p w14:paraId="73A047E6" w14:textId="77777777" w:rsidR="00977AEB" w:rsidRPr="00977AEB" w:rsidRDefault="00977AEB" w:rsidP="00470705">
            <w:pPr>
              <w:spacing w:before="100" w:beforeAutospacing="1" w:after="100" w:afterAutospacing="1"/>
              <w:jc w:val="center"/>
              <w:rPr>
                <w:rFonts w:cs="Calibri"/>
                <w:b/>
                <w:bCs/>
                <w:color w:val="000000"/>
                <w:sz w:val="20"/>
                <w:szCs w:val="20"/>
                <w:lang w:eastAsia="es-MX"/>
              </w:rPr>
            </w:pPr>
            <w:r w:rsidRPr="00977AEB">
              <w:rPr>
                <w:rFonts w:cs="Calibri"/>
                <w:b/>
                <w:bCs/>
                <w:color w:val="000000"/>
                <w:sz w:val="20"/>
                <w:szCs w:val="20"/>
                <w:lang w:eastAsia="es-MX"/>
              </w:rPr>
              <w:t>IUA provisional</w:t>
            </w:r>
          </w:p>
        </w:tc>
        <w:tc>
          <w:tcPr>
            <w:tcW w:w="716" w:type="dxa"/>
            <w:shd w:val="clear" w:color="auto" w:fill="auto"/>
            <w:noWrap/>
            <w:vAlign w:val="center"/>
            <w:hideMark/>
          </w:tcPr>
          <w:p w14:paraId="66F332A5" w14:textId="77777777" w:rsidR="00977AEB" w:rsidRPr="00977AEB" w:rsidRDefault="00977AEB" w:rsidP="00470705">
            <w:pPr>
              <w:spacing w:before="100" w:beforeAutospacing="1" w:after="100" w:afterAutospacing="1"/>
              <w:jc w:val="center"/>
              <w:rPr>
                <w:rFonts w:cs="Calibri"/>
                <w:b/>
                <w:bCs/>
                <w:color w:val="000000"/>
                <w:sz w:val="20"/>
                <w:szCs w:val="20"/>
                <w:lang w:eastAsia="es-MX"/>
              </w:rPr>
            </w:pPr>
            <w:r w:rsidRPr="00977AEB">
              <w:rPr>
                <w:rFonts w:cs="Calibri"/>
                <w:b/>
                <w:bCs/>
                <w:color w:val="000000"/>
                <w:sz w:val="20"/>
                <w:szCs w:val="20"/>
                <w:lang w:eastAsia="es-MX"/>
              </w:rPr>
              <w:t>IUS</w:t>
            </w:r>
          </w:p>
        </w:tc>
        <w:tc>
          <w:tcPr>
            <w:tcW w:w="1579" w:type="dxa"/>
            <w:shd w:val="clear" w:color="auto" w:fill="auto"/>
            <w:noWrap/>
            <w:vAlign w:val="center"/>
            <w:hideMark/>
          </w:tcPr>
          <w:p w14:paraId="1AEAD9F5" w14:textId="77777777" w:rsidR="00977AEB" w:rsidRPr="00977AEB" w:rsidRDefault="00977AEB" w:rsidP="00470705">
            <w:pPr>
              <w:spacing w:before="100" w:beforeAutospacing="1" w:after="100" w:afterAutospacing="1"/>
              <w:jc w:val="center"/>
              <w:rPr>
                <w:rFonts w:cs="Calibri"/>
                <w:b/>
                <w:bCs/>
                <w:color w:val="000000"/>
                <w:sz w:val="20"/>
                <w:szCs w:val="20"/>
                <w:lang w:eastAsia="es-MX"/>
              </w:rPr>
            </w:pPr>
            <w:r w:rsidRPr="00977AEB">
              <w:rPr>
                <w:rFonts w:cs="Calibri"/>
                <w:b/>
                <w:bCs/>
                <w:color w:val="000000"/>
                <w:sz w:val="20"/>
                <w:szCs w:val="20"/>
                <w:lang w:eastAsia="es-MX"/>
              </w:rPr>
              <w:t>Unidad Constructiva</w:t>
            </w:r>
          </w:p>
        </w:tc>
        <w:tc>
          <w:tcPr>
            <w:tcW w:w="1527" w:type="dxa"/>
            <w:shd w:val="clear" w:color="auto" w:fill="auto"/>
            <w:noWrap/>
            <w:vAlign w:val="center"/>
            <w:hideMark/>
          </w:tcPr>
          <w:p w14:paraId="3EB842B4" w14:textId="77777777" w:rsidR="00977AEB" w:rsidRPr="00977AEB" w:rsidRDefault="00977AEB" w:rsidP="00470705">
            <w:pPr>
              <w:spacing w:before="100" w:beforeAutospacing="1" w:after="100" w:afterAutospacing="1"/>
              <w:jc w:val="center"/>
              <w:rPr>
                <w:rFonts w:cs="Calibri"/>
                <w:b/>
                <w:bCs/>
                <w:color w:val="000000"/>
                <w:sz w:val="20"/>
                <w:szCs w:val="20"/>
                <w:lang w:eastAsia="es-MX"/>
              </w:rPr>
            </w:pPr>
            <w:r w:rsidRPr="00977AEB">
              <w:rPr>
                <w:rFonts w:cs="Calibri"/>
                <w:b/>
                <w:bCs/>
                <w:color w:val="000000"/>
                <w:sz w:val="20"/>
                <w:szCs w:val="20"/>
                <w:lang w:eastAsia="es-MX"/>
              </w:rPr>
              <w:t>Año entrada operación</w:t>
            </w:r>
          </w:p>
        </w:tc>
      </w:tr>
      <w:tr w:rsidR="00977AEB" w:rsidRPr="00977AEB" w14:paraId="66C66330" w14:textId="77777777" w:rsidTr="009C66F0">
        <w:trPr>
          <w:trHeight w:val="300"/>
        </w:trPr>
        <w:tc>
          <w:tcPr>
            <w:tcW w:w="3114" w:type="dxa"/>
            <w:shd w:val="clear" w:color="auto" w:fill="auto"/>
            <w:noWrap/>
            <w:vAlign w:val="center"/>
            <w:hideMark/>
          </w:tcPr>
          <w:p w14:paraId="64F4FCBF" w14:textId="77777777" w:rsidR="00977AEB" w:rsidRPr="00977AEB" w:rsidRDefault="00977AEB" w:rsidP="00470705">
            <w:pPr>
              <w:spacing w:before="100" w:beforeAutospacing="1" w:after="100" w:afterAutospacing="1"/>
              <w:jc w:val="center"/>
              <w:rPr>
                <w:rFonts w:cs="Calibri"/>
                <w:color w:val="000000"/>
                <w:sz w:val="20"/>
                <w:szCs w:val="20"/>
                <w:lang w:val="en-US" w:eastAsia="es-MX"/>
              </w:rPr>
            </w:pPr>
            <w:r w:rsidRPr="00977AEB">
              <w:rPr>
                <w:rFonts w:cs="Calibri"/>
                <w:color w:val="000000"/>
                <w:sz w:val="20"/>
                <w:szCs w:val="20"/>
                <w:lang w:val="en-US" w:eastAsia="es-MX"/>
              </w:rPr>
              <w:t>CELSIATOL-EXP-SUB-TULUNI-TF4-2023</w:t>
            </w:r>
          </w:p>
        </w:tc>
        <w:tc>
          <w:tcPr>
            <w:tcW w:w="2410" w:type="dxa"/>
            <w:shd w:val="clear" w:color="auto" w:fill="auto"/>
            <w:noWrap/>
            <w:vAlign w:val="center"/>
            <w:hideMark/>
          </w:tcPr>
          <w:p w14:paraId="259109B9"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10068007F000</w:t>
            </w:r>
          </w:p>
        </w:tc>
        <w:tc>
          <w:tcPr>
            <w:tcW w:w="716" w:type="dxa"/>
            <w:shd w:val="clear" w:color="auto" w:fill="auto"/>
            <w:noWrap/>
            <w:vAlign w:val="center"/>
            <w:hideMark/>
          </w:tcPr>
          <w:p w14:paraId="482ECBFC"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0068</w:t>
            </w:r>
          </w:p>
        </w:tc>
        <w:tc>
          <w:tcPr>
            <w:tcW w:w="1579" w:type="dxa"/>
            <w:shd w:val="clear" w:color="auto" w:fill="auto"/>
            <w:noWrap/>
            <w:vAlign w:val="center"/>
            <w:hideMark/>
          </w:tcPr>
          <w:p w14:paraId="46544ADA"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N0P5</w:t>
            </w:r>
          </w:p>
        </w:tc>
        <w:tc>
          <w:tcPr>
            <w:tcW w:w="1527" w:type="dxa"/>
            <w:shd w:val="clear" w:color="auto" w:fill="auto"/>
            <w:noWrap/>
            <w:vAlign w:val="center"/>
            <w:hideMark/>
          </w:tcPr>
          <w:p w14:paraId="2AC871E7"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2023</w:t>
            </w:r>
          </w:p>
        </w:tc>
      </w:tr>
      <w:tr w:rsidR="00977AEB" w:rsidRPr="00977AEB" w14:paraId="2D8D5A25" w14:textId="77777777" w:rsidTr="009C66F0">
        <w:trPr>
          <w:trHeight w:val="300"/>
        </w:trPr>
        <w:tc>
          <w:tcPr>
            <w:tcW w:w="3114" w:type="dxa"/>
            <w:shd w:val="clear" w:color="auto" w:fill="auto"/>
            <w:noWrap/>
            <w:vAlign w:val="center"/>
            <w:hideMark/>
          </w:tcPr>
          <w:p w14:paraId="63D81216" w14:textId="77777777" w:rsidR="00977AEB" w:rsidRPr="00977AEB" w:rsidRDefault="00977AEB" w:rsidP="00470705">
            <w:pPr>
              <w:spacing w:before="100" w:beforeAutospacing="1" w:after="100" w:afterAutospacing="1"/>
              <w:jc w:val="center"/>
              <w:rPr>
                <w:rFonts w:cs="Calibri"/>
                <w:color w:val="000000"/>
                <w:sz w:val="20"/>
                <w:szCs w:val="20"/>
                <w:lang w:val="en-US" w:eastAsia="es-MX"/>
              </w:rPr>
            </w:pPr>
            <w:r w:rsidRPr="00977AEB">
              <w:rPr>
                <w:rFonts w:cs="Calibri"/>
                <w:color w:val="000000"/>
                <w:sz w:val="20"/>
                <w:szCs w:val="20"/>
                <w:lang w:val="en-US" w:eastAsia="es-MX"/>
              </w:rPr>
              <w:t>CELSIATOL-EXP-SUB-TULUNI-TF4-2023</w:t>
            </w:r>
          </w:p>
        </w:tc>
        <w:tc>
          <w:tcPr>
            <w:tcW w:w="2410" w:type="dxa"/>
            <w:shd w:val="clear" w:color="auto" w:fill="auto"/>
            <w:noWrap/>
            <w:vAlign w:val="center"/>
            <w:hideMark/>
          </w:tcPr>
          <w:p w14:paraId="733AB42D"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10068007G000</w:t>
            </w:r>
          </w:p>
        </w:tc>
        <w:tc>
          <w:tcPr>
            <w:tcW w:w="716" w:type="dxa"/>
            <w:shd w:val="clear" w:color="auto" w:fill="auto"/>
            <w:noWrap/>
            <w:vAlign w:val="center"/>
            <w:hideMark/>
          </w:tcPr>
          <w:p w14:paraId="2E1F088D"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0068</w:t>
            </w:r>
          </w:p>
        </w:tc>
        <w:tc>
          <w:tcPr>
            <w:tcW w:w="1579" w:type="dxa"/>
            <w:shd w:val="clear" w:color="auto" w:fill="auto"/>
            <w:noWrap/>
            <w:vAlign w:val="center"/>
            <w:hideMark/>
          </w:tcPr>
          <w:p w14:paraId="7797D9C4"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N0P5</w:t>
            </w:r>
          </w:p>
        </w:tc>
        <w:tc>
          <w:tcPr>
            <w:tcW w:w="1527" w:type="dxa"/>
            <w:shd w:val="clear" w:color="auto" w:fill="auto"/>
            <w:noWrap/>
            <w:vAlign w:val="center"/>
            <w:hideMark/>
          </w:tcPr>
          <w:p w14:paraId="178A3E86"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2023</w:t>
            </w:r>
          </w:p>
        </w:tc>
      </w:tr>
      <w:tr w:rsidR="00977AEB" w:rsidRPr="00977AEB" w14:paraId="55E322BC" w14:textId="77777777" w:rsidTr="009C66F0">
        <w:trPr>
          <w:trHeight w:val="300"/>
        </w:trPr>
        <w:tc>
          <w:tcPr>
            <w:tcW w:w="3114" w:type="dxa"/>
            <w:shd w:val="clear" w:color="auto" w:fill="auto"/>
            <w:noWrap/>
            <w:vAlign w:val="center"/>
            <w:hideMark/>
          </w:tcPr>
          <w:p w14:paraId="22C81183" w14:textId="77777777" w:rsidR="00977AEB" w:rsidRPr="00977AEB" w:rsidRDefault="00977AEB" w:rsidP="00470705">
            <w:pPr>
              <w:spacing w:before="100" w:beforeAutospacing="1" w:after="100" w:afterAutospacing="1"/>
              <w:jc w:val="center"/>
              <w:rPr>
                <w:rFonts w:cs="Calibri"/>
                <w:color w:val="000000"/>
                <w:sz w:val="20"/>
                <w:szCs w:val="20"/>
                <w:lang w:val="en-US" w:eastAsia="es-MX"/>
              </w:rPr>
            </w:pPr>
            <w:r w:rsidRPr="00977AEB">
              <w:rPr>
                <w:rFonts w:cs="Calibri"/>
                <w:color w:val="000000"/>
                <w:sz w:val="20"/>
                <w:szCs w:val="20"/>
                <w:lang w:val="en-US" w:eastAsia="es-MX"/>
              </w:rPr>
              <w:t>CELSIATOL-EXP-SUB-TULUNI-TF4-2023</w:t>
            </w:r>
          </w:p>
        </w:tc>
        <w:tc>
          <w:tcPr>
            <w:tcW w:w="2410" w:type="dxa"/>
            <w:shd w:val="clear" w:color="auto" w:fill="auto"/>
            <w:noWrap/>
            <w:vAlign w:val="center"/>
            <w:hideMark/>
          </w:tcPr>
          <w:p w14:paraId="7054A0C9"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10068007H000</w:t>
            </w:r>
          </w:p>
        </w:tc>
        <w:tc>
          <w:tcPr>
            <w:tcW w:w="716" w:type="dxa"/>
            <w:shd w:val="clear" w:color="auto" w:fill="auto"/>
            <w:noWrap/>
            <w:vAlign w:val="center"/>
            <w:hideMark/>
          </w:tcPr>
          <w:p w14:paraId="79A922D2"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0068</w:t>
            </w:r>
          </w:p>
        </w:tc>
        <w:tc>
          <w:tcPr>
            <w:tcW w:w="1579" w:type="dxa"/>
            <w:shd w:val="clear" w:color="auto" w:fill="auto"/>
            <w:noWrap/>
            <w:vAlign w:val="center"/>
            <w:hideMark/>
          </w:tcPr>
          <w:p w14:paraId="68A9D064"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N0P5</w:t>
            </w:r>
          </w:p>
        </w:tc>
        <w:tc>
          <w:tcPr>
            <w:tcW w:w="1527" w:type="dxa"/>
            <w:shd w:val="clear" w:color="auto" w:fill="auto"/>
            <w:noWrap/>
            <w:vAlign w:val="center"/>
            <w:hideMark/>
          </w:tcPr>
          <w:p w14:paraId="55AC8124"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2023</w:t>
            </w:r>
          </w:p>
        </w:tc>
      </w:tr>
      <w:tr w:rsidR="00977AEB" w:rsidRPr="00977AEB" w14:paraId="1B270054" w14:textId="77777777" w:rsidTr="009C66F0">
        <w:trPr>
          <w:trHeight w:val="300"/>
        </w:trPr>
        <w:tc>
          <w:tcPr>
            <w:tcW w:w="3114" w:type="dxa"/>
            <w:shd w:val="clear" w:color="auto" w:fill="auto"/>
            <w:noWrap/>
            <w:vAlign w:val="center"/>
            <w:hideMark/>
          </w:tcPr>
          <w:p w14:paraId="05B86C47" w14:textId="77777777" w:rsidR="00977AEB" w:rsidRPr="00977AEB" w:rsidRDefault="00977AEB" w:rsidP="00470705">
            <w:pPr>
              <w:spacing w:before="100" w:beforeAutospacing="1" w:after="100" w:afterAutospacing="1"/>
              <w:jc w:val="center"/>
              <w:rPr>
                <w:rFonts w:cs="Calibri"/>
                <w:color w:val="000000"/>
                <w:sz w:val="20"/>
                <w:szCs w:val="20"/>
                <w:lang w:val="en-US" w:eastAsia="es-MX"/>
              </w:rPr>
            </w:pPr>
            <w:r w:rsidRPr="00977AEB">
              <w:rPr>
                <w:rFonts w:cs="Calibri"/>
                <w:color w:val="000000"/>
                <w:sz w:val="20"/>
                <w:szCs w:val="20"/>
                <w:lang w:val="en-US" w:eastAsia="es-MX"/>
              </w:rPr>
              <w:t>CELSIATOL-EXP-SUB-TULUNI-TF4-2023</w:t>
            </w:r>
          </w:p>
        </w:tc>
        <w:tc>
          <w:tcPr>
            <w:tcW w:w="2410" w:type="dxa"/>
            <w:shd w:val="clear" w:color="auto" w:fill="auto"/>
            <w:noWrap/>
            <w:vAlign w:val="center"/>
            <w:hideMark/>
          </w:tcPr>
          <w:p w14:paraId="0F1E9B70"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10068007I000</w:t>
            </w:r>
          </w:p>
        </w:tc>
        <w:tc>
          <w:tcPr>
            <w:tcW w:w="716" w:type="dxa"/>
            <w:shd w:val="clear" w:color="auto" w:fill="auto"/>
            <w:noWrap/>
            <w:vAlign w:val="center"/>
            <w:hideMark/>
          </w:tcPr>
          <w:p w14:paraId="243DE1A5"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0068</w:t>
            </w:r>
          </w:p>
        </w:tc>
        <w:tc>
          <w:tcPr>
            <w:tcW w:w="1579" w:type="dxa"/>
            <w:shd w:val="clear" w:color="auto" w:fill="auto"/>
            <w:noWrap/>
            <w:vAlign w:val="center"/>
            <w:hideMark/>
          </w:tcPr>
          <w:p w14:paraId="75063521"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N0P5</w:t>
            </w:r>
          </w:p>
        </w:tc>
        <w:tc>
          <w:tcPr>
            <w:tcW w:w="1527" w:type="dxa"/>
            <w:shd w:val="clear" w:color="auto" w:fill="auto"/>
            <w:noWrap/>
            <w:vAlign w:val="center"/>
            <w:hideMark/>
          </w:tcPr>
          <w:p w14:paraId="0A312A0E"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2023</w:t>
            </w:r>
          </w:p>
        </w:tc>
      </w:tr>
      <w:tr w:rsidR="00977AEB" w:rsidRPr="00977AEB" w14:paraId="05E1D6F7" w14:textId="77777777" w:rsidTr="009C66F0">
        <w:trPr>
          <w:trHeight w:val="300"/>
        </w:trPr>
        <w:tc>
          <w:tcPr>
            <w:tcW w:w="3114" w:type="dxa"/>
            <w:shd w:val="clear" w:color="auto" w:fill="auto"/>
            <w:noWrap/>
            <w:vAlign w:val="center"/>
            <w:hideMark/>
          </w:tcPr>
          <w:p w14:paraId="4244548E"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E-SUB-PORV</w:t>
            </w:r>
          </w:p>
        </w:tc>
        <w:tc>
          <w:tcPr>
            <w:tcW w:w="2410" w:type="dxa"/>
            <w:shd w:val="clear" w:color="auto" w:fill="auto"/>
            <w:noWrap/>
            <w:vAlign w:val="center"/>
            <w:hideMark/>
          </w:tcPr>
          <w:p w14:paraId="526CB4B6"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10091005A000</w:t>
            </w:r>
          </w:p>
        </w:tc>
        <w:tc>
          <w:tcPr>
            <w:tcW w:w="716" w:type="dxa"/>
            <w:shd w:val="clear" w:color="auto" w:fill="auto"/>
            <w:noWrap/>
            <w:vAlign w:val="center"/>
            <w:hideMark/>
          </w:tcPr>
          <w:p w14:paraId="2F5D7DE3"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0091</w:t>
            </w:r>
          </w:p>
        </w:tc>
        <w:tc>
          <w:tcPr>
            <w:tcW w:w="1579" w:type="dxa"/>
            <w:shd w:val="clear" w:color="auto" w:fill="auto"/>
            <w:noWrap/>
            <w:vAlign w:val="center"/>
            <w:hideMark/>
          </w:tcPr>
          <w:p w14:paraId="30B34A27"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N0P4</w:t>
            </w:r>
          </w:p>
        </w:tc>
        <w:tc>
          <w:tcPr>
            <w:tcW w:w="1527" w:type="dxa"/>
            <w:shd w:val="clear" w:color="auto" w:fill="auto"/>
            <w:noWrap/>
            <w:vAlign w:val="center"/>
            <w:hideMark/>
          </w:tcPr>
          <w:p w14:paraId="69308817"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2024</w:t>
            </w:r>
          </w:p>
        </w:tc>
      </w:tr>
      <w:tr w:rsidR="00977AEB" w:rsidRPr="00977AEB" w14:paraId="2CDC88CC" w14:textId="77777777" w:rsidTr="009C66F0">
        <w:trPr>
          <w:trHeight w:val="300"/>
        </w:trPr>
        <w:tc>
          <w:tcPr>
            <w:tcW w:w="3114" w:type="dxa"/>
            <w:shd w:val="clear" w:color="auto" w:fill="auto"/>
            <w:noWrap/>
            <w:vAlign w:val="center"/>
            <w:hideMark/>
          </w:tcPr>
          <w:p w14:paraId="440077D4"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E-SUB-PORV</w:t>
            </w:r>
          </w:p>
        </w:tc>
        <w:tc>
          <w:tcPr>
            <w:tcW w:w="2410" w:type="dxa"/>
            <w:shd w:val="clear" w:color="auto" w:fill="auto"/>
            <w:noWrap/>
            <w:vAlign w:val="center"/>
            <w:hideMark/>
          </w:tcPr>
          <w:p w14:paraId="6101DF66"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10091005B000</w:t>
            </w:r>
          </w:p>
        </w:tc>
        <w:tc>
          <w:tcPr>
            <w:tcW w:w="716" w:type="dxa"/>
            <w:shd w:val="clear" w:color="auto" w:fill="auto"/>
            <w:noWrap/>
            <w:vAlign w:val="center"/>
            <w:hideMark/>
          </w:tcPr>
          <w:p w14:paraId="1FE42EAA"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0091</w:t>
            </w:r>
          </w:p>
        </w:tc>
        <w:tc>
          <w:tcPr>
            <w:tcW w:w="1579" w:type="dxa"/>
            <w:shd w:val="clear" w:color="auto" w:fill="auto"/>
            <w:noWrap/>
            <w:vAlign w:val="center"/>
            <w:hideMark/>
          </w:tcPr>
          <w:p w14:paraId="0FDEE4BC"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N0P4</w:t>
            </w:r>
          </w:p>
        </w:tc>
        <w:tc>
          <w:tcPr>
            <w:tcW w:w="1527" w:type="dxa"/>
            <w:shd w:val="clear" w:color="auto" w:fill="auto"/>
            <w:noWrap/>
            <w:vAlign w:val="center"/>
            <w:hideMark/>
          </w:tcPr>
          <w:p w14:paraId="74F9C3E1"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2024</w:t>
            </w:r>
          </w:p>
        </w:tc>
      </w:tr>
      <w:tr w:rsidR="00977AEB" w:rsidRPr="00977AEB" w14:paraId="5ABD04EA" w14:textId="77777777" w:rsidTr="009C66F0">
        <w:trPr>
          <w:trHeight w:val="300"/>
        </w:trPr>
        <w:tc>
          <w:tcPr>
            <w:tcW w:w="3114" w:type="dxa"/>
            <w:shd w:val="clear" w:color="auto" w:fill="auto"/>
            <w:noWrap/>
            <w:vAlign w:val="center"/>
            <w:hideMark/>
          </w:tcPr>
          <w:p w14:paraId="2378CFE8"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E-SUB-PORV</w:t>
            </w:r>
          </w:p>
        </w:tc>
        <w:tc>
          <w:tcPr>
            <w:tcW w:w="2410" w:type="dxa"/>
            <w:shd w:val="clear" w:color="auto" w:fill="auto"/>
            <w:noWrap/>
            <w:vAlign w:val="center"/>
            <w:hideMark/>
          </w:tcPr>
          <w:p w14:paraId="6CCCA9EE"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10091005C000</w:t>
            </w:r>
          </w:p>
        </w:tc>
        <w:tc>
          <w:tcPr>
            <w:tcW w:w="716" w:type="dxa"/>
            <w:shd w:val="clear" w:color="auto" w:fill="auto"/>
            <w:noWrap/>
            <w:vAlign w:val="center"/>
            <w:hideMark/>
          </w:tcPr>
          <w:p w14:paraId="02A00793"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0091</w:t>
            </w:r>
          </w:p>
        </w:tc>
        <w:tc>
          <w:tcPr>
            <w:tcW w:w="1579" w:type="dxa"/>
            <w:shd w:val="clear" w:color="auto" w:fill="auto"/>
            <w:noWrap/>
            <w:vAlign w:val="center"/>
            <w:hideMark/>
          </w:tcPr>
          <w:p w14:paraId="504F4C79"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N0P4</w:t>
            </w:r>
          </w:p>
        </w:tc>
        <w:tc>
          <w:tcPr>
            <w:tcW w:w="1527" w:type="dxa"/>
            <w:shd w:val="clear" w:color="auto" w:fill="auto"/>
            <w:noWrap/>
            <w:vAlign w:val="center"/>
            <w:hideMark/>
          </w:tcPr>
          <w:p w14:paraId="0D358F09"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2024</w:t>
            </w:r>
          </w:p>
        </w:tc>
      </w:tr>
      <w:tr w:rsidR="00977AEB" w:rsidRPr="00977AEB" w14:paraId="56E5FC8E" w14:textId="77777777" w:rsidTr="009C66F0">
        <w:trPr>
          <w:trHeight w:val="300"/>
        </w:trPr>
        <w:tc>
          <w:tcPr>
            <w:tcW w:w="3114" w:type="dxa"/>
            <w:shd w:val="clear" w:color="auto" w:fill="auto"/>
            <w:noWrap/>
            <w:vAlign w:val="center"/>
            <w:hideMark/>
          </w:tcPr>
          <w:p w14:paraId="20726B23"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E-SUB-PORV</w:t>
            </w:r>
          </w:p>
        </w:tc>
        <w:tc>
          <w:tcPr>
            <w:tcW w:w="2410" w:type="dxa"/>
            <w:shd w:val="clear" w:color="auto" w:fill="auto"/>
            <w:noWrap/>
            <w:vAlign w:val="center"/>
            <w:hideMark/>
          </w:tcPr>
          <w:p w14:paraId="6084E74B"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10091005D000</w:t>
            </w:r>
          </w:p>
        </w:tc>
        <w:tc>
          <w:tcPr>
            <w:tcW w:w="716" w:type="dxa"/>
            <w:shd w:val="clear" w:color="auto" w:fill="auto"/>
            <w:noWrap/>
            <w:vAlign w:val="center"/>
            <w:hideMark/>
          </w:tcPr>
          <w:p w14:paraId="65AA1052"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0091</w:t>
            </w:r>
          </w:p>
        </w:tc>
        <w:tc>
          <w:tcPr>
            <w:tcW w:w="1579" w:type="dxa"/>
            <w:shd w:val="clear" w:color="auto" w:fill="auto"/>
            <w:noWrap/>
            <w:vAlign w:val="center"/>
            <w:hideMark/>
          </w:tcPr>
          <w:p w14:paraId="4840FF18"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N0P4</w:t>
            </w:r>
          </w:p>
        </w:tc>
        <w:tc>
          <w:tcPr>
            <w:tcW w:w="1527" w:type="dxa"/>
            <w:shd w:val="clear" w:color="auto" w:fill="auto"/>
            <w:noWrap/>
            <w:vAlign w:val="center"/>
            <w:hideMark/>
          </w:tcPr>
          <w:p w14:paraId="00870561"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2024</w:t>
            </w:r>
          </w:p>
        </w:tc>
      </w:tr>
      <w:tr w:rsidR="00977AEB" w:rsidRPr="00977AEB" w14:paraId="6412E333" w14:textId="77777777" w:rsidTr="009C66F0">
        <w:trPr>
          <w:trHeight w:val="300"/>
        </w:trPr>
        <w:tc>
          <w:tcPr>
            <w:tcW w:w="3114" w:type="dxa"/>
            <w:shd w:val="clear" w:color="auto" w:fill="auto"/>
            <w:noWrap/>
            <w:vAlign w:val="center"/>
            <w:hideMark/>
          </w:tcPr>
          <w:p w14:paraId="5016B4C5"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E-SUB-PORV</w:t>
            </w:r>
          </w:p>
        </w:tc>
        <w:tc>
          <w:tcPr>
            <w:tcW w:w="2410" w:type="dxa"/>
            <w:shd w:val="clear" w:color="auto" w:fill="auto"/>
            <w:noWrap/>
            <w:vAlign w:val="center"/>
            <w:hideMark/>
          </w:tcPr>
          <w:p w14:paraId="1221BF10"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10091005E000</w:t>
            </w:r>
          </w:p>
        </w:tc>
        <w:tc>
          <w:tcPr>
            <w:tcW w:w="716" w:type="dxa"/>
            <w:shd w:val="clear" w:color="auto" w:fill="auto"/>
            <w:noWrap/>
            <w:vAlign w:val="center"/>
            <w:hideMark/>
          </w:tcPr>
          <w:p w14:paraId="33AB85F4"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0091</w:t>
            </w:r>
          </w:p>
        </w:tc>
        <w:tc>
          <w:tcPr>
            <w:tcW w:w="1579" w:type="dxa"/>
            <w:shd w:val="clear" w:color="auto" w:fill="auto"/>
            <w:noWrap/>
            <w:vAlign w:val="center"/>
            <w:hideMark/>
          </w:tcPr>
          <w:p w14:paraId="563EC3DF"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N0P4</w:t>
            </w:r>
          </w:p>
        </w:tc>
        <w:tc>
          <w:tcPr>
            <w:tcW w:w="1527" w:type="dxa"/>
            <w:shd w:val="clear" w:color="auto" w:fill="auto"/>
            <w:noWrap/>
            <w:vAlign w:val="center"/>
            <w:hideMark/>
          </w:tcPr>
          <w:p w14:paraId="40ED20DF"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2024</w:t>
            </w:r>
          </w:p>
        </w:tc>
      </w:tr>
      <w:tr w:rsidR="00977AEB" w:rsidRPr="00977AEB" w14:paraId="5515FE23" w14:textId="77777777" w:rsidTr="009C66F0">
        <w:trPr>
          <w:trHeight w:val="300"/>
        </w:trPr>
        <w:tc>
          <w:tcPr>
            <w:tcW w:w="3114" w:type="dxa"/>
            <w:shd w:val="clear" w:color="auto" w:fill="auto"/>
            <w:noWrap/>
            <w:vAlign w:val="center"/>
            <w:hideMark/>
          </w:tcPr>
          <w:p w14:paraId="43A313B6"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E-SUB-PORV</w:t>
            </w:r>
          </w:p>
        </w:tc>
        <w:tc>
          <w:tcPr>
            <w:tcW w:w="2410" w:type="dxa"/>
            <w:shd w:val="clear" w:color="auto" w:fill="auto"/>
            <w:noWrap/>
            <w:vAlign w:val="center"/>
            <w:hideMark/>
          </w:tcPr>
          <w:p w14:paraId="62381471"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10091005F000</w:t>
            </w:r>
          </w:p>
        </w:tc>
        <w:tc>
          <w:tcPr>
            <w:tcW w:w="716" w:type="dxa"/>
            <w:shd w:val="clear" w:color="auto" w:fill="auto"/>
            <w:noWrap/>
            <w:vAlign w:val="center"/>
            <w:hideMark/>
          </w:tcPr>
          <w:p w14:paraId="1C751F66"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0091</w:t>
            </w:r>
          </w:p>
        </w:tc>
        <w:tc>
          <w:tcPr>
            <w:tcW w:w="1579" w:type="dxa"/>
            <w:shd w:val="clear" w:color="auto" w:fill="auto"/>
            <w:noWrap/>
            <w:vAlign w:val="center"/>
            <w:hideMark/>
          </w:tcPr>
          <w:p w14:paraId="5442588E"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N0P4</w:t>
            </w:r>
          </w:p>
        </w:tc>
        <w:tc>
          <w:tcPr>
            <w:tcW w:w="1527" w:type="dxa"/>
            <w:shd w:val="clear" w:color="auto" w:fill="auto"/>
            <w:noWrap/>
            <w:vAlign w:val="center"/>
            <w:hideMark/>
          </w:tcPr>
          <w:p w14:paraId="104C2AE3"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2024</w:t>
            </w:r>
          </w:p>
        </w:tc>
      </w:tr>
      <w:tr w:rsidR="00977AEB" w:rsidRPr="00977AEB" w14:paraId="28CB496F" w14:textId="77777777" w:rsidTr="009C66F0">
        <w:trPr>
          <w:trHeight w:val="300"/>
        </w:trPr>
        <w:tc>
          <w:tcPr>
            <w:tcW w:w="3114" w:type="dxa"/>
            <w:shd w:val="clear" w:color="auto" w:fill="auto"/>
            <w:noWrap/>
            <w:vAlign w:val="center"/>
            <w:hideMark/>
          </w:tcPr>
          <w:p w14:paraId="47C35CFB"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E-SUB-PORV</w:t>
            </w:r>
          </w:p>
        </w:tc>
        <w:tc>
          <w:tcPr>
            <w:tcW w:w="2410" w:type="dxa"/>
            <w:shd w:val="clear" w:color="auto" w:fill="auto"/>
            <w:noWrap/>
            <w:vAlign w:val="center"/>
            <w:hideMark/>
          </w:tcPr>
          <w:p w14:paraId="2CD2E1FA"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10091005G000</w:t>
            </w:r>
          </w:p>
        </w:tc>
        <w:tc>
          <w:tcPr>
            <w:tcW w:w="716" w:type="dxa"/>
            <w:shd w:val="clear" w:color="auto" w:fill="auto"/>
            <w:noWrap/>
            <w:vAlign w:val="center"/>
            <w:hideMark/>
          </w:tcPr>
          <w:p w14:paraId="3133F0AA"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0091</w:t>
            </w:r>
          </w:p>
        </w:tc>
        <w:tc>
          <w:tcPr>
            <w:tcW w:w="1579" w:type="dxa"/>
            <w:shd w:val="clear" w:color="auto" w:fill="auto"/>
            <w:noWrap/>
            <w:vAlign w:val="center"/>
            <w:hideMark/>
          </w:tcPr>
          <w:p w14:paraId="30A4701E"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N0P4</w:t>
            </w:r>
          </w:p>
        </w:tc>
        <w:tc>
          <w:tcPr>
            <w:tcW w:w="1527" w:type="dxa"/>
            <w:shd w:val="clear" w:color="auto" w:fill="auto"/>
            <w:noWrap/>
            <w:vAlign w:val="center"/>
            <w:hideMark/>
          </w:tcPr>
          <w:p w14:paraId="2F6DF7E1"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2024</w:t>
            </w:r>
          </w:p>
        </w:tc>
      </w:tr>
      <w:tr w:rsidR="00977AEB" w:rsidRPr="00977AEB" w14:paraId="5D651C15" w14:textId="77777777" w:rsidTr="009C66F0">
        <w:trPr>
          <w:trHeight w:val="300"/>
        </w:trPr>
        <w:tc>
          <w:tcPr>
            <w:tcW w:w="3114" w:type="dxa"/>
            <w:shd w:val="clear" w:color="auto" w:fill="auto"/>
            <w:noWrap/>
            <w:vAlign w:val="center"/>
            <w:hideMark/>
          </w:tcPr>
          <w:p w14:paraId="19CCE0DF"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E-SUB-PORV</w:t>
            </w:r>
          </w:p>
        </w:tc>
        <w:tc>
          <w:tcPr>
            <w:tcW w:w="2410" w:type="dxa"/>
            <w:shd w:val="clear" w:color="auto" w:fill="auto"/>
            <w:noWrap/>
            <w:vAlign w:val="center"/>
            <w:hideMark/>
          </w:tcPr>
          <w:p w14:paraId="63DB91AB"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10091005H000</w:t>
            </w:r>
          </w:p>
        </w:tc>
        <w:tc>
          <w:tcPr>
            <w:tcW w:w="716" w:type="dxa"/>
            <w:shd w:val="clear" w:color="auto" w:fill="auto"/>
            <w:noWrap/>
            <w:vAlign w:val="center"/>
            <w:hideMark/>
          </w:tcPr>
          <w:p w14:paraId="797031F9"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0091</w:t>
            </w:r>
          </w:p>
        </w:tc>
        <w:tc>
          <w:tcPr>
            <w:tcW w:w="1579" w:type="dxa"/>
            <w:shd w:val="clear" w:color="auto" w:fill="auto"/>
            <w:noWrap/>
            <w:vAlign w:val="center"/>
            <w:hideMark/>
          </w:tcPr>
          <w:p w14:paraId="603A0A07"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N0P4</w:t>
            </w:r>
          </w:p>
        </w:tc>
        <w:tc>
          <w:tcPr>
            <w:tcW w:w="1527" w:type="dxa"/>
            <w:shd w:val="clear" w:color="auto" w:fill="auto"/>
            <w:noWrap/>
            <w:vAlign w:val="center"/>
            <w:hideMark/>
          </w:tcPr>
          <w:p w14:paraId="2D9F9007"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2024</w:t>
            </w:r>
          </w:p>
        </w:tc>
      </w:tr>
      <w:tr w:rsidR="00977AEB" w:rsidRPr="00977AEB" w14:paraId="1E5B819B" w14:textId="77777777" w:rsidTr="009C66F0">
        <w:trPr>
          <w:trHeight w:val="300"/>
        </w:trPr>
        <w:tc>
          <w:tcPr>
            <w:tcW w:w="3114" w:type="dxa"/>
            <w:shd w:val="clear" w:color="auto" w:fill="auto"/>
            <w:noWrap/>
            <w:vAlign w:val="center"/>
            <w:hideMark/>
          </w:tcPr>
          <w:p w14:paraId="0AF32CAC"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CELSIATOL-EXP-SUB-NUEVA-GUALI34.5-2025</w:t>
            </w:r>
          </w:p>
        </w:tc>
        <w:tc>
          <w:tcPr>
            <w:tcW w:w="2410" w:type="dxa"/>
            <w:shd w:val="clear" w:color="auto" w:fill="auto"/>
            <w:noWrap/>
            <w:vAlign w:val="center"/>
            <w:hideMark/>
          </w:tcPr>
          <w:p w14:paraId="2E056A33"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10094002H000</w:t>
            </w:r>
          </w:p>
        </w:tc>
        <w:tc>
          <w:tcPr>
            <w:tcW w:w="716" w:type="dxa"/>
            <w:shd w:val="clear" w:color="auto" w:fill="auto"/>
            <w:noWrap/>
            <w:vAlign w:val="center"/>
            <w:hideMark/>
          </w:tcPr>
          <w:p w14:paraId="20C7E458"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0094</w:t>
            </w:r>
          </w:p>
        </w:tc>
        <w:tc>
          <w:tcPr>
            <w:tcW w:w="1579" w:type="dxa"/>
            <w:shd w:val="clear" w:color="auto" w:fill="auto"/>
            <w:noWrap/>
            <w:vAlign w:val="center"/>
            <w:hideMark/>
          </w:tcPr>
          <w:p w14:paraId="2F8FD831"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N0P5</w:t>
            </w:r>
          </w:p>
        </w:tc>
        <w:tc>
          <w:tcPr>
            <w:tcW w:w="1527" w:type="dxa"/>
            <w:shd w:val="clear" w:color="auto" w:fill="auto"/>
            <w:noWrap/>
            <w:vAlign w:val="center"/>
            <w:hideMark/>
          </w:tcPr>
          <w:p w14:paraId="3C658992"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2023</w:t>
            </w:r>
          </w:p>
        </w:tc>
      </w:tr>
      <w:tr w:rsidR="00977AEB" w:rsidRPr="00977AEB" w14:paraId="33B202AA" w14:textId="77777777" w:rsidTr="009C66F0">
        <w:trPr>
          <w:trHeight w:val="300"/>
        </w:trPr>
        <w:tc>
          <w:tcPr>
            <w:tcW w:w="3114" w:type="dxa"/>
            <w:shd w:val="clear" w:color="auto" w:fill="auto"/>
            <w:noWrap/>
            <w:vAlign w:val="center"/>
            <w:hideMark/>
          </w:tcPr>
          <w:p w14:paraId="3787C970"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CELSIATOL-EXP-SUB-NUEVA-GUALI34.5-2025</w:t>
            </w:r>
          </w:p>
        </w:tc>
        <w:tc>
          <w:tcPr>
            <w:tcW w:w="2410" w:type="dxa"/>
            <w:shd w:val="clear" w:color="auto" w:fill="auto"/>
            <w:noWrap/>
            <w:vAlign w:val="center"/>
            <w:hideMark/>
          </w:tcPr>
          <w:p w14:paraId="6F479504"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10094002I000</w:t>
            </w:r>
          </w:p>
        </w:tc>
        <w:tc>
          <w:tcPr>
            <w:tcW w:w="716" w:type="dxa"/>
            <w:shd w:val="clear" w:color="auto" w:fill="auto"/>
            <w:noWrap/>
            <w:vAlign w:val="center"/>
            <w:hideMark/>
          </w:tcPr>
          <w:p w14:paraId="282CB7A9"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0094</w:t>
            </w:r>
          </w:p>
        </w:tc>
        <w:tc>
          <w:tcPr>
            <w:tcW w:w="1579" w:type="dxa"/>
            <w:shd w:val="clear" w:color="auto" w:fill="auto"/>
            <w:noWrap/>
            <w:vAlign w:val="center"/>
            <w:hideMark/>
          </w:tcPr>
          <w:p w14:paraId="568E95F3"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N0P5</w:t>
            </w:r>
          </w:p>
        </w:tc>
        <w:tc>
          <w:tcPr>
            <w:tcW w:w="1527" w:type="dxa"/>
            <w:shd w:val="clear" w:color="auto" w:fill="auto"/>
            <w:noWrap/>
            <w:vAlign w:val="center"/>
            <w:hideMark/>
          </w:tcPr>
          <w:p w14:paraId="371B7706"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2023</w:t>
            </w:r>
          </w:p>
        </w:tc>
      </w:tr>
      <w:tr w:rsidR="00977AEB" w:rsidRPr="00977AEB" w14:paraId="44062B7D" w14:textId="77777777" w:rsidTr="009C66F0">
        <w:trPr>
          <w:trHeight w:val="300"/>
        </w:trPr>
        <w:tc>
          <w:tcPr>
            <w:tcW w:w="3114" w:type="dxa"/>
            <w:shd w:val="clear" w:color="auto" w:fill="auto"/>
            <w:noWrap/>
            <w:vAlign w:val="center"/>
            <w:hideMark/>
          </w:tcPr>
          <w:p w14:paraId="4F1CF34C"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CELSIATOL-EXP-SUB-NUEVA-GUALI34.5-2025</w:t>
            </w:r>
          </w:p>
        </w:tc>
        <w:tc>
          <w:tcPr>
            <w:tcW w:w="2410" w:type="dxa"/>
            <w:shd w:val="clear" w:color="auto" w:fill="auto"/>
            <w:noWrap/>
            <w:vAlign w:val="center"/>
            <w:hideMark/>
          </w:tcPr>
          <w:p w14:paraId="24AE85A6"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10094002J000</w:t>
            </w:r>
          </w:p>
        </w:tc>
        <w:tc>
          <w:tcPr>
            <w:tcW w:w="716" w:type="dxa"/>
            <w:shd w:val="clear" w:color="auto" w:fill="auto"/>
            <w:noWrap/>
            <w:vAlign w:val="center"/>
            <w:hideMark/>
          </w:tcPr>
          <w:p w14:paraId="5649FF61"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0094</w:t>
            </w:r>
          </w:p>
        </w:tc>
        <w:tc>
          <w:tcPr>
            <w:tcW w:w="1579" w:type="dxa"/>
            <w:shd w:val="clear" w:color="auto" w:fill="auto"/>
            <w:noWrap/>
            <w:vAlign w:val="center"/>
            <w:hideMark/>
          </w:tcPr>
          <w:p w14:paraId="6FD7106A"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N0P5</w:t>
            </w:r>
          </w:p>
        </w:tc>
        <w:tc>
          <w:tcPr>
            <w:tcW w:w="1527" w:type="dxa"/>
            <w:shd w:val="clear" w:color="auto" w:fill="auto"/>
            <w:noWrap/>
            <w:vAlign w:val="center"/>
            <w:hideMark/>
          </w:tcPr>
          <w:p w14:paraId="289DAD18"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2023</w:t>
            </w:r>
          </w:p>
        </w:tc>
      </w:tr>
      <w:tr w:rsidR="00977AEB" w:rsidRPr="00977AEB" w14:paraId="5C6E571A" w14:textId="77777777" w:rsidTr="009C66F0">
        <w:trPr>
          <w:trHeight w:val="300"/>
        </w:trPr>
        <w:tc>
          <w:tcPr>
            <w:tcW w:w="3114" w:type="dxa"/>
            <w:shd w:val="clear" w:color="auto" w:fill="auto"/>
            <w:noWrap/>
            <w:vAlign w:val="center"/>
            <w:hideMark/>
          </w:tcPr>
          <w:p w14:paraId="3BBF35F9"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CELSIATOL-EXP-SUB-NUEVA-GUALI34.5-2025</w:t>
            </w:r>
          </w:p>
        </w:tc>
        <w:tc>
          <w:tcPr>
            <w:tcW w:w="2410" w:type="dxa"/>
            <w:shd w:val="clear" w:color="auto" w:fill="auto"/>
            <w:noWrap/>
            <w:vAlign w:val="center"/>
            <w:hideMark/>
          </w:tcPr>
          <w:p w14:paraId="318669F3"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10094002K000</w:t>
            </w:r>
          </w:p>
        </w:tc>
        <w:tc>
          <w:tcPr>
            <w:tcW w:w="716" w:type="dxa"/>
            <w:shd w:val="clear" w:color="auto" w:fill="auto"/>
            <w:noWrap/>
            <w:vAlign w:val="center"/>
            <w:hideMark/>
          </w:tcPr>
          <w:p w14:paraId="0C9B569D"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0094</w:t>
            </w:r>
          </w:p>
        </w:tc>
        <w:tc>
          <w:tcPr>
            <w:tcW w:w="1579" w:type="dxa"/>
            <w:shd w:val="clear" w:color="auto" w:fill="auto"/>
            <w:noWrap/>
            <w:vAlign w:val="center"/>
            <w:hideMark/>
          </w:tcPr>
          <w:p w14:paraId="3E567584"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N0P5</w:t>
            </w:r>
          </w:p>
        </w:tc>
        <w:tc>
          <w:tcPr>
            <w:tcW w:w="1527" w:type="dxa"/>
            <w:shd w:val="clear" w:color="auto" w:fill="auto"/>
            <w:noWrap/>
            <w:vAlign w:val="center"/>
            <w:hideMark/>
          </w:tcPr>
          <w:p w14:paraId="15E71070"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2023</w:t>
            </w:r>
          </w:p>
        </w:tc>
      </w:tr>
      <w:tr w:rsidR="00977AEB" w:rsidRPr="00977AEB" w14:paraId="0C250EC6" w14:textId="77777777" w:rsidTr="009C66F0">
        <w:trPr>
          <w:trHeight w:val="300"/>
        </w:trPr>
        <w:tc>
          <w:tcPr>
            <w:tcW w:w="3114" w:type="dxa"/>
            <w:shd w:val="clear" w:color="auto" w:fill="auto"/>
            <w:noWrap/>
            <w:vAlign w:val="center"/>
            <w:hideMark/>
          </w:tcPr>
          <w:p w14:paraId="1010660D"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CELSIATOL-EXP-SUB-NUEVA-GUALI34.5-2025</w:t>
            </w:r>
          </w:p>
        </w:tc>
        <w:tc>
          <w:tcPr>
            <w:tcW w:w="2410" w:type="dxa"/>
            <w:shd w:val="clear" w:color="auto" w:fill="auto"/>
            <w:noWrap/>
            <w:vAlign w:val="center"/>
            <w:hideMark/>
          </w:tcPr>
          <w:p w14:paraId="6027BFE3"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10094002L000</w:t>
            </w:r>
          </w:p>
        </w:tc>
        <w:tc>
          <w:tcPr>
            <w:tcW w:w="716" w:type="dxa"/>
            <w:shd w:val="clear" w:color="auto" w:fill="auto"/>
            <w:noWrap/>
            <w:vAlign w:val="center"/>
            <w:hideMark/>
          </w:tcPr>
          <w:p w14:paraId="6FF94606"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0094</w:t>
            </w:r>
          </w:p>
        </w:tc>
        <w:tc>
          <w:tcPr>
            <w:tcW w:w="1579" w:type="dxa"/>
            <w:shd w:val="clear" w:color="auto" w:fill="auto"/>
            <w:noWrap/>
            <w:vAlign w:val="center"/>
            <w:hideMark/>
          </w:tcPr>
          <w:p w14:paraId="490036DC"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N0P5</w:t>
            </w:r>
          </w:p>
        </w:tc>
        <w:tc>
          <w:tcPr>
            <w:tcW w:w="1527" w:type="dxa"/>
            <w:shd w:val="clear" w:color="auto" w:fill="auto"/>
            <w:noWrap/>
            <w:vAlign w:val="center"/>
            <w:hideMark/>
          </w:tcPr>
          <w:p w14:paraId="2845784E"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2023</w:t>
            </w:r>
          </w:p>
        </w:tc>
      </w:tr>
      <w:tr w:rsidR="00977AEB" w:rsidRPr="00977AEB" w14:paraId="1E9A86A3" w14:textId="77777777" w:rsidTr="009C66F0">
        <w:trPr>
          <w:trHeight w:val="300"/>
        </w:trPr>
        <w:tc>
          <w:tcPr>
            <w:tcW w:w="3114" w:type="dxa"/>
            <w:shd w:val="clear" w:color="auto" w:fill="auto"/>
            <w:noWrap/>
            <w:vAlign w:val="center"/>
            <w:hideMark/>
          </w:tcPr>
          <w:p w14:paraId="04B46B85"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CELSIATOL-EXP-SUB-NUEVA-GUALI34.5-2025</w:t>
            </w:r>
          </w:p>
        </w:tc>
        <w:tc>
          <w:tcPr>
            <w:tcW w:w="2410" w:type="dxa"/>
            <w:shd w:val="clear" w:color="auto" w:fill="auto"/>
            <w:noWrap/>
            <w:vAlign w:val="center"/>
            <w:hideMark/>
          </w:tcPr>
          <w:p w14:paraId="188D7987"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10094002M000</w:t>
            </w:r>
          </w:p>
        </w:tc>
        <w:tc>
          <w:tcPr>
            <w:tcW w:w="716" w:type="dxa"/>
            <w:shd w:val="clear" w:color="auto" w:fill="auto"/>
            <w:noWrap/>
            <w:vAlign w:val="center"/>
            <w:hideMark/>
          </w:tcPr>
          <w:p w14:paraId="067BE9F7"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0094</w:t>
            </w:r>
          </w:p>
        </w:tc>
        <w:tc>
          <w:tcPr>
            <w:tcW w:w="1579" w:type="dxa"/>
            <w:shd w:val="clear" w:color="auto" w:fill="auto"/>
            <w:noWrap/>
            <w:vAlign w:val="center"/>
            <w:hideMark/>
          </w:tcPr>
          <w:p w14:paraId="5ACB6BDD"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N0P5</w:t>
            </w:r>
          </w:p>
        </w:tc>
        <w:tc>
          <w:tcPr>
            <w:tcW w:w="1527" w:type="dxa"/>
            <w:shd w:val="clear" w:color="auto" w:fill="auto"/>
            <w:noWrap/>
            <w:vAlign w:val="center"/>
            <w:hideMark/>
          </w:tcPr>
          <w:p w14:paraId="48F5F3E5"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2023</w:t>
            </w:r>
          </w:p>
        </w:tc>
      </w:tr>
      <w:tr w:rsidR="00977AEB" w:rsidRPr="00977AEB" w14:paraId="7B06D53E" w14:textId="77777777" w:rsidTr="009C66F0">
        <w:trPr>
          <w:trHeight w:val="300"/>
        </w:trPr>
        <w:tc>
          <w:tcPr>
            <w:tcW w:w="3114" w:type="dxa"/>
            <w:shd w:val="clear" w:color="auto" w:fill="auto"/>
            <w:noWrap/>
            <w:vAlign w:val="center"/>
            <w:hideMark/>
          </w:tcPr>
          <w:p w14:paraId="292BEB04"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CELSIATOL-EXP-SUB-NUEVA-GUALI34.5-2025</w:t>
            </w:r>
          </w:p>
        </w:tc>
        <w:tc>
          <w:tcPr>
            <w:tcW w:w="2410" w:type="dxa"/>
            <w:shd w:val="clear" w:color="auto" w:fill="auto"/>
            <w:noWrap/>
            <w:vAlign w:val="center"/>
            <w:hideMark/>
          </w:tcPr>
          <w:p w14:paraId="14E3BD17"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10094002N000</w:t>
            </w:r>
          </w:p>
        </w:tc>
        <w:tc>
          <w:tcPr>
            <w:tcW w:w="716" w:type="dxa"/>
            <w:shd w:val="clear" w:color="auto" w:fill="auto"/>
            <w:noWrap/>
            <w:vAlign w:val="center"/>
            <w:hideMark/>
          </w:tcPr>
          <w:p w14:paraId="7FD9DD83"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0094</w:t>
            </w:r>
          </w:p>
        </w:tc>
        <w:tc>
          <w:tcPr>
            <w:tcW w:w="1579" w:type="dxa"/>
            <w:shd w:val="clear" w:color="auto" w:fill="auto"/>
            <w:noWrap/>
            <w:vAlign w:val="center"/>
            <w:hideMark/>
          </w:tcPr>
          <w:p w14:paraId="6413F9B3"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N0P5</w:t>
            </w:r>
          </w:p>
        </w:tc>
        <w:tc>
          <w:tcPr>
            <w:tcW w:w="1527" w:type="dxa"/>
            <w:shd w:val="clear" w:color="auto" w:fill="auto"/>
            <w:noWrap/>
            <w:vAlign w:val="center"/>
            <w:hideMark/>
          </w:tcPr>
          <w:p w14:paraId="6D5F45D4"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2023</w:t>
            </w:r>
          </w:p>
        </w:tc>
      </w:tr>
      <w:tr w:rsidR="00977AEB" w:rsidRPr="00977AEB" w14:paraId="0005EEC3" w14:textId="77777777" w:rsidTr="009C66F0">
        <w:trPr>
          <w:trHeight w:val="300"/>
        </w:trPr>
        <w:tc>
          <w:tcPr>
            <w:tcW w:w="3114" w:type="dxa"/>
            <w:shd w:val="clear" w:color="auto" w:fill="auto"/>
            <w:noWrap/>
            <w:vAlign w:val="center"/>
            <w:hideMark/>
          </w:tcPr>
          <w:p w14:paraId="502F95D9"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E_AMP_PB</w:t>
            </w:r>
          </w:p>
        </w:tc>
        <w:tc>
          <w:tcPr>
            <w:tcW w:w="2410" w:type="dxa"/>
            <w:shd w:val="clear" w:color="auto" w:fill="auto"/>
            <w:noWrap/>
            <w:vAlign w:val="center"/>
            <w:hideMark/>
          </w:tcPr>
          <w:p w14:paraId="4C947614"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100900075000</w:t>
            </w:r>
          </w:p>
        </w:tc>
        <w:tc>
          <w:tcPr>
            <w:tcW w:w="716" w:type="dxa"/>
            <w:shd w:val="clear" w:color="auto" w:fill="auto"/>
            <w:noWrap/>
            <w:vAlign w:val="center"/>
            <w:hideMark/>
          </w:tcPr>
          <w:p w14:paraId="7682CBB5"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0090</w:t>
            </w:r>
          </w:p>
        </w:tc>
        <w:tc>
          <w:tcPr>
            <w:tcW w:w="1579" w:type="dxa"/>
            <w:shd w:val="clear" w:color="auto" w:fill="auto"/>
            <w:noWrap/>
            <w:vAlign w:val="center"/>
            <w:hideMark/>
          </w:tcPr>
          <w:p w14:paraId="12CDD4EB"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N0P3</w:t>
            </w:r>
          </w:p>
        </w:tc>
        <w:tc>
          <w:tcPr>
            <w:tcW w:w="1527" w:type="dxa"/>
            <w:shd w:val="clear" w:color="auto" w:fill="auto"/>
            <w:noWrap/>
            <w:vAlign w:val="center"/>
            <w:hideMark/>
          </w:tcPr>
          <w:p w14:paraId="7D6E0014"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2024</w:t>
            </w:r>
          </w:p>
        </w:tc>
      </w:tr>
      <w:tr w:rsidR="00977AEB" w:rsidRPr="00977AEB" w14:paraId="13B15E3D" w14:textId="77777777" w:rsidTr="009C66F0">
        <w:trPr>
          <w:trHeight w:val="300"/>
        </w:trPr>
        <w:tc>
          <w:tcPr>
            <w:tcW w:w="3114" w:type="dxa"/>
            <w:shd w:val="clear" w:color="auto" w:fill="auto"/>
            <w:noWrap/>
            <w:vAlign w:val="center"/>
            <w:hideMark/>
          </w:tcPr>
          <w:p w14:paraId="7EA56D1A"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E_AMP_PB</w:t>
            </w:r>
          </w:p>
        </w:tc>
        <w:tc>
          <w:tcPr>
            <w:tcW w:w="2410" w:type="dxa"/>
            <w:shd w:val="clear" w:color="auto" w:fill="auto"/>
            <w:noWrap/>
            <w:vAlign w:val="center"/>
            <w:hideMark/>
          </w:tcPr>
          <w:p w14:paraId="2B577C7A"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100900076000</w:t>
            </w:r>
          </w:p>
        </w:tc>
        <w:tc>
          <w:tcPr>
            <w:tcW w:w="716" w:type="dxa"/>
            <w:shd w:val="clear" w:color="auto" w:fill="auto"/>
            <w:noWrap/>
            <w:vAlign w:val="center"/>
            <w:hideMark/>
          </w:tcPr>
          <w:p w14:paraId="564F29AA"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0090</w:t>
            </w:r>
          </w:p>
        </w:tc>
        <w:tc>
          <w:tcPr>
            <w:tcW w:w="1579" w:type="dxa"/>
            <w:shd w:val="clear" w:color="auto" w:fill="auto"/>
            <w:noWrap/>
            <w:vAlign w:val="center"/>
            <w:hideMark/>
          </w:tcPr>
          <w:p w14:paraId="35FE3454"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N0P3</w:t>
            </w:r>
          </w:p>
        </w:tc>
        <w:tc>
          <w:tcPr>
            <w:tcW w:w="1527" w:type="dxa"/>
            <w:shd w:val="clear" w:color="auto" w:fill="auto"/>
            <w:noWrap/>
            <w:vAlign w:val="center"/>
            <w:hideMark/>
          </w:tcPr>
          <w:p w14:paraId="742A3E9F"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2024</w:t>
            </w:r>
          </w:p>
        </w:tc>
      </w:tr>
      <w:tr w:rsidR="00977AEB" w:rsidRPr="00977AEB" w14:paraId="2A2F4A3F" w14:textId="77777777" w:rsidTr="009C66F0">
        <w:trPr>
          <w:trHeight w:val="300"/>
        </w:trPr>
        <w:tc>
          <w:tcPr>
            <w:tcW w:w="3114" w:type="dxa"/>
            <w:shd w:val="clear" w:color="auto" w:fill="auto"/>
            <w:noWrap/>
            <w:vAlign w:val="center"/>
            <w:hideMark/>
          </w:tcPr>
          <w:p w14:paraId="16790309"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CELSIATOL-EXP-SUB-LIBANO34.5-2024</w:t>
            </w:r>
          </w:p>
        </w:tc>
        <w:tc>
          <w:tcPr>
            <w:tcW w:w="2410" w:type="dxa"/>
            <w:shd w:val="clear" w:color="auto" w:fill="auto"/>
            <w:noWrap/>
            <w:vAlign w:val="center"/>
            <w:hideMark/>
          </w:tcPr>
          <w:p w14:paraId="3B761E93"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10092005R000</w:t>
            </w:r>
          </w:p>
        </w:tc>
        <w:tc>
          <w:tcPr>
            <w:tcW w:w="716" w:type="dxa"/>
            <w:shd w:val="clear" w:color="auto" w:fill="auto"/>
            <w:noWrap/>
            <w:vAlign w:val="center"/>
            <w:hideMark/>
          </w:tcPr>
          <w:p w14:paraId="3D7FD0FC"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0092</w:t>
            </w:r>
          </w:p>
        </w:tc>
        <w:tc>
          <w:tcPr>
            <w:tcW w:w="1579" w:type="dxa"/>
            <w:shd w:val="clear" w:color="auto" w:fill="auto"/>
            <w:noWrap/>
            <w:vAlign w:val="center"/>
            <w:hideMark/>
          </w:tcPr>
          <w:p w14:paraId="6B811661"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N0P4</w:t>
            </w:r>
          </w:p>
        </w:tc>
        <w:tc>
          <w:tcPr>
            <w:tcW w:w="1527" w:type="dxa"/>
            <w:shd w:val="clear" w:color="auto" w:fill="auto"/>
            <w:noWrap/>
            <w:vAlign w:val="center"/>
            <w:hideMark/>
          </w:tcPr>
          <w:p w14:paraId="52448857"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2024</w:t>
            </w:r>
          </w:p>
        </w:tc>
      </w:tr>
      <w:tr w:rsidR="00977AEB" w:rsidRPr="00977AEB" w14:paraId="02419DE0" w14:textId="77777777" w:rsidTr="009C66F0">
        <w:trPr>
          <w:trHeight w:val="300"/>
        </w:trPr>
        <w:tc>
          <w:tcPr>
            <w:tcW w:w="3114" w:type="dxa"/>
            <w:shd w:val="clear" w:color="auto" w:fill="auto"/>
            <w:noWrap/>
            <w:vAlign w:val="center"/>
            <w:hideMark/>
          </w:tcPr>
          <w:p w14:paraId="73402827"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CELSIATOL-EXP-SUB-LIBANO34.5-2024</w:t>
            </w:r>
          </w:p>
        </w:tc>
        <w:tc>
          <w:tcPr>
            <w:tcW w:w="2410" w:type="dxa"/>
            <w:shd w:val="clear" w:color="auto" w:fill="auto"/>
            <w:noWrap/>
            <w:vAlign w:val="center"/>
            <w:hideMark/>
          </w:tcPr>
          <w:p w14:paraId="7F515521"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10092005S000</w:t>
            </w:r>
          </w:p>
        </w:tc>
        <w:tc>
          <w:tcPr>
            <w:tcW w:w="716" w:type="dxa"/>
            <w:shd w:val="clear" w:color="auto" w:fill="auto"/>
            <w:noWrap/>
            <w:vAlign w:val="center"/>
            <w:hideMark/>
          </w:tcPr>
          <w:p w14:paraId="6E3BC1A8"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0092</w:t>
            </w:r>
          </w:p>
        </w:tc>
        <w:tc>
          <w:tcPr>
            <w:tcW w:w="1579" w:type="dxa"/>
            <w:shd w:val="clear" w:color="auto" w:fill="auto"/>
            <w:noWrap/>
            <w:vAlign w:val="center"/>
            <w:hideMark/>
          </w:tcPr>
          <w:p w14:paraId="05812ED0"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N0P4</w:t>
            </w:r>
          </w:p>
        </w:tc>
        <w:tc>
          <w:tcPr>
            <w:tcW w:w="1527" w:type="dxa"/>
            <w:shd w:val="clear" w:color="auto" w:fill="auto"/>
            <w:noWrap/>
            <w:vAlign w:val="center"/>
            <w:hideMark/>
          </w:tcPr>
          <w:p w14:paraId="47EDA0E0"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2024</w:t>
            </w:r>
          </w:p>
        </w:tc>
      </w:tr>
      <w:tr w:rsidR="00977AEB" w:rsidRPr="00977AEB" w14:paraId="789C6579" w14:textId="77777777" w:rsidTr="009C66F0">
        <w:trPr>
          <w:trHeight w:val="300"/>
        </w:trPr>
        <w:tc>
          <w:tcPr>
            <w:tcW w:w="3114" w:type="dxa"/>
            <w:shd w:val="clear" w:color="auto" w:fill="auto"/>
            <w:noWrap/>
            <w:vAlign w:val="center"/>
            <w:hideMark/>
          </w:tcPr>
          <w:p w14:paraId="2A524E74"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CELSIATOL-EXP-SUB-LIBANO34.5-2024</w:t>
            </w:r>
          </w:p>
        </w:tc>
        <w:tc>
          <w:tcPr>
            <w:tcW w:w="2410" w:type="dxa"/>
            <w:shd w:val="clear" w:color="auto" w:fill="auto"/>
            <w:noWrap/>
            <w:vAlign w:val="center"/>
            <w:hideMark/>
          </w:tcPr>
          <w:p w14:paraId="329874D6"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10092005T000</w:t>
            </w:r>
          </w:p>
        </w:tc>
        <w:tc>
          <w:tcPr>
            <w:tcW w:w="716" w:type="dxa"/>
            <w:shd w:val="clear" w:color="auto" w:fill="auto"/>
            <w:noWrap/>
            <w:vAlign w:val="center"/>
            <w:hideMark/>
          </w:tcPr>
          <w:p w14:paraId="1DC7052B"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0092</w:t>
            </w:r>
          </w:p>
        </w:tc>
        <w:tc>
          <w:tcPr>
            <w:tcW w:w="1579" w:type="dxa"/>
            <w:shd w:val="clear" w:color="auto" w:fill="auto"/>
            <w:noWrap/>
            <w:vAlign w:val="center"/>
            <w:hideMark/>
          </w:tcPr>
          <w:p w14:paraId="771E0AC6"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N0P4</w:t>
            </w:r>
          </w:p>
        </w:tc>
        <w:tc>
          <w:tcPr>
            <w:tcW w:w="1527" w:type="dxa"/>
            <w:shd w:val="clear" w:color="auto" w:fill="auto"/>
            <w:noWrap/>
            <w:vAlign w:val="center"/>
            <w:hideMark/>
          </w:tcPr>
          <w:p w14:paraId="56904B0F"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2024</w:t>
            </w:r>
          </w:p>
        </w:tc>
      </w:tr>
      <w:tr w:rsidR="00977AEB" w:rsidRPr="00977AEB" w14:paraId="7CCB9164" w14:textId="77777777" w:rsidTr="009C66F0">
        <w:trPr>
          <w:trHeight w:val="300"/>
        </w:trPr>
        <w:tc>
          <w:tcPr>
            <w:tcW w:w="3114" w:type="dxa"/>
            <w:shd w:val="clear" w:color="auto" w:fill="auto"/>
            <w:noWrap/>
            <w:vAlign w:val="center"/>
            <w:hideMark/>
          </w:tcPr>
          <w:p w14:paraId="22EDC9CC"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CELSIATOL-EXP-SUB-LIBANO34.5-2024</w:t>
            </w:r>
          </w:p>
        </w:tc>
        <w:tc>
          <w:tcPr>
            <w:tcW w:w="2410" w:type="dxa"/>
            <w:shd w:val="clear" w:color="auto" w:fill="auto"/>
            <w:noWrap/>
            <w:vAlign w:val="center"/>
            <w:hideMark/>
          </w:tcPr>
          <w:p w14:paraId="17634DE2"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10092005U000</w:t>
            </w:r>
          </w:p>
        </w:tc>
        <w:tc>
          <w:tcPr>
            <w:tcW w:w="716" w:type="dxa"/>
            <w:shd w:val="clear" w:color="auto" w:fill="auto"/>
            <w:noWrap/>
            <w:vAlign w:val="center"/>
            <w:hideMark/>
          </w:tcPr>
          <w:p w14:paraId="57AFA879"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0092</w:t>
            </w:r>
          </w:p>
        </w:tc>
        <w:tc>
          <w:tcPr>
            <w:tcW w:w="1579" w:type="dxa"/>
            <w:shd w:val="clear" w:color="auto" w:fill="auto"/>
            <w:noWrap/>
            <w:vAlign w:val="center"/>
            <w:hideMark/>
          </w:tcPr>
          <w:p w14:paraId="08DF0DD7"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N0P4</w:t>
            </w:r>
          </w:p>
        </w:tc>
        <w:tc>
          <w:tcPr>
            <w:tcW w:w="1527" w:type="dxa"/>
            <w:shd w:val="clear" w:color="auto" w:fill="auto"/>
            <w:noWrap/>
            <w:vAlign w:val="center"/>
            <w:hideMark/>
          </w:tcPr>
          <w:p w14:paraId="7022A973"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2024</w:t>
            </w:r>
          </w:p>
        </w:tc>
      </w:tr>
      <w:tr w:rsidR="00977AEB" w:rsidRPr="00977AEB" w14:paraId="4313AAE8" w14:textId="77777777" w:rsidTr="009C66F0">
        <w:trPr>
          <w:trHeight w:val="300"/>
        </w:trPr>
        <w:tc>
          <w:tcPr>
            <w:tcW w:w="3114" w:type="dxa"/>
            <w:shd w:val="clear" w:color="auto" w:fill="auto"/>
            <w:noWrap/>
            <w:vAlign w:val="center"/>
            <w:hideMark/>
          </w:tcPr>
          <w:p w14:paraId="2895A9D5"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CELSIATOL-EXP-SUB-LIBANO34.5-2024</w:t>
            </w:r>
          </w:p>
        </w:tc>
        <w:tc>
          <w:tcPr>
            <w:tcW w:w="2410" w:type="dxa"/>
            <w:shd w:val="clear" w:color="auto" w:fill="auto"/>
            <w:noWrap/>
            <w:vAlign w:val="center"/>
            <w:hideMark/>
          </w:tcPr>
          <w:p w14:paraId="10A117A4"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10092005V000</w:t>
            </w:r>
          </w:p>
        </w:tc>
        <w:tc>
          <w:tcPr>
            <w:tcW w:w="716" w:type="dxa"/>
            <w:shd w:val="clear" w:color="auto" w:fill="auto"/>
            <w:noWrap/>
            <w:vAlign w:val="center"/>
            <w:hideMark/>
          </w:tcPr>
          <w:p w14:paraId="0F149817"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0092</w:t>
            </w:r>
          </w:p>
        </w:tc>
        <w:tc>
          <w:tcPr>
            <w:tcW w:w="1579" w:type="dxa"/>
            <w:shd w:val="clear" w:color="auto" w:fill="auto"/>
            <w:noWrap/>
            <w:vAlign w:val="center"/>
            <w:hideMark/>
          </w:tcPr>
          <w:p w14:paraId="241B75F6"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N0P4</w:t>
            </w:r>
          </w:p>
        </w:tc>
        <w:tc>
          <w:tcPr>
            <w:tcW w:w="1527" w:type="dxa"/>
            <w:shd w:val="clear" w:color="auto" w:fill="auto"/>
            <w:noWrap/>
            <w:vAlign w:val="center"/>
            <w:hideMark/>
          </w:tcPr>
          <w:p w14:paraId="4C891C68" w14:textId="77777777" w:rsidR="00977AEB" w:rsidRPr="00977AEB" w:rsidRDefault="00977AEB" w:rsidP="00470705">
            <w:pPr>
              <w:spacing w:before="100" w:beforeAutospacing="1" w:after="100" w:afterAutospacing="1"/>
              <w:jc w:val="center"/>
              <w:rPr>
                <w:rFonts w:cs="Calibri"/>
                <w:color w:val="000000"/>
                <w:sz w:val="20"/>
                <w:szCs w:val="20"/>
                <w:lang w:eastAsia="es-MX"/>
              </w:rPr>
            </w:pPr>
            <w:r w:rsidRPr="00977AEB">
              <w:rPr>
                <w:rFonts w:cs="Calibri"/>
                <w:color w:val="000000"/>
                <w:sz w:val="20"/>
                <w:szCs w:val="20"/>
                <w:lang w:eastAsia="es-MX"/>
              </w:rPr>
              <w:t>2024</w:t>
            </w:r>
          </w:p>
        </w:tc>
      </w:tr>
    </w:tbl>
    <w:p w14:paraId="13979537" w14:textId="20446A78" w:rsidR="009D64BE" w:rsidRDefault="00733D26" w:rsidP="00470705">
      <w:pPr>
        <w:spacing w:before="100" w:beforeAutospacing="1" w:after="100" w:afterAutospacing="1"/>
      </w:pPr>
      <w:r>
        <w:t>Luego de</w:t>
      </w:r>
      <w:r w:rsidR="00F6306E">
        <w:t xml:space="preserve"> la revisión y análisis de los inventarios del plan de inversión</w:t>
      </w:r>
      <w:r w:rsidR="00F87C8D">
        <w:t>,</w:t>
      </w:r>
      <w:r w:rsidR="00911CC7">
        <w:t xml:space="preserve"> se </w:t>
      </w:r>
      <w:r w:rsidR="00BB09F1">
        <w:t>identificó</w:t>
      </w:r>
      <w:r w:rsidR="00911CC7">
        <w:t xml:space="preserve"> que </w:t>
      </w:r>
      <w:r w:rsidR="00CB3718">
        <w:t>efectivamente para las subestaciones relac</w:t>
      </w:r>
      <w:r w:rsidR="002C3F11">
        <w:t>ionadas se solicitaron más controles de subestaciones que bahías</w:t>
      </w:r>
      <w:r w:rsidR="00F6306E">
        <w:t>.</w:t>
      </w:r>
      <w:r w:rsidR="002C3F11">
        <w:t xml:space="preserve"> Se debe destacar que tal como indica la descripción de las </w:t>
      </w:r>
      <w:r w:rsidR="00F87C8D">
        <w:t>UC</w:t>
      </w:r>
      <w:r w:rsidR="002C3F11">
        <w:t xml:space="preserve"> de controles de subestación</w:t>
      </w:r>
      <w:r w:rsidR="002E07DC">
        <w:t xml:space="preserve"> (N0P1 a N0P5) </w:t>
      </w:r>
      <w:r w:rsidR="006A02D7">
        <w:t>la rem</w:t>
      </w:r>
      <w:r w:rsidR="00D848C6">
        <w:t xml:space="preserve">uneración de estos activos se hace solamente por bahía. Por lo tanto, la </w:t>
      </w:r>
      <w:r w:rsidR="00837FD6">
        <w:t>Comisión</w:t>
      </w:r>
      <w:r w:rsidR="00D848C6">
        <w:t xml:space="preserve"> decide no reponer la decisión y mantener el no reconocimiento de los activos.</w:t>
      </w:r>
    </w:p>
    <w:p w14:paraId="6E7D2212" w14:textId="4163EAC3" w:rsidR="009B4C25" w:rsidRPr="004417F9" w:rsidRDefault="009B4C25" w:rsidP="004417F9">
      <w:pPr>
        <w:pStyle w:val="Prrafodelista"/>
        <w:numPr>
          <w:ilvl w:val="0"/>
          <w:numId w:val="12"/>
        </w:numPr>
        <w:spacing w:before="100" w:beforeAutospacing="1" w:after="100" w:afterAutospacing="1"/>
        <w:ind w:left="426" w:hanging="437"/>
        <w:rPr>
          <w:rFonts w:eastAsia="Bookman Old Style" w:cs="Bookman Old Style"/>
          <w:b/>
          <w:bCs/>
        </w:rPr>
      </w:pPr>
      <w:r w:rsidRPr="004417F9">
        <w:rPr>
          <w:rFonts w:eastAsia="Bookman Old Style" w:cs="Bookman Old Style"/>
          <w:b/>
          <w:bCs/>
        </w:rPr>
        <w:t>Séptima solicitud</w:t>
      </w:r>
    </w:p>
    <w:p w14:paraId="10994ACD" w14:textId="77777777" w:rsidR="009B4C25" w:rsidRPr="006B671F" w:rsidRDefault="009B4C25" w:rsidP="00470705">
      <w:pPr>
        <w:spacing w:before="100" w:beforeAutospacing="1" w:after="100" w:afterAutospacing="1"/>
        <w:rPr>
          <w:i/>
          <w:iCs/>
        </w:rPr>
      </w:pPr>
      <w:r w:rsidRPr="006B671F">
        <w:rPr>
          <w:i/>
          <w:iCs/>
        </w:rPr>
        <w:t>(…)</w:t>
      </w:r>
    </w:p>
    <w:p w14:paraId="4A257FBB" w14:textId="52AE4500" w:rsidR="00D32841" w:rsidRPr="00D32841" w:rsidRDefault="00D32841" w:rsidP="00470705">
      <w:pPr>
        <w:spacing w:before="100" w:beforeAutospacing="1" w:after="100" w:afterAutospacing="1"/>
        <w:ind w:left="284"/>
        <w:rPr>
          <w:rFonts w:eastAsia="Bookman Old Style" w:cs="Bookman Old Style"/>
          <w:i/>
          <w:iCs/>
          <w:sz w:val="20"/>
          <w:szCs w:val="20"/>
        </w:rPr>
      </w:pPr>
      <w:r w:rsidRPr="00D32841">
        <w:rPr>
          <w:rFonts w:eastAsia="Bookman Old Style" w:cs="Bookman Old Style"/>
          <w:b/>
          <w:bCs/>
          <w:i/>
          <w:iCs/>
          <w:sz w:val="20"/>
          <w:szCs w:val="20"/>
        </w:rPr>
        <w:t>2.7 Resultados valoración CELSIA COLOMBIA</w:t>
      </w:r>
    </w:p>
    <w:p w14:paraId="20031F48" w14:textId="51DDB188" w:rsidR="00734190" w:rsidRPr="006B671F" w:rsidRDefault="00D32841" w:rsidP="00470705">
      <w:pPr>
        <w:spacing w:before="100" w:beforeAutospacing="1" w:after="100" w:afterAutospacing="1"/>
        <w:ind w:left="284"/>
        <w:rPr>
          <w:rFonts w:eastAsia="Bookman Old Style" w:cs="Bookman Old Style"/>
          <w:i/>
          <w:iCs/>
          <w:sz w:val="20"/>
          <w:szCs w:val="20"/>
        </w:rPr>
      </w:pPr>
      <w:r w:rsidRPr="00D32841">
        <w:rPr>
          <w:rFonts w:eastAsia="Bookman Old Style" w:cs="Bookman Old Style"/>
          <w:i/>
          <w:iCs/>
          <w:sz w:val="20"/>
          <w:szCs w:val="20"/>
        </w:rPr>
        <w:t>Una vez revisado el valor del plan de inversiones solicitado por CELSIA COLOMBIA en agosto</w:t>
      </w:r>
      <w:r>
        <w:rPr>
          <w:rFonts w:eastAsia="Bookman Old Style" w:cs="Bookman Old Style"/>
          <w:i/>
          <w:iCs/>
          <w:sz w:val="20"/>
          <w:szCs w:val="20"/>
        </w:rPr>
        <w:t xml:space="preserve"> </w:t>
      </w:r>
      <w:r w:rsidRPr="00D32841">
        <w:rPr>
          <w:rFonts w:eastAsia="Bookman Old Style" w:cs="Bookman Old Style"/>
          <w:i/>
          <w:iCs/>
          <w:sz w:val="20"/>
          <w:szCs w:val="20"/>
        </w:rPr>
        <w:t>de 2022, para el periodo 2023 -2027, evidenciamos diferencias con respecto a la valoración</w:t>
      </w:r>
      <w:r>
        <w:rPr>
          <w:rFonts w:eastAsia="Bookman Old Style" w:cs="Bookman Old Style"/>
          <w:i/>
          <w:iCs/>
          <w:sz w:val="20"/>
          <w:szCs w:val="20"/>
        </w:rPr>
        <w:t xml:space="preserve"> </w:t>
      </w:r>
      <w:r w:rsidRPr="00D32841">
        <w:rPr>
          <w:rFonts w:eastAsia="Bookman Old Style" w:cs="Bookman Old Style"/>
          <w:i/>
          <w:iCs/>
          <w:sz w:val="20"/>
          <w:szCs w:val="20"/>
        </w:rPr>
        <w:t>inicial presentada por la CREG, las cuales dan un valor acumulado para los 5 años de $13,088</w:t>
      </w:r>
      <w:r>
        <w:rPr>
          <w:rFonts w:eastAsia="Bookman Old Style" w:cs="Bookman Old Style"/>
          <w:i/>
          <w:iCs/>
          <w:sz w:val="20"/>
          <w:szCs w:val="20"/>
        </w:rPr>
        <w:t xml:space="preserve"> </w:t>
      </w:r>
      <w:r w:rsidRPr="00D32841">
        <w:rPr>
          <w:rFonts w:eastAsia="Bookman Old Style" w:cs="Bookman Old Style"/>
          <w:i/>
          <w:iCs/>
          <w:sz w:val="20"/>
          <w:szCs w:val="20"/>
        </w:rPr>
        <w:t>Millones de pesos.</w:t>
      </w:r>
    </w:p>
    <w:p w14:paraId="39E0A198" w14:textId="77777777" w:rsidR="009B4C25" w:rsidRPr="006B671F" w:rsidRDefault="009B4C25" w:rsidP="00470705">
      <w:pPr>
        <w:spacing w:before="100" w:beforeAutospacing="1" w:after="100" w:afterAutospacing="1"/>
        <w:rPr>
          <w:i/>
          <w:iCs/>
        </w:rPr>
      </w:pPr>
      <w:r w:rsidRPr="006B671F">
        <w:rPr>
          <w:i/>
          <w:iCs/>
        </w:rPr>
        <w:t>(…)</w:t>
      </w:r>
    </w:p>
    <w:p w14:paraId="21889A6F" w14:textId="6896F8A7" w:rsidR="009B4C25" w:rsidRDefault="00D32841" w:rsidP="00470705">
      <w:pPr>
        <w:spacing w:before="100" w:beforeAutospacing="1" w:after="100" w:afterAutospacing="1"/>
        <w:rPr>
          <w:b/>
          <w:bCs/>
        </w:rPr>
      </w:pPr>
      <w:r>
        <w:rPr>
          <w:b/>
          <w:bCs/>
        </w:rPr>
        <w:t>Análisis de la Comisión</w:t>
      </w:r>
    </w:p>
    <w:p w14:paraId="3949E74F" w14:textId="77777777" w:rsidR="004431DE" w:rsidRDefault="00510668" w:rsidP="00470705">
      <w:pPr>
        <w:spacing w:before="100" w:beforeAutospacing="1" w:after="100" w:afterAutospacing="1"/>
        <w:rPr>
          <w:rFonts w:eastAsia="Bookman Old Style" w:cs="Bookman Old Style"/>
        </w:rPr>
      </w:pPr>
      <w:r>
        <w:rPr>
          <w:rFonts w:eastAsia="Bookman Old Style" w:cs="Bookman Old Style"/>
        </w:rPr>
        <w:t>La valoración inicial presentada por la Comisión considera el reconocimiento de todos los activos solicitados por el OR</w:t>
      </w:r>
      <w:r w:rsidR="004B26AA">
        <w:rPr>
          <w:rFonts w:eastAsia="Bookman Old Style" w:cs="Bookman Old Style"/>
        </w:rPr>
        <w:t>,</w:t>
      </w:r>
      <w:r>
        <w:rPr>
          <w:rFonts w:eastAsia="Bookman Old Style" w:cs="Bookman Old Style"/>
        </w:rPr>
        <w:t xml:space="preserve"> con base en un aplicativo desarrollado para tal fin</w:t>
      </w:r>
      <w:r w:rsidR="004B26AA">
        <w:rPr>
          <w:rFonts w:eastAsia="Bookman Old Style" w:cs="Bookman Old Style"/>
        </w:rPr>
        <w:t>,</w:t>
      </w:r>
      <w:r>
        <w:rPr>
          <w:rFonts w:eastAsia="Bookman Old Style" w:cs="Bookman Old Style"/>
        </w:rPr>
        <w:t xml:space="preserve"> el cual incluye todas las consideraciones y reglas para la valoración de cada uno de los activos solicitados en el plan de inversión según la metodología de la Resolución CREG 015 de 2018. </w:t>
      </w:r>
    </w:p>
    <w:p w14:paraId="102AD48E" w14:textId="394F7BB7" w:rsidR="00510668" w:rsidRDefault="00510668" w:rsidP="00470705">
      <w:pPr>
        <w:spacing w:before="100" w:beforeAutospacing="1" w:after="100" w:afterAutospacing="1"/>
        <w:rPr>
          <w:rFonts w:eastAsia="Bookman Old Style" w:cs="Bookman Old Style"/>
        </w:rPr>
      </w:pPr>
      <w:r>
        <w:rPr>
          <w:rFonts w:eastAsia="Bookman Old Style" w:cs="Bookman Old Style"/>
        </w:rPr>
        <w:t>Dicha valoración puede incluir variaciones relacionadas con la forma en que el OR reporta la información y las UC especiales. Por lo tanto, el resultado de la valoración presentada por la Comisión en el documento CREG 901 07</w:t>
      </w:r>
      <w:r w:rsidR="00CE7C18">
        <w:rPr>
          <w:rFonts w:eastAsia="Bookman Old Style" w:cs="Bookman Old Style"/>
        </w:rPr>
        <w:t>9</w:t>
      </w:r>
      <w:r>
        <w:rPr>
          <w:rFonts w:eastAsia="Bookman Old Style" w:cs="Bookman Old Style"/>
        </w:rPr>
        <w:t xml:space="preserve"> de 2024 corresponde al ejercicio de simular el reconocimiento de todas las UC solicitadas por el OR a excepción de</w:t>
      </w:r>
      <w:r w:rsidR="00142367">
        <w:rPr>
          <w:rFonts w:eastAsia="Bookman Old Style" w:cs="Bookman Old Style"/>
        </w:rPr>
        <w:t xml:space="preserve"> algunas</w:t>
      </w:r>
      <w:r>
        <w:rPr>
          <w:rFonts w:eastAsia="Bookman Old Style" w:cs="Bookman Old Style"/>
        </w:rPr>
        <w:t xml:space="preserve"> UC especiales y las UC que no cumplan con los criterios de valoración como, por ejemplo, módulos comunes solicitados para la misma subestación, nivel de tensión y año de entrada en operación, conductores sin el número de conductores definido, entre otros.</w:t>
      </w:r>
    </w:p>
    <w:p w14:paraId="662560AB" w14:textId="7ACD2D5D" w:rsidR="00AA612B" w:rsidRPr="006B671F" w:rsidRDefault="06DB11CB" w:rsidP="00470705">
      <w:pPr>
        <w:spacing w:before="100" w:beforeAutospacing="1" w:after="100" w:afterAutospacing="1"/>
      </w:pPr>
      <w:r w:rsidRPr="006B671F">
        <w:t>Por lo anterior, la decisión administrativa expuesta en la parte motiva de la presente resolución, da respuesta efectiva a todas las cuestiones que fueron planteadas a la administración, de forma que no queda ninguna sin resolverse. Lo anterior, en consonancia con lo previsto en los artículos 42 y 80 del CPACA.</w:t>
      </w:r>
    </w:p>
    <w:p w14:paraId="3B62ED61" w14:textId="7BB5485E" w:rsidR="284DF516" w:rsidRPr="006B671F" w:rsidRDefault="06DB11CB" w:rsidP="00470705">
      <w:pPr>
        <w:spacing w:before="100" w:beforeAutospacing="1" w:after="100" w:afterAutospacing="1"/>
      </w:pPr>
      <w:r w:rsidRPr="006B671F">
        <w:t xml:space="preserve">Con la aplicación de </w:t>
      </w:r>
      <w:r w:rsidR="004B26AA">
        <w:t>las normas previamente mencionadas</w:t>
      </w:r>
      <w:r w:rsidRPr="006B671F">
        <w:t xml:space="preserve"> se busca prevenir arbitrariedad de la administración en la toma de sus decisiones y evitar la vulneración del derecho de defensa de quien presentó la correspondiente reclamación.</w:t>
      </w:r>
    </w:p>
    <w:p w14:paraId="5328E74F" w14:textId="48C88FF6" w:rsidR="00A16ABA" w:rsidRPr="006B671F" w:rsidRDefault="0323B6EF" w:rsidP="00470705">
      <w:pPr>
        <w:spacing w:before="100" w:beforeAutospacing="1" w:after="100" w:afterAutospacing="1"/>
        <w:rPr>
          <w:rFonts w:eastAsia="Bookman Old Style" w:cs="Bookman Old Style"/>
          <w:spacing w:val="-3"/>
        </w:rPr>
      </w:pPr>
      <w:r w:rsidRPr="00C11F0E">
        <w:rPr>
          <w:rFonts w:eastAsia="Bookman Old Style" w:cs="Bookman Old Style"/>
          <w:spacing w:val="-3"/>
        </w:rPr>
        <w:t>L</w:t>
      </w:r>
      <w:r w:rsidR="65BD8746" w:rsidRPr="00C11F0E">
        <w:rPr>
          <w:rFonts w:eastAsia="Bookman Old Style" w:cs="Bookman Old Style"/>
          <w:spacing w:val="-3"/>
        </w:rPr>
        <w:t xml:space="preserve">a </w:t>
      </w:r>
      <w:r w:rsidR="00837FD6" w:rsidRPr="00C11F0E">
        <w:rPr>
          <w:rFonts w:eastAsia="Bookman Old Style" w:cs="Bookman Old Style"/>
          <w:spacing w:val="-3"/>
        </w:rPr>
        <w:t>Comisión</w:t>
      </w:r>
      <w:r w:rsidR="65BD8746" w:rsidRPr="00C11F0E">
        <w:rPr>
          <w:rFonts w:eastAsia="Bookman Old Style" w:cs="Bookman Old Style"/>
          <w:spacing w:val="-3"/>
        </w:rPr>
        <w:t xml:space="preserve"> de Regulación de Energía y Gas, en su</w:t>
      </w:r>
      <w:r w:rsidR="1DC30102" w:rsidRPr="00C11F0E">
        <w:rPr>
          <w:rFonts w:eastAsia="Bookman Old Style" w:cs="Bookman Old Style"/>
          <w:spacing w:val="-3"/>
        </w:rPr>
        <w:t xml:space="preserve"> </w:t>
      </w:r>
      <w:r w:rsidR="65BD8746" w:rsidRPr="00C11F0E">
        <w:rPr>
          <w:rFonts w:eastAsia="Bookman Old Style" w:cs="Bookman Old Style"/>
          <w:spacing w:val="-3"/>
        </w:rPr>
        <w:t xml:space="preserve">sesión </w:t>
      </w:r>
      <w:r w:rsidR="004C536A" w:rsidRPr="00C11F0E">
        <w:rPr>
          <w:rFonts w:eastAsia="Bookman Old Style" w:cs="Bookman Old Style"/>
          <w:spacing w:val="-3"/>
        </w:rPr>
        <w:t>1346</w:t>
      </w:r>
      <w:r w:rsidR="6A27E7F8" w:rsidRPr="00C11F0E">
        <w:rPr>
          <w:rFonts w:eastAsia="Bookman Old Style" w:cs="Bookman Old Style"/>
          <w:spacing w:val="-3"/>
        </w:rPr>
        <w:t xml:space="preserve"> </w:t>
      </w:r>
      <w:r w:rsidR="7B93A35B" w:rsidRPr="00C11F0E">
        <w:rPr>
          <w:rFonts w:eastAsia="Bookman Old Style" w:cs="Bookman Old Style"/>
          <w:spacing w:val="-3"/>
        </w:rPr>
        <w:t xml:space="preserve">del </w:t>
      </w:r>
      <w:r w:rsidR="004C536A" w:rsidRPr="00C11F0E">
        <w:rPr>
          <w:rFonts w:eastAsia="Bookman Old Style" w:cs="Bookman Old Style"/>
          <w:spacing w:val="-3"/>
        </w:rPr>
        <w:t>10</w:t>
      </w:r>
      <w:r w:rsidR="6A27E7F8" w:rsidRPr="00C11F0E">
        <w:rPr>
          <w:rFonts w:eastAsia="Bookman Old Style" w:cs="Bookman Old Style"/>
          <w:spacing w:val="-3"/>
        </w:rPr>
        <w:t xml:space="preserve"> </w:t>
      </w:r>
      <w:r w:rsidR="65BD8746" w:rsidRPr="00C11F0E">
        <w:rPr>
          <w:rFonts w:eastAsia="Bookman Old Style" w:cs="Bookman Old Style"/>
          <w:spacing w:val="-3"/>
        </w:rPr>
        <w:t xml:space="preserve">de </w:t>
      </w:r>
      <w:r w:rsidR="004C536A" w:rsidRPr="00C11F0E">
        <w:rPr>
          <w:rFonts w:eastAsia="Bookman Old Style" w:cs="Bookman Old Style"/>
          <w:spacing w:val="-3"/>
        </w:rPr>
        <w:t>octu</w:t>
      </w:r>
      <w:r w:rsidR="00E7125B" w:rsidRPr="00C11F0E">
        <w:rPr>
          <w:rFonts w:eastAsia="Bookman Old Style" w:cs="Bookman Old Style"/>
          <w:spacing w:val="-3"/>
        </w:rPr>
        <w:t xml:space="preserve">bre </w:t>
      </w:r>
      <w:r w:rsidR="65BD8746" w:rsidRPr="00C11F0E">
        <w:rPr>
          <w:rFonts w:eastAsia="Bookman Old Style" w:cs="Bookman Old Style"/>
          <w:spacing w:val="-3"/>
        </w:rPr>
        <w:t>de 20</w:t>
      </w:r>
      <w:r w:rsidR="25774F5D" w:rsidRPr="00C11F0E">
        <w:rPr>
          <w:rFonts w:eastAsia="Bookman Old Style" w:cs="Bookman Old Style"/>
          <w:spacing w:val="-3"/>
        </w:rPr>
        <w:t>2</w:t>
      </w:r>
      <w:r w:rsidR="00E7125B" w:rsidRPr="00C11F0E">
        <w:rPr>
          <w:rFonts w:eastAsia="Bookman Old Style" w:cs="Bookman Old Style"/>
          <w:spacing w:val="-3"/>
        </w:rPr>
        <w:t>4</w:t>
      </w:r>
      <w:r w:rsidR="65BD8746" w:rsidRPr="00C11F0E">
        <w:rPr>
          <w:rFonts w:eastAsia="Bookman Old Style" w:cs="Bookman Old Style"/>
          <w:spacing w:val="-3"/>
        </w:rPr>
        <w:t>, acordó</w:t>
      </w:r>
      <w:r w:rsidR="65BD8746" w:rsidRPr="006B671F">
        <w:rPr>
          <w:rFonts w:eastAsia="Bookman Old Style" w:cs="Bookman Old Style"/>
          <w:spacing w:val="-3"/>
        </w:rPr>
        <w:t xml:space="preserve"> expedir esta resolución. </w:t>
      </w:r>
    </w:p>
    <w:p w14:paraId="6E5B4B14" w14:textId="77777777" w:rsidR="00595129" w:rsidRPr="006B671F" w:rsidRDefault="00595129" w:rsidP="00470705">
      <w:pPr>
        <w:spacing w:before="100" w:beforeAutospacing="1" w:after="100" w:afterAutospacing="1"/>
        <w:ind w:right="51"/>
        <w:jc w:val="center"/>
        <w:rPr>
          <w:b/>
        </w:rPr>
      </w:pPr>
      <w:r w:rsidRPr="006B671F">
        <w:rPr>
          <w:b/>
        </w:rPr>
        <w:t>RESUELVE:</w:t>
      </w:r>
    </w:p>
    <w:p w14:paraId="220FAEA5" w14:textId="6492BEB9" w:rsidR="004B26AA" w:rsidRDefault="008E3FB9" w:rsidP="004B26AA">
      <w:pPr>
        <w:pStyle w:val="Artculo"/>
        <w:spacing w:before="100" w:beforeAutospacing="1" w:after="100" w:afterAutospacing="1"/>
        <w:ind w:left="0"/>
        <w:outlineLvl w:val="2"/>
        <w:rPr>
          <w:b w:val="0"/>
        </w:rPr>
      </w:pPr>
      <w:r w:rsidRPr="008E3FB9">
        <w:rPr>
          <w:bCs/>
        </w:rPr>
        <w:t>Negar</w:t>
      </w:r>
      <w:r>
        <w:rPr>
          <w:b w:val="0"/>
        </w:rPr>
        <w:t xml:space="preserve"> la revocatoria solicitada por el recurrente, por las razones expuestas en la parte motiva de este proveído.</w:t>
      </w:r>
    </w:p>
    <w:p w14:paraId="165119FD" w14:textId="1A9B8FF6" w:rsidR="006400D5" w:rsidRPr="006B671F" w:rsidRDefault="004B26AA" w:rsidP="004417F9">
      <w:pPr>
        <w:pStyle w:val="Artculo"/>
        <w:numPr>
          <w:ilvl w:val="0"/>
          <w:numId w:val="0"/>
        </w:numPr>
        <w:spacing w:before="100" w:beforeAutospacing="1" w:after="100" w:afterAutospacing="1"/>
        <w:outlineLvl w:val="2"/>
        <w:rPr>
          <w:b w:val="0"/>
        </w:rPr>
      </w:pPr>
      <w:r w:rsidRPr="00F53EFF">
        <w:rPr>
          <w:bCs/>
        </w:rPr>
        <w:t xml:space="preserve">Artículo 2. </w:t>
      </w:r>
      <w:r w:rsidR="003253B3" w:rsidRPr="006B671F">
        <w:t>Modificar</w:t>
      </w:r>
      <w:r w:rsidR="006400D5" w:rsidRPr="006B671F">
        <w:t xml:space="preserve"> el artículo </w:t>
      </w:r>
      <w:r w:rsidR="00052F22">
        <w:t>3</w:t>
      </w:r>
      <w:r w:rsidR="006400D5" w:rsidRPr="006B671F">
        <w:t xml:space="preserve"> de la Resolución </w:t>
      </w:r>
      <w:r w:rsidR="00A1450F" w:rsidRPr="006B671F">
        <w:t xml:space="preserve">CREG </w:t>
      </w:r>
      <w:r w:rsidR="00052F22">
        <w:t>001</w:t>
      </w:r>
      <w:r w:rsidR="00A1450F" w:rsidRPr="006B671F">
        <w:t xml:space="preserve"> de </w:t>
      </w:r>
      <w:r w:rsidR="00052F22">
        <w:t>2020 modificado por el artículo 1 de la Resolución CREG 501 041 de 2024</w:t>
      </w:r>
      <w:r w:rsidR="006400D5" w:rsidRPr="006B671F">
        <w:t xml:space="preserve">. </w:t>
      </w:r>
      <w:r w:rsidR="006400D5" w:rsidRPr="006B671F">
        <w:rPr>
          <w:b w:val="0"/>
        </w:rPr>
        <w:t xml:space="preserve">El artículo </w:t>
      </w:r>
      <w:r w:rsidR="00E20F14" w:rsidRPr="006B671F">
        <w:rPr>
          <w:b w:val="0"/>
        </w:rPr>
        <w:t>1</w:t>
      </w:r>
      <w:r w:rsidR="006400D5" w:rsidRPr="006B671F">
        <w:rPr>
          <w:b w:val="0"/>
        </w:rPr>
        <w:t xml:space="preserve"> de la Resolución </w:t>
      </w:r>
      <w:r w:rsidR="00A1450F" w:rsidRPr="006B671F">
        <w:rPr>
          <w:b w:val="0"/>
        </w:rPr>
        <w:t xml:space="preserve">CREG </w:t>
      </w:r>
      <w:r w:rsidR="00052F22">
        <w:rPr>
          <w:b w:val="0"/>
        </w:rPr>
        <w:t>001 de 2020</w:t>
      </w:r>
      <w:r w:rsidR="006400D5" w:rsidRPr="006B671F">
        <w:rPr>
          <w:b w:val="0"/>
        </w:rPr>
        <w:t xml:space="preserve"> </w:t>
      </w:r>
      <w:r w:rsidR="001B0C3A" w:rsidRPr="006B671F">
        <w:rPr>
          <w:b w:val="0"/>
        </w:rPr>
        <w:t>quedará así:</w:t>
      </w:r>
    </w:p>
    <w:p w14:paraId="41D81179" w14:textId="77777777" w:rsidR="00CC7D91" w:rsidRPr="006B671F" w:rsidRDefault="00CC7D91" w:rsidP="00470705">
      <w:pPr>
        <w:pStyle w:val="Artculo"/>
        <w:numPr>
          <w:ilvl w:val="0"/>
          <w:numId w:val="0"/>
        </w:numPr>
        <w:spacing w:before="100" w:beforeAutospacing="1" w:after="100" w:afterAutospacing="1"/>
        <w:ind w:left="708"/>
        <w:rPr>
          <w:rFonts w:eastAsia="Bookman Old Style"/>
        </w:rPr>
      </w:pPr>
      <w:r w:rsidRPr="006B671F">
        <w:rPr>
          <w:rFonts w:eastAsia="Bookman Old Style" w:cs="Bookman Old Style"/>
          <w:bCs/>
          <w:i/>
          <w:iCs/>
          <w:sz w:val="20"/>
          <w:szCs w:val="20"/>
        </w:rPr>
        <w:t>Artículo 3.</w:t>
      </w:r>
      <w:r w:rsidRPr="006B671F">
        <w:rPr>
          <w:rFonts w:eastAsia="Bookman Old Style"/>
        </w:rPr>
        <w:t xml:space="preserve"> </w:t>
      </w:r>
      <w:r w:rsidRPr="006B671F">
        <w:rPr>
          <w:rFonts w:eastAsia="Bookman Old Style" w:cs="Bookman Old Style"/>
          <w:b w:val="0"/>
          <w:i/>
          <w:iCs/>
          <w:sz w:val="20"/>
          <w:szCs w:val="20"/>
        </w:rPr>
        <w:t>Inversión aprobada en el plan de inversiones. El valor de las inversiones aprobadas en el plan de inversiones, INVAj,n,l,t, para cada nivel de tensión, es el siguiente:</w:t>
      </w:r>
    </w:p>
    <w:p w14:paraId="4D877C41" w14:textId="77777777" w:rsidR="00992953" w:rsidRPr="006B671F" w:rsidRDefault="00992953" w:rsidP="00470705">
      <w:pPr>
        <w:pStyle w:val="Descripcin"/>
        <w:spacing w:before="100" w:beforeAutospacing="1" w:after="100" w:afterAutospacing="1"/>
        <w:rPr>
          <w:rFonts w:cs="Arial"/>
          <w:i/>
          <w:iCs/>
          <w:sz w:val="20"/>
          <w:szCs w:val="18"/>
        </w:rPr>
      </w:pPr>
      <w:r w:rsidRPr="006B671F">
        <w:rPr>
          <w:rFonts w:cs="Arial"/>
          <w:i/>
          <w:iCs/>
          <w:sz w:val="20"/>
          <w:szCs w:val="18"/>
        </w:rPr>
        <w:t>Tabla 2 Plan de inversiones del nivel de tensión 4, pesos de diciembre de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0"/>
        <w:gridCol w:w="1869"/>
        <w:gridCol w:w="1869"/>
        <w:gridCol w:w="1869"/>
        <w:gridCol w:w="1869"/>
      </w:tblGrid>
      <w:tr w:rsidR="00992953" w:rsidRPr="006B671F" w14:paraId="293DB1CB" w14:textId="77777777" w:rsidTr="00E7125B">
        <w:trPr>
          <w:trHeight w:val="555"/>
          <w:tblHeader/>
          <w:jc w:val="center"/>
        </w:trPr>
        <w:tc>
          <w:tcPr>
            <w:tcW w:w="1000" w:type="pct"/>
            <w:shd w:val="clear" w:color="000000" w:fill="FFFFFF"/>
            <w:vAlign w:val="center"/>
            <w:hideMark/>
          </w:tcPr>
          <w:p w14:paraId="61B6961D"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Categoría de activos l</w:t>
            </w:r>
          </w:p>
        </w:tc>
        <w:tc>
          <w:tcPr>
            <w:tcW w:w="1000" w:type="pct"/>
            <w:shd w:val="clear" w:color="000000" w:fill="FFFFFF"/>
            <w:noWrap/>
            <w:vAlign w:val="center"/>
            <w:hideMark/>
          </w:tcPr>
          <w:p w14:paraId="34A9C1D5"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l,1</w:t>
            </w:r>
          </w:p>
        </w:tc>
        <w:tc>
          <w:tcPr>
            <w:tcW w:w="1000" w:type="pct"/>
            <w:shd w:val="clear" w:color="000000" w:fill="FFFFFF"/>
            <w:noWrap/>
            <w:vAlign w:val="center"/>
            <w:hideMark/>
          </w:tcPr>
          <w:p w14:paraId="6F7DE669"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l,2</w:t>
            </w:r>
          </w:p>
        </w:tc>
        <w:tc>
          <w:tcPr>
            <w:tcW w:w="1000" w:type="pct"/>
            <w:shd w:val="clear" w:color="000000" w:fill="FFFFFF"/>
            <w:noWrap/>
            <w:vAlign w:val="center"/>
            <w:hideMark/>
          </w:tcPr>
          <w:p w14:paraId="4BFD48C6"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l,3</w:t>
            </w:r>
          </w:p>
        </w:tc>
        <w:tc>
          <w:tcPr>
            <w:tcW w:w="1000" w:type="pct"/>
            <w:shd w:val="clear" w:color="000000" w:fill="FFFFFF"/>
            <w:noWrap/>
            <w:vAlign w:val="center"/>
            <w:hideMark/>
          </w:tcPr>
          <w:p w14:paraId="4EDDACDE"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l,4</w:t>
            </w:r>
          </w:p>
        </w:tc>
      </w:tr>
      <w:tr w:rsidR="004B7259" w:rsidRPr="006B671F" w14:paraId="2588DE3B" w14:textId="77777777" w:rsidTr="00E7125B">
        <w:trPr>
          <w:trHeight w:val="345"/>
          <w:jc w:val="center"/>
        </w:trPr>
        <w:tc>
          <w:tcPr>
            <w:tcW w:w="1000" w:type="pct"/>
            <w:shd w:val="clear" w:color="000000" w:fill="FFFFFF"/>
            <w:noWrap/>
            <w:vAlign w:val="center"/>
            <w:hideMark/>
          </w:tcPr>
          <w:p w14:paraId="3EDA76DD" w14:textId="77777777" w:rsidR="004B7259" w:rsidRPr="006B671F" w:rsidRDefault="004B725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1</w:t>
            </w:r>
          </w:p>
        </w:tc>
        <w:tc>
          <w:tcPr>
            <w:tcW w:w="1000" w:type="pct"/>
            <w:shd w:val="clear" w:color="auto" w:fill="auto"/>
            <w:vAlign w:val="center"/>
            <w:hideMark/>
          </w:tcPr>
          <w:p w14:paraId="5E0EC603" w14:textId="01DCB373"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c>
          <w:tcPr>
            <w:tcW w:w="1000" w:type="pct"/>
            <w:shd w:val="clear" w:color="auto" w:fill="auto"/>
            <w:vAlign w:val="center"/>
            <w:hideMark/>
          </w:tcPr>
          <w:p w14:paraId="77CF5719" w14:textId="5BFC54F9"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c>
          <w:tcPr>
            <w:tcW w:w="1000" w:type="pct"/>
            <w:shd w:val="clear" w:color="auto" w:fill="auto"/>
            <w:vAlign w:val="center"/>
            <w:hideMark/>
          </w:tcPr>
          <w:p w14:paraId="684D5D81" w14:textId="1FF0D547"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c>
          <w:tcPr>
            <w:tcW w:w="1000" w:type="pct"/>
            <w:shd w:val="clear" w:color="auto" w:fill="auto"/>
            <w:vAlign w:val="center"/>
            <w:hideMark/>
          </w:tcPr>
          <w:p w14:paraId="7B090EC7" w14:textId="37CDE9FA"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r>
      <w:tr w:rsidR="004B7259" w:rsidRPr="006B671F" w14:paraId="43C59D4D" w14:textId="77777777" w:rsidTr="00E7125B">
        <w:trPr>
          <w:trHeight w:val="345"/>
          <w:jc w:val="center"/>
        </w:trPr>
        <w:tc>
          <w:tcPr>
            <w:tcW w:w="1000" w:type="pct"/>
            <w:shd w:val="clear" w:color="000000" w:fill="FFFFFF"/>
            <w:noWrap/>
            <w:vAlign w:val="center"/>
            <w:hideMark/>
          </w:tcPr>
          <w:p w14:paraId="0EC253AE" w14:textId="77777777" w:rsidR="004B7259" w:rsidRPr="006B671F" w:rsidRDefault="004B725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2</w:t>
            </w:r>
          </w:p>
        </w:tc>
        <w:tc>
          <w:tcPr>
            <w:tcW w:w="1000" w:type="pct"/>
            <w:shd w:val="clear" w:color="auto" w:fill="auto"/>
            <w:vAlign w:val="center"/>
            <w:hideMark/>
          </w:tcPr>
          <w:p w14:paraId="5010F04F" w14:textId="217CA061"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c>
          <w:tcPr>
            <w:tcW w:w="1000" w:type="pct"/>
            <w:shd w:val="clear" w:color="auto" w:fill="auto"/>
            <w:vAlign w:val="center"/>
            <w:hideMark/>
          </w:tcPr>
          <w:p w14:paraId="34DFE615" w14:textId="2D759891"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c>
          <w:tcPr>
            <w:tcW w:w="1000" w:type="pct"/>
            <w:shd w:val="clear" w:color="auto" w:fill="auto"/>
            <w:vAlign w:val="center"/>
            <w:hideMark/>
          </w:tcPr>
          <w:p w14:paraId="0C8A963D" w14:textId="7FA29EBF"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c>
          <w:tcPr>
            <w:tcW w:w="1000" w:type="pct"/>
            <w:shd w:val="clear" w:color="auto" w:fill="auto"/>
            <w:vAlign w:val="center"/>
            <w:hideMark/>
          </w:tcPr>
          <w:p w14:paraId="3BB25723" w14:textId="4F0AB9C6"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r>
      <w:tr w:rsidR="004B7259" w:rsidRPr="006B671F" w14:paraId="11BDC2FC" w14:textId="77777777" w:rsidTr="00E7125B">
        <w:trPr>
          <w:trHeight w:val="345"/>
          <w:jc w:val="center"/>
        </w:trPr>
        <w:tc>
          <w:tcPr>
            <w:tcW w:w="1000" w:type="pct"/>
            <w:shd w:val="clear" w:color="000000" w:fill="FFFFFF"/>
            <w:noWrap/>
            <w:vAlign w:val="center"/>
            <w:hideMark/>
          </w:tcPr>
          <w:p w14:paraId="0F3066AC" w14:textId="77777777" w:rsidR="004B7259" w:rsidRPr="006B671F" w:rsidRDefault="004B725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3</w:t>
            </w:r>
          </w:p>
        </w:tc>
        <w:tc>
          <w:tcPr>
            <w:tcW w:w="1000" w:type="pct"/>
            <w:shd w:val="clear" w:color="auto" w:fill="auto"/>
            <w:vAlign w:val="center"/>
            <w:hideMark/>
          </w:tcPr>
          <w:p w14:paraId="4EDF83D7" w14:textId="4A6388DA"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2.436.825.701</w:t>
            </w:r>
          </w:p>
        </w:tc>
        <w:tc>
          <w:tcPr>
            <w:tcW w:w="1000" w:type="pct"/>
            <w:shd w:val="clear" w:color="auto" w:fill="auto"/>
            <w:vAlign w:val="center"/>
            <w:hideMark/>
          </w:tcPr>
          <w:p w14:paraId="6FD1A126" w14:textId="15F7BA0F"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2.663.522.125</w:t>
            </w:r>
          </w:p>
        </w:tc>
        <w:tc>
          <w:tcPr>
            <w:tcW w:w="1000" w:type="pct"/>
            <w:shd w:val="clear" w:color="auto" w:fill="auto"/>
            <w:vAlign w:val="center"/>
            <w:hideMark/>
          </w:tcPr>
          <w:p w14:paraId="58202B09" w14:textId="136B521B"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744.011.088</w:t>
            </w:r>
          </w:p>
        </w:tc>
        <w:tc>
          <w:tcPr>
            <w:tcW w:w="1000" w:type="pct"/>
            <w:shd w:val="clear" w:color="auto" w:fill="auto"/>
            <w:vAlign w:val="center"/>
            <w:hideMark/>
          </w:tcPr>
          <w:p w14:paraId="651FD867" w14:textId="173A5157"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8.019.052.000</w:t>
            </w:r>
          </w:p>
        </w:tc>
      </w:tr>
      <w:tr w:rsidR="004B7259" w:rsidRPr="006B671F" w14:paraId="2287CB3F" w14:textId="77777777" w:rsidTr="00E7125B">
        <w:trPr>
          <w:trHeight w:val="345"/>
          <w:jc w:val="center"/>
        </w:trPr>
        <w:tc>
          <w:tcPr>
            <w:tcW w:w="1000" w:type="pct"/>
            <w:shd w:val="clear" w:color="000000" w:fill="FFFFFF"/>
            <w:noWrap/>
            <w:vAlign w:val="center"/>
            <w:hideMark/>
          </w:tcPr>
          <w:p w14:paraId="37EDEFAD" w14:textId="77777777" w:rsidR="004B7259" w:rsidRPr="006B671F" w:rsidRDefault="004B725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4</w:t>
            </w:r>
          </w:p>
        </w:tc>
        <w:tc>
          <w:tcPr>
            <w:tcW w:w="1000" w:type="pct"/>
            <w:shd w:val="clear" w:color="auto" w:fill="auto"/>
            <w:vAlign w:val="center"/>
            <w:hideMark/>
          </w:tcPr>
          <w:p w14:paraId="3E10872E" w14:textId="7E19E44A"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1.712.736.287</w:t>
            </w:r>
          </w:p>
        </w:tc>
        <w:tc>
          <w:tcPr>
            <w:tcW w:w="1000" w:type="pct"/>
            <w:shd w:val="clear" w:color="auto" w:fill="auto"/>
            <w:vAlign w:val="center"/>
            <w:hideMark/>
          </w:tcPr>
          <w:p w14:paraId="1B1EC68E" w14:textId="4291D4C6"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922.374.438</w:t>
            </w:r>
          </w:p>
        </w:tc>
        <w:tc>
          <w:tcPr>
            <w:tcW w:w="1000" w:type="pct"/>
            <w:shd w:val="clear" w:color="auto" w:fill="auto"/>
            <w:vAlign w:val="center"/>
            <w:hideMark/>
          </w:tcPr>
          <w:p w14:paraId="06B3FD12" w14:textId="65DF1F66"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524.684.475</w:t>
            </w:r>
          </w:p>
        </w:tc>
        <w:tc>
          <w:tcPr>
            <w:tcW w:w="1000" w:type="pct"/>
            <w:shd w:val="clear" w:color="auto" w:fill="auto"/>
            <w:vAlign w:val="center"/>
            <w:hideMark/>
          </w:tcPr>
          <w:p w14:paraId="420059F4" w14:textId="78B99188"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2.051.018.876</w:t>
            </w:r>
          </w:p>
        </w:tc>
      </w:tr>
      <w:tr w:rsidR="004B7259" w:rsidRPr="006B671F" w14:paraId="51498382" w14:textId="77777777" w:rsidTr="00E7125B">
        <w:trPr>
          <w:trHeight w:val="345"/>
          <w:jc w:val="center"/>
        </w:trPr>
        <w:tc>
          <w:tcPr>
            <w:tcW w:w="1000" w:type="pct"/>
            <w:shd w:val="clear" w:color="000000" w:fill="FFFFFF"/>
            <w:noWrap/>
            <w:vAlign w:val="center"/>
            <w:hideMark/>
          </w:tcPr>
          <w:p w14:paraId="4E8CEF0D" w14:textId="77777777" w:rsidR="004B7259" w:rsidRPr="006B671F" w:rsidRDefault="004B725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5</w:t>
            </w:r>
          </w:p>
        </w:tc>
        <w:tc>
          <w:tcPr>
            <w:tcW w:w="1000" w:type="pct"/>
            <w:shd w:val="clear" w:color="auto" w:fill="auto"/>
            <w:vAlign w:val="center"/>
            <w:hideMark/>
          </w:tcPr>
          <w:p w14:paraId="0FBBA449" w14:textId="63BAC4CC"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406.584.000</w:t>
            </w:r>
          </w:p>
        </w:tc>
        <w:tc>
          <w:tcPr>
            <w:tcW w:w="1000" w:type="pct"/>
            <w:shd w:val="clear" w:color="auto" w:fill="auto"/>
            <w:vAlign w:val="center"/>
            <w:hideMark/>
          </w:tcPr>
          <w:p w14:paraId="2C9A40D7" w14:textId="591FAB38"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304.938.000</w:t>
            </w:r>
          </w:p>
        </w:tc>
        <w:tc>
          <w:tcPr>
            <w:tcW w:w="1000" w:type="pct"/>
            <w:shd w:val="clear" w:color="auto" w:fill="auto"/>
            <w:vAlign w:val="center"/>
            <w:hideMark/>
          </w:tcPr>
          <w:p w14:paraId="34B6340D" w14:textId="082A309D"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c>
          <w:tcPr>
            <w:tcW w:w="1000" w:type="pct"/>
            <w:shd w:val="clear" w:color="auto" w:fill="auto"/>
            <w:vAlign w:val="center"/>
            <w:hideMark/>
          </w:tcPr>
          <w:p w14:paraId="4CF79630" w14:textId="3686747D"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1.016.460.000</w:t>
            </w:r>
          </w:p>
        </w:tc>
      </w:tr>
      <w:tr w:rsidR="004B7259" w:rsidRPr="006B671F" w14:paraId="3C305449" w14:textId="77777777" w:rsidTr="00E7125B">
        <w:trPr>
          <w:trHeight w:val="345"/>
          <w:jc w:val="center"/>
        </w:trPr>
        <w:tc>
          <w:tcPr>
            <w:tcW w:w="1000" w:type="pct"/>
            <w:shd w:val="clear" w:color="000000" w:fill="FFFFFF"/>
            <w:noWrap/>
            <w:vAlign w:val="center"/>
            <w:hideMark/>
          </w:tcPr>
          <w:p w14:paraId="0C46E46D" w14:textId="77777777" w:rsidR="004B7259" w:rsidRPr="006B671F" w:rsidRDefault="004B725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6</w:t>
            </w:r>
          </w:p>
        </w:tc>
        <w:tc>
          <w:tcPr>
            <w:tcW w:w="1000" w:type="pct"/>
            <w:shd w:val="clear" w:color="auto" w:fill="auto"/>
            <w:vAlign w:val="center"/>
            <w:hideMark/>
          </w:tcPr>
          <w:p w14:paraId="16B5E70B" w14:textId="411CC960"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754.656.150</w:t>
            </w:r>
          </w:p>
        </w:tc>
        <w:tc>
          <w:tcPr>
            <w:tcW w:w="1000" w:type="pct"/>
            <w:shd w:val="clear" w:color="auto" w:fill="auto"/>
            <w:vAlign w:val="center"/>
            <w:hideMark/>
          </w:tcPr>
          <w:p w14:paraId="5B6D425F" w14:textId="566C95B8"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652.275.000</w:t>
            </w:r>
          </w:p>
        </w:tc>
        <w:tc>
          <w:tcPr>
            <w:tcW w:w="1000" w:type="pct"/>
            <w:shd w:val="clear" w:color="auto" w:fill="auto"/>
            <w:vAlign w:val="center"/>
            <w:hideMark/>
          </w:tcPr>
          <w:p w14:paraId="09982B41" w14:textId="2BDDA4B1"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1.016.194.000</w:t>
            </w:r>
          </w:p>
        </w:tc>
        <w:tc>
          <w:tcPr>
            <w:tcW w:w="1000" w:type="pct"/>
            <w:shd w:val="clear" w:color="auto" w:fill="auto"/>
            <w:vAlign w:val="center"/>
            <w:hideMark/>
          </w:tcPr>
          <w:p w14:paraId="2DC00FF1" w14:textId="3E72297E"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4.454.295.000</w:t>
            </w:r>
          </w:p>
        </w:tc>
      </w:tr>
      <w:tr w:rsidR="004B7259" w:rsidRPr="006B671F" w14:paraId="04093E86" w14:textId="77777777" w:rsidTr="00E7125B">
        <w:trPr>
          <w:trHeight w:val="345"/>
          <w:jc w:val="center"/>
        </w:trPr>
        <w:tc>
          <w:tcPr>
            <w:tcW w:w="1000" w:type="pct"/>
            <w:shd w:val="clear" w:color="000000" w:fill="FFFFFF"/>
            <w:noWrap/>
            <w:vAlign w:val="center"/>
            <w:hideMark/>
          </w:tcPr>
          <w:p w14:paraId="251E5627" w14:textId="77777777" w:rsidR="004B7259" w:rsidRPr="006B671F" w:rsidRDefault="004B725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7</w:t>
            </w:r>
          </w:p>
        </w:tc>
        <w:tc>
          <w:tcPr>
            <w:tcW w:w="1000" w:type="pct"/>
            <w:shd w:val="clear" w:color="auto" w:fill="auto"/>
            <w:vAlign w:val="center"/>
            <w:hideMark/>
          </w:tcPr>
          <w:p w14:paraId="17DBE3A6" w14:textId="13AD6931"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c>
          <w:tcPr>
            <w:tcW w:w="1000" w:type="pct"/>
            <w:shd w:val="clear" w:color="auto" w:fill="auto"/>
            <w:vAlign w:val="center"/>
            <w:hideMark/>
          </w:tcPr>
          <w:p w14:paraId="69B903BC" w14:textId="3C3D9F00"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c>
          <w:tcPr>
            <w:tcW w:w="1000" w:type="pct"/>
            <w:shd w:val="clear" w:color="auto" w:fill="auto"/>
            <w:vAlign w:val="center"/>
            <w:hideMark/>
          </w:tcPr>
          <w:p w14:paraId="79D1387B" w14:textId="409F4F20"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36.488.400</w:t>
            </w:r>
          </w:p>
        </w:tc>
        <w:tc>
          <w:tcPr>
            <w:tcW w:w="1000" w:type="pct"/>
            <w:shd w:val="clear" w:color="auto" w:fill="auto"/>
            <w:vAlign w:val="center"/>
            <w:hideMark/>
          </w:tcPr>
          <w:p w14:paraId="6A70CA2E" w14:textId="5AACDC0E"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402.868.800</w:t>
            </w:r>
          </w:p>
        </w:tc>
      </w:tr>
      <w:tr w:rsidR="004B7259" w:rsidRPr="006B671F" w14:paraId="14235402" w14:textId="77777777" w:rsidTr="00E7125B">
        <w:trPr>
          <w:trHeight w:val="345"/>
          <w:jc w:val="center"/>
        </w:trPr>
        <w:tc>
          <w:tcPr>
            <w:tcW w:w="1000" w:type="pct"/>
            <w:shd w:val="clear" w:color="000000" w:fill="FFFFFF"/>
            <w:noWrap/>
            <w:vAlign w:val="center"/>
            <w:hideMark/>
          </w:tcPr>
          <w:p w14:paraId="71B05F29" w14:textId="77777777" w:rsidR="004B7259" w:rsidRPr="006B671F" w:rsidRDefault="004B725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8</w:t>
            </w:r>
          </w:p>
        </w:tc>
        <w:tc>
          <w:tcPr>
            <w:tcW w:w="1000" w:type="pct"/>
            <w:shd w:val="clear" w:color="auto" w:fill="auto"/>
            <w:vAlign w:val="center"/>
            <w:hideMark/>
          </w:tcPr>
          <w:p w14:paraId="163FA8D9" w14:textId="1F46D263"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c>
          <w:tcPr>
            <w:tcW w:w="1000" w:type="pct"/>
            <w:shd w:val="clear" w:color="auto" w:fill="auto"/>
            <w:vAlign w:val="center"/>
            <w:hideMark/>
          </w:tcPr>
          <w:p w14:paraId="233D578A" w14:textId="139FFF1E"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c>
          <w:tcPr>
            <w:tcW w:w="1000" w:type="pct"/>
            <w:shd w:val="clear" w:color="auto" w:fill="auto"/>
            <w:vAlign w:val="center"/>
            <w:hideMark/>
          </w:tcPr>
          <w:p w14:paraId="03540049" w14:textId="4824047A"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c>
          <w:tcPr>
            <w:tcW w:w="1000" w:type="pct"/>
            <w:shd w:val="clear" w:color="auto" w:fill="auto"/>
            <w:vAlign w:val="center"/>
            <w:hideMark/>
          </w:tcPr>
          <w:p w14:paraId="489B9802" w14:textId="4A9580FB"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r>
      <w:tr w:rsidR="004B7259" w:rsidRPr="006B671F" w14:paraId="72334EAF" w14:textId="77777777" w:rsidTr="00E7125B">
        <w:trPr>
          <w:trHeight w:val="345"/>
          <w:jc w:val="center"/>
        </w:trPr>
        <w:tc>
          <w:tcPr>
            <w:tcW w:w="1000" w:type="pct"/>
            <w:shd w:val="clear" w:color="000000" w:fill="FFFFFF"/>
            <w:noWrap/>
            <w:vAlign w:val="center"/>
            <w:hideMark/>
          </w:tcPr>
          <w:p w14:paraId="2A5A7B96" w14:textId="77777777" w:rsidR="004B7259" w:rsidRPr="006B671F" w:rsidRDefault="004B725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9</w:t>
            </w:r>
          </w:p>
        </w:tc>
        <w:tc>
          <w:tcPr>
            <w:tcW w:w="1000" w:type="pct"/>
            <w:shd w:val="clear" w:color="auto" w:fill="auto"/>
            <w:vAlign w:val="center"/>
            <w:hideMark/>
          </w:tcPr>
          <w:p w14:paraId="6C43FF6F" w14:textId="6AA91EEF"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c>
          <w:tcPr>
            <w:tcW w:w="1000" w:type="pct"/>
            <w:shd w:val="clear" w:color="auto" w:fill="auto"/>
            <w:vAlign w:val="center"/>
            <w:hideMark/>
          </w:tcPr>
          <w:p w14:paraId="07AB2C48" w14:textId="338DFDF2"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c>
          <w:tcPr>
            <w:tcW w:w="1000" w:type="pct"/>
            <w:shd w:val="clear" w:color="auto" w:fill="auto"/>
            <w:vAlign w:val="center"/>
            <w:hideMark/>
          </w:tcPr>
          <w:p w14:paraId="4CCE6972" w14:textId="54B40CE4"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c>
          <w:tcPr>
            <w:tcW w:w="1000" w:type="pct"/>
            <w:shd w:val="clear" w:color="auto" w:fill="auto"/>
            <w:vAlign w:val="center"/>
            <w:hideMark/>
          </w:tcPr>
          <w:p w14:paraId="25B02976" w14:textId="5ADAF176"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0</w:t>
            </w:r>
          </w:p>
        </w:tc>
      </w:tr>
      <w:tr w:rsidR="004B7259" w:rsidRPr="006B671F" w14:paraId="4B760EFA" w14:textId="77777777" w:rsidTr="00E7125B">
        <w:trPr>
          <w:trHeight w:val="345"/>
          <w:jc w:val="center"/>
        </w:trPr>
        <w:tc>
          <w:tcPr>
            <w:tcW w:w="1000" w:type="pct"/>
            <w:shd w:val="clear" w:color="000000" w:fill="FFFFFF"/>
            <w:noWrap/>
            <w:vAlign w:val="center"/>
            <w:hideMark/>
          </w:tcPr>
          <w:p w14:paraId="355E7FF8" w14:textId="77777777" w:rsidR="004B7259" w:rsidRPr="006B671F" w:rsidRDefault="004B725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10</w:t>
            </w:r>
          </w:p>
        </w:tc>
        <w:tc>
          <w:tcPr>
            <w:tcW w:w="1000" w:type="pct"/>
            <w:shd w:val="clear" w:color="auto" w:fill="auto"/>
            <w:vAlign w:val="center"/>
            <w:hideMark/>
          </w:tcPr>
          <w:p w14:paraId="05601242" w14:textId="470709A2"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798.128.076</w:t>
            </w:r>
          </w:p>
        </w:tc>
        <w:tc>
          <w:tcPr>
            <w:tcW w:w="1000" w:type="pct"/>
            <w:shd w:val="clear" w:color="auto" w:fill="auto"/>
            <w:vAlign w:val="center"/>
            <w:hideMark/>
          </w:tcPr>
          <w:p w14:paraId="51A91430" w14:textId="25BD5DED"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1.976.576.018</w:t>
            </w:r>
          </w:p>
        </w:tc>
        <w:tc>
          <w:tcPr>
            <w:tcW w:w="1000" w:type="pct"/>
            <w:shd w:val="clear" w:color="auto" w:fill="auto"/>
            <w:vAlign w:val="center"/>
            <w:hideMark/>
          </w:tcPr>
          <w:p w14:paraId="5E7867B4" w14:textId="7866BF35"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2.942.174.248</w:t>
            </w:r>
          </w:p>
        </w:tc>
        <w:tc>
          <w:tcPr>
            <w:tcW w:w="1000" w:type="pct"/>
            <w:shd w:val="clear" w:color="auto" w:fill="auto"/>
            <w:vAlign w:val="center"/>
            <w:hideMark/>
          </w:tcPr>
          <w:p w14:paraId="4C2F3E4E" w14:textId="6F5A7ED7" w:rsidR="004B7259" w:rsidRPr="004B7259" w:rsidRDefault="004B7259" w:rsidP="00470705">
            <w:pPr>
              <w:spacing w:before="100" w:beforeAutospacing="1" w:after="100" w:afterAutospacing="1"/>
              <w:jc w:val="right"/>
              <w:rPr>
                <w:rFonts w:cs="Arial"/>
                <w:i/>
                <w:iCs/>
                <w:color w:val="343536"/>
                <w:sz w:val="18"/>
                <w:szCs w:val="20"/>
              </w:rPr>
            </w:pPr>
            <w:r w:rsidRPr="004B7259">
              <w:rPr>
                <w:rFonts w:cs="Arial"/>
                <w:i/>
                <w:iCs/>
                <w:color w:val="343536"/>
                <w:sz w:val="18"/>
                <w:szCs w:val="20"/>
              </w:rPr>
              <w:t>717.327.504</w:t>
            </w:r>
          </w:p>
        </w:tc>
      </w:tr>
    </w:tbl>
    <w:p w14:paraId="0B296218" w14:textId="77777777" w:rsidR="00992953" w:rsidRPr="006B671F" w:rsidRDefault="00992953" w:rsidP="00470705">
      <w:pPr>
        <w:spacing w:before="100" w:beforeAutospacing="1" w:after="100" w:afterAutospacing="1"/>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1559"/>
        <w:gridCol w:w="1559"/>
        <w:gridCol w:w="1559"/>
        <w:gridCol w:w="1557"/>
        <w:gridCol w:w="1553"/>
      </w:tblGrid>
      <w:tr w:rsidR="00992953" w:rsidRPr="006B671F" w14:paraId="0DC78BF7" w14:textId="77777777" w:rsidTr="00F26E16">
        <w:trPr>
          <w:trHeight w:val="555"/>
          <w:tblHeader/>
          <w:jc w:val="center"/>
        </w:trPr>
        <w:tc>
          <w:tcPr>
            <w:tcW w:w="834" w:type="pct"/>
            <w:shd w:val="clear" w:color="auto" w:fill="FFFFFF" w:themeFill="background1"/>
            <w:vAlign w:val="center"/>
            <w:hideMark/>
          </w:tcPr>
          <w:p w14:paraId="4DA4DAF4" w14:textId="77777777" w:rsidR="00992953" w:rsidRPr="006B671F" w:rsidRDefault="00992953" w:rsidP="00470705">
            <w:pPr>
              <w:spacing w:before="100" w:beforeAutospacing="1" w:after="100" w:afterAutospacing="1"/>
              <w:jc w:val="center"/>
              <w:rPr>
                <w:rFonts w:cs="Calibri"/>
                <w:b/>
                <w:bCs/>
                <w:i/>
                <w:iCs/>
                <w:color w:val="000000"/>
                <w:sz w:val="20"/>
                <w:szCs w:val="20"/>
                <w:lang w:eastAsia="es-CO"/>
              </w:rPr>
            </w:pPr>
            <w:r w:rsidRPr="006B671F">
              <w:rPr>
                <w:rFonts w:cs="Arial"/>
                <w:b/>
                <w:bCs/>
                <w:i/>
                <w:iCs/>
                <w:color w:val="000000"/>
                <w:sz w:val="20"/>
                <w:szCs w:val="20"/>
                <w:lang w:eastAsia="es-CO"/>
              </w:rPr>
              <w:t>Categoría de activos l</w:t>
            </w:r>
          </w:p>
        </w:tc>
        <w:tc>
          <w:tcPr>
            <w:tcW w:w="834" w:type="pct"/>
            <w:shd w:val="clear" w:color="auto" w:fill="auto"/>
            <w:noWrap/>
            <w:vAlign w:val="center"/>
            <w:hideMark/>
          </w:tcPr>
          <w:p w14:paraId="4870B13C"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l,5</w:t>
            </w:r>
          </w:p>
        </w:tc>
        <w:tc>
          <w:tcPr>
            <w:tcW w:w="834" w:type="pct"/>
            <w:shd w:val="clear" w:color="auto" w:fill="auto"/>
            <w:noWrap/>
            <w:vAlign w:val="center"/>
            <w:hideMark/>
          </w:tcPr>
          <w:p w14:paraId="264C2889"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l,6</w:t>
            </w:r>
          </w:p>
        </w:tc>
        <w:tc>
          <w:tcPr>
            <w:tcW w:w="834" w:type="pct"/>
            <w:shd w:val="clear" w:color="auto" w:fill="auto"/>
            <w:noWrap/>
            <w:vAlign w:val="center"/>
            <w:hideMark/>
          </w:tcPr>
          <w:p w14:paraId="52BBCC29"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l,7</w:t>
            </w:r>
          </w:p>
        </w:tc>
        <w:tc>
          <w:tcPr>
            <w:tcW w:w="833" w:type="pct"/>
            <w:shd w:val="clear" w:color="auto" w:fill="auto"/>
            <w:noWrap/>
            <w:vAlign w:val="center"/>
            <w:hideMark/>
          </w:tcPr>
          <w:p w14:paraId="09942A2C"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l,8</w:t>
            </w:r>
          </w:p>
        </w:tc>
        <w:tc>
          <w:tcPr>
            <w:tcW w:w="831" w:type="pct"/>
            <w:shd w:val="clear" w:color="auto" w:fill="auto"/>
            <w:noWrap/>
            <w:vAlign w:val="center"/>
            <w:hideMark/>
          </w:tcPr>
          <w:p w14:paraId="14229555"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j,4, l,9</w:t>
            </w:r>
          </w:p>
        </w:tc>
      </w:tr>
      <w:tr w:rsidR="00242425" w:rsidRPr="006B671F" w14:paraId="35418C69" w14:textId="77777777" w:rsidTr="00242425">
        <w:trPr>
          <w:trHeight w:val="345"/>
          <w:jc w:val="center"/>
        </w:trPr>
        <w:tc>
          <w:tcPr>
            <w:tcW w:w="834" w:type="pct"/>
            <w:shd w:val="clear" w:color="auto" w:fill="FFFFFF" w:themeFill="background1"/>
            <w:noWrap/>
            <w:vAlign w:val="center"/>
            <w:hideMark/>
          </w:tcPr>
          <w:p w14:paraId="3B512B0B" w14:textId="77777777" w:rsidR="00242425" w:rsidRPr="006B671F" w:rsidRDefault="0024242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33ED1432" w14:textId="0DC0C953"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11.876.156.000</w:t>
            </w:r>
          </w:p>
        </w:tc>
        <w:tc>
          <w:tcPr>
            <w:tcW w:w="834" w:type="pct"/>
            <w:tcBorders>
              <w:top w:val="single" w:sz="4" w:space="0" w:color="auto"/>
              <w:left w:val="nil"/>
              <w:bottom w:val="single" w:sz="4" w:space="0" w:color="auto"/>
              <w:right w:val="single" w:sz="4" w:space="0" w:color="auto"/>
            </w:tcBorders>
            <w:shd w:val="clear" w:color="auto" w:fill="auto"/>
            <w:vAlign w:val="center"/>
          </w:tcPr>
          <w:p w14:paraId="292C9BC8" w14:textId="47F06681"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c>
          <w:tcPr>
            <w:tcW w:w="834" w:type="pct"/>
            <w:tcBorders>
              <w:top w:val="single" w:sz="4" w:space="0" w:color="auto"/>
              <w:left w:val="nil"/>
              <w:bottom w:val="single" w:sz="4" w:space="0" w:color="auto"/>
              <w:right w:val="single" w:sz="4" w:space="0" w:color="auto"/>
            </w:tcBorders>
            <w:shd w:val="clear" w:color="auto" w:fill="auto"/>
            <w:vAlign w:val="center"/>
          </w:tcPr>
          <w:p w14:paraId="2F61046D" w14:textId="4BC66D91"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c>
          <w:tcPr>
            <w:tcW w:w="833" w:type="pct"/>
            <w:tcBorders>
              <w:top w:val="single" w:sz="4" w:space="0" w:color="auto"/>
              <w:left w:val="nil"/>
              <w:bottom w:val="single" w:sz="4" w:space="0" w:color="auto"/>
              <w:right w:val="single" w:sz="4" w:space="0" w:color="auto"/>
            </w:tcBorders>
            <w:shd w:val="clear" w:color="auto" w:fill="auto"/>
            <w:vAlign w:val="center"/>
          </w:tcPr>
          <w:p w14:paraId="37F388FD" w14:textId="671587D5"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5.938.078.000</w:t>
            </w:r>
          </w:p>
        </w:tc>
        <w:tc>
          <w:tcPr>
            <w:tcW w:w="831" w:type="pct"/>
            <w:tcBorders>
              <w:top w:val="single" w:sz="4" w:space="0" w:color="auto"/>
              <w:left w:val="nil"/>
              <w:bottom w:val="single" w:sz="4" w:space="0" w:color="auto"/>
              <w:right w:val="single" w:sz="4" w:space="0" w:color="auto"/>
            </w:tcBorders>
            <w:shd w:val="clear" w:color="auto" w:fill="auto"/>
            <w:vAlign w:val="center"/>
          </w:tcPr>
          <w:p w14:paraId="14DB1F04" w14:textId="30A3DDED"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r>
      <w:tr w:rsidR="00242425" w:rsidRPr="006B671F" w14:paraId="40DAAE8B" w14:textId="77777777" w:rsidTr="00242425">
        <w:trPr>
          <w:trHeight w:val="345"/>
          <w:jc w:val="center"/>
        </w:trPr>
        <w:tc>
          <w:tcPr>
            <w:tcW w:w="834" w:type="pct"/>
            <w:shd w:val="clear" w:color="auto" w:fill="FFFFFF" w:themeFill="background1"/>
            <w:noWrap/>
            <w:vAlign w:val="center"/>
            <w:hideMark/>
          </w:tcPr>
          <w:p w14:paraId="2EB45536" w14:textId="77777777" w:rsidR="00242425" w:rsidRPr="006B671F" w:rsidRDefault="0024242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2</w:t>
            </w:r>
          </w:p>
        </w:tc>
        <w:tc>
          <w:tcPr>
            <w:tcW w:w="834" w:type="pct"/>
            <w:tcBorders>
              <w:top w:val="nil"/>
              <w:left w:val="single" w:sz="4" w:space="0" w:color="auto"/>
              <w:bottom w:val="single" w:sz="4" w:space="0" w:color="auto"/>
              <w:right w:val="single" w:sz="4" w:space="0" w:color="auto"/>
            </w:tcBorders>
            <w:shd w:val="clear" w:color="auto" w:fill="auto"/>
            <w:vAlign w:val="center"/>
          </w:tcPr>
          <w:p w14:paraId="5735D3E1" w14:textId="35962B8D"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c>
          <w:tcPr>
            <w:tcW w:w="834" w:type="pct"/>
            <w:tcBorders>
              <w:top w:val="nil"/>
              <w:left w:val="nil"/>
              <w:bottom w:val="single" w:sz="4" w:space="0" w:color="auto"/>
              <w:right w:val="single" w:sz="4" w:space="0" w:color="auto"/>
            </w:tcBorders>
            <w:shd w:val="clear" w:color="auto" w:fill="auto"/>
            <w:vAlign w:val="center"/>
          </w:tcPr>
          <w:p w14:paraId="470E41B8" w14:textId="0852DDD9"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c>
          <w:tcPr>
            <w:tcW w:w="834" w:type="pct"/>
            <w:tcBorders>
              <w:top w:val="nil"/>
              <w:left w:val="nil"/>
              <w:bottom w:val="single" w:sz="4" w:space="0" w:color="auto"/>
              <w:right w:val="single" w:sz="4" w:space="0" w:color="auto"/>
            </w:tcBorders>
            <w:shd w:val="clear" w:color="auto" w:fill="auto"/>
            <w:vAlign w:val="center"/>
          </w:tcPr>
          <w:p w14:paraId="08FC07AA" w14:textId="4BE5F029"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c>
          <w:tcPr>
            <w:tcW w:w="833" w:type="pct"/>
            <w:tcBorders>
              <w:top w:val="nil"/>
              <w:left w:val="nil"/>
              <w:bottom w:val="single" w:sz="4" w:space="0" w:color="auto"/>
              <w:right w:val="single" w:sz="4" w:space="0" w:color="auto"/>
            </w:tcBorders>
            <w:shd w:val="clear" w:color="auto" w:fill="auto"/>
            <w:vAlign w:val="center"/>
          </w:tcPr>
          <w:p w14:paraId="47BEB3BD" w14:textId="2EA49B24"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c>
          <w:tcPr>
            <w:tcW w:w="831" w:type="pct"/>
            <w:tcBorders>
              <w:top w:val="nil"/>
              <w:left w:val="nil"/>
              <w:bottom w:val="single" w:sz="4" w:space="0" w:color="auto"/>
              <w:right w:val="single" w:sz="4" w:space="0" w:color="auto"/>
            </w:tcBorders>
            <w:shd w:val="clear" w:color="auto" w:fill="auto"/>
            <w:vAlign w:val="center"/>
          </w:tcPr>
          <w:p w14:paraId="7A022F3A" w14:textId="6D082C33"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r>
      <w:tr w:rsidR="00242425" w:rsidRPr="006B671F" w14:paraId="7AC6BD99" w14:textId="77777777" w:rsidTr="00242425">
        <w:trPr>
          <w:trHeight w:val="345"/>
          <w:jc w:val="center"/>
        </w:trPr>
        <w:tc>
          <w:tcPr>
            <w:tcW w:w="834" w:type="pct"/>
            <w:shd w:val="clear" w:color="auto" w:fill="FFFFFF" w:themeFill="background1"/>
            <w:noWrap/>
            <w:vAlign w:val="center"/>
            <w:hideMark/>
          </w:tcPr>
          <w:p w14:paraId="2066E8AF" w14:textId="77777777" w:rsidR="00242425" w:rsidRPr="006B671F" w:rsidRDefault="0024242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3</w:t>
            </w:r>
          </w:p>
        </w:tc>
        <w:tc>
          <w:tcPr>
            <w:tcW w:w="834" w:type="pct"/>
            <w:tcBorders>
              <w:top w:val="nil"/>
              <w:left w:val="single" w:sz="4" w:space="0" w:color="auto"/>
              <w:bottom w:val="single" w:sz="4" w:space="0" w:color="auto"/>
              <w:right w:val="single" w:sz="4" w:space="0" w:color="auto"/>
            </w:tcBorders>
            <w:shd w:val="clear" w:color="auto" w:fill="auto"/>
            <w:vAlign w:val="center"/>
          </w:tcPr>
          <w:p w14:paraId="26F9416A" w14:textId="79F27729"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3.497.918.216</w:t>
            </w:r>
          </w:p>
        </w:tc>
        <w:tc>
          <w:tcPr>
            <w:tcW w:w="834" w:type="pct"/>
            <w:tcBorders>
              <w:top w:val="nil"/>
              <w:left w:val="nil"/>
              <w:bottom w:val="single" w:sz="4" w:space="0" w:color="auto"/>
              <w:right w:val="single" w:sz="4" w:space="0" w:color="auto"/>
            </w:tcBorders>
            <w:shd w:val="clear" w:color="auto" w:fill="auto"/>
            <w:vAlign w:val="center"/>
          </w:tcPr>
          <w:p w14:paraId="434F500E" w14:textId="514201E6"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13.120.961.690</w:t>
            </w:r>
          </w:p>
        </w:tc>
        <w:tc>
          <w:tcPr>
            <w:tcW w:w="834" w:type="pct"/>
            <w:tcBorders>
              <w:top w:val="nil"/>
              <w:left w:val="nil"/>
              <w:bottom w:val="single" w:sz="4" w:space="0" w:color="auto"/>
              <w:right w:val="single" w:sz="4" w:space="0" w:color="auto"/>
            </w:tcBorders>
            <w:shd w:val="clear" w:color="auto" w:fill="auto"/>
            <w:vAlign w:val="center"/>
          </w:tcPr>
          <w:p w14:paraId="54BF0D0A" w14:textId="49E4B337"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3.392.503.000</w:t>
            </w:r>
          </w:p>
        </w:tc>
        <w:tc>
          <w:tcPr>
            <w:tcW w:w="833" w:type="pct"/>
            <w:tcBorders>
              <w:top w:val="nil"/>
              <w:left w:val="nil"/>
              <w:bottom w:val="single" w:sz="4" w:space="0" w:color="auto"/>
              <w:right w:val="single" w:sz="4" w:space="0" w:color="auto"/>
            </w:tcBorders>
            <w:shd w:val="clear" w:color="auto" w:fill="auto"/>
            <w:vAlign w:val="center"/>
          </w:tcPr>
          <w:p w14:paraId="40641E50" w14:textId="7B987FBC"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2.682.059.215</w:t>
            </w:r>
          </w:p>
        </w:tc>
        <w:tc>
          <w:tcPr>
            <w:tcW w:w="831" w:type="pct"/>
            <w:tcBorders>
              <w:top w:val="nil"/>
              <w:left w:val="nil"/>
              <w:bottom w:val="single" w:sz="4" w:space="0" w:color="auto"/>
              <w:right w:val="single" w:sz="4" w:space="0" w:color="auto"/>
            </w:tcBorders>
            <w:shd w:val="clear" w:color="auto" w:fill="auto"/>
            <w:vAlign w:val="center"/>
          </w:tcPr>
          <w:p w14:paraId="5BEBA932" w14:textId="77A5AD09"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551.193.810</w:t>
            </w:r>
          </w:p>
        </w:tc>
      </w:tr>
      <w:tr w:rsidR="00242425" w:rsidRPr="006B671F" w14:paraId="4839F522" w14:textId="77777777" w:rsidTr="00242425">
        <w:trPr>
          <w:trHeight w:val="345"/>
          <w:jc w:val="center"/>
        </w:trPr>
        <w:tc>
          <w:tcPr>
            <w:tcW w:w="834" w:type="pct"/>
            <w:shd w:val="clear" w:color="auto" w:fill="FFFFFF" w:themeFill="background1"/>
            <w:noWrap/>
            <w:vAlign w:val="center"/>
            <w:hideMark/>
          </w:tcPr>
          <w:p w14:paraId="3564A000" w14:textId="77777777" w:rsidR="00242425" w:rsidRPr="006B671F" w:rsidRDefault="0024242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4</w:t>
            </w:r>
          </w:p>
        </w:tc>
        <w:tc>
          <w:tcPr>
            <w:tcW w:w="834" w:type="pct"/>
            <w:tcBorders>
              <w:top w:val="nil"/>
              <w:left w:val="single" w:sz="4" w:space="0" w:color="auto"/>
              <w:bottom w:val="single" w:sz="4" w:space="0" w:color="auto"/>
              <w:right w:val="single" w:sz="4" w:space="0" w:color="auto"/>
            </w:tcBorders>
            <w:shd w:val="clear" w:color="auto" w:fill="auto"/>
            <w:vAlign w:val="center"/>
          </w:tcPr>
          <w:p w14:paraId="705AFEEE" w14:textId="656D3CDF"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142.103.076</w:t>
            </w:r>
          </w:p>
        </w:tc>
        <w:tc>
          <w:tcPr>
            <w:tcW w:w="834" w:type="pct"/>
            <w:tcBorders>
              <w:top w:val="nil"/>
              <w:left w:val="nil"/>
              <w:bottom w:val="single" w:sz="4" w:space="0" w:color="auto"/>
              <w:right w:val="single" w:sz="4" w:space="0" w:color="auto"/>
            </w:tcBorders>
            <w:shd w:val="clear" w:color="auto" w:fill="auto"/>
            <w:vAlign w:val="center"/>
          </w:tcPr>
          <w:p w14:paraId="6DF2F5FB" w14:textId="6896C529"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258.881.172</w:t>
            </w:r>
          </w:p>
        </w:tc>
        <w:tc>
          <w:tcPr>
            <w:tcW w:w="834" w:type="pct"/>
            <w:tcBorders>
              <w:top w:val="nil"/>
              <w:left w:val="nil"/>
              <w:bottom w:val="single" w:sz="4" w:space="0" w:color="auto"/>
              <w:right w:val="single" w:sz="4" w:space="0" w:color="auto"/>
            </w:tcBorders>
            <w:shd w:val="clear" w:color="auto" w:fill="auto"/>
            <w:vAlign w:val="center"/>
          </w:tcPr>
          <w:p w14:paraId="1CD39266" w14:textId="31630E1C"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319.904.607</w:t>
            </w:r>
          </w:p>
        </w:tc>
        <w:tc>
          <w:tcPr>
            <w:tcW w:w="833" w:type="pct"/>
            <w:tcBorders>
              <w:top w:val="nil"/>
              <w:left w:val="nil"/>
              <w:bottom w:val="single" w:sz="4" w:space="0" w:color="auto"/>
              <w:right w:val="single" w:sz="4" w:space="0" w:color="auto"/>
            </w:tcBorders>
            <w:shd w:val="clear" w:color="auto" w:fill="auto"/>
            <w:vAlign w:val="center"/>
          </w:tcPr>
          <w:p w14:paraId="7BA42267" w14:textId="4EFDC2F9"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119.715.000</w:t>
            </w:r>
          </w:p>
        </w:tc>
        <w:tc>
          <w:tcPr>
            <w:tcW w:w="831" w:type="pct"/>
            <w:tcBorders>
              <w:top w:val="nil"/>
              <w:left w:val="nil"/>
              <w:bottom w:val="single" w:sz="4" w:space="0" w:color="auto"/>
              <w:right w:val="single" w:sz="4" w:space="0" w:color="auto"/>
            </w:tcBorders>
            <w:shd w:val="clear" w:color="auto" w:fill="auto"/>
            <w:vAlign w:val="center"/>
          </w:tcPr>
          <w:p w14:paraId="62C8B0F8" w14:textId="0A6684E3"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119.715.000</w:t>
            </w:r>
          </w:p>
        </w:tc>
      </w:tr>
      <w:tr w:rsidR="00242425" w:rsidRPr="006B671F" w14:paraId="1F139727" w14:textId="77777777" w:rsidTr="00242425">
        <w:trPr>
          <w:trHeight w:val="345"/>
          <w:jc w:val="center"/>
        </w:trPr>
        <w:tc>
          <w:tcPr>
            <w:tcW w:w="834" w:type="pct"/>
            <w:shd w:val="clear" w:color="auto" w:fill="FFFFFF" w:themeFill="background1"/>
            <w:noWrap/>
            <w:vAlign w:val="center"/>
            <w:hideMark/>
          </w:tcPr>
          <w:p w14:paraId="727DE76D" w14:textId="77777777" w:rsidR="00242425" w:rsidRPr="006B671F" w:rsidRDefault="0024242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5</w:t>
            </w:r>
          </w:p>
        </w:tc>
        <w:tc>
          <w:tcPr>
            <w:tcW w:w="834" w:type="pct"/>
            <w:tcBorders>
              <w:top w:val="nil"/>
              <w:left w:val="single" w:sz="4" w:space="0" w:color="auto"/>
              <w:bottom w:val="single" w:sz="4" w:space="0" w:color="auto"/>
              <w:right w:val="single" w:sz="4" w:space="0" w:color="auto"/>
            </w:tcBorders>
            <w:shd w:val="clear" w:color="auto" w:fill="auto"/>
            <w:vAlign w:val="center"/>
          </w:tcPr>
          <w:p w14:paraId="632424C6" w14:textId="423377FB"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711.522.000</w:t>
            </w:r>
          </w:p>
        </w:tc>
        <w:tc>
          <w:tcPr>
            <w:tcW w:w="834" w:type="pct"/>
            <w:tcBorders>
              <w:top w:val="nil"/>
              <w:left w:val="nil"/>
              <w:bottom w:val="single" w:sz="4" w:space="0" w:color="auto"/>
              <w:right w:val="single" w:sz="4" w:space="0" w:color="auto"/>
            </w:tcBorders>
            <w:shd w:val="clear" w:color="auto" w:fill="auto"/>
            <w:vAlign w:val="center"/>
          </w:tcPr>
          <w:p w14:paraId="7CA3BA95" w14:textId="3981C22F"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1.423.044.000</w:t>
            </w:r>
          </w:p>
        </w:tc>
        <w:tc>
          <w:tcPr>
            <w:tcW w:w="834" w:type="pct"/>
            <w:tcBorders>
              <w:top w:val="nil"/>
              <w:left w:val="nil"/>
              <w:bottom w:val="single" w:sz="4" w:space="0" w:color="auto"/>
              <w:right w:val="single" w:sz="4" w:space="0" w:color="auto"/>
            </w:tcBorders>
            <w:shd w:val="clear" w:color="auto" w:fill="auto"/>
            <w:vAlign w:val="center"/>
          </w:tcPr>
          <w:p w14:paraId="3039F398" w14:textId="15771307"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1.219.752.000</w:t>
            </w:r>
          </w:p>
        </w:tc>
        <w:tc>
          <w:tcPr>
            <w:tcW w:w="833" w:type="pct"/>
            <w:tcBorders>
              <w:top w:val="nil"/>
              <w:left w:val="nil"/>
              <w:bottom w:val="single" w:sz="4" w:space="0" w:color="auto"/>
              <w:right w:val="single" w:sz="4" w:space="0" w:color="auto"/>
            </w:tcBorders>
            <w:shd w:val="clear" w:color="auto" w:fill="auto"/>
            <w:vAlign w:val="center"/>
          </w:tcPr>
          <w:p w14:paraId="3A42E5A9" w14:textId="6D69D5F2"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609.876.000</w:t>
            </w:r>
          </w:p>
        </w:tc>
        <w:tc>
          <w:tcPr>
            <w:tcW w:w="831" w:type="pct"/>
            <w:tcBorders>
              <w:top w:val="nil"/>
              <w:left w:val="nil"/>
              <w:bottom w:val="single" w:sz="4" w:space="0" w:color="auto"/>
              <w:right w:val="single" w:sz="4" w:space="0" w:color="auto"/>
            </w:tcBorders>
            <w:shd w:val="clear" w:color="auto" w:fill="auto"/>
            <w:vAlign w:val="center"/>
          </w:tcPr>
          <w:p w14:paraId="33715D43" w14:textId="4145C333"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101.646.000</w:t>
            </w:r>
          </w:p>
        </w:tc>
      </w:tr>
      <w:tr w:rsidR="00242425" w:rsidRPr="006B671F" w14:paraId="284466AE" w14:textId="77777777" w:rsidTr="00242425">
        <w:trPr>
          <w:trHeight w:val="345"/>
          <w:jc w:val="center"/>
        </w:trPr>
        <w:tc>
          <w:tcPr>
            <w:tcW w:w="834" w:type="pct"/>
            <w:shd w:val="clear" w:color="auto" w:fill="FFFFFF" w:themeFill="background1"/>
            <w:noWrap/>
            <w:vAlign w:val="center"/>
            <w:hideMark/>
          </w:tcPr>
          <w:p w14:paraId="4D9A7567" w14:textId="77777777" w:rsidR="00242425" w:rsidRPr="006B671F" w:rsidRDefault="0024242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6</w:t>
            </w:r>
          </w:p>
        </w:tc>
        <w:tc>
          <w:tcPr>
            <w:tcW w:w="834" w:type="pct"/>
            <w:tcBorders>
              <w:top w:val="nil"/>
              <w:left w:val="single" w:sz="4" w:space="0" w:color="auto"/>
              <w:bottom w:val="single" w:sz="4" w:space="0" w:color="auto"/>
              <w:right w:val="single" w:sz="4" w:space="0" w:color="auto"/>
            </w:tcBorders>
            <w:shd w:val="clear" w:color="auto" w:fill="auto"/>
            <w:vAlign w:val="center"/>
          </w:tcPr>
          <w:p w14:paraId="3996E023" w14:textId="36E18CA5"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1.703.299.000</w:t>
            </w:r>
          </w:p>
        </w:tc>
        <w:tc>
          <w:tcPr>
            <w:tcW w:w="834" w:type="pct"/>
            <w:tcBorders>
              <w:top w:val="nil"/>
              <w:left w:val="nil"/>
              <w:bottom w:val="single" w:sz="4" w:space="0" w:color="auto"/>
              <w:right w:val="single" w:sz="4" w:space="0" w:color="auto"/>
            </w:tcBorders>
            <w:shd w:val="clear" w:color="auto" w:fill="auto"/>
            <w:vAlign w:val="center"/>
          </w:tcPr>
          <w:p w14:paraId="6C2171E2" w14:textId="199D8E46"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3.057.212.000</w:t>
            </w:r>
          </w:p>
        </w:tc>
        <w:tc>
          <w:tcPr>
            <w:tcW w:w="834" w:type="pct"/>
            <w:tcBorders>
              <w:top w:val="nil"/>
              <w:left w:val="nil"/>
              <w:bottom w:val="single" w:sz="4" w:space="0" w:color="auto"/>
              <w:right w:val="single" w:sz="4" w:space="0" w:color="auto"/>
            </w:tcBorders>
            <w:shd w:val="clear" w:color="auto" w:fill="auto"/>
            <w:vAlign w:val="center"/>
          </w:tcPr>
          <w:p w14:paraId="5A1ADCC4" w14:textId="449F9FF2"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1.506.850.683</w:t>
            </w:r>
          </w:p>
        </w:tc>
        <w:tc>
          <w:tcPr>
            <w:tcW w:w="833" w:type="pct"/>
            <w:tcBorders>
              <w:top w:val="nil"/>
              <w:left w:val="nil"/>
              <w:bottom w:val="single" w:sz="4" w:space="0" w:color="auto"/>
              <w:right w:val="single" w:sz="4" w:space="0" w:color="auto"/>
            </w:tcBorders>
            <w:shd w:val="clear" w:color="auto" w:fill="auto"/>
            <w:vAlign w:val="center"/>
          </w:tcPr>
          <w:p w14:paraId="53943A2C" w14:textId="1F0F146B"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734.530.000</w:t>
            </w:r>
          </w:p>
        </w:tc>
        <w:tc>
          <w:tcPr>
            <w:tcW w:w="831" w:type="pct"/>
            <w:tcBorders>
              <w:top w:val="nil"/>
              <w:left w:val="nil"/>
              <w:bottom w:val="single" w:sz="4" w:space="0" w:color="auto"/>
              <w:right w:val="single" w:sz="4" w:space="0" w:color="auto"/>
            </w:tcBorders>
            <w:shd w:val="clear" w:color="auto" w:fill="auto"/>
            <w:vAlign w:val="center"/>
          </w:tcPr>
          <w:p w14:paraId="78888432" w14:textId="2D9393E3"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r>
      <w:tr w:rsidR="00242425" w:rsidRPr="006B671F" w14:paraId="44AC418B" w14:textId="77777777" w:rsidTr="00242425">
        <w:trPr>
          <w:trHeight w:val="345"/>
          <w:jc w:val="center"/>
        </w:trPr>
        <w:tc>
          <w:tcPr>
            <w:tcW w:w="834" w:type="pct"/>
            <w:shd w:val="clear" w:color="auto" w:fill="FFFFFF" w:themeFill="background1"/>
            <w:noWrap/>
            <w:vAlign w:val="center"/>
            <w:hideMark/>
          </w:tcPr>
          <w:p w14:paraId="6323E611" w14:textId="77777777" w:rsidR="00242425" w:rsidRPr="006B671F" w:rsidRDefault="0024242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7</w:t>
            </w:r>
          </w:p>
        </w:tc>
        <w:tc>
          <w:tcPr>
            <w:tcW w:w="834" w:type="pct"/>
            <w:tcBorders>
              <w:top w:val="nil"/>
              <w:left w:val="single" w:sz="4" w:space="0" w:color="auto"/>
              <w:bottom w:val="single" w:sz="4" w:space="0" w:color="auto"/>
              <w:right w:val="single" w:sz="4" w:space="0" w:color="auto"/>
            </w:tcBorders>
            <w:shd w:val="clear" w:color="auto" w:fill="auto"/>
            <w:vAlign w:val="center"/>
          </w:tcPr>
          <w:p w14:paraId="733E179A" w14:textId="57BB070D"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3.456.892.500</w:t>
            </w:r>
          </w:p>
        </w:tc>
        <w:tc>
          <w:tcPr>
            <w:tcW w:w="834" w:type="pct"/>
            <w:tcBorders>
              <w:top w:val="nil"/>
              <w:left w:val="nil"/>
              <w:bottom w:val="single" w:sz="4" w:space="0" w:color="auto"/>
              <w:right w:val="single" w:sz="4" w:space="0" w:color="auto"/>
            </w:tcBorders>
            <w:shd w:val="clear" w:color="auto" w:fill="auto"/>
            <w:vAlign w:val="center"/>
          </w:tcPr>
          <w:p w14:paraId="301C71B2" w14:textId="5479F6B2"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30.342.185.600</w:t>
            </w:r>
          </w:p>
        </w:tc>
        <w:tc>
          <w:tcPr>
            <w:tcW w:w="834" w:type="pct"/>
            <w:tcBorders>
              <w:top w:val="nil"/>
              <w:left w:val="nil"/>
              <w:bottom w:val="single" w:sz="4" w:space="0" w:color="auto"/>
              <w:right w:val="single" w:sz="4" w:space="0" w:color="auto"/>
            </w:tcBorders>
            <w:shd w:val="clear" w:color="auto" w:fill="auto"/>
            <w:vAlign w:val="center"/>
          </w:tcPr>
          <w:p w14:paraId="4E429227" w14:textId="3DF3E3B8"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6.368.436.800</w:t>
            </w:r>
          </w:p>
        </w:tc>
        <w:tc>
          <w:tcPr>
            <w:tcW w:w="833" w:type="pct"/>
            <w:tcBorders>
              <w:top w:val="nil"/>
              <w:left w:val="nil"/>
              <w:bottom w:val="single" w:sz="4" w:space="0" w:color="auto"/>
              <w:right w:val="single" w:sz="4" w:space="0" w:color="auto"/>
            </w:tcBorders>
            <w:shd w:val="clear" w:color="auto" w:fill="auto"/>
            <w:vAlign w:val="center"/>
          </w:tcPr>
          <w:p w14:paraId="6AEDCFDC" w14:textId="06BC3BBA"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5.726.609.600</w:t>
            </w:r>
          </w:p>
        </w:tc>
        <w:tc>
          <w:tcPr>
            <w:tcW w:w="831" w:type="pct"/>
            <w:tcBorders>
              <w:top w:val="nil"/>
              <w:left w:val="nil"/>
              <w:bottom w:val="single" w:sz="4" w:space="0" w:color="auto"/>
              <w:right w:val="single" w:sz="4" w:space="0" w:color="auto"/>
            </w:tcBorders>
            <w:shd w:val="clear" w:color="auto" w:fill="auto"/>
            <w:vAlign w:val="center"/>
          </w:tcPr>
          <w:p w14:paraId="404C2821" w14:textId="45D4AE13"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r>
      <w:tr w:rsidR="00242425" w:rsidRPr="006B671F" w14:paraId="7D06684C" w14:textId="77777777" w:rsidTr="00242425">
        <w:trPr>
          <w:trHeight w:val="345"/>
          <w:jc w:val="center"/>
        </w:trPr>
        <w:tc>
          <w:tcPr>
            <w:tcW w:w="834" w:type="pct"/>
            <w:shd w:val="clear" w:color="auto" w:fill="FFFFFF" w:themeFill="background1"/>
            <w:noWrap/>
            <w:vAlign w:val="center"/>
            <w:hideMark/>
          </w:tcPr>
          <w:p w14:paraId="1F5B5D3F" w14:textId="77777777" w:rsidR="00242425" w:rsidRPr="006B671F" w:rsidRDefault="0024242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8</w:t>
            </w:r>
          </w:p>
        </w:tc>
        <w:tc>
          <w:tcPr>
            <w:tcW w:w="834" w:type="pct"/>
            <w:tcBorders>
              <w:top w:val="nil"/>
              <w:left w:val="single" w:sz="4" w:space="0" w:color="auto"/>
              <w:bottom w:val="single" w:sz="4" w:space="0" w:color="auto"/>
              <w:right w:val="single" w:sz="4" w:space="0" w:color="auto"/>
            </w:tcBorders>
            <w:shd w:val="clear" w:color="auto" w:fill="auto"/>
            <w:vAlign w:val="center"/>
          </w:tcPr>
          <w:p w14:paraId="0F14F502" w14:textId="6D1DA551"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c>
          <w:tcPr>
            <w:tcW w:w="834" w:type="pct"/>
            <w:tcBorders>
              <w:top w:val="nil"/>
              <w:left w:val="nil"/>
              <w:bottom w:val="single" w:sz="4" w:space="0" w:color="auto"/>
              <w:right w:val="single" w:sz="4" w:space="0" w:color="auto"/>
            </w:tcBorders>
            <w:shd w:val="clear" w:color="auto" w:fill="auto"/>
            <w:vAlign w:val="center"/>
          </w:tcPr>
          <w:p w14:paraId="32080D44" w14:textId="55711A30"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c>
          <w:tcPr>
            <w:tcW w:w="834" w:type="pct"/>
            <w:tcBorders>
              <w:top w:val="nil"/>
              <w:left w:val="nil"/>
              <w:bottom w:val="single" w:sz="4" w:space="0" w:color="auto"/>
              <w:right w:val="single" w:sz="4" w:space="0" w:color="auto"/>
            </w:tcBorders>
            <w:shd w:val="clear" w:color="auto" w:fill="auto"/>
            <w:vAlign w:val="center"/>
          </w:tcPr>
          <w:p w14:paraId="79F1C4BD" w14:textId="6731BC44"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c>
          <w:tcPr>
            <w:tcW w:w="833" w:type="pct"/>
            <w:tcBorders>
              <w:top w:val="nil"/>
              <w:left w:val="nil"/>
              <w:bottom w:val="single" w:sz="4" w:space="0" w:color="auto"/>
              <w:right w:val="single" w:sz="4" w:space="0" w:color="auto"/>
            </w:tcBorders>
            <w:shd w:val="clear" w:color="auto" w:fill="auto"/>
            <w:vAlign w:val="center"/>
          </w:tcPr>
          <w:p w14:paraId="4B157B19" w14:textId="60C6594E"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c>
          <w:tcPr>
            <w:tcW w:w="831" w:type="pct"/>
            <w:tcBorders>
              <w:top w:val="nil"/>
              <w:left w:val="nil"/>
              <w:bottom w:val="single" w:sz="4" w:space="0" w:color="auto"/>
              <w:right w:val="single" w:sz="4" w:space="0" w:color="auto"/>
            </w:tcBorders>
            <w:shd w:val="clear" w:color="auto" w:fill="auto"/>
            <w:vAlign w:val="center"/>
          </w:tcPr>
          <w:p w14:paraId="1220526A" w14:textId="69BC9516"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r>
      <w:tr w:rsidR="00242425" w:rsidRPr="006B671F" w14:paraId="47E7E5D1" w14:textId="77777777" w:rsidTr="00242425">
        <w:trPr>
          <w:trHeight w:val="345"/>
          <w:jc w:val="center"/>
        </w:trPr>
        <w:tc>
          <w:tcPr>
            <w:tcW w:w="834" w:type="pct"/>
            <w:shd w:val="clear" w:color="auto" w:fill="FFFFFF" w:themeFill="background1"/>
            <w:noWrap/>
            <w:vAlign w:val="center"/>
            <w:hideMark/>
          </w:tcPr>
          <w:p w14:paraId="79DC29DC" w14:textId="77777777" w:rsidR="00242425" w:rsidRPr="006B671F" w:rsidRDefault="0024242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9</w:t>
            </w:r>
          </w:p>
        </w:tc>
        <w:tc>
          <w:tcPr>
            <w:tcW w:w="834" w:type="pct"/>
            <w:tcBorders>
              <w:top w:val="nil"/>
              <w:left w:val="single" w:sz="4" w:space="0" w:color="auto"/>
              <w:bottom w:val="single" w:sz="4" w:space="0" w:color="auto"/>
              <w:right w:val="single" w:sz="4" w:space="0" w:color="auto"/>
            </w:tcBorders>
            <w:shd w:val="clear" w:color="auto" w:fill="auto"/>
            <w:vAlign w:val="center"/>
          </w:tcPr>
          <w:p w14:paraId="0E3EDFAD" w14:textId="43AABC3C"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c>
          <w:tcPr>
            <w:tcW w:w="834" w:type="pct"/>
            <w:tcBorders>
              <w:top w:val="nil"/>
              <w:left w:val="nil"/>
              <w:bottom w:val="single" w:sz="4" w:space="0" w:color="auto"/>
              <w:right w:val="single" w:sz="4" w:space="0" w:color="auto"/>
            </w:tcBorders>
            <w:shd w:val="clear" w:color="auto" w:fill="auto"/>
            <w:vAlign w:val="center"/>
          </w:tcPr>
          <w:p w14:paraId="1D17A1FA" w14:textId="226D862B"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c>
          <w:tcPr>
            <w:tcW w:w="834" w:type="pct"/>
            <w:tcBorders>
              <w:top w:val="nil"/>
              <w:left w:val="nil"/>
              <w:bottom w:val="single" w:sz="4" w:space="0" w:color="auto"/>
              <w:right w:val="single" w:sz="4" w:space="0" w:color="auto"/>
            </w:tcBorders>
            <w:shd w:val="clear" w:color="auto" w:fill="auto"/>
            <w:vAlign w:val="center"/>
          </w:tcPr>
          <w:p w14:paraId="2EADBB27" w14:textId="27638CC3"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c>
          <w:tcPr>
            <w:tcW w:w="833" w:type="pct"/>
            <w:tcBorders>
              <w:top w:val="nil"/>
              <w:left w:val="nil"/>
              <w:bottom w:val="single" w:sz="4" w:space="0" w:color="auto"/>
              <w:right w:val="single" w:sz="4" w:space="0" w:color="auto"/>
            </w:tcBorders>
            <w:shd w:val="clear" w:color="auto" w:fill="auto"/>
            <w:vAlign w:val="center"/>
          </w:tcPr>
          <w:p w14:paraId="59F19E02" w14:textId="16CE8454"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c>
          <w:tcPr>
            <w:tcW w:w="831" w:type="pct"/>
            <w:tcBorders>
              <w:top w:val="nil"/>
              <w:left w:val="nil"/>
              <w:bottom w:val="single" w:sz="4" w:space="0" w:color="auto"/>
              <w:right w:val="single" w:sz="4" w:space="0" w:color="auto"/>
            </w:tcBorders>
            <w:shd w:val="clear" w:color="auto" w:fill="auto"/>
            <w:vAlign w:val="center"/>
          </w:tcPr>
          <w:p w14:paraId="2547A093" w14:textId="0ED7F633"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0</w:t>
            </w:r>
          </w:p>
        </w:tc>
      </w:tr>
      <w:tr w:rsidR="00242425" w:rsidRPr="006B671F" w14:paraId="14F12FA4" w14:textId="77777777" w:rsidTr="00242425">
        <w:trPr>
          <w:trHeight w:val="345"/>
          <w:jc w:val="center"/>
        </w:trPr>
        <w:tc>
          <w:tcPr>
            <w:tcW w:w="834" w:type="pct"/>
            <w:shd w:val="clear" w:color="auto" w:fill="FFFFFF" w:themeFill="background1"/>
            <w:noWrap/>
            <w:vAlign w:val="center"/>
            <w:hideMark/>
          </w:tcPr>
          <w:p w14:paraId="26686888" w14:textId="77777777" w:rsidR="00242425" w:rsidRPr="006B671F" w:rsidRDefault="0024242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10</w:t>
            </w:r>
          </w:p>
        </w:tc>
        <w:tc>
          <w:tcPr>
            <w:tcW w:w="834" w:type="pct"/>
            <w:tcBorders>
              <w:top w:val="nil"/>
              <w:left w:val="single" w:sz="4" w:space="0" w:color="auto"/>
              <w:bottom w:val="single" w:sz="4" w:space="0" w:color="auto"/>
              <w:right w:val="single" w:sz="4" w:space="0" w:color="auto"/>
            </w:tcBorders>
            <w:shd w:val="clear" w:color="auto" w:fill="auto"/>
            <w:vAlign w:val="center"/>
          </w:tcPr>
          <w:p w14:paraId="0E7EE893" w14:textId="1A9A9FEC"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680.723.000</w:t>
            </w:r>
          </w:p>
        </w:tc>
        <w:tc>
          <w:tcPr>
            <w:tcW w:w="834" w:type="pct"/>
            <w:tcBorders>
              <w:top w:val="nil"/>
              <w:left w:val="nil"/>
              <w:bottom w:val="single" w:sz="4" w:space="0" w:color="auto"/>
              <w:right w:val="single" w:sz="4" w:space="0" w:color="auto"/>
            </w:tcBorders>
            <w:shd w:val="clear" w:color="auto" w:fill="auto"/>
            <w:vAlign w:val="center"/>
          </w:tcPr>
          <w:p w14:paraId="35AD0799" w14:textId="4D6A244B"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786.884.000</w:t>
            </w:r>
          </w:p>
        </w:tc>
        <w:tc>
          <w:tcPr>
            <w:tcW w:w="834" w:type="pct"/>
            <w:tcBorders>
              <w:top w:val="nil"/>
              <w:left w:val="nil"/>
              <w:bottom w:val="single" w:sz="4" w:space="0" w:color="auto"/>
              <w:right w:val="single" w:sz="4" w:space="0" w:color="auto"/>
            </w:tcBorders>
            <w:shd w:val="clear" w:color="auto" w:fill="auto"/>
            <w:vAlign w:val="center"/>
          </w:tcPr>
          <w:p w14:paraId="4A095B43" w14:textId="06C5E0F0"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894.104.000</w:t>
            </w:r>
          </w:p>
        </w:tc>
        <w:tc>
          <w:tcPr>
            <w:tcW w:w="833" w:type="pct"/>
            <w:tcBorders>
              <w:top w:val="nil"/>
              <w:left w:val="nil"/>
              <w:bottom w:val="single" w:sz="4" w:space="0" w:color="auto"/>
              <w:right w:val="single" w:sz="4" w:space="0" w:color="auto"/>
            </w:tcBorders>
            <w:shd w:val="clear" w:color="auto" w:fill="auto"/>
            <w:vAlign w:val="center"/>
          </w:tcPr>
          <w:p w14:paraId="63FEFBA5" w14:textId="3A20CC36"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733.615.667</w:t>
            </w:r>
          </w:p>
        </w:tc>
        <w:tc>
          <w:tcPr>
            <w:tcW w:w="831" w:type="pct"/>
            <w:tcBorders>
              <w:top w:val="nil"/>
              <w:left w:val="nil"/>
              <w:bottom w:val="single" w:sz="4" w:space="0" w:color="auto"/>
              <w:right w:val="single" w:sz="4" w:space="0" w:color="auto"/>
            </w:tcBorders>
            <w:shd w:val="clear" w:color="auto" w:fill="auto"/>
            <w:vAlign w:val="center"/>
          </w:tcPr>
          <w:p w14:paraId="4808CEC5" w14:textId="194CB0AA" w:rsidR="00242425" w:rsidRPr="004B7259" w:rsidRDefault="00242425" w:rsidP="00470705">
            <w:pPr>
              <w:spacing w:before="100" w:beforeAutospacing="1" w:after="100" w:afterAutospacing="1"/>
              <w:jc w:val="right"/>
              <w:rPr>
                <w:rFonts w:cs="Arial"/>
                <w:i/>
                <w:iCs/>
                <w:color w:val="343536"/>
                <w:sz w:val="18"/>
                <w:szCs w:val="20"/>
              </w:rPr>
            </w:pPr>
            <w:r w:rsidRPr="00242425">
              <w:rPr>
                <w:rFonts w:cs="Arial"/>
                <w:i/>
                <w:iCs/>
                <w:color w:val="343536"/>
                <w:sz w:val="18"/>
                <w:szCs w:val="20"/>
              </w:rPr>
              <w:t>883.361.667</w:t>
            </w:r>
          </w:p>
        </w:tc>
      </w:tr>
    </w:tbl>
    <w:p w14:paraId="17606705" w14:textId="77777777" w:rsidR="00992953" w:rsidRPr="006B671F" w:rsidRDefault="00992953" w:rsidP="00470705">
      <w:pPr>
        <w:spacing w:before="100" w:beforeAutospacing="1" w:after="100" w:afterAutospacing="1"/>
        <w:jc w:val="center"/>
      </w:pPr>
      <w:r w:rsidRPr="006B671F">
        <w:rPr>
          <w:rFonts w:cs="Arial"/>
          <w:i/>
          <w:iCs/>
          <w:sz w:val="20"/>
          <w:szCs w:val="18"/>
        </w:rPr>
        <w:t>Tabla 3 Plan de inversiones del nivel de tensión 3, pesos de diciembre de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1789"/>
        <w:gridCol w:w="1989"/>
        <w:gridCol w:w="1989"/>
        <w:gridCol w:w="1791"/>
      </w:tblGrid>
      <w:tr w:rsidR="00992953" w:rsidRPr="006B671F" w14:paraId="57F6A7D9" w14:textId="77777777" w:rsidTr="00E7125B">
        <w:trPr>
          <w:trHeight w:val="555"/>
          <w:tblHeader/>
          <w:jc w:val="center"/>
        </w:trPr>
        <w:tc>
          <w:tcPr>
            <w:tcW w:w="957" w:type="pct"/>
            <w:shd w:val="clear" w:color="000000" w:fill="FFFFFF"/>
            <w:vAlign w:val="center"/>
            <w:hideMark/>
          </w:tcPr>
          <w:p w14:paraId="685CF930"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Categoría de activos l</w:t>
            </w:r>
          </w:p>
        </w:tc>
        <w:tc>
          <w:tcPr>
            <w:tcW w:w="957" w:type="pct"/>
            <w:shd w:val="clear" w:color="000000" w:fill="FFFFFF"/>
            <w:noWrap/>
            <w:vAlign w:val="center"/>
            <w:hideMark/>
          </w:tcPr>
          <w:p w14:paraId="51D0A67D"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l,1</w:t>
            </w:r>
          </w:p>
        </w:tc>
        <w:tc>
          <w:tcPr>
            <w:tcW w:w="1064" w:type="pct"/>
            <w:shd w:val="clear" w:color="000000" w:fill="FFFFFF"/>
            <w:noWrap/>
            <w:vAlign w:val="center"/>
            <w:hideMark/>
          </w:tcPr>
          <w:p w14:paraId="4C8FF382"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l,2</w:t>
            </w:r>
          </w:p>
        </w:tc>
        <w:tc>
          <w:tcPr>
            <w:tcW w:w="1064" w:type="pct"/>
            <w:shd w:val="clear" w:color="000000" w:fill="FFFFFF"/>
            <w:noWrap/>
            <w:vAlign w:val="center"/>
            <w:hideMark/>
          </w:tcPr>
          <w:p w14:paraId="497DA3DC"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l,3</w:t>
            </w:r>
          </w:p>
        </w:tc>
        <w:tc>
          <w:tcPr>
            <w:tcW w:w="958" w:type="pct"/>
            <w:shd w:val="clear" w:color="000000" w:fill="FFFFFF"/>
            <w:noWrap/>
            <w:vAlign w:val="center"/>
            <w:hideMark/>
          </w:tcPr>
          <w:p w14:paraId="7403FC65"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l,4</w:t>
            </w:r>
          </w:p>
        </w:tc>
      </w:tr>
      <w:tr w:rsidR="005F64C9" w:rsidRPr="006B671F" w14:paraId="0F0B4AE4" w14:textId="77777777" w:rsidTr="00E7125B">
        <w:trPr>
          <w:trHeight w:val="345"/>
          <w:jc w:val="center"/>
        </w:trPr>
        <w:tc>
          <w:tcPr>
            <w:tcW w:w="957" w:type="pct"/>
            <w:shd w:val="clear" w:color="000000" w:fill="FFFFFF"/>
            <w:noWrap/>
            <w:vAlign w:val="center"/>
            <w:hideMark/>
          </w:tcPr>
          <w:p w14:paraId="2C922519" w14:textId="77777777" w:rsidR="005F64C9" w:rsidRPr="006B671F" w:rsidRDefault="005F64C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1</w:t>
            </w:r>
          </w:p>
        </w:tc>
        <w:tc>
          <w:tcPr>
            <w:tcW w:w="957" w:type="pct"/>
            <w:shd w:val="clear" w:color="auto" w:fill="auto"/>
            <w:vAlign w:val="center"/>
            <w:hideMark/>
          </w:tcPr>
          <w:p w14:paraId="7DA5EDD2" w14:textId="70C01D23"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5.113.380.000</w:t>
            </w:r>
          </w:p>
        </w:tc>
        <w:tc>
          <w:tcPr>
            <w:tcW w:w="1064" w:type="pct"/>
            <w:shd w:val="clear" w:color="auto" w:fill="auto"/>
            <w:vAlign w:val="center"/>
            <w:hideMark/>
          </w:tcPr>
          <w:p w14:paraId="61A184E7" w14:textId="24BA5A54"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0</w:t>
            </w:r>
          </w:p>
        </w:tc>
        <w:tc>
          <w:tcPr>
            <w:tcW w:w="1064" w:type="pct"/>
            <w:shd w:val="clear" w:color="auto" w:fill="auto"/>
            <w:vAlign w:val="center"/>
            <w:hideMark/>
          </w:tcPr>
          <w:p w14:paraId="0C747640" w14:textId="46DB1B59"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5.199.937.000</w:t>
            </w:r>
          </w:p>
        </w:tc>
        <w:tc>
          <w:tcPr>
            <w:tcW w:w="958" w:type="pct"/>
            <w:shd w:val="clear" w:color="auto" w:fill="auto"/>
            <w:vAlign w:val="center"/>
            <w:hideMark/>
          </w:tcPr>
          <w:p w14:paraId="6AE9310A" w14:textId="60F5E96C"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7.634.230.000</w:t>
            </w:r>
          </w:p>
        </w:tc>
      </w:tr>
      <w:tr w:rsidR="005F64C9" w:rsidRPr="006B671F" w14:paraId="0DD4280A" w14:textId="77777777" w:rsidTr="00E7125B">
        <w:trPr>
          <w:trHeight w:val="345"/>
          <w:jc w:val="center"/>
        </w:trPr>
        <w:tc>
          <w:tcPr>
            <w:tcW w:w="957" w:type="pct"/>
            <w:shd w:val="clear" w:color="000000" w:fill="FFFFFF"/>
            <w:noWrap/>
            <w:vAlign w:val="center"/>
            <w:hideMark/>
          </w:tcPr>
          <w:p w14:paraId="3F44C2DA" w14:textId="77777777" w:rsidR="005F64C9" w:rsidRPr="006B671F" w:rsidRDefault="005F64C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2</w:t>
            </w:r>
          </w:p>
        </w:tc>
        <w:tc>
          <w:tcPr>
            <w:tcW w:w="957" w:type="pct"/>
            <w:shd w:val="clear" w:color="auto" w:fill="auto"/>
            <w:vAlign w:val="center"/>
            <w:hideMark/>
          </w:tcPr>
          <w:p w14:paraId="4BF3FD9C" w14:textId="4AC86C87"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0</w:t>
            </w:r>
          </w:p>
        </w:tc>
        <w:tc>
          <w:tcPr>
            <w:tcW w:w="1064" w:type="pct"/>
            <w:shd w:val="clear" w:color="auto" w:fill="auto"/>
            <w:vAlign w:val="center"/>
            <w:hideMark/>
          </w:tcPr>
          <w:p w14:paraId="6A553065" w14:textId="24350967"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0</w:t>
            </w:r>
          </w:p>
        </w:tc>
        <w:tc>
          <w:tcPr>
            <w:tcW w:w="1064" w:type="pct"/>
            <w:shd w:val="clear" w:color="auto" w:fill="auto"/>
            <w:vAlign w:val="center"/>
            <w:hideMark/>
          </w:tcPr>
          <w:p w14:paraId="612E9404" w14:textId="700F9317"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0</w:t>
            </w:r>
          </w:p>
        </w:tc>
        <w:tc>
          <w:tcPr>
            <w:tcW w:w="958" w:type="pct"/>
            <w:shd w:val="clear" w:color="auto" w:fill="auto"/>
            <w:vAlign w:val="center"/>
            <w:hideMark/>
          </w:tcPr>
          <w:p w14:paraId="52F14AEC" w14:textId="085C050D"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0</w:t>
            </w:r>
          </w:p>
        </w:tc>
      </w:tr>
      <w:tr w:rsidR="005F64C9" w:rsidRPr="006B671F" w14:paraId="1254D56A" w14:textId="77777777" w:rsidTr="00E7125B">
        <w:trPr>
          <w:trHeight w:val="345"/>
          <w:jc w:val="center"/>
        </w:trPr>
        <w:tc>
          <w:tcPr>
            <w:tcW w:w="957" w:type="pct"/>
            <w:shd w:val="clear" w:color="000000" w:fill="FFFFFF"/>
            <w:noWrap/>
            <w:vAlign w:val="center"/>
            <w:hideMark/>
          </w:tcPr>
          <w:p w14:paraId="1F10B51E" w14:textId="77777777" w:rsidR="005F64C9" w:rsidRPr="006B671F" w:rsidRDefault="005F64C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3</w:t>
            </w:r>
          </w:p>
        </w:tc>
        <w:tc>
          <w:tcPr>
            <w:tcW w:w="957" w:type="pct"/>
            <w:shd w:val="clear" w:color="auto" w:fill="auto"/>
            <w:vAlign w:val="center"/>
            <w:hideMark/>
          </w:tcPr>
          <w:p w14:paraId="5F00FD30" w14:textId="54DC69A4"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12.212.346.373</w:t>
            </w:r>
          </w:p>
        </w:tc>
        <w:tc>
          <w:tcPr>
            <w:tcW w:w="1064" w:type="pct"/>
            <w:shd w:val="clear" w:color="auto" w:fill="auto"/>
            <w:vAlign w:val="center"/>
            <w:hideMark/>
          </w:tcPr>
          <w:p w14:paraId="43FE0A9B" w14:textId="39233146"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14.376.706.052</w:t>
            </w:r>
          </w:p>
        </w:tc>
        <w:tc>
          <w:tcPr>
            <w:tcW w:w="1064" w:type="pct"/>
            <w:shd w:val="clear" w:color="auto" w:fill="auto"/>
            <w:vAlign w:val="center"/>
            <w:hideMark/>
          </w:tcPr>
          <w:p w14:paraId="03E9B2EE" w14:textId="50305DE7"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24.425.001.024</w:t>
            </w:r>
          </w:p>
        </w:tc>
        <w:tc>
          <w:tcPr>
            <w:tcW w:w="958" w:type="pct"/>
            <w:shd w:val="clear" w:color="auto" w:fill="auto"/>
            <w:vAlign w:val="center"/>
            <w:hideMark/>
          </w:tcPr>
          <w:p w14:paraId="3782070A" w14:textId="14720720"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11.626.008.000</w:t>
            </w:r>
          </w:p>
        </w:tc>
      </w:tr>
      <w:tr w:rsidR="005F64C9" w:rsidRPr="006B671F" w14:paraId="6B51C904" w14:textId="77777777" w:rsidTr="00E7125B">
        <w:trPr>
          <w:trHeight w:val="345"/>
          <w:jc w:val="center"/>
        </w:trPr>
        <w:tc>
          <w:tcPr>
            <w:tcW w:w="957" w:type="pct"/>
            <w:shd w:val="clear" w:color="000000" w:fill="FFFFFF"/>
            <w:noWrap/>
            <w:vAlign w:val="center"/>
            <w:hideMark/>
          </w:tcPr>
          <w:p w14:paraId="5B8C019F" w14:textId="77777777" w:rsidR="005F64C9" w:rsidRPr="006B671F" w:rsidRDefault="005F64C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4</w:t>
            </w:r>
          </w:p>
        </w:tc>
        <w:tc>
          <w:tcPr>
            <w:tcW w:w="957" w:type="pct"/>
            <w:shd w:val="clear" w:color="auto" w:fill="auto"/>
            <w:vAlign w:val="center"/>
            <w:hideMark/>
          </w:tcPr>
          <w:p w14:paraId="252720DB" w14:textId="019BDABB"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1.622.894.768</w:t>
            </w:r>
          </w:p>
        </w:tc>
        <w:tc>
          <w:tcPr>
            <w:tcW w:w="1064" w:type="pct"/>
            <w:shd w:val="clear" w:color="auto" w:fill="auto"/>
            <w:vAlign w:val="center"/>
            <w:hideMark/>
          </w:tcPr>
          <w:p w14:paraId="69244135" w14:textId="7C383DA0"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4.064.515.304</w:t>
            </w:r>
          </w:p>
        </w:tc>
        <w:tc>
          <w:tcPr>
            <w:tcW w:w="1064" w:type="pct"/>
            <w:shd w:val="clear" w:color="auto" w:fill="auto"/>
            <w:vAlign w:val="center"/>
            <w:hideMark/>
          </w:tcPr>
          <w:p w14:paraId="2EE66B51" w14:textId="0647EE82"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5.188.639.768</w:t>
            </w:r>
          </w:p>
        </w:tc>
        <w:tc>
          <w:tcPr>
            <w:tcW w:w="958" w:type="pct"/>
            <w:shd w:val="clear" w:color="auto" w:fill="auto"/>
            <w:vAlign w:val="center"/>
            <w:hideMark/>
          </w:tcPr>
          <w:p w14:paraId="58AFCCD4" w14:textId="589CF665"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1.256.243.024</w:t>
            </w:r>
          </w:p>
        </w:tc>
      </w:tr>
      <w:tr w:rsidR="005F64C9" w:rsidRPr="006B671F" w14:paraId="0B5CCC11" w14:textId="77777777" w:rsidTr="00E7125B">
        <w:trPr>
          <w:trHeight w:val="345"/>
          <w:jc w:val="center"/>
        </w:trPr>
        <w:tc>
          <w:tcPr>
            <w:tcW w:w="957" w:type="pct"/>
            <w:shd w:val="clear" w:color="000000" w:fill="FFFFFF"/>
            <w:noWrap/>
            <w:vAlign w:val="center"/>
            <w:hideMark/>
          </w:tcPr>
          <w:p w14:paraId="3B997CCA" w14:textId="77777777" w:rsidR="005F64C9" w:rsidRPr="006B671F" w:rsidRDefault="005F64C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5</w:t>
            </w:r>
          </w:p>
        </w:tc>
        <w:tc>
          <w:tcPr>
            <w:tcW w:w="957" w:type="pct"/>
            <w:shd w:val="clear" w:color="auto" w:fill="auto"/>
            <w:vAlign w:val="center"/>
            <w:hideMark/>
          </w:tcPr>
          <w:p w14:paraId="0A551F3D" w14:textId="1F1B10B4"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141.792.000</w:t>
            </w:r>
          </w:p>
        </w:tc>
        <w:tc>
          <w:tcPr>
            <w:tcW w:w="1064" w:type="pct"/>
            <w:shd w:val="clear" w:color="auto" w:fill="auto"/>
            <w:vAlign w:val="center"/>
            <w:hideMark/>
          </w:tcPr>
          <w:p w14:paraId="7E9C1011" w14:textId="35F52261"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391.733.000</w:t>
            </w:r>
          </w:p>
        </w:tc>
        <w:tc>
          <w:tcPr>
            <w:tcW w:w="1064" w:type="pct"/>
            <w:shd w:val="clear" w:color="auto" w:fill="auto"/>
            <w:vAlign w:val="center"/>
            <w:hideMark/>
          </w:tcPr>
          <w:p w14:paraId="4421631F" w14:textId="37275DE4"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707.428.000</w:t>
            </w:r>
          </w:p>
        </w:tc>
        <w:tc>
          <w:tcPr>
            <w:tcW w:w="958" w:type="pct"/>
            <w:shd w:val="clear" w:color="auto" w:fill="auto"/>
            <w:vAlign w:val="center"/>
            <w:hideMark/>
          </w:tcPr>
          <w:p w14:paraId="4FE47B58" w14:textId="3589749F"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124.068.000</w:t>
            </w:r>
          </w:p>
        </w:tc>
      </w:tr>
      <w:tr w:rsidR="005F64C9" w:rsidRPr="006B671F" w14:paraId="63DA2896" w14:textId="77777777" w:rsidTr="00E7125B">
        <w:trPr>
          <w:trHeight w:val="345"/>
          <w:jc w:val="center"/>
        </w:trPr>
        <w:tc>
          <w:tcPr>
            <w:tcW w:w="957" w:type="pct"/>
            <w:shd w:val="clear" w:color="000000" w:fill="FFFFFF"/>
            <w:noWrap/>
            <w:vAlign w:val="center"/>
            <w:hideMark/>
          </w:tcPr>
          <w:p w14:paraId="020D6DA3" w14:textId="77777777" w:rsidR="005F64C9" w:rsidRPr="006B671F" w:rsidRDefault="005F64C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6</w:t>
            </w:r>
          </w:p>
        </w:tc>
        <w:tc>
          <w:tcPr>
            <w:tcW w:w="957" w:type="pct"/>
            <w:shd w:val="clear" w:color="auto" w:fill="auto"/>
            <w:vAlign w:val="center"/>
            <w:hideMark/>
          </w:tcPr>
          <w:p w14:paraId="5833C84D" w14:textId="799AC845"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450.256.020</w:t>
            </w:r>
          </w:p>
        </w:tc>
        <w:tc>
          <w:tcPr>
            <w:tcW w:w="1064" w:type="pct"/>
            <w:shd w:val="clear" w:color="auto" w:fill="auto"/>
            <w:vAlign w:val="center"/>
            <w:hideMark/>
          </w:tcPr>
          <w:p w14:paraId="559813C1" w14:textId="5E3573A5"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1.219.717.200</w:t>
            </w:r>
          </w:p>
        </w:tc>
        <w:tc>
          <w:tcPr>
            <w:tcW w:w="1064" w:type="pct"/>
            <w:shd w:val="clear" w:color="auto" w:fill="auto"/>
            <w:vAlign w:val="center"/>
            <w:hideMark/>
          </w:tcPr>
          <w:p w14:paraId="463AC587" w14:textId="47FA0B63"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4.404.629.000</w:t>
            </w:r>
          </w:p>
        </w:tc>
        <w:tc>
          <w:tcPr>
            <w:tcW w:w="958" w:type="pct"/>
            <w:shd w:val="clear" w:color="auto" w:fill="auto"/>
            <w:vAlign w:val="center"/>
            <w:hideMark/>
          </w:tcPr>
          <w:p w14:paraId="57B8B3E4" w14:textId="622A4C11"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691.772.000</w:t>
            </w:r>
          </w:p>
        </w:tc>
      </w:tr>
      <w:tr w:rsidR="005F64C9" w:rsidRPr="006B671F" w14:paraId="7EB9D790" w14:textId="77777777" w:rsidTr="00E7125B">
        <w:trPr>
          <w:trHeight w:val="345"/>
          <w:jc w:val="center"/>
        </w:trPr>
        <w:tc>
          <w:tcPr>
            <w:tcW w:w="957" w:type="pct"/>
            <w:shd w:val="clear" w:color="000000" w:fill="FFFFFF"/>
            <w:noWrap/>
            <w:vAlign w:val="center"/>
            <w:hideMark/>
          </w:tcPr>
          <w:p w14:paraId="4353FEE0" w14:textId="77777777" w:rsidR="005F64C9" w:rsidRPr="006B671F" w:rsidRDefault="005F64C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7</w:t>
            </w:r>
          </w:p>
        </w:tc>
        <w:tc>
          <w:tcPr>
            <w:tcW w:w="957" w:type="pct"/>
            <w:shd w:val="clear" w:color="auto" w:fill="auto"/>
            <w:vAlign w:val="center"/>
            <w:hideMark/>
          </w:tcPr>
          <w:p w14:paraId="08659EEF" w14:textId="3D991CE8"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6.485.262.852</w:t>
            </w:r>
          </w:p>
        </w:tc>
        <w:tc>
          <w:tcPr>
            <w:tcW w:w="1064" w:type="pct"/>
            <w:shd w:val="clear" w:color="auto" w:fill="auto"/>
            <w:vAlign w:val="center"/>
            <w:hideMark/>
          </w:tcPr>
          <w:p w14:paraId="3D8EFC35" w14:textId="554AD4BD"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4.755.241.730</w:t>
            </w:r>
          </w:p>
        </w:tc>
        <w:tc>
          <w:tcPr>
            <w:tcW w:w="1064" w:type="pct"/>
            <w:shd w:val="clear" w:color="auto" w:fill="auto"/>
            <w:vAlign w:val="center"/>
            <w:hideMark/>
          </w:tcPr>
          <w:p w14:paraId="316E5EBD" w14:textId="785D0A9C"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19.115.648.030</w:t>
            </w:r>
          </w:p>
        </w:tc>
        <w:tc>
          <w:tcPr>
            <w:tcW w:w="958" w:type="pct"/>
            <w:shd w:val="clear" w:color="auto" w:fill="auto"/>
            <w:vAlign w:val="center"/>
            <w:hideMark/>
          </w:tcPr>
          <w:p w14:paraId="72353832" w14:textId="0173A6D3"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221.282.500</w:t>
            </w:r>
          </w:p>
        </w:tc>
      </w:tr>
      <w:tr w:rsidR="005F64C9" w:rsidRPr="006B671F" w14:paraId="514E742C" w14:textId="77777777" w:rsidTr="00E7125B">
        <w:trPr>
          <w:trHeight w:val="345"/>
          <w:jc w:val="center"/>
        </w:trPr>
        <w:tc>
          <w:tcPr>
            <w:tcW w:w="957" w:type="pct"/>
            <w:shd w:val="clear" w:color="000000" w:fill="FFFFFF"/>
            <w:noWrap/>
            <w:vAlign w:val="center"/>
            <w:hideMark/>
          </w:tcPr>
          <w:p w14:paraId="3A8FA3D4" w14:textId="77777777" w:rsidR="005F64C9" w:rsidRPr="006B671F" w:rsidRDefault="005F64C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8</w:t>
            </w:r>
          </w:p>
        </w:tc>
        <w:tc>
          <w:tcPr>
            <w:tcW w:w="957" w:type="pct"/>
            <w:shd w:val="clear" w:color="auto" w:fill="auto"/>
            <w:vAlign w:val="center"/>
            <w:hideMark/>
          </w:tcPr>
          <w:p w14:paraId="338CC0E0" w14:textId="6BE4187B"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2.264.295.432</w:t>
            </w:r>
          </w:p>
        </w:tc>
        <w:tc>
          <w:tcPr>
            <w:tcW w:w="1064" w:type="pct"/>
            <w:shd w:val="clear" w:color="auto" w:fill="auto"/>
            <w:vAlign w:val="center"/>
            <w:hideMark/>
          </w:tcPr>
          <w:p w14:paraId="39D02871" w14:textId="21557FE4"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512.210.525</w:t>
            </w:r>
          </w:p>
        </w:tc>
        <w:tc>
          <w:tcPr>
            <w:tcW w:w="1064" w:type="pct"/>
            <w:shd w:val="clear" w:color="auto" w:fill="auto"/>
            <w:vAlign w:val="center"/>
            <w:hideMark/>
          </w:tcPr>
          <w:p w14:paraId="01AC5371" w14:textId="7CDFB487"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9.314.913.107</w:t>
            </w:r>
          </w:p>
        </w:tc>
        <w:tc>
          <w:tcPr>
            <w:tcW w:w="958" w:type="pct"/>
            <w:shd w:val="clear" w:color="auto" w:fill="auto"/>
            <w:vAlign w:val="center"/>
            <w:hideMark/>
          </w:tcPr>
          <w:p w14:paraId="4B09C81A" w14:textId="661992B2"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0</w:t>
            </w:r>
          </w:p>
        </w:tc>
      </w:tr>
      <w:tr w:rsidR="005F64C9" w:rsidRPr="006B671F" w14:paraId="29E6C538" w14:textId="77777777" w:rsidTr="00E7125B">
        <w:trPr>
          <w:trHeight w:val="345"/>
          <w:jc w:val="center"/>
        </w:trPr>
        <w:tc>
          <w:tcPr>
            <w:tcW w:w="957" w:type="pct"/>
            <w:shd w:val="clear" w:color="000000" w:fill="FFFFFF"/>
            <w:noWrap/>
            <w:vAlign w:val="center"/>
            <w:hideMark/>
          </w:tcPr>
          <w:p w14:paraId="49CBADF3" w14:textId="77777777" w:rsidR="005F64C9" w:rsidRPr="006B671F" w:rsidRDefault="005F64C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9</w:t>
            </w:r>
          </w:p>
        </w:tc>
        <w:tc>
          <w:tcPr>
            <w:tcW w:w="957" w:type="pct"/>
            <w:shd w:val="clear" w:color="auto" w:fill="auto"/>
            <w:vAlign w:val="center"/>
            <w:hideMark/>
          </w:tcPr>
          <w:p w14:paraId="25DD27AF" w14:textId="5276716B"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1.728.678.000</w:t>
            </w:r>
          </w:p>
        </w:tc>
        <w:tc>
          <w:tcPr>
            <w:tcW w:w="1064" w:type="pct"/>
            <w:shd w:val="clear" w:color="auto" w:fill="auto"/>
            <w:vAlign w:val="center"/>
            <w:hideMark/>
          </w:tcPr>
          <w:p w14:paraId="30482756" w14:textId="3E89A02F"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1.296.746.333</w:t>
            </w:r>
          </w:p>
        </w:tc>
        <w:tc>
          <w:tcPr>
            <w:tcW w:w="1064" w:type="pct"/>
            <w:shd w:val="clear" w:color="auto" w:fill="auto"/>
            <w:vAlign w:val="center"/>
            <w:hideMark/>
          </w:tcPr>
          <w:p w14:paraId="5B19E203" w14:textId="7B78CAC7"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2.172.826.000</w:t>
            </w:r>
          </w:p>
        </w:tc>
        <w:tc>
          <w:tcPr>
            <w:tcW w:w="958" w:type="pct"/>
            <w:shd w:val="clear" w:color="auto" w:fill="auto"/>
            <w:vAlign w:val="center"/>
            <w:hideMark/>
          </w:tcPr>
          <w:p w14:paraId="0B0069C8" w14:textId="2A6DF6E7"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1.548.604.391</w:t>
            </w:r>
          </w:p>
        </w:tc>
      </w:tr>
      <w:tr w:rsidR="005F64C9" w:rsidRPr="006B671F" w14:paraId="1A0FBC16" w14:textId="77777777" w:rsidTr="00E7125B">
        <w:trPr>
          <w:trHeight w:val="345"/>
          <w:jc w:val="center"/>
        </w:trPr>
        <w:tc>
          <w:tcPr>
            <w:tcW w:w="957" w:type="pct"/>
            <w:shd w:val="clear" w:color="000000" w:fill="FFFFFF"/>
            <w:noWrap/>
            <w:vAlign w:val="center"/>
            <w:hideMark/>
          </w:tcPr>
          <w:p w14:paraId="1528CB97" w14:textId="77777777" w:rsidR="005F64C9" w:rsidRPr="006B671F" w:rsidRDefault="005F64C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10</w:t>
            </w:r>
          </w:p>
        </w:tc>
        <w:tc>
          <w:tcPr>
            <w:tcW w:w="957" w:type="pct"/>
            <w:shd w:val="clear" w:color="auto" w:fill="auto"/>
            <w:vAlign w:val="center"/>
            <w:hideMark/>
          </w:tcPr>
          <w:p w14:paraId="591715F4" w14:textId="0C65CEED"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798.128.076</w:t>
            </w:r>
          </w:p>
        </w:tc>
        <w:tc>
          <w:tcPr>
            <w:tcW w:w="1064" w:type="pct"/>
            <w:shd w:val="clear" w:color="auto" w:fill="auto"/>
            <w:vAlign w:val="center"/>
            <w:hideMark/>
          </w:tcPr>
          <w:p w14:paraId="65B21106" w14:textId="3906C6E5"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1.976.576.018</w:t>
            </w:r>
          </w:p>
        </w:tc>
        <w:tc>
          <w:tcPr>
            <w:tcW w:w="1064" w:type="pct"/>
            <w:shd w:val="clear" w:color="auto" w:fill="auto"/>
            <w:vAlign w:val="center"/>
            <w:hideMark/>
          </w:tcPr>
          <w:p w14:paraId="7B43F5C8" w14:textId="7DB2E6D3"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2.942.174.248</w:t>
            </w:r>
          </w:p>
        </w:tc>
        <w:tc>
          <w:tcPr>
            <w:tcW w:w="958" w:type="pct"/>
            <w:shd w:val="clear" w:color="auto" w:fill="auto"/>
            <w:vAlign w:val="center"/>
            <w:hideMark/>
          </w:tcPr>
          <w:p w14:paraId="7938FB5B" w14:textId="75BA664E" w:rsidR="005F64C9" w:rsidRPr="005F64C9" w:rsidRDefault="005F64C9" w:rsidP="00470705">
            <w:pPr>
              <w:spacing w:before="100" w:beforeAutospacing="1" w:after="100" w:afterAutospacing="1"/>
              <w:jc w:val="right"/>
              <w:rPr>
                <w:rFonts w:cs="Arial"/>
                <w:i/>
                <w:iCs/>
                <w:color w:val="343536"/>
                <w:sz w:val="18"/>
                <w:szCs w:val="20"/>
              </w:rPr>
            </w:pPr>
            <w:r w:rsidRPr="005F64C9">
              <w:rPr>
                <w:rFonts w:cs="Arial"/>
                <w:i/>
                <w:iCs/>
                <w:color w:val="343536"/>
                <w:sz w:val="18"/>
                <w:szCs w:val="20"/>
              </w:rPr>
              <w:t>717.327.504</w:t>
            </w:r>
          </w:p>
        </w:tc>
      </w:tr>
    </w:tbl>
    <w:p w14:paraId="68AF4C5D" w14:textId="77777777" w:rsidR="00992953" w:rsidRPr="006B671F" w:rsidRDefault="00992953" w:rsidP="00470705">
      <w:pPr>
        <w:spacing w:before="100" w:beforeAutospacing="1" w:after="100" w:afterAutospacing="1"/>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8"/>
        <w:gridCol w:w="1558"/>
        <w:gridCol w:w="1558"/>
        <w:gridCol w:w="1558"/>
        <w:gridCol w:w="1557"/>
        <w:gridCol w:w="1557"/>
      </w:tblGrid>
      <w:tr w:rsidR="00992953" w:rsidRPr="006B671F" w14:paraId="01578155" w14:textId="77777777" w:rsidTr="00E7125B">
        <w:trPr>
          <w:trHeight w:val="555"/>
          <w:jc w:val="center"/>
        </w:trPr>
        <w:tc>
          <w:tcPr>
            <w:tcW w:w="833" w:type="pct"/>
            <w:shd w:val="clear" w:color="auto" w:fill="auto"/>
            <w:vAlign w:val="center"/>
            <w:hideMark/>
          </w:tcPr>
          <w:p w14:paraId="28118AB7"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Categoría de activos l</w:t>
            </w:r>
          </w:p>
        </w:tc>
        <w:tc>
          <w:tcPr>
            <w:tcW w:w="833" w:type="pct"/>
            <w:shd w:val="clear" w:color="auto" w:fill="auto"/>
            <w:noWrap/>
            <w:vAlign w:val="center"/>
            <w:hideMark/>
          </w:tcPr>
          <w:p w14:paraId="44035CC8"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l,5</w:t>
            </w:r>
          </w:p>
        </w:tc>
        <w:tc>
          <w:tcPr>
            <w:tcW w:w="833" w:type="pct"/>
            <w:shd w:val="clear" w:color="auto" w:fill="auto"/>
            <w:noWrap/>
            <w:vAlign w:val="center"/>
            <w:hideMark/>
          </w:tcPr>
          <w:p w14:paraId="500B3760"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l,6</w:t>
            </w:r>
          </w:p>
        </w:tc>
        <w:tc>
          <w:tcPr>
            <w:tcW w:w="833" w:type="pct"/>
            <w:shd w:val="clear" w:color="auto" w:fill="auto"/>
            <w:noWrap/>
            <w:vAlign w:val="center"/>
            <w:hideMark/>
          </w:tcPr>
          <w:p w14:paraId="59584C18"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l,7</w:t>
            </w:r>
          </w:p>
        </w:tc>
        <w:tc>
          <w:tcPr>
            <w:tcW w:w="833" w:type="pct"/>
            <w:shd w:val="clear" w:color="auto" w:fill="auto"/>
            <w:noWrap/>
            <w:vAlign w:val="center"/>
            <w:hideMark/>
          </w:tcPr>
          <w:p w14:paraId="2B6C15FA"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l,8</w:t>
            </w:r>
          </w:p>
        </w:tc>
        <w:tc>
          <w:tcPr>
            <w:tcW w:w="833" w:type="pct"/>
            <w:shd w:val="clear" w:color="auto" w:fill="auto"/>
            <w:noWrap/>
            <w:vAlign w:val="center"/>
            <w:hideMark/>
          </w:tcPr>
          <w:p w14:paraId="6C93E8D1"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j,3, l,9</w:t>
            </w:r>
          </w:p>
        </w:tc>
      </w:tr>
      <w:tr w:rsidR="00AC38C5" w:rsidRPr="006B671F" w14:paraId="445DFEA4" w14:textId="77777777" w:rsidTr="00E7125B">
        <w:trPr>
          <w:trHeight w:val="345"/>
          <w:jc w:val="center"/>
        </w:trPr>
        <w:tc>
          <w:tcPr>
            <w:tcW w:w="833" w:type="pct"/>
            <w:shd w:val="clear" w:color="auto" w:fill="auto"/>
            <w:noWrap/>
            <w:vAlign w:val="center"/>
            <w:hideMark/>
          </w:tcPr>
          <w:p w14:paraId="15094078" w14:textId="77777777" w:rsidR="00AC38C5" w:rsidRPr="006B671F" w:rsidRDefault="00AC38C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1</w:t>
            </w:r>
          </w:p>
        </w:tc>
        <w:tc>
          <w:tcPr>
            <w:tcW w:w="833" w:type="pct"/>
            <w:shd w:val="clear" w:color="auto" w:fill="auto"/>
            <w:vAlign w:val="center"/>
          </w:tcPr>
          <w:p w14:paraId="1EFB03FA" w14:textId="5D373A19"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8.261.184.000</w:t>
            </w:r>
          </w:p>
        </w:tc>
        <w:tc>
          <w:tcPr>
            <w:tcW w:w="833" w:type="pct"/>
            <w:shd w:val="clear" w:color="auto" w:fill="auto"/>
            <w:vAlign w:val="center"/>
          </w:tcPr>
          <w:p w14:paraId="1ED45EA2" w14:textId="2271B75B"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0</w:t>
            </w:r>
          </w:p>
        </w:tc>
        <w:tc>
          <w:tcPr>
            <w:tcW w:w="833" w:type="pct"/>
            <w:shd w:val="clear" w:color="auto" w:fill="auto"/>
            <w:vAlign w:val="center"/>
          </w:tcPr>
          <w:p w14:paraId="543F2FA6" w14:textId="6A3288E1"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5.571.750.000</w:t>
            </w:r>
          </w:p>
        </w:tc>
        <w:tc>
          <w:tcPr>
            <w:tcW w:w="833" w:type="pct"/>
            <w:shd w:val="clear" w:color="auto" w:fill="auto"/>
            <w:vAlign w:val="center"/>
          </w:tcPr>
          <w:p w14:paraId="1713DDBE" w14:textId="11993B8A"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5.776.980.000</w:t>
            </w:r>
          </w:p>
        </w:tc>
        <w:tc>
          <w:tcPr>
            <w:tcW w:w="833" w:type="pct"/>
            <w:shd w:val="clear" w:color="auto" w:fill="auto"/>
            <w:vAlign w:val="center"/>
          </w:tcPr>
          <w:p w14:paraId="702E8981" w14:textId="5FF094B5"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0</w:t>
            </w:r>
          </w:p>
        </w:tc>
      </w:tr>
      <w:tr w:rsidR="00AC38C5" w:rsidRPr="006B671F" w14:paraId="6BDF1619" w14:textId="77777777" w:rsidTr="00E7125B">
        <w:trPr>
          <w:trHeight w:val="345"/>
          <w:jc w:val="center"/>
        </w:trPr>
        <w:tc>
          <w:tcPr>
            <w:tcW w:w="833" w:type="pct"/>
            <w:shd w:val="clear" w:color="auto" w:fill="auto"/>
            <w:noWrap/>
            <w:vAlign w:val="center"/>
            <w:hideMark/>
          </w:tcPr>
          <w:p w14:paraId="64FEBF41" w14:textId="77777777" w:rsidR="00AC38C5" w:rsidRPr="006B671F" w:rsidRDefault="00AC38C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2</w:t>
            </w:r>
          </w:p>
        </w:tc>
        <w:tc>
          <w:tcPr>
            <w:tcW w:w="833" w:type="pct"/>
            <w:shd w:val="clear" w:color="auto" w:fill="auto"/>
            <w:vAlign w:val="center"/>
          </w:tcPr>
          <w:p w14:paraId="1BFC0D1D" w14:textId="462BB1DB"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0</w:t>
            </w:r>
          </w:p>
        </w:tc>
        <w:tc>
          <w:tcPr>
            <w:tcW w:w="833" w:type="pct"/>
            <w:shd w:val="clear" w:color="auto" w:fill="auto"/>
            <w:vAlign w:val="center"/>
          </w:tcPr>
          <w:p w14:paraId="2F8FC59D" w14:textId="292788B7"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0</w:t>
            </w:r>
          </w:p>
        </w:tc>
        <w:tc>
          <w:tcPr>
            <w:tcW w:w="833" w:type="pct"/>
            <w:shd w:val="clear" w:color="auto" w:fill="auto"/>
            <w:vAlign w:val="center"/>
          </w:tcPr>
          <w:p w14:paraId="399CD4BA" w14:textId="6640831F"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0</w:t>
            </w:r>
          </w:p>
        </w:tc>
        <w:tc>
          <w:tcPr>
            <w:tcW w:w="833" w:type="pct"/>
            <w:shd w:val="clear" w:color="auto" w:fill="auto"/>
            <w:vAlign w:val="center"/>
          </w:tcPr>
          <w:p w14:paraId="5099C25B" w14:textId="31082515"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0</w:t>
            </w:r>
          </w:p>
        </w:tc>
        <w:tc>
          <w:tcPr>
            <w:tcW w:w="833" w:type="pct"/>
            <w:shd w:val="clear" w:color="auto" w:fill="auto"/>
            <w:vAlign w:val="center"/>
          </w:tcPr>
          <w:p w14:paraId="35C1EE48" w14:textId="6B95D340"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0</w:t>
            </w:r>
          </w:p>
        </w:tc>
      </w:tr>
      <w:tr w:rsidR="00AC38C5" w:rsidRPr="006B671F" w14:paraId="22A6D007" w14:textId="77777777" w:rsidTr="00E7125B">
        <w:trPr>
          <w:trHeight w:val="345"/>
          <w:jc w:val="center"/>
        </w:trPr>
        <w:tc>
          <w:tcPr>
            <w:tcW w:w="833" w:type="pct"/>
            <w:shd w:val="clear" w:color="auto" w:fill="auto"/>
            <w:noWrap/>
            <w:vAlign w:val="center"/>
            <w:hideMark/>
          </w:tcPr>
          <w:p w14:paraId="685FA408" w14:textId="77777777" w:rsidR="00AC38C5" w:rsidRPr="006B671F" w:rsidRDefault="00AC38C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3</w:t>
            </w:r>
          </w:p>
        </w:tc>
        <w:tc>
          <w:tcPr>
            <w:tcW w:w="833" w:type="pct"/>
            <w:shd w:val="clear" w:color="auto" w:fill="auto"/>
            <w:vAlign w:val="center"/>
          </w:tcPr>
          <w:p w14:paraId="3824B6ED" w14:textId="4AD6EB8C"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9.290.753.261</w:t>
            </w:r>
          </w:p>
        </w:tc>
        <w:tc>
          <w:tcPr>
            <w:tcW w:w="833" w:type="pct"/>
            <w:shd w:val="clear" w:color="auto" w:fill="auto"/>
            <w:vAlign w:val="center"/>
          </w:tcPr>
          <w:p w14:paraId="738A6AC6" w14:textId="41940FC4"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8.304.275.134</w:t>
            </w:r>
          </w:p>
        </w:tc>
        <w:tc>
          <w:tcPr>
            <w:tcW w:w="833" w:type="pct"/>
            <w:shd w:val="clear" w:color="auto" w:fill="auto"/>
            <w:vAlign w:val="center"/>
          </w:tcPr>
          <w:p w14:paraId="202F357A" w14:textId="39F1C1E5"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19.407.641.124</w:t>
            </w:r>
          </w:p>
        </w:tc>
        <w:tc>
          <w:tcPr>
            <w:tcW w:w="833" w:type="pct"/>
            <w:shd w:val="clear" w:color="auto" w:fill="auto"/>
            <w:vAlign w:val="center"/>
          </w:tcPr>
          <w:p w14:paraId="4E23536D" w14:textId="73C0B982"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14.067.479.437</w:t>
            </w:r>
          </w:p>
        </w:tc>
        <w:tc>
          <w:tcPr>
            <w:tcW w:w="833" w:type="pct"/>
            <w:shd w:val="clear" w:color="auto" w:fill="auto"/>
            <w:vAlign w:val="center"/>
          </w:tcPr>
          <w:p w14:paraId="3C4448BA" w14:textId="78858F8D"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16.310.107.037</w:t>
            </w:r>
          </w:p>
        </w:tc>
      </w:tr>
      <w:tr w:rsidR="00AC38C5" w:rsidRPr="006B671F" w14:paraId="371C333B" w14:textId="77777777" w:rsidTr="00E7125B">
        <w:trPr>
          <w:trHeight w:val="345"/>
          <w:jc w:val="center"/>
        </w:trPr>
        <w:tc>
          <w:tcPr>
            <w:tcW w:w="833" w:type="pct"/>
            <w:shd w:val="clear" w:color="auto" w:fill="auto"/>
            <w:noWrap/>
            <w:vAlign w:val="center"/>
            <w:hideMark/>
          </w:tcPr>
          <w:p w14:paraId="748768D1" w14:textId="77777777" w:rsidR="00AC38C5" w:rsidRPr="006B671F" w:rsidRDefault="00AC38C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4</w:t>
            </w:r>
          </w:p>
        </w:tc>
        <w:tc>
          <w:tcPr>
            <w:tcW w:w="833" w:type="pct"/>
            <w:shd w:val="clear" w:color="auto" w:fill="auto"/>
            <w:vAlign w:val="center"/>
          </w:tcPr>
          <w:p w14:paraId="09CD16AF" w14:textId="73D0CBA8"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309.045.000</w:t>
            </w:r>
          </w:p>
        </w:tc>
        <w:tc>
          <w:tcPr>
            <w:tcW w:w="833" w:type="pct"/>
            <w:shd w:val="clear" w:color="auto" w:fill="auto"/>
            <w:vAlign w:val="center"/>
          </w:tcPr>
          <w:p w14:paraId="1BEBFBB0" w14:textId="2879D946"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341.290.500</w:t>
            </w:r>
          </w:p>
        </w:tc>
        <w:tc>
          <w:tcPr>
            <w:tcW w:w="833" w:type="pct"/>
            <w:shd w:val="clear" w:color="auto" w:fill="auto"/>
            <w:vAlign w:val="center"/>
          </w:tcPr>
          <w:p w14:paraId="472346AF" w14:textId="092BF4FB"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399.930.000</w:t>
            </w:r>
          </w:p>
        </w:tc>
        <w:tc>
          <w:tcPr>
            <w:tcW w:w="833" w:type="pct"/>
            <w:shd w:val="clear" w:color="auto" w:fill="auto"/>
            <w:vAlign w:val="center"/>
          </w:tcPr>
          <w:p w14:paraId="2F5B86CF" w14:textId="27472551"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332.988.000</w:t>
            </w:r>
          </w:p>
        </w:tc>
        <w:tc>
          <w:tcPr>
            <w:tcW w:w="833" w:type="pct"/>
            <w:shd w:val="clear" w:color="auto" w:fill="auto"/>
            <w:vAlign w:val="center"/>
          </w:tcPr>
          <w:p w14:paraId="654F87DE" w14:textId="202E00A7"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380.874.000</w:t>
            </w:r>
          </w:p>
        </w:tc>
      </w:tr>
      <w:tr w:rsidR="00AC38C5" w:rsidRPr="006B671F" w14:paraId="7182F7A9" w14:textId="77777777" w:rsidTr="00E7125B">
        <w:trPr>
          <w:trHeight w:val="345"/>
          <w:jc w:val="center"/>
        </w:trPr>
        <w:tc>
          <w:tcPr>
            <w:tcW w:w="833" w:type="pct"/>
            <w:shd w:val="clear" w:color="auto" w:fill="auto"/>
            <w:noWrap/>
            <w:vAlign w:val="center"/>
            <w:hideMark/>
          </w:tcPr>
          <w:p w14:paraId="4FE62145" w14:textId="77777777" w:rsidR="00AC38C5" w:rsidRPr="006B671F" w:rsidRDefault="00AC38C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5</w:t>
            </w:r>
          </w:p>
        </w:tc>
        <w:tc>
          <w:tcPr>
            <w:tcW w:w="833" w:type="pct"/>
            <w:shd w:val="clear" w:color="auto" w:fill="auto"/>
            <w:vAlign w:val="center"/>
          </w:tcPr>
          <w:p w14:paraId="4A972ECE" w14:textId="507D35B1"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230.412.000</w:t>
            </w:r>
          </w:p>
        </w:tc>
        <w:tc>
          <w:tcPr>
            <w:tcW w:w="833" w:type="pct"/>
            <w:shd w:val="clear" w:color="auto" w:fill="auto"/>
            <w:vAlign w:val="center"/>
          </w:tcPr>
          <w:p w14:paraId="24EB6D67" w14:textId="7FBEE059"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405.354.000</w:t>
            </w:r>
          </w:p>
        </w:tc>
        <w:tc>
          <w:tcPr>
            <w:tcW w:w="833" w:type="pct"/>
            <w:shd w:val="clear" w:color="auto" w:fill="auto"/>
            <w:vAlign w:val="center"/>
          </w:tcPr>
          <w:p w14:paraId="76D0D6B7" w14:textId="33FC7FCB"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478.821.000</w:t>
            </w:r>
          </w:p>
        </w:tc>
        <w:tc>
          <w:tcPr>
            <w:tcW w:w="833" w:type="pct"/>
            <w:shd w:val="clear" w:color="auto" w:fill="auto"/>
            <w:vAlign w:val="center"/>
          </w:tcPr>
          <w:p w14:paraId="44CA2391" w14:textId="625E3130"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511.698.000</w:t>
            </w:r>
          </w:p>
        </w:tc>
        <w:tc>
          <w:tcPr>
            <w:tcW w:w="833" w:type="pct"/>
            <w:shd w:val="clear" w:color="auto" w:fill="auto"/>
            <w:vAlign w:val="center"/>
          </w:tcPr>
          <w:p w14:paraId="19C33989" w14:textId="431F8B10"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640.908.000</w:t>
            </w:r>
          </w:p>
        </w:tc>
      </w:tr>
      <w:tr w:rsidR="00AC38C5" w:rsidRPr="006B671F" w14:paraId="17C775DF" w14:textId="77777777" w:rsidTr="00E7125B">
        <w:trPr>
          <w:trHeight w:val="345"/>
          <w:jc w:val="center"/>
        </w:trPr>
        <w:tc>
          <w:tcPr>
            <w:tcW w:w="833" w:type="pct"/>
            <w:shd w:val="clear" w:color="auto" w:fill="auto"/>
            <w:noWrap/>
            <w:vAlign w:val="center"/>
            <w:hideMark/>
          </w:tcPr>
          <w:p w14:paraId="486405C1" w14:textId="77777777" w:rsidR="00AC38C5" w:rsidRPr="006B671F" w:rsidRDefault="00AC38C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6</w:t>
            </w:r>
          </w:p>
        </w:tc>
        <w:tc>
          <w:tcPr>
            <w:tcW w:w="833" w:type="pct"/>
            <w:shd w:val="clear" w:color="auto" w:fill="auto"/>
            <w:vAlign w:val="center"/>
          </w:tcPr>
          <w:p w14:paraId="403DA497" w14:textId="67CE42EC"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2.759.179.561</w:t>
            </w:r>
          </w:p>
        </w:tc>
        <w:tc>
          <w:tcPr>
            <w:tcW w:w="833" w:type="pct"/>
            <w:shd w:val="clear" w:color="auto" w:fill="auto"/>
            <w:vAlign w:val="center"/>
          </w:tcPr>
          <w:p w14:paraId="17E008C7" w14:textId="2AB8D7DA"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3.122.485.122</w:t>
            </w:r>
          </w:p>
        </w:tc>
        <w:tc>
          <w:tcPr>
            <w:tcW w:w="833" w:type="pct"/>
            <w:shd w:val="clear" w:color="auto" w:fill="auto"/>
            <w:vAlign w:val="center"/>
          </w:tcPr>
          <w:p w14:paraId="08BD7E8E" w14:textId="226E81C7"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2.805.877.561</w:t>
            </w:r>
          </w:p>
        </w:tc>
        <w:tc>
          <w:tcPr>
            <w:tcW w:w="833" w:type="pct"/>
            <w:shd w:val="clear" w:color="auto" w:fill="auto"/>
            <w:vAlign w:val="center"/>
          </w:tcPr>
          <w:p w14:paraId="68ACD344" w14:textId="296E8DCE"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4.978.663.244</w:t>
            </w:r>
          </w:p>
        </w:tc>
        <w:tc>
          <w:tcPr>
            <w:tcW w:w="833" w:type="pct"/>
            <w:shd w:val="clear" w:color="auto" w:fill="auto"/>
            <w:vAlign w:val="center"/>
          </w:tcPr>
          <w:p w14:paraId="4931D50F" w14:textId="4DAEE901"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5.690.641.244</w:t>
            </w:r>
          </w:p>
        </w:tc>
      </w:tr>
      <w:tr w:rsidR="00AC38C5" w:rsidRPr="006B671F" w14:paraId="0E6D3104" w14:textId="77777777" w:rsidTr="00E7125B">
        <w:trPr>
          <w:trHeight w:val="345"/>
          <w:jc w:val="center"/>
        </w:trPr>
        <w:tc>
          <w:tcPr>
            <w:tcW w:w="833" w:type="pct"/>
            <w:shd w:val="clear" w:color="auto" w:fill="auto"/>
            <w:noWrap/>
            <w:vAlign w:val="center"/>
            <w:hideMark/>
          </w:tcPr>
          <w:p w14:paraId="5A01A22F" w14:textId="77777777" w:rsidR="00AC38C5" w:rsidRPr="006B671F" w:rsidRDefault="00AC38C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7</w:t>
            </w:r>
          </w:p>
        </w:tc>
        <w:tc>
          <w:tcPr>
            <w:tcW w:w="833" w:type="pct"/>
            <w:shd w:val="clear" w:color="auto" w:fill="auto"/>
            <w:vAlign w:val="center"/>
          </w:tcPr>
          <w:p w14:paraId="0BB7CB6E" w14:textId="56EAADBF"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10.785.259.400</w:t>
            </w:r>
          </w:p>
        </w:tc>
        <w:tc>
          <w:tcPr>
            <w:tcW w:w="833" w:type="pct"/>
            <w:shd w:val="clear" w:color="auto" w:fill="auto"/>
            <w:vAlign w:val="center"/>
          </w:tcPr>
          <w:p w14:paraId="2503F316" w14:textId="3753277F"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26.322.923.600</w:t>
            </w:r>
          </w:p>
        </w:tc>
        <w:tc>
          <w:tcPr>
            <w:tcW w:w="833" w:type="pct"/>
            <w:shd w:val="clear" w:color="auto" w:fill="auto"/>
            <w:vAlign w:val="center"/>
          </w:tcPr>
          <w:p w14:paraId="23914858" w14:textId="1E8C6122"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16.197.126.000</w:t>
            </w:r>
          </w:p>
        </w:tc>
        <w:tc>
          <w:tcPr>
            <w:tcW w:w="833" w:type="pct"/>
            <w:shd w:val="clear" w:color="auto" w:fill="auto"/>
            <w:vAlign w:val="center"/>
          </w:tcPr>
          <w:p w14:paraId="17911809" w14:textId="14B9F1C2"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25.877.530.800</w:t>
            </w:r>
          </w:p>
        </w:tc>
        <w:tc>
          <w:tcPr>
            <w:tcW w:w="833" w:type="pct"/>
            <w:shd w:val="clear" w:color="auto" w:fill="auto"/>
            <w:vAlign w:val="center"/>
          </w:tcPr>
          <w:p w14:paraId="3453D05C" w14:textId="09F15C05"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18.908.121.000</w:t>
            </w:r>
          </w:p>
        </w:tc>
      </w:tr>
      <w:tr w:rsidR="00AC38C5" w:rsidRPr="006B671F" w14:paraId="3AA7351A" w14:textId="77777777" w:rsidTr="00E7125B">
        <w:trPr>
          <w:trHeight w:val="345"/>
          <w:jc w:val="center"/>
        </w:trPr>
        <w:tc>
          <w:tcPr>
            <w:tcW w:w="833" w:type="pct"/>
            <w:shd w:val="clear" w:color="auto" w:fill="auto"/>
            <w:noWrap/>
            <w:vAlign w:val="center"/>
            <w:hideMark/>
          </w:tcPr>
          <w:p w14:paraId="0DFE26E5" w14:textId="77777777" w:rsidR="00AC38C5" w:rsidRPr="006B671F" w:rsidRDefault="00AC38C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8</w:t>
            </w:r>
          </w:p>
        </w:tc>
        <w:tc>
          <w:tcPr>
            <w:tcW w:w="833" w:type="pct"/>
            <w:shd w:val="clear" w:color="auto" w:fill="auto"/>
            <w:vAlign w:val="center"/>
          </w:tcPr>
          <w:p w14:paraId="6A26DAC2" w14:textId="1414F3EB"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4.819.493.500</w:t>
            </w:r>
          </w:p>
        </w:tc>
        <w:tc>
          <w:tcPr>
            <w:tcW w:w="833" w:type="pct"/>
            <w:shd w:val="clear" w:color="auto" w:fill="auto"/>
            <w:vAlign w:val="center"/>
          </w:tcPr>
          <w:p w14:paraId="6FA32DD3" w14:textId="218CDF1C"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0</w:t>
            </w:r>
          </w:p>
        </w:tc>
        <w:tc>
          <w:tcPr>
            <w:tcW w:w="833" w:type="pct"/>
            <w:shd w:val="clear" w:color="auto" w:fill="auto"/>
            <w:vAlign w:val="center"/>
          </w:tcPr>
          <w:p w14:paraId="6221E053" w14:textId="2D737ABD"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0</w:t>
            </w:r>
          </w:p>
        </w:tc>
        <w:tc>
          <w:tcPr>
            <w:tcW w:w="833" w:type="pct"/>
            <w:shd w:val="clear" w:color="auto" w:fill="auto"/>
            <w:vAlign w:val="center"/>
          </w:tcPr>
          <w:p w14:paraId="48A7C6EA" w14:textId="082F5628"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0</w:t>
            </w:r>
          </w:p>
        </w:tc>
        <w:tc>
          <w:tcPr>
            <w:tcW w:w="833" w:type="pct"/>
            <w:shd w:val="clear" w:color="auto" w:fill="auto"/>
            <w:vAlign w:val="center"/>
          </w:tcPr>
          <w:p w14:paraId="6786D506" w14:textId="400378E0"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0</w:t>
            </w:r>
          </w:p>
        </w:tc>
      </w:tr>
      <w:tr w:rsidR="00AC38C5" w:rsidRPr="006B671F" w14:paraId="0F05DF1A" w14:textId="77777777" w:rsidTr="00E7125B">
        <w:trPr>
          <w:trHeight w:val="345"/>
          <w:jc w:val="center"/>
        </w:trPr>
        <w:tc>
          <w:tcPr>
            <w:tcW w:w="833" w:type="pct"/>
            <w:shd w:val="clear" w:color="auto" w:fill="auto"/>
            <w:noWrap/>
            <w:vAlign w:val="center"/>
            <w:hideMark/>
          </w:tcPr>
          <w:p w14:paraId="3BACEBD4" w14:textId="77777777" w:rsidR="00AC38C5" w:rsidRPr="006B671F" w:rsidRDefault="00AC38C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9</w:t>
            </w:r>
          </w:p>
        </w:tc>
        <w:tc>
          <w:tcPr>
            <w:tcW w:w="833" w:type="pct"/>
            <w:shd w:val="clear" w:color="auto" w:fill="auto"/>
            <w:vAlign w:val="center"/>
          </w:tcPr>
          <w:p w14:paraId="73E0057F" w14:textId="375C1B37"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786.612.000</w:t>
            </w:r>
          </w:p>
        </w:tc>
        <w:tc>
          <w:tcPr>
            <w:tcW w:w="833" w:type="pct"/>
            <w:shd w:val="clear" w:color="auto" w:fill="auto"/>
            <w:vAlign w:val="center"/>
          </w:tcPr>
          <w:p w14:paraId="743FBF09" w14:textId="2FE47370"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846.234.000</w:t>
            </w:r>
          </w:p>
        </w:tc>
        <w:tc>
          <w:tcPr>
            <w:tcW w:w="833" w:type="pct"/>
            <w:shd w:val="clear" w:color="auto" w:fill="auto"/>
            <w:vAlign w:val="center"/>
          </w:tcPr>
          <w:p w14:paraId="4C90BDAC" w14:textId="66C6C4CC"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778.316.000</w:t>
            </w:r>
          </w:p>
        </w:tc>
        <w:tc>
          <w:tcPr>
            <w:tcW w:w="833" w:type="pct"/>
            <w:shd w:val="clear" w:color="auto" w:fill="auto"/>
            <w:vAlign w:val="center"/>
          </w:tcPr>
          <w:p w14:paraId="67C93DA2" w14:textId="1B070326"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756.940.000</w:t>
            </w:r>
          </w:p>
        </w:tc>
        <w:tc>
          <w:tcPr>
            <w:tcW w:w="833" w:type="pct"/>
            <w:shd w:val="clear" w:color="auto" w:fill="auto"/>
            <w:vAlign w:val="center"/>
          </w:tcPr>
          <w:p w14:paraId="2E4E5B00" w14:textId="4DE16ED0"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850.804.000</w:t>
            </w:r>
          </w:p>
        </w:tc>
      </w:tr>
      <w:tr w:rsidR="00AC38C5" w:rsidRPr="006B671F" w14:paraId="2B71A769" w14:textId="77777777" w:rsidTr="00E7125B">
        <w:trPr>
          <w:trHeight w:val="345"/>
          <w:jc w:val="center"/>
        </w:trPr>
        <w:tc>
          <w:tcPr>
            <w:tcW w:w="833" w:type="pct"/>
            <w:shd w:val="clear" w:color="auto" w:fill="auto"/>
            <w:noWrap/>
            <w:vAlign w:val="center"/>
            <w:hideMark/>
          </w:tcPr>
          <w:p w14:paraId="6F4CA296" w14:textId="77777777" w:rsidR="00AC38C5" w:rsidRPr="006B671F" w:rsidRDefault="00AC38C5"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10</w:t>
            </w:r>
          </w:p>
        </w:tc>
        <w:tc>
          <w:tcPr>
            <w:tcW w:w="833" w:type="pct"/>
            <w:shd w:val="clear" w:color="auto" w:fill="auto"/>
            <w:vAlign w:val="center"/>
          </w:tcPr>
          <w:p w14:paraId="6A0652E5" w14:textId="27D6FE0F"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680.723.000</w:t>
            </w:r>
          </w:p>
        </w:tc>
        <w:tc>
          <w:tcPr>
            <w:tcW w:w="833" w:type="pct"/>
            <w:shd w:val="clear" w:color="auto" w:fill="auto"/>
            <w:vAlign w:val="center"/>
          </w:tcPr>
          <w:p w14:paraId="0FA70585" w14:textId="2E41C6B7"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786.884.000</w:t>
            </w:r>
          </w:p>
        </w:tc>
        <w:tc>
          <w:tcPr>
            <w:tcW w:w="833" w:type="pct"/>
            <w:shd w:val="clear" w:color="auto" w:fill="auto"/>
            <w:vAlign w:val="center"/>
          </w:tcPr>
          <w:p w14:paraId="158B6921" w14:textId="0B561D78"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894.104.000</w:t>
            </w:r>
          </w:p>
        </w:tc>
        <w:tc>
          <w:tcPr>
            <w:tcW w:w="833" w:type="pct"/>
            <w:shd w:val="clear" w:color="auto" w:fill="auto"/>
            <w:vAlign w:val="center"/>
          </w:tcPr>
          <w:p w14:paraId="204CD81A" w14:textId="1FB0A22A"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733.615.667</w:t>
            </w:r>
          </w:p>
        </w:tc>
        <w:tc>
          <w:tcPr>
            <w:tcW w:w="833" w:type="pct"/>
            <w:shd w:val="clear" w:color="auto" w:fill="auto"/>
            <w:vAlign w:val="center"/>
          </w:tcPr>
          <w:p w14:paraId="3F0B315E" w14:textId="69A511A0" w:rsidR="00AC38C5" w:rsidRPr="00AC38C5" w:rsidRDefault="00AC38C5" w:rsidP="00470705">
            <w:pPr>
              <w:spacing w:before="100" w:beforeAutospacing="1" w:after="100" w:afterAutospacing="1"/>
              <w:jc w:val="right"/>
              <w:rPr>
                <w:rFonts w:cs="Arial"/>
                <w:i/>
                <w:iCs/>
                <w:color w:val="343536"/>
                <w:sz w:val="18"/>
                <w:szCs w:val="20"/>
              </w:rPr>
            </w:pPr>
            <w:r w:rsidRPr="00AC38C5">
              <w:rPr>
                <w:rFonts w:cs="Arial"/>
                <w:i/>
                <w:iCs/>
                <w:color w:val="343536"/>
                <w:sz w:val="18"/>
                <w:szCs w:val="20"/>
              </w:rPr>
              <w:t>883.361.667</w:t>
            </w:r>
          </w:p>
        </w:tc>
      </w:tr>
    </w:tbl>
    <w:p w14:paraId="4D349802" w14:textId="07292C9A" w:rsidR="00992953" w:rsidRPr="006B671F" w:rsidRDefault="00992953" w:rsidP="00470705">
      <w:pPr>
        <w:pStyle w:val="Descripcin"/>
        <w:spacing w:before="100" w:beforeAutospacing="1" w:after="100" w:afterAutospacing="1"/>
        <w:rPr>
          <w:rFonts w:cs="Arial"/>
          <w:i/>
          <w:iCs/>
          <w:sz w:val="20"/>
          <w:szCs w:val="18"/>
        </w:rPr>
      </w:pPr>
      <w:r w:rsidRPr="006B671F">
        <w:rPr>
          <w:rFonts w:cs="Arial"/>
          <w:i/>
          <w:iCs/>
          <w:sz w:val="20"/>
          <w:szCs w:val="18"/>
        </w:rPr>
        <w:t>Tabla 4 Plan de inversiones del nivel de tensión 2, pesos de diciembre de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0"/>
        <w:gridCol w:w="1869"/>
        <w:gridCol w:w="1869"/>
        <w:gridCol w:w="1869"/>
        <w:gridCol w:w="1869"/>
      </w:tblGrid>
      <w:tr w:rsidR="00992953" w:rsidRPr="006B671F" w14:paraId="29C6E1F8" w14:textId="77777777" w:rsidTr="00E7125B">
        <w:trPr>
          <w:trHeight w:val="555"/>
          <w:tblHeader/>
          <w:jc w:val="center"/>
        </w:trPr>
        <w:tc>
          <w:tcPr>
            <w:tcW w:w="1000" w:type="pct"/>
            <w:shd w:val="clear" w:color="000000" w:fill="FFFFFF"/>
            <w:vAlign w:val="center"/>
            <w:hideMark/>
          </w:tcPr>
          <w:p w14:paraId="75B85A24" w14:textId="77777777" w:rsidR="00992953" w:rsidRPr="006B671F" w:rsidRDefault="00992953" w:rsidP="00470705">
            <w:pPr>
              <w:spacing w:before="100" w:beforeAutospacing="1" w:after="100" w:afterAutospacing="1"/>
              <w:jc w:val="center"/>
              <w:rPr>
                <w:rFonts w:cs="Arial"/>
                <w:b/>
                <w:bCs/>
                <w:color w:val="000000"/>
                <w:sz w:val="20"/>
                <w:szCs w:val="20"/>
                <w:lang w:eastAsia="es-CO"/>
              </w:rPr>
            </w:pPr>
            <w:r w:rsidRPr="006B671F">
              <w:rPr>
                <w:rFonts w:cs="Arial"/>
                <w:b/>
                <w:bCs/>
                <w:color w:val="000000"/>
                <w:sz w:val="20"/>
                <w:szCs w:val="20"/>
                <w:lang w:eastAsia="es-CO"/>
              </w:rPr>
              <w:t xml:space="preserve">Categoría de activos </w:t>
            </w:r>
            <w:r w:rsidRPr="006B671F">
              <w:rPr>
                <w:rFonts w:cs="Arial"/>
                <w:b/>
                <w:bCs/>
                <w:i/>
                <w:iCs/>
                <w:color w:val="000000"/>
                <w:sz w:val="20"/>
                <w:szCs w:val="20"/>
                <w:lang w:eastAsia="es-CO"/>
              </w:rPr>
              <w:t>l</w:t>
            </w:r>
          </w:p>
        </w:tc>
        <w:tc>
          <w:tcPr>
            <w:tcW w:w="1000" w:type="pct"/>
            <w:shd w:val="clear" w:color="000000" w:fill="FFFFFF"/>
            <w:noWrap/>
            <w:vAlign w:val="center"/>
            <w:hideMark/>
          </w:tcPr>
          <w:p w14:paraId="3C6719FA"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l,1</w:t>
            </w:r>
          </w:p>
        </w:tc>
        <w:tc>
          <w:tcPr>
            <w:tcW w:w="1000" w:type="pct"/>
            <w:shd w:val="clear" w:color="000000" w:fill="FFFFFF"/>
            <w:noWrap/>
            <w:vAlign w:val="center"/>
            <w:hideMark/>
          </w:tcPr>
          <w:p w14:paraId="5A5C723F"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l,2</w:t>
            </w:r>
          </w:p>
        </w:tc>
        <w:tc>
          <w:tcPr>
            <w:tcW w:w="1000" w:type="pct"/>
            <w:shd w:val="clear" w:color="000000" w:fill="FFFFFF"/>
            <w:noWrap/>
            <w:vAlign w:val="center"/>
            <w:hideMark/>
          </w:tcPr>
          <w:p w14:paraId="2797C057"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l,3</w:t>
            </w:r>
          </w:p>
        </w:tc>
        <w:tc>
          <w:tcPr>
            <w:tcW w:w="1000" w:type="pct"/>
            <w:shd w:val="clear" w:color="000000" w:fill="FFFFFF"/>
            <w:noWrap/>
            <w:vAlign w:val="center"/>
            <w:hideMark/>
          </w:tcPr>
          <w:p w14:paraId="03BAA133"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l,4</w:t>
            </w:r>
          </w:p>
        </w:tc>
      </w:tr>
      <w:tr w:rsidR="001F1673" w:rsidRPr="006B671F" w14:paraId="6FD98023" w14:textId="77777777" w:rsidTr="00E7125B">
        <w:trPr>
          <w:trHeight w:val="345"/>
          <w:jc w:val="center"/>
        </w:trPr>
        <w:tc>
          <w:tcPr>
            <w:tcW w:w="1000" w:type="pct"/>
            <w:shd w:val="clear" w:color="000000" w:fill="FFFFFF"/>
            <w:noWrap/>
            <w:vAlign w:val="center"/>
            <w:hideMark/>
          </w:tcPr>
          <w:p w14:paraId="4DD7A2A9" w14:textId="77777777" w:rsidR="001F1673" w:rsidRPr="006B671F" w:rsidRDefault="001F1673"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1</w:t>
            </w:r>
          </w:p>
        </w:tc>
        <w:tc>
          <w:tcPr>
            <w:tcW w:w="1000" w:type="pct"/>
            <w:shd w:val="clear" w:color="auto" w:fill="auto"/>
            <w:vAlign w:val="center"/>
          </w:tcPr>
          <w:p w14:paraId="648816BE" w14:textId="4639A195"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2.027.391.500</w:t>
            </w:r>
          </w:p>
        </w:tc>
        <w:tc>
          <w:tcPr>
            <w:tcW w:w="1000" w:type="pct"/>
            <w:shd w:val="clear" w:color="auto" w:fill="auto"/>
            <w:vAlign w:val="center"/>
          </w:tcPr>
          <w:p w14:paraId="53DD5FB3" w14:textId="000E2363"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3.331.534.000</w:t>
            </w:r>
          </w:p>
        </w:tc>
        <w:tc>
          <w:tcPr>
            <w:tcW w:w="1000" w:type="pct"/>
            <w:shd w:val="clear" w:color="auto" w:fill="auto"/>
            <w:vAlign w:val="center"/>
          </w:tcPr>
          <w:p w14:paraId="6EAD2659" w14:textId="22D23BD0"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4.555.001.000</w:t>
            </w:r>
          </w:p>
        </w:tc>
        <w:tc>
          <w:tcPr>
            <w:tcW w:w="1000" w:type="pct"/>
            <w:shd w:val="clear" w:color="auto" w:fill="auto"/>
            <w:vAlign w:val="center"/>
          </w:tcPr>
          <w:p w14:paraId="03A519C0" w14:textId="1038D5FA"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398.199.000</w:t>
            </w:r>
          </w:p>
        </w:tc>
      </w:tr>
      <w:tr w:rsidR="001F1673" w:rsidRPr="006B671F" w14:paraId="21C7B49D" w14:textId="77777777" w:rsidTr="00E7125B">
        <w:trPr>
          <w:trHeight w:val="345"/>
          <w:jc w:val="center"/>
        </w:trPr>
        <w:tc>
          <w:tcPr>
            <w:tcW w:w="1000" w:type="pct"/>
            <w:shd w:val="clear" w:color="000000" w:fill="FFFFFF"/>
            <w:noWrap/>
            <w:vAlign w:val="center"/>
            <w:hideMark/>
          </w:tcPr>
          <w:p w14:paraId="0615B10F" w14:textId="77777777" w:rsidR="001F1673" w:rsidRPr="006B671F" w:rsidRDefault="001F1673"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2</w:t>
            </w:r>
          </w:p>
        </w:tc>
        <w:tc>
          <w:tcPr>
            <w:tcW w:w="1000" w:type="pct"/>
            <w:shd w:val="clear" w:color="auto" w:fill="auto"/>
            <w:vAlign w:val="center"/>
          </w:tcPr>
          <w:p w14:paraId="0936471F" w14:textId="0ED78CF8"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0</w:t>
            </w:r>
          </w:p>
        </w:tc>
        <w:tc>
          <w:tcPr>
            <w:tcW w:w="1000" w:type="pct"/>
            <w:shd w:val="clear" w:color="auto" w:fill="auto"/>
            <w:vAlign w:val="center"/>
          </w:tcPr>
          <w:p w14:paraId="02532C5C" w14:textId="22955178"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0</w:t>
            </w:r>
          </w:p>
        </w:tc>
        <w:tc>
          <w:tcPr>
            <w:tcW w:w="1000" w:type="pct"/>
            <w:shd w:val="clear" w:color="auto" w:fill="auto"/>
            <w:vAlign w:val="center"/>
          </w:tcPr>
          <w:p w14:paraId="4BD96C76" w14:textId="592F8E11"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0</w:t>
            </w:r>
          </w:p>
        </w:tc>
        <w:tc>
          <w:tcPr>
            <w:tcW w:w="1000" w:type="pct"/>
            <w:shd w:val="clear" w:color="auto" w:fill="auto"/>
            <w:vAlign w:val="center"/>
          </w:tcPr>
          <w:p w14:paraId="6F22B6B2" w14:textId="50938D7B"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0</w:t>
            </w:r>
          </w:p>
        </w:tc>
      </w:tr>
      <w:tr w:rsidR="001F1673" w:rsidRPr="006B671F" w14:paraId="6039CFDD" w14:textId="77777777" w:rsidTr="00E7125B">
        <w:trPr>
          <w:trHeight w:val="345"/>
          <w:jc w:val="center"/>
        </w:trPr>
        <w:tc>
          <w:tcPr>
            <w:tcW w:w="1000" w:type="pct"/>
            <w:shd w:val="clear" w:color="000000" w:fill="FFFFFF"/>
            <w:noWrap/>
            <w:vAlign w:val="center"/>
            <w:hideMark/>
          </w:tcPr>
          <w:p w14:paraId="0568BEE2" w14:textId="77777777" w:rsidR="001F1673" w:rsidRPr="006B671F" w:rsidRDefault="001F1673"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3</w:t>
            </w:r>
          </w:p>
        </w:tc>
        <w:tc>
          <w:tcPr>
            <w:tcW w:w="1000" w:type="pct"/>
            <w:shd w:val="clear" w:color="auto" w:fill="auto"/>
            <w:vAlign w:val="center"/>
          </w:tcPr>
          <w:p w14:paraId="1E6FA165" w14:textId="026B28F9"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1.948.378.000</w:t>
            </w:r>
          </w:p>
        </w:tc>
        <w:tc>
          <w:tcPr>
            <w:tcW w:w="1000" w:type="pct"/>
            <w:shd w:val="clear" w:color="auto" w:fill="auto"/>
            <w:vAlign w:val="center"/>
          </w:tcPr>
          <w:p w14:paraId="3B8F697F" w14:textId="43E55C96"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4.662.913.000</w:t>
            </w:r>
          </w:p>
        </w:tc>
        <w:tc>
          <w:tcPr>
            <w:tcW w:w="1000" w:type="pct"/>
            <w:shd w:val="clear" w:color="auto" w:fill="auto"/>
            <w:vAlign w:val="center"/>
          </w:tcPr>
          <w:p w14:paraId="07CF03C2" w14:textId="7A910F44"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12.397.466.756</w:t>
            </w:r>
          </w:p>
        </w:tc>
        <w:tc>
          <w:tcPr>
            <w:tcW w:w="1000" w:type="pct"/>
            <w:shd w:val="clear" w:color="auto" w:fill="auto"/>
            <w:vAlign w:val="center"/>
          </w:tcPr>
          <w:p w14:paraId="2BCFDC0E" w14:textId="69A821F5"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3.936.385.000</w:t>
            </w:r>
          </w:p>
        </w:tc>
      </w:tr>
      <w:tr w:rsidR="001F1673" w:rsidRPr="006B671F" w14:paraId="0EB6E83D" w14:textId="77777777" w:rsidTr="00E7125B">
        <w:trPr>
          <w:trHeight w:val="345"/>
          <w:jc w:val="center"/>
        </w:trPr>
        <w:tc>
          <w:tcPr>
            <w:tcW w:w="1000" w:type="pct"/>
            <w:shd w:val="clear" w:color="000000" w:fill="FFFFFF"/>
            <w:noWrap/>
            <w:vAlign w:val="center"/>
            <w:hideMark/>
          </w:tcPr>
          <w:p w14:paraId="24E835C4" w14:textId="77777777" w:rsidR="001F1673" w:rsidRPr="006B671F" w:rsidRDefault="001F1673"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4</w:t>
            </w:r>
          </w:p>
        </w:tc>
        <w:tc>
          <w:tcPr>
            <w:tcW w:w="1000" w:type="pct"/>
            <w:shd w:val="clear" w:color="auto" w:fill="auto"/>
            <w:vAlign w:val="center"/>
          </w:tcPr>
          <w:p w14:paraId="7B6369EE" w14:textId="10DB505F"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1.637.374.000</w:t>
            </w:r>
          </w:p>
        </w:tc>
        <w:tc>
          <w:tcPr>
            <w:tcW w:w="1000" w:type="pct"/>
            <w:shd w:val="clear" w:color="auto" w:fill="auto"/>
            <w:vAlign w:val="center"/>
          </w:tcPr>
          <w:p w14:paraId="2FE3C579" w14:textId="48C029B4"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4.907.705.000</w:t>
            </w:r>
          </w:p>
        </w:tc>
        <w:tc>
          <w:tcPr>
            <w:tcW w:w="1000" w:type="pct"/>
            <w:shd w:val="clear" w:color="auto" w:fill="auto"/>
            <w:vAlign w:val="center"/>
          </w:tcPr>
          <w:p w14:paraId="501B9018" w14:textId="7751F21A"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5.423.674.000</w:t>
            </w:r>
          </w:p>
        </w:tc>
        <w:tc>
          <w:tcPr>
            <w:tcW w:w="1000" w:type="pct"/>
            <w:shd w:val="clear" w:color="auto" w:fill="auto"/>
            <w:vAlign w:val="center"/>
          </w:tcPr>
          <w:p w14:paraId="4C73BA17" w14:textId="2C90445A"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4.782.847.000</w:t>
            </w:r>
          </w:p>
        </w:tc>
      </w:tr>
      <w:tr w:rsidR="001F1673" w:rsidRPr="006B671F" w14:paraId="650DEFD3" w14:textId="77777777" w:rsidTr="00E7125B">
        <w:trPr>
          <w:trHeight w:val="345"/>
          <w:jc w:val="center"/>
        </w:trPr>
        <w:tc>
          <w:tcPr>
            <w:tcW w:w="1000" w:type="pct"/>
            <w:shd w:val="clear" w:color="000000" w:fill="FFFFFF"/>
            <w:noWrap/>
            <w:vAlign w:val="center"/>
            <w:hideMark/>
          </w:tcPr>
          <w:p w14:paraId="19F82482" w14:textId="77777777" w:rsidR="001F1673" w:rsidRPr="006B671F" w:rsidRDefault="001F1673"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5</w:t>
            </w:r>
          </w:p>
        </w:tc>
        <w:tc>
          <w:tcPr>
            <w:tcW w:w="1000" w:type="pct"/>
            <w:shd w:val="clear" w:color="auto" w:fill="auto"/>
            <w:vAlign w:val="center"/>
          </w:tcPr>
          <w:p w14:paraId="5F9D597B" w14:textId="132492AB"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358.617.000</w:t>
            </w:r>
          </w:p>
        </w:tc>
        <w:tc>
          <w:tcPr>
            <w:tcW w:w="1000" w:type="pct"/>
            <w:shd w:val="clear" w:color="auto" w:fill="auto"/>
            <w:vAlign w:val="center"/>
          </w:tcPr>
          <w:p w14:paraId="327E9DC0" w14:textId="1D10B1B2"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233.409.000</w:t>
            </w:r>
          </w:p>
        </w:tc>
        <w:tc>
          <w:tcPr>
            <w:tcW w:w="1000" w:type="pct"/>
            <w:shd w:val="clear" w:color="auto" w:fill="auto"/>
            <w:vAlign w:val="center"/>
          </w:tcPr>
          <w:p w14:paraId="3E768EF7" w14:textId="093098A9"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474.449.000</w:t>
            </w:r>
          </w:p>
        </w:tc>
        <w:tc>
          <w:tcPr>
            <w:tcW w:w="1000" w:type="pct"/>
            <w:shd w:val="clear" w:color="auto" w:fill="auto"/>
            <w:vAlign w:val="center"/>
          </w:tcPr>
          <w:p w14:paraId="655766C1" w14:textId="1D8F33AF"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283.452.000</w:t>
            </w:r>
          </w:p>
        </w:tc>
      </w:tr>
      <w:tr w:rsidR="001F1673" w:rsidRPr="006B671F" w14:paraId="2E4E3488" w14:textId="77777777" w:rsidTr="00E7125B">
        <w:trPr>
          <w:trHeight w:val="345"/>
          <w:jc w:val="center"/>
        </w:trPr>
        <w:tc>
          <w:tcPr>
            <w:tcW w:w="1000" w:type="pct"/>
            <w:shd w:val="clear" w:color="000000" w:fill="FFFFFF"/>
            <w:noWrap/>
            <w:vAlign w:val="center"/>
            <w:hideMark/>
          </w:tcPr>
          <w:p w14:paraId="62B65934" w14:textId="77777777" w:rsidR="001F1673" w:rsidRPr="006B671F" w:rsidRDefault="001F1673"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6</w:t>
            </w:r>
          </w:p>
        </w:tc>
        <w:tc>
          <w:tcPr>
            <w:tcW w:w="1000" w:type="pct"/>
            <w:shd w:val="clear" w:color="auto" w:fill="auto"/>
            <w:vAlign w:val="center"/>
          </w:tcPr>
          <w:p w14:paraId="0888FAC8" w14:textId="3D7F057A"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211.733.000</w:t>
            </w:r>
          </w:p>
        </w:tc>
        <w:tc>
          <w:tcPr>
            <w:tcW w:w="1000" w:type="pct"/>
            <w:shd w:val="clear" w:color="auto" w:fill="auto"/>
            <w:vAlign w:val="center"/>
          </w:tcPr>
          <w:p w14:paraId="0A098ACC" w14:textId="5EC33E99"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598.656.000</w:t>
            </w:r>
          </w:p>
        </w:tc>
        <w:tc>
          <w:tcPr>
            <w:tcW w:w="1000" w:type="pct"/>
            <w:shd w:val="clear" w:color="auto" w:fill="auto"/>
            <w:vAlign w:val="center"/>
          </w:tcPr>
          <w:p w14:paraId="2B1E7A2B" w14:textId="199781C8"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1.797.810.000</w:t>
            </w:r>
          </w:p>
        </w:tc>
        <w:tc>
          <w:tcPr>
            <w:tcW w:w="1000" w:type="pct"/>
            <w:shd w:val="clear" w:color="auto" w:fill="auto"/>
            <w:vAlign w:val="center"/>
          </w:tcPr>
          <w:p w14:paraId="4B419717" w14:textId="02682DB8"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428.050.000</w:t>
            </w:r>
          </w:p>
        </w:tc>
      </w:tr>
      <w:tr w:rsidR="001F1673" w:rsidRPr="006B671F" w14:paraId="7AB5179E" w14:textId="77777777" w:rsidTr="00E7125B">
        <w:trPr>
          <w:trHeight w:val="345"/>
          <w:jc w:val="center"/>
        </w:trPr>
        <w:tc>
          <w:tcPr>
            <w:tcW w:w="1000" w:type="pct"/>
            <w:shd w:val="clear" w:color="000000" w:fill="FFFFFF"/>
            <w:noWrap/>
            <w:vAlign w:val="center"/>
            <w:hideMark/>
          </w:tcPr>
          <w:p w14:paraId="094223D2" w14:textId="77777777" w:rsidR="001F1673" w:rsidRPr="006B671F" w:rsidRDefault="001F1673"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7</w:t>
            </w:r>
          </w:p>
        </w:tc>
        <w:tc>
          <w:tcPr>
            <w:tcW w:w="1000" w:type="pct"/>
            <w:shd w:val="clear" w:color="auto" w:fill="auto"/>
            <w:vAlign w:val="center"/>
          </w:tcPr>
          <w:p w14:paraId="4964DDAB" w14:textId="50965BD2"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14.698.066.961</w:t>
            </w:r>
          </w:p>
        </w:tc>
        <w:tc>
          <w:tcPr>
            <w:tcW w:w="1000" w:type="pct"/>
            <w:shd w:val="clear" w:color="auto" w:fill="auto"/>
            <w:vAlign w:val="center"/>
          </w:tcPr>
          <w:p w14:paraId="3D98D3AB" w14:textId="3A6BC279"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10.249.696.275</w:t>
            </w:r>
          </w:p>
        </w:tc>
        <w:tc>
          <w:tcPr>
            <w:tcW w:w="1000" w:type="pct"/>
            <w:shd w:val="clear" w:color="auto" w:fill="auto"/>
            <w:vAlign w:val="center"/>
          </w:tcPr>
          <w:p w14:paraId="2AFD2C33" w14:textId="36988668"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21.214.306.991</w:t>
            </w:r>
          </w:p>
        </w:tc>
        <w:tc>
          <w:tcPr>
            <w:tcW w:w="1000" w:type="pct"/>
            <w:shd w:val="clear" w:color="auto" w:fill="auto"/>
            <w:vAlign w:val="center"/>
          </w:tcPr>
          <w:p w14:paraId="4D957BA4" w14:textId="1F2973DE"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7.392.502.971</w:t>
            </w:r>
          </w:p>
        </w:tc>
      </w:tr>
      <w:tr w:rsidR="001F1673" w:rsidRPr="006B671F" w14:paraId="1E42638D" w14:textId="77777777" w:rsidTr="00E7125B">
        <w:trPr>
          <w:trHeight w:val="345"/>
          <w:jc w:val="center"/>
        </w:trPr>
        <w:tc>
          <w:tcPr>
            <w:tcW w:w="1000" w:type="pct"/>
            <w:shd w:val="clear" w:color="000000" w:fill="FFFFFF"/>
            <w:noWrap/>
            <w:vAlign w:val="center"/>
            <w:hideMark/>
          </w:tcPr>
          <w:p w14:paraId="10580ED3" w14:textId="77777777" w:rsidR="001F1673" w:rsidRPr="006B671F" w:rsidRDefault="001F1673"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8</w:t>
            </w:r>
          </w:p>
        </w:tc>
        <w:tc>
          <w:tcPr>
            <w:tcW w:w="1000" w:type="pct"/>
            <w:shd w:val="clear" w:color="auto" w:fill="auto"/>
            <w:vAlign w:val="center"/>
          </w:tcPr>
          <w:p w14:paraId="1D3D6309" w14:textId="2EE6DF31"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2.817.161.013</w:t>
            </w:r>
          </w:p>
        </w:tc>
        <w:tc>
          <w:tcPr>
            <w:tcW w:w="1000" w:type="pct"/>
            <w:shd w:val="clear" w:color="auto" w:fill="auto"/>
            <w:vAlign w:val="center"/>
          </w:tcPr>
          <w:p w14:paraId="570D1474" w14:textId="14B82B23"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559.353.446</w:t>
            </w:r>
          </w:p>
        </w:tc>
        <w:tc>
          <w:tcPr>
            <w:tcW w:w="1000" w:type="pct"/>
            <w:shd w:val="clear" w:color="auto" w:fill="auto"/>
            <w:vAlign w:val="center"/>
          </w:tcPr>
          <w:p w14:paraId="2BD68B38" w14:textId="6CA14DAD"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7.224.835.883</w:t>
            </w:r>
          </w:p>
        </w:tc>
        <w:tc>
          <w:tcPr>
            <w:tcW w:w="1000" w:type="pct"/>
            <w:shd w:val="clear" w:color="auto" w:fill="auto"/>
            <w:vAlign w:val="center"/>
          </w:tcPr>
          <w:p w14:paraId="60A7BE74" w14:textId="1113672A"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559.353.446</w:t>
            </w:r>
          </w:p>
        </w:tc>
      </w:tr>
      <w:tr w:rsidR="001F1673" w:rsidRPr="006B671F" w14:paraId="28EAFF29" w14:textId="77777777" w:rsidTr="00E7125B">
        <w:trPr>
          <w:trHeight w:val="345"/>
          <w:jc w:val="center"/>
        </w:trPr>
        <w:tc>
          <w:tcPr>
            <w:tcW w:w="1000" w:type="pct"/>
            <w:shd w:val="clear" w:color="000000" w:fill="FFFFFF"/>
            <w:noWrap/>
            <w:vAlign w:val="center"/>
            <w:hideMark/>
          </w:tcPr>
          <w:p w14:paraId="73F1D1EA" w14:textId="77777777" w:rsidR="001F1673" w:rsidRPr="006B671F" w:rsidRDefault="001F1673"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9</w:t>
            </w:r>
          </w:p>
        </w:tc>
        <w:tc>
          <w:tcPr>
            <w:tcW w:w="1000" w:type="pct"/>
            <w:shd w:val="clear" w:color="auto" w:fill="auto"/>
            <w:vAlign w:val="center"/>
          </w:tcPr>
          <w:p w14:paraId="1F0EF8F8" w14:textId="5918424E"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11.757.774.000</w:t>
            </w:r>
          </w:p>
        </w:tc>
        <w:tc>
          <w:tcPr>
            <w:tcW w:w="1000" w:type="pct"/>
            <w:shd w:val="clear" w:color="auto" w:fill="auto"/>
            <w:vAlign w:val="center"/>
          </w:tcPr>
          <w:p w14:paraId="1C71F86B" w14:textId="32C97DD0"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21.697.998.763</w:t>
            </w:r>
          </w:p>
        </w:tc>
        <w:tc>
          <w:tcPr>
            <w:tcW w:w="1000" w:type="pct"/>
            <w:shd w:val="clear" w:color="auto" w:fill="auto"/>
            <w:vAlign w:val="center"/>
          </w:tcPr>
          <w:p w14:paraId="5B53EECC" w14:textId="665D0236"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11.145.695.505</w:t>
            </w:r>
          </w:p>
        </w:tc>
        <w:tc>
          <w:tcPr>
            <w:tcW w:w="1000" w:type="pct"/>
            <w:shd w:val="clear" w:color="auto" w:fill="auto"/>
            <w:vAlign w:val="center"/>
          </w:tcPr>
          <w:p w14:paraId="3DFCDE5A" w14:textId="164DEA2D"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4.876.767.505</w:t>
            </w:r>
          </w:p>
        </w:tc>
      </w:tr>
      <w:tr w:rsidR="001F1673" w:rsidRPr="006B671F" w14:paraId="4AF84708" w14:textId="77777777" w:rsidTr="00E7125B">
        <w:trPr>
          <w:trHeight w:val="345"/>
          <w:jc w:val="center"/>
        </w:trPr>
        <w:tc>
          <w:tcPr>
            <w:tcW w:w="1000" w:type="pct"/>
            <w:shd w:val="clear" w:color="000000" w:fill="FFFFFF"/>
            <w:noWrap/>
            <w:vAlign w:val="center"/>
            <w:hideMark/>
          </w:tcPr>
          <w:p w14:paraId="5A4B80EA" w14:textId="77777777" w:rsidR="001F1673" w:rsidRPr="006B671F" w:rsidRDefault="001F1673"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10</w:t>
            </w:r>
          </w:p>
        </w:tc>
        <w:tc>
          <w:tcPr>
            <w:tcW w:w="1000" w:type="pct"/>
            <w:shd w:val="clear" w:color="auto" w:fill="auto"/>
            <w:vAlign w:val="center"/>
          </w:tcPr>
          <w:p w14:paraId="1D9D739E" w14:textId="75F95467"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798.128.076</w:t>
            </w:r>
          </w:p>
        </w:tc>
        <w:tc>
          <w:tcPr>
            <w:tcW w:w="1000" w:type="pct"/>
            <w:shd w:val="clear" w:color="auto" w:fill="auto"/>
            <w:vAlign w:val="center"/>
          </w:tcPr>
          <w:p w14:paraId="3C692960" w14:textId="0CA2ED8C"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1.976.576.018</w:t>
            </w:r>
          </w:p>
        </w:tc>
        <w:tc>
          <w:tcPr>
            <w:tcW w:w="1000" w:type="pct"/>
            <w:shd w:val="clear" w:color="auto" w:fill="auto"/>
            <w:vAlign w:val="center"/>
          </w:tcPr>
          <w:p w14:paraId="29650B76" w14:textId="7E3CFDD7"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2.942.174.248</w:t>
            </w:r>
          </w:p>
        </w:tc>
        <w:tc>
          <w:tcPr>
            <w:tcW w:w="1000" w:type="pct"/>
            <w:shd w:val="clear" w:color="auto" w:fill="auto"/>
            <w:vAlign w:val="center"/>
          </w:tcPr>
          <w:p w14:paraId="24758190" w14:textId="1A0E539A" w:rsidR="001F1673" w:rsidRPr="001F1673" w:rsidRDefault="001F1673" w:rsidP="00470705">
            <w:pPr>
              <w:spacing w:before="100" w:beforeAutospacing="1" w:after="100" w:afterAutospacing="1"/>
              <w:jc w:val="right"/>
              <w:rPr>
                <w:rFonts w:cs="Arial"/>
                <w:i/>
                <w:iCs/>
                <w:color w:val="343536"/>
                <w:sz w:val="18"/>
                <w:szCs w:val="20"/>
              </w:rPr>
            </w:pPr>
            <w:r w:rsidRPr="001F1673">
              <w:rPr>
                <w:rFonts w:cs="Arial"/>
                <w:i/>
                <w:iCs/>
                <w:color w:val="343536"/>
                <w:sz w:val="18"/>
                <w:szCs w:val="20"/>
              </w:rPr>
              <w:t>717.327.504</w:t>
            </w:r>
          </w:p>
        </w:tc>
      </w:tr>
    </w:tbl>
    <w:p w14:paraId="31C9CFF4" w14:textId="77777777" w:rsidR="00992953" w:rsidRPr="006B671F" w:rsidRDefault="00992953" w:rsidP="00470705">
      <w:pPr>
        <w:spacing w:before="100" w:beforeAutospacing="1" w:after="100" w:afterAutospacing="1"/>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8"/>
        <w:gridCol w:w="1558"/>
        <w:gridCol w:w="1558"/>
        <w:gridCol w:w="1558"/>
        <w:gridCol w:w="1557"/>
        <w:gridCol w:w="1557"/>
      </w:tblGrid>
      <w:tr w:rsidR="00992953" w:rsidRPr="006B671F" w14:paraId="1F7AFAF7" w14:textId="77777777" w:rsidTr="00E7125B">
        <w:trPr>
          <w:trHeight w:val="555"/>
          <w:jc w:val="center"/>
        </w:trPr>
        <w:tc>
          <w:tcPr>
            <w:tcW w:w="833" w:type="pct"/>
            <w:shd w:val="clear" w:color="auto" w:fill="auto"/>
            <w:vAlign w:val="center"/>
            <w:hideMark/>
          </w:tcPr>
          <w:p w14:paraId="263B9983" w14:textId="77777777" w:rsidR="00992953" w:rsidRPr="006B671F" w:rsidRDefault="00992953" w:rsidP="00470705">
            <w:pPr>
              <w:spacing w:before="100" w:beforeAutospacing="1" w:after="100" w:afterAutospacing="1"/>
              <w:jc w:val="center"/>
              <w:rPr>
                <w:rFonts w:cs="Arial"/>
                <w:b/>
                <w:bCs/>
                <w:color w:val="000000"/>
                <w:sz w:val="20"/>
                <w:szCs w:val="20"/>
                <w:lang w:eastAsia="es-CO"/>
              </w:rPr>
            </w:pPr>
            <w:r w:rsidRPr="006B671F">
              <w:rPr>
                <w:rFonts w:cs="Arial"/>
                <w:b/>
                <w:bCs/>
                <w:color w:val="000000"/>
                <w:sz w:val="20"/>
                <w:szCs w:val="20"/>
                <w:lang w:eastAsia="es-CO"/>
              </w:rPr>
              <w:t xml:space="preserve">Categoría de activos </w:t>
            </w:r>
            <w:r w:rsidRPr="006B671F">
              <w:rPr>
                <w:rFonts w:cs="Arial"/>
                <w:b/>
                <w:bCs/>
                <w:i/>
                <w:iCs/>
                <w:color w:val="000000"/>
                <w:sz w:val="20"/>
                <w:szCs w:val="20"/>
                <w:lang w:eastAsia="es-CO"/>
              </w:rPr>
              <w:t>l</w:t>
            </w:r>
          </w:p>
        </w:tc>
        <w:tc>
          <w:tcPr>
            <w:tcW w:w="833" w:type="pct"/>
            <w:shd w:val="clear" w:color="auto" w:fill="auto"/>
            <w:noWrap/>
            <w:vAlign w:val="center"/>
            <w:hideMark/>
          </w:tcPr>
          <w:p w14:paraId="577CF035"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l,5</w:t>
            </w:r>
          </w:p>
        </w:tc>
        <w:tc>
          <w:tcPr>
            <w:tcW w:w="833" w:type="pct"/>
            <w:shd w:val="clear" w:color="auto" w:fill="auto"/>
            <w:noWrap/>
            <w:vAlign w:val="center"/>
            <w:hideMark/>
          </w:tcPr>
          <w:p w14:paraId="6F18153E"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l,6</w:t>
            </w:r>
          </w:p>
        </w:tc>
        <w:tc>
          <w:tcPr>
            <w:tcW w:w="833" w:type="pct"/>
            <w:shd w:val="clear" w:color="auto" w:fill="auto"/>
            <w:vAlign w:val="center"/>
            <w:hideMark/>
          </w:tcPr>
          <w:p w14:paraId="09F3CC42"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l,7</w:t>
            </w:r>
          </w:p>
        </w:tc>
        <w:tc>
          <w:tcPr>
            <w:tcW w:w="833" w:type="pct"/>
            <w:shd w:val="clear" w:color="auto" w:fill="auto"/>
            <w:noWrap/>
            <w:vAlign w:val="center"/>
            <w:hideMark/>
          </w:tcPr>
          <w:p w14:paraId="68EFC6A2"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l,8</w:t>
            </w:r>
          </w:p>
        </w:tc>
        <w:tc>
          <w:tcPr>
            <w:tcW w:w="833" w:type="pct"/>
            <w:shd w:val="clear" w:color="auto" w:fill="auto"/>
            <w:vAlign w:val="center"/>
            <w:hideMark/>
          </w:tcPr>
          <w:p w14:paraId="51A419B4"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j,2, l,9</w:t>
            </w:r>
          </w:p>
        </w:tc>
      </w:tr>
      <w:tr w:rsidR="002D6FBC" w:rsidRPr="006B671F" w14:paraId="3A7E4E06" w14:textId="77777777" w:rsidTr="00E7125B">
        <w:trPr>
          <w:trHeight w:val="345"/>
          <w:jc w:val="center"/>
        </w:trPr>
        <w:tc>
          <w:tcPr>
            <w:tcW w:w="833" w:type="pct"/>
            <w:shd w:val="clear" w:color="auto" w:fill="auto"/>
            <w:noWrap/>
            <w:vAlign w:val="center"/>
            <w:hideMark/>
          </w:tcPr>
          <w:p w14:paraId="4BFA90C6" w14:textId="77777777" w:rsidR="002D6FBC" w:rsidRPr="006B671F" w:rsidRDefault="002D6FBC"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1</w:t>
            </w:r>
          </w:p>
        </w:tc>
        <w:tc>
          <w:tcPr>
            <w:tcW w:w="833" w:type="pct"/>
            <w:shd w:val="clear" w:color="auto" w:fill="auto"/>
            <w:vAlign w:val="center"/>
          </w:tcPr>
          <w:p w14:paraId="6690DADD" w14:textId="0BCB3364"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2.327.236.000</w:t>
            </w:r>
          </w:p>
        </w:tc>
        <w:tc>
          <w:tcPr>
            <w:tcW w:w="833" w:type="pct"/>
            <w:shd w:val="clear" w:color="auto" w:fill="auto"/>
            <w:vAlign w:val="center"/>
          </w:tcPr>
          <w:p w14:paraId="5E292F71" w14:textId="649CEC0C"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1.990.995.000</w:t>
            </w:r>
          </w:p>
        </w:tc>
        <w:tc>
          <w:tcPr>
            <w:tcW w:w="833" w:type="pct"/>
            <w:shd w:val="clear" w:color="auto" w:fill="auto"/>
            <w:vAlign w:val="center"/>
          </w:tcPr>
          <w:p w14:paraId="6D0DF61D" w14:textId="0EEE317B"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3.450.046.000</w:t>
            </w:r>
          </w:p>
        </w:tc>
        <w:tc>
          <w:tcPr>
            <w:tcW w:w="833" w:type="pct"/>
            <w:shd w:val="clear" w:color="auto" w:fill="auto"/>
            <w:vAlign w:val="center"/>
          </w:tcPr>
          <w:p w14:paraId="4BA79E3C" w14:textId="35FED0CF"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3.123.634.000</w:t>
            </w:r>
          </w:p>
        </w:tc>
        <w:tc>
          <w:tcPr>
            <w:tcW w:w="833" w:type="pct"/>
            <w:shd w:val="clear" w:color="auto" w:fill="auto"/>
            <w:vAlign w:val="center"/>
          </w:tcPr>
          <w:p w14:paraId="786E4C9E" w14:textId="31BF640C"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2.358.215.000</w:t>
            </w:r>
          </w:p>
        </w:tc>
      </w:tr>
      <w:tr w:rsidR="002D6FBC" w:rsidRPr="006B671F" w14:paraId="58C917CF" w14:textId="77777777" w:rsidTr="00E7125B">
        <w:trPr>
          <w:trHeight w:val="345"/>
          <w:jc w:val="center"/>
        </w:trPr>
        <w:tc>
          <w:tcPr>
            <w:tcW w:w="833" w:type="pct"/>
            <w:shd w:val="clear" w:color="auto" w:fill="auto"/>
            <w:noWrap/>
            <w:vAlign w:val="center"/>
            <w:hideMark/>
          </w:tcPr>
          <w:p w14:paraId="1A840324" w14:textId="77777777" w:rsidR="002D6FBC" w:rsidRPr="006B671F" w:rsidRDefault="002D6FBC"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2</w:t>
            </w:r>
          </w:p>
        </w:tc>
        <w:tc>
          <w:tcPr>
            <w:tcW w:w="833" w:type="pct"/>
            <w:shd w:val="clear" w:color="auto" w:fill="auto"/>
            <w:vAlign w:val="center"/>
          </w:tcPr>
          <w:p w14:paraId="55793014" w14:textId="12D6D734"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0</w:t>
            </w:r>
          </w:p>
        </w:tc>
        <w:tc>
          <w:tcPr>
            <w:tcW w:w="833" w:type="pct"/>
            <w:shd w:val="clear" w:color="auto" w:fill="auto"/>
            <w:vAlign w:val="center"/>
          </w:tcPr>
          <w:p w14:paraId="25364B5B" w14:textId="4F3F9F13"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0</w:t>
            </w:r>
          </w:p>
        </w:tc>
        <w:tc>
          <w:tcPr>
            <w:tcW w:w="833" w:type="pct"/>
            <w:shd w:val="clear" w:color="auto" w:fill="auto"/>
            <w:vAlign w:val="center"/>
          </w:tcPr>
          <w:p w14:paraId="2EF59E9A" w14:textId="183DB913"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0</w:t>
            </w:r>
          </w:p>
        </w:tc>
        <w:tc>
          <w:tcPr>
            <w:tcW w:w="833" w:type="pct"/>
            <w:shd w:val="clear" w:color="auto" w:fill="auto"/>
            <w:vAlign w:val="center"/>
          </w:tcPr>
          <w:p w14:paraId="1FD24ACC" w14:textId="62911582"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0</w:t>
            </w:r>
          </w:p>
        </w:tc>
        <w:tc>
          <w:tcPr>
            <w:tcW w:w="833" w:type="pct"/>
            <w:shd w:val="clear" w:color="auto" w:fill="auto"/>
            <w:vAlign w:val="center"/>
          </w:tcPr>
          <w:p w14:paraId="618C2735" w14:textId="7038206E"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0</w:t>
            </w:r>
          </w:p>
        </w:tc>
      </w:tr>
      <w:tr w:rsidR="002D6FBC" w:rsidRPr="006B671F" w14:paraId="7BEBBCC5" w14:textId="77777777" w:rsidTr="00E7125B">
        <w:trPr>
          <w:trHeight w:val="345"/>
          <w:jc w:val="center"/>
        </w:trPr>
        <w:tc>
          <w:tcPr>
            <w:tcW w:w="833" w:type="pct"/>
            <w:shd w:val="clear" w:color="auto" w:fill="auto"/>
            <w:noWrap/>
            <w:vAlign w:val="center"/>
            <w:hideMark/>
          </w:tcPr>
          <w:p w14:paraId="35A34E32" w14:textId="77777777" w:rsidR="002D6FBC" w:rsidRPr="006B671F" w:rsidRDefault="002D6FBC"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3</w:t>
            </w:r>
          </w:p>
        </w:tc>
        <w:tc>
          <w:tcPr>
            <w:tcW w:w="833" w:type="pct"/>
            <w:shd w:val="clear" w:color="auto" w:fill="auto"/>
            <w:vAlign w:val="center"/>
          </w:tcPr>
          <w:p w14:paraId="54FBA084" w14:textId="3C647CBC"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6.282.632.906</w:t>
            </w:r>
          </w:p>
        </w:tc>
        <w:tc>
          <w:tcPr>
            <w:tcW w:w="833" w:type="pct"/>
            <w:shd w:val="clear" w:color="auto" w:fill="auto"/>
            <w:vAlign w:val="center"/>
          </w:tcPr>
          <w:p w14:paraId="5449C550" w14:textId="2F1AB135"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5.895.503.000</w:t>
            </w:r>
          </w:p>
        </w:tc>
        <w:tc>
          <w:tcPr>
            <w:tcW w:w="833" w:type="pct"/>
            <w:shd w:val="clear" w:color="auto" w:fill="auto"/>
            <w:vAlign w:val="center"/>
          </w:tcPr>
          <w:p w14:paraId="2D237457" w14:textId="43B90C8D"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8.543.171.544</w:t>
            </w:r>
          </w:p>
        </w:tc>
        <w:tc>
          <w:tcPr>
            <w:tcW w:w="833" w:type="pct"/>
            <w:shd w:val="clear" w:color="auto" w:fill="auto"/>
            <w:vAlign w:val="center"/>
          </w:tcPr>
          <w:p w14:paraId="4433051F" w14:textId="3FDB51F8"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8.167.042.000</w:t>
            </w:r>
          </w:p>
        </w:tc>
        <w:tc>
          <w:tcPr>
            <w:tcW w:w="833" w:type="pct"/>
            <w:shd w:val="clear" w:color="auto" w:fill="auto"/>
            <w:vAlign w:val="center"/>
          </w:tcPr>
          <w:p w14:paraId="74585618" w14:textId="6343AFB9"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11.414.902.042</w:t>
            </w:r>
          </w:p>
        </w:tc>
      </w:tr>
      <w:tr w:rsidR="002D6FBC" w:rsidRPr="006B671F" w14:paraId="77CCA7D0" w14:textId="77777777" w:rsidTr="00E7125B">
        <w:trPr>
          <w:trHeight w:val="345"/>
          <w:jc w:val="center"/>
        </w:trPr>
        <w:tc>
          <w:tcPr>
            <w:tcW w:w="833" w:type="pct"/>
            <w:shd w:val="clear" w:color="auto" w:fill="auto"/>
            <w:noWrap/>
            <w:vAlign w:val="center"/>
            <w:hideMark/>
          </w:tcPr>
          <w:p w14:paraId="1DB5BAB1" w14:textId="77777777" w:rsidR="002D6FBC" w:rsidRPr="006B671F" w:rsidRDefault="002D6FBC"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4</w:t>
            </w:r>
          </w:p>
        </w:tc>
        <w:tc>
          <w:tcPr>
            <w:tcW w:w="833" w:type="pct"/>
            <w:shd w:val="clear" w:color="auto" w:fill="auto"/>
            <w:vAlign w:val="center"/>
          </w:tcPr>
          <w:p w14:paraId="5FC7EC25" w14:textId="797C5A71"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3.591.362.000</w:t>
            </w:r>
          </w:p>
        </w:tc>
        <w:tc>
          <w:tcPr>
            <w:tcW w:w="833" w:type="pct"/>
            <w:shd w:val="clear" w:color="auto" w:fill="auto"/>
            <w:vAlign w:val="center"/>
          </w:tcPr>
          <w:p w14:paraId="13BB2B19" w14:textId="39F2F57D"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2.460.644.000</w:t>
            </w:r>
          </w:p>
        </w:tc>
        <w:tc>
          <w:tcPr>
            <w:tcW w:w="833" w:type="pct"/>
            <w:shd w:val="clear" w:color="auto" w:fill="auto"/>
            <w:vAlign w:val="center"/>
          </w:tcPr>
          <w:p w14:paraId="0E7127E4" w14:textId="4B76F348"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2.894.529.000</w:t>
            </w:r>
          </w:p>
        </w:tc>
        <w:tc>
          <w:tcPr>
            <w:tcW w:w="833" w:type="pct"/>
            <w:shd w:val="clear" w:color="auto" w:fill="auto"/>
            <w:vAlign w:val="center"/>
          </w:tcPr>
          <w:p w14:paraId="26140615" w14:textId="52D2B54D"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2.435.647.000</w:t>
            </w:r>
          </w:p>
        </w:tc>
        <w:tc>
          <w:tcPr>
            <w:tcW w:w="833" w:type="pct"/>
            <w:shd w:val="clear" w:color="auto" w:fill="auto"/>
            <w:vAlign w:val="center"/>
          </w:tcPr>
          <w:p w14:paraId="693A2C91" w14:textId="347A6959"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2.716.474.000</w:t>
            </w:r>
          </w:p>
        </w:tc>
      </w:tr>
      <w:tr w:rsidR="002D6FBC" w:rsidRPr="006B671F" w14:paraId="255E0940" w14:textId="77777777" w:rsidTr="00E7125B">
        <w:trPr>
          <w:trHeight w:val="345"/>
          <w:jc w:val="center"/>
        </w:trPr>
        <w:tc>
          <w:tcPr>
            <w:tcW w:w="833" w:type="pct"/>
            <w:shd w:val="clear" w:color="auto" w:fill="auto"/>
            <w:noWrap/>
            <w:vAlign w:val="center"/>
            <w:hideMark/>
          </w:tcPr>
          <w:p w14:paraId="014EE169" w14:textId="77777777" w:rsidR="002D6FBC" w:rsidRPr="006B671F" w:rsidRDefault="002D6FBC"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5</w:t>
            </w:r>
          </w:p>
        </w:tc>
        <w:tc>
          <w:tcPr>
            <w:tcW w:w="833" w:type="pct"/>
            <w:shd w:val="clear" w:color="auto" w:fill="auto"/>
            <w:vAlign w:val="center"/>
          </w:tcPr>
          <w:p w14:paraId="4A2A1C96" w14:textId="3E1C6FE7"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1.181.505.000</w:t>
            </w:r>
          </w:p>
        </w:tc>
        <w:tc>
          <w:tcPr>
            <w:tcW w:w="833" w:type="pct"/>
            <w:shd w:val="clear" w:color="auto" w:fill="auto"/>
            <w:vAlign w:val="center"/>
          </w:tcPr>
          <w:p w14:paraId="4C977D1C" w14:textId="19EB0B11"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932.748.000</w:t>
            </w:r>
          </w:p>
        </w:tc>
        <w:tc>
          <w:tcPr>
            <w:tcW w:w="833" w:type="pct"/>
            <w:shd w:val="clear" w:color="auto" w:fill="auto"/>
            <w:vAlign w:val="center"/>
          </w:tcPr>
          <w:p w14:paraId="6AA77F93" w14:textId="491BD9AF"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1.663.755.000</w:t>
            </w:r>
          </w:p>
        </w:tc>
        <w:tc>
          <w:tcPr>
            <w:tcW w:w="833" w:type="pct"/>
            <w:shd w:val="clear" w:color="auto" w:fill="auto"/>
            <w:vAlign w:val="center"/>
          </w:tcPr>
          <w:p w14:paraId="36D61387" w14:textId="22E5342A"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1.153.428.000</w:t>
            </w:r>
          </w:p>
        </w:tc>
        <w:tc>
          <w:tcPr>
            <w:tcW w:w="833" w:type="pct"/>
            <w:shd w:val="clear" w:color="auto" w:fill="auto"/>
            <w:vAlign w:val="center"/>
          </w:tcPr>
          <w:p w14:paraId="4DB7F5D0" w14:textId="2E00023E"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1.000.896.000</w:t>
            </w:r>
          </w:p>
        </w:tc>
      </w:tr>
      <w:tr w:rsidR="002D6FBC" w:rsidRPr="006B671F" w14:paraId="457427EF" w14:textId="77777777" w:rsidTr="00E7125B">
        <w:trPr>
          <w:trHeight w:val="345"/>
          <w:jc w:val="center"/>
        </w:trPr>
        <w:tc>
          <w:tcPr>
            <w:tcW w:w="833" w:type="pct"/>
            <w:shd w:val="clear" w:color="auto" w:fill="auto"/>
            <w:noWrap/>
            <w:vAlign w:val="center"/>
            <w:hideMark/>
          </w:tcPr>
          <w:p w14:paraId="2395AA2D" w14:textId="77777777" w:rsidR="002D6FBC" w:rsidRPr="006B671F" w:rsidRDefault="002D6FBC"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6</w:t>
            </w:r>
          </w:p>
        </w:tc>
        <w:tc>
          <w:tcPr>
            <w:tcW w:w="833" w:type="pct"/>
            <w:shd w:val="clear" w:color="auto" w:fill="auto"/>
            <w:vAlign w:val="center"/>
          </w:tcPr>
          <w:p w14:paraId="3FAE5697" w14:textId="58A32B56"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342.440.000</w:t>
            </w:r>
          </w:p>
        </w:tc>
        <w:tc>
          <w:tcPr>
            <w:tcW w:w="833" w:type="pct"/>
            <w:shd w:val="clear" w:color="auto" w:fill="auto"/>
            <w:vAlign w:val="center"/>
          </w:tcPr>
          <w:p w14:paraId="1E3CBB52" w14:textId="6A89D555"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382.953.000</w:t>
            </w:r>
          </w:p>
        </w:tc>
        <w:tc>
          <w:tcPr>
            <w:tcW w:w="833" w:type="pct"/>
            <w:shd w:val="clear" w:color="auto" w:fill="auto"/>
            <w:vAlign w:val="center"/>
          </w:tcPr>
          <w:p w14:paraId="1AEAF1D0" w14:textId="156A45E9"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171.220.000</w:t>
            </w:r>
          </w:p>
        </w:tc>
        <w:tc>
          <w:tcPr>
            <w:tcW w:w="833" w:type="pct"/>
            <w:shd w:val="clear" w:color="auto" w:fill="auto"/>
            <w:vAlign w:val="center"/>
          </w:tcPr>
          <w:p w14:paraId="424B74CE" w14:textId="5154DA57"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468.563.000</w:t>
            </w:r>
          </w:p>
        </w:tc>
        <w:tc>
          <w:tcPr>
            <w:tcW w:w="833" w:type="pct"/>
            <w:shd w:val="clear" w:color="auto" w:fill="auto"/>
            <w:vAlign w:val="center"/>
          </w:tcPr>
          <w:p w14:paraId="63CCDE2C" w14:textId="746929D2"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599.270.000</w:t>
            </w:r>
          </w:p>
        </w:tc>
      </w:tr>
      <w:tr w:rsidR="002D6FBC" w:rsidRPr="006B671F" w14:paraId="1E7A792F" w14:textId="77777777" w:rsidTr="00E7125B">
        <w:trPr>
          <w:trHeight w:val="345"/>
          <w:jc w:val="center"/>
        </w:trPr>
        <w:tc>
          <w:tcPr>
            <w:tcW w:w="833" w:type="pct"/>
            <w:shd w:val="clear" w:color="auto" w:fill="auto"/>
            <w:noWrap/>
            <w:vAlign w:val="center"/>
            <w:hideMark/>
          </w:tcPr>
          <w:p w14:paraId="142CCF86" w14:textId="77777777" w:rsidR="002D6FBC" w:rsidRPr="006B671F" w:rsidRDefault="002D6FBC"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7</w:t>
            </w:r>
          </w:p>
        </w:tc>
        <w:tc>
          <w:tcPr>
            <w:tcW w:w="833" w:type="pct"/>
            <w:shd w:val="clear" w:color="auto" w:fill="auto"/>
            <w:vAlign w:val="center"/>
          </w:tcPr>
          <w:p w14:paraId="1621F70A" w14:textId="3413065A"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22.301.844.710</w:t>
            </w:r>
          </w:p>
        </w:tc>
        <w:tc>
          <w:tcPr>
            <w:tcW w:w="833" w:type="pct"/>
            <w:shd w:val="clear" w:color="auto" w:fill="auto"/>
            <w:vAlign w:val="center"/>
          </w:tcPr>
          <w:p w14:paraId="300EE651" w14:textId="4100250B"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35.784.245.498</w:t>
            </w:r>
          </w:p>
        </w:tc>
        <w:tc>
          <w:tcPr>
            <w:tcW w:w="833" w:type="pct"/>
            <w:shd w:val="clear" w:color="auto" w:fill="auto"/>
            <w:vAlign w:val="center"/>
          </w:tcPr>
          <w:p w14:paraId="46A6874B" w14:textId="55BBF349"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28.467.378.492</w:t>
            </w:r>
          </w:p>
        </w:tc>
        <w:tc>
          <w:tcPr>
            <w:tcW w:w="833" w:type="pct"/>
            <w:shd w:val="clear" w:color="auto" w:fill="auto"/>
            <w:vAlign w:val="center"/>
          </w:tcPr>
          <w:p w14:paraId="7DA1283A" w14:textId="5A046FFB"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23.589.865.692</w:t>
            </w:r>
          </w:p>
        </w:tc>
        <w:tc>
          <w:tcPr>
            <w:tcW w:w="833" w:type="pct"/>
            <w:shd w:val="clear" w:color="auto" w:fill="auto"/>
            <w:vAlign w:val="center"/>
          </w:tcPr>
          <w:p w14:paraId="2A912D10" w14:textId="41975607"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11.391.437.092</w:t>
            </w:r>
          </w:p>
        </w:tc>
      </w:tr>
      <w:tr w:rsidR="002D6FBC" w:rsidRPr="006B671F" w14:paraId="5A5384D5" w14:textId="77777777" w:rsidTr="00E7125B">
        <w:trPr>
          <w:trHeight w:val="345"/>
          <w:jc w:val="center"/>
        </w:trPr>
        <w:tc>
          <w:tcPr>
            <w:tcW w:w="833" w:type="pct"/>
            <w:shd w:val="clear" w:color="auto" w:fill="auto"/>
            <w:noWrap/>
            <w:vAlign w:val="center"/>
            <w:hideMark/>
          </w:tcPr>
          <w:p w14:paraId="5B87C6A8" w14:textId="77777777" w:rsidR="002D6FBC" w:rsidRPr="006B671F" w:rsidRDefault="002D6FBC"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8</w:t>
            </w:r>
          </w:p>
        </w:tc>
        <w:tc>
          <w:tcPr>
            <w:tcW w:w="833" w:type="pct"/>
            <w:shd w:val="clear" w:color="auto" w:fill="auto"/>
            <w:vAlign w:val="center"/>
          </w:tcPr>
          <w:p w14:paraId="02DCF8EC" w14:textId="64F585C1"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4.843.084.960</w:t>
            </w:r>
          </w:p>
        </w:tc>
        <w:tc>
          <w:tcPr>
            <w:tcW w:w="833" w:type="pct"/>
            <w:shd w:val="clear" w:color="auto" w:fill="auto"/>
            <w:vAlign w:val="center"/>
          </w:tcPr>
          <w:p w14:paraId="724619B2" w14:textId="702219D8"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2.754.647.690</w:t>
            </w:r>
          </w:p>
        </w:tc>
        <w:tc>
          <w:tcPr>
            <w:tcW w:w="833" w:type="pct"/>
            <w:shd w:val="clear" w:color="auto" w:fill="auto"/>
            <w:vAlign w:val="center"/>
          </w:tcPr>
          <w:p w14:paraId="0654C911" w14:textId="129CF895"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2.594.028.710</w:t>
            </w:r>
          </w:p>
        </w:tc>
        <w:tc>
          <w:tcPr>
            <w:tcW w:w="833" w:type="pct"/>
            <w:shd w:val="clear" w:color="auto" w:fill="auto"/>
            <w:vAlign w:val="center"/>
          </w:tcPr>
          <w:p w14:paraId="7DB23DE8" w14:textId="3388E01C"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4.076.793.130</w:t>
            </w:r>
          </w:p>
        </w:tc>
        <w:tc>
          <w:tcPr>
            <w:tcW w:w="833" w:type="pct"/>
            <w:shd w:val="clear" w:color="auto" w:fill="auto"/>
            <w:vAlign w:val="center"/>
          </w:tcPr>
          <w:p w14:paraId="39FDD7FB" w14:textId="19C4F8F3"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2.077.936.560</w:t>
            </w:r>
          </w:p>
        </w:tc>
      </w:tr>
      <w:tr w:rsidR="002D6FBC" w:rsidRPr="006B671F" w14:paraId="6B141F6E" w14:textId="77777777" w:rsidTr="00E7125B">
        <w:trPr>
          <w:trHeight w:val="345"/>
          <w:jc w:val="center"/>
        </w:trPr>
        <w:tc>
          <w:tcPr>
            <w:tcW w:w="833" w:type="pct"/>
            <w:shd w:val="clear" w:color="auto" w:fill="auto"/>
            <w:noWrap/>
            <w:vAlign w:val="center"/>
            <w:hideMark/>
          </w:tcPr>
          <w:p w14:paraId="511BD89D" w14:textId="77777777" w:rsidR="002D6FBC" w:rsidRPr="006B671F" w:rsidRDefault="002D6FBC"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9</w:t>
            </w:r>
          </w:p>
        </w:tc>
        <w:tc>
          <w:tcPr>
            <w:tcW w:w="833" w:type="pct"/>
            <w:shd w:val="clear" w:color="auto" w:fill="auto"/>
            <w:vAlign w:val="center"/>
          </w:tcPr>
          <w:p w14:paraId="3451D4D4" w14:textId="757E19BD"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9.133.510.000</w:t>
            </w:r>
          </w:p>
        </w:tc>
        <w:tc>
          <w:tcPr>
            <w:tcW w:w="833" w:type="pct"/>
            <w:shd w:val="clear" w:color="auto" w:fill="auto"/>
            <w:vAlign w:val="center"/>
          </w:tcPr>
          <w:p w14:paraId="425EA208" w14:textId="19AB4848"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8.355.823.000</w:t>
            </w:r>
          </w:p>
        </w:tc>
        <w:tc>
          <w:tcPr>
            <w:tcW w:w="833" w:type="pct"/>
            <w:shd w:val="clear" w:color="auto" w:fill="auto"/>
            <w:vAlign w:val="center"/>
          </w:tcPr>
          <w:p w14:paraId="437ADEA7" w14:textId="432CBD09"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8.686.615.000</w:t>
            </w:r>
          </w:p>
        </w:tc>
        <w:tc>
          <w:tcPr>
            <w:tcW w:w="833" w:type="pct"/>
            <w:shd w:val="clear" w:color="auto" w:fill="auto"/>
            <w:vAlign w:val="center"/>
          </w:tcPr>
          <w:p w14:paraId="5BBC8D06" w14:textId="529A79AC"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8.458.350.000</w:t>
            </w:r>
          </w:p>
        </w:tc>
        <w:tc>
          <w:tcPr>
            <w:tcW w:w="833" w:type="pct"/>
            <w:shd w:val="clear" w:color="auto" w:fill="auto"/>
            <w:vAlign w:val="center"/>
          </w:tcPr>
          <w:p w14:paraId="6B7B0FA5" w14:textId="625F98BC"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8.433.186.000</w:t>
            </w:r>
          </w:p>
        </w:tc>
      </w:tr>
      <w:tr w:rsidR="002D6FBC" w:rsidRPr="006B671F" w14:paraId="02D8C9CB" w14:textId="77777777" w:rsidTr="00E7125B">
        <w:trPr>
          <w:trHeight w:val="345"/>
          <w:jc w:val="center"/>
        </w:trPr>
        <w:tc>
          <w:tcPr>
            <w:tcW w:w="833" w:type="pct"/>
            <w:shd w:val="clear" w:color="auto" w:fill="auto"/>
            <w:noWrap/>
            <w:vAlign w:val="center"/>
            <w:hideMark/>
          </w:tcPr>
          <w:p w14:paraId="7E06ADC7" w14:textId="77777777" w:rsidR="002D6FBC" w:rsidRPr="006B671F" w:rsidRDefault="002D6FBC"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10</w:t>
            </w:r>
          </w:p>
        </w:tc>
        <w:tc>
          <w:tcPr>
            <w:tcW w:w="833" w:type="pct"/>
            <w:shd w:val="clear" w:color="auto" w:fill="auto"/>
            <w:vAlign w:val="center"/>
          </w:tcPr>
          <w:p w14:paraId="61459E02" w14:textId="4BA46E09"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680.723.000</w:t>
            </w:r>
          </w:p>
        </w:tc>
        <w:tc>
          <w:tcPr>
            <w:tcW w:w="833" w:type="pct"/>
            <w:shd w:val="clear" w:color="auto" w:fill="auto"/>
            <w:vAlign w:val="center"/>
          </w:tcPr>
          <w:p w14:paraId="46CB9029" w14:textId="68D3898B"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786.884.000</w:t>
            </w:r>
          </w:p>
        </w:tc>
        <w:tc>
          <w:tcPr>
            <w:tcW w:w="833" w:type="pct"/>
            <w:shd w:val="clear" w:color="auto" w:fill="auto"/>
            <w:vAlign w:val="center"/>
          </w:tcPr>
          <w:p w14:paraId="0A666225" w14:textId="2D19BA38"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894.104.000</w:t>
            </w:r>
          </w:p>
        </w:tc>
        <w:tc>
          <w:tcPr>
            <w:tcW w:w="833" w:type="pct"/>
            <w:shd w:val="clear" w:color="auto" w:fill="auto"/>
            <w:vAlign w:val="center"/>
          </w:tcPr>
          <w:p w14:paraId="14CFD27A" w14:textId="432BD349"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733.615.667</w:t>
            </w:r>
          </w:p>
        </w:tc>
        <w:tc>
          <w:tcPr>
            <w:tcW w:w="833" w:type="pct"/>
            <w:shd w:val="clear" w:color="auto" w:fill="auto"/>
            <w:vAlign w:val="center"/>
          </w:tcPr>
          <w:p w14:paraId="03CA4C2B" w14:textId="7FEAA817" w:rsidR="002D6FBC" w:rsidRPr="002D6FBC" w:rsidRDefault="002D6FBC" w:rsidP="00470705">
            <w:pPr>
              <w:spacing w:before="100" w:beforeAutospacing="1" w:after="100" w:afterAutospacing="1"/>
              <w:jc w:val="right"/>
              <w:rPr>
                <w:rFonts w:cs="Arial"/>
                <w:i/>
                <w:iCs/>
                <w:color w:val="343536"/>
                <w:sz w:val="18"/>
                <w:szCs w:val="20"/>
              </w:rPr>
            </w:pPr>
            <w:r w:rsidRPr="002D6FBC">
              <w:rPr>
                <w:rFonts w:cs="Arial"/>
                <w:i/>
                <w:iCs/>
                <w:color w:val="343536"/>
                <w:sz w:val="18"/>
                <w:szCs w:val="20"/>
              </w:rPr>
              <w:t>883.361.667</w:t>
            </w:r>
          </w:p>
        </w:tc>
      </w:tr>
    </w:tbl>
    <w:p w14:paraId="1F2299D3" w14:textId="77777777" w:rsidR="00992953" w:rsidRPr="006B671F" w:rsidRDefault="00992953" w:rsidP="00470705">
      <w:pPr>
        <w:pStyle w:val="Descripcin"/>
        <w:spacing w:before="100" w:beforeAutospacing="1" w:after="100" w:afterAutospacing="1"/>
        <w:rPr>
          <w:rFonts w:cs="Arial"/>
          <w:i/>
          <w:iCs/>
          <w:sz w:val="20"/>
          <w:szCs w:val="18"/>
        </w:rPr>
      </w:pPr>
      <w:r w:rsidRPr="006B671F">
        <w:rPr>
          <w:rFonts w:cs="Arial"/>
          <w:i/>
          <w:iCs/>
          <w:sz w:val="20"/>
          <w:szCs w:val="18"/>
        </w:rPr>
        <w:t xml:space="preserve">Tabla 5 Plan de inversiones del nivel de tensión 1, pesos de diciembre de 2017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0"/>
        <w:gridCol w:w="1869"/>
        <w:gridCol w:w="1869"/>
        <w:gridCol w:w="1869"/>
        <w:gridCol w:w="1869"/>
      </w:tblGrid>
      <w:tr w:rsidR="00992953" w:rsidRPr="006B671F" w14:paraId="20B4A9FA" w14:textId="77777777" w:rsidTr="00E7125B">
        <w:trPr>
          <w:trHeight w:val="555"/>
          <w:jc w:val="center"/>
        </w:trPr>
        <w:tc>
          <w:tcPr>
            <w:tcW w:w="1000" w:type="pct"/>
            <w:shd w:val="clear" w:color="000000" w:fill="FFFFFF"/>
            <w:vAlign w:val="center"/>
            <w:hideMark/>
          </w:tcPr>
          <w:p w14:paraId="0D73F79E"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Categoría de activos l</w:t>
            </w:r>
          </w:p>
        </w:tc>
        <w:tc>
          <w:tcPr>
            <w:tcW w:w="1000" w:type="pct"/>
            <w:shd w:val="clear" w:color="000000" w:fill="FFFFFF"/>
            <w:noWrap/>
            <w:vAlign w:val="center"/>
            <w:hideMark/>
          </w:tcPr>
          <w:p w14:paraId="34EF1236"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l,1</w:t>
            </w:r>
          </w:p>
        </w:tc>
        <w:tc>
          <w:tcPr>
            <w:tcW w:w="1000" w:type="pct"/>
            <w:shd w:val="clear" w:color="000000" w:fill="FFFFFF"/>
            <w:noWrap/>
            <w:vAlign w:val="center"/>
            <w:hideMark/>
          </w:tcPr>
          <w:p w14:paraId="529A62BB"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l,2</w:t>
            </w:r>
          </w:p>
        </w:tc>
        <w:tc>
          <w:tcPr>
            <w:tcW w:w="1000" w:type="pct"/>
            <w:shd w:val="clear" w:color="000000" w:fill="FFFFFF"/>
            <w:noWrap/>
            <w:vAlign w:val="center"/>
            <w:hideMark/>
          </w:tcPr>
          <w:p w14:paraId="07CA73DB"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l,3</w:t>
            </w:r>
          </w:p>
        </w:tc>
        <w:tc>
          <w:tcPr>
            <w:tcW w:w="1000" w:type="pct"/>
            <w:shd w:val="clear" w:color="000000" w:fill="FFFFFF"/>
            <w:noWrap/>
            <w:vAlign w:val="center"/>
            <w:hideMark/>
          </w:tcPr>
          <w:p w14:paraId="7CCB5CD1"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l,4</w:t>
            </w:r>
          </w:p>
        </w:tc>
      </w:tr>
      <w:tr w:rsidR="00C07ACD" w:rsidRPr="006B671F" w14:paraId="071805BC" w14:textId="77777777" w:rsidTr="00E7125B">
        <w:trPr>
          <w:trHeight w:val="345"/>
          <w:jc w:val="center"/>
        </w:trPr>
        <w:tc>
          <w:tcPr>
            <w:tcW w:w="1000" w:type="pct"/>
            <w:shd w:val="clear" w:color="000000" w:fill="FFFFFF"/>
            <w:noWrap/>
            <w:vAlign w:val="center"/>
            <w:hideMark/>
          </w:tcPr>
          <w:p w14:paraId="4DE98C99" w14:textId="77777777" w:rsidR="00C07ACD" w:rsidRPr="006B671F" w:rsidRDefault="00C07ACD"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11</w:t>
            </w:r>
          </w:p>
        </w:tc>
        <w:tc>
          <w:tcPr>
            <w:tcW w:w="1000" w:type="pct"/>
            <w:shd w:val="clear" w:color="auto" w:fill="auto"/>
            <w:vAlign w:val="center"/>
          </w:tcPr>
          <w:p w14:paraId="13C3ACF1" w14:textId="76FE4503" w:rsidR="00C07ACD" w:rsidRPr="008C4BA9" w:rsidRDefault="00C07ACD"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15.540.030.000</w:t>
            </w:r>
          </w:p>
        </w:tc>
        <w:tc>
          <w:tcPr>
            <w:tcW w:w="1000" w:type="pct"/>
            <w:shd w:val="clear" w:color="auto" w:fill="auto"/>
            <w:vAlign w:val="center"/>
          </w:tcPr>
          <w:p w14:paraId="54CE477B" w14:textId="0B803297" w:rsidR="00C07ACD" w:rsidRPr="008C4BA9" w:rsidRDefault="00C07ACD"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13.212.499.000</w:t>
            </w:r>
          </w:p>
        </w:tc>
        <w:tc>
          <w:tcPr>
            <w:tcW w:w="1000" w:type="pct"/>
            <w:shd w:val="clear" w:color="auto" w:fill="auto"/>
            <w:vAlign w:val="center"/>
          </w:tcPr>
          <w:p w14:paraId="089920CA" w14:textId="2E408857" w:rsidR="00C07ACD" w:rsidRPr="008C4BA9" w:rsidRDefault="00C07ACD"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12.969.416.000</w:t>
            </w:r>
          </w:p>
        </w:tc>
        <w:tc>
          <w:tcPr>
            <w:tcW w:w="1000" w:type="pct"/>
            <w:shd w:val="clear" w:color="auto" w:fill="auto"/>
            <w:vAlign w:val="center"/>
          </w:tcPr>
          <w:p w14:paraId="758B9675" w14:textId="34FA2C3D" w:rsidR="00C07ACD" w:rsidRPr="008C4BA9" w:rsidRDefault="00C07ACD"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10.352.931.000</w:t>
            </w:r>
          </w:p>
        </w:tc>
      </w:tr>
      <w:tr w:rsidR="00C07ACD" w:rsidRPr="006B671F" w14:paraId="6B6683CD" w14:textId="77777777" w:rsidTr="00E7125B">
        <w:trPr>
          <w:trHeight w:val="345"/>
          <w:jc w:val="center"/>
        </w:trPr>
        <w:tc>
          <w:tcPr>
            <w:tcW w:w="1000" w:type="pct"/>
            <w:shd w:val="clear" w:color="000000" w:fill="FFFFFF"/>
            <w:noWrap/>
            <w:vAlign w:val="center"/>
            <w:hideMark/>
          </w:tcPr>
          <w:p w14:paraId="3FA0C142" w14:textId="77777777" w:rsidR="00C07ACD" w:rsidRPr="006B671F" w:rsidRDefault="00C07ACD"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12</w:t>
            </w:r>
          </w:p>
        </w:tc>
        <w:tc>
          <w:tcPr>
            <w:tcW w:w="1000" w:type="pct"/>
            <w:shd w:val="clear" w:color="auto" w:fill="auto"/>
            <w:vAlign w:val="center"/>
          </w:tcPr>
          <w:p w14:paraId="1522D127" w14:textId="52CF38E1" w:rsidR="00C07ACD" w:rsidRPr="008C4BA9" w:rsidRDefault="00C07ACD"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30.251.036.815</w:t>
            </w:r>
          </w:p>
        </w:tc>
        <w:tc>
          <w:tcPr>
            <w:tcW w:w="1000" w:type="pct"/>
            <w:shd w:val="clear" w:color="auto" w:fill="auto"/>
            <w:vAlign w:val="center"/>
          </w:tcPr>
          <w:p w14:paraId="73BE8647" w14:textId="311F7C17" w:rsidR="00C07ACD" w:rsidRPr="008C4BA9" w:rsidRDefault="00C07ACD"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19.561.821.102</w:t>
            </w:r>
          </w:p>
        </w:tc>
        <w:tc>
          <w:tcPr>
            <w:tcW w:w="1000" w:type="pct"/>
            <w:shd w:val="clear" w:color="auto" w:fill="auto"/>
            <w:vAlign w:val="center"/>
          </w:tcPr>
          <w:p w14:paraId="6F324C13" w14:textId="2C89EA7F" w:rsidR="00C07ACD" w:rsidRPr="008C4BA9" w:rsidRDefault="00C07ACD"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14.190.586.111</w:t>
            </w:r>
          </w:p>
        </w:tc>
        <w:tc>
          <w:tcPr>
            <w:tcW w:w="1000" w:type="pct"/>
            <w:shd w:val="clear" w:color="auto" w:fill="auto"/>
            <w:vAlign w:val="center"/>
          </w:tcPr>
          <w:p w14:paraId="779D5F86" w14:textId="0FF00E3D" w:rsidR="00C07ACD" w:rsidRPr="008C4BA9" w:rsidRDefault="00C07ACD"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17.311.801.170</w:t>
            </w:r>
          </w:p>
        </w:tc>
      </w:tr>
    </w:tbl>
    <w:p w14:paraId="56DB2D82" w14:textId="77777777" w:rsidR="00992953" w:rsidRPr="006B671F" w:rsidRDefault="00992953" w:rsidP="00470705">
      <w:pPr>
        <w:spacing w:before="100" w:beforeAutospacing="1" w:after="100" w:afterAutospacing="1"/>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1559"/>
        <w:gridCol w:w="1559"/>
        <w:gridCol w:w="1559"/>
        <w:gridCol w:w="1557"/>
        <w:gridCol w:w="1553"/>
      </w:tblGrid>
      <w:tr w:rsidR="00992953" w:rsidRPr="006B671F" w14:paraId="7A2FB4C2" w14:textId="77777777" w:rsidTr="00DE2B95">
        <w:trPr>
          <w:trHeight w:val="618"/>
          <w:jc w:val="center"/>
        </w:trPr>
        <w:tc>
          <w:tcPr>
            <w:tcW w:w="834" w:type="pct"/>
            <w:shd w:val="clear" w:color="auto" w:fill="auto"/>
            <w:vAlign w:val="center"/>
            <w:hideMark/>
          </w:tcPr>
          <w:p w14:paraId="316DAC91"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Categoría de activos l</w:t>
            </w:r>
          </w:p>
        </w:tc>
        <w:tc>
          <w:tcPr>
            <w:tcW w:w="834" w:type="pct"/>
            <w:shd w:val="clear" w:color="auto" w:fill="auto"/>
            <w:noWrap/>
            <w:vAlign w:val="center"/>
            <w:hideMark/>
          </w:tcPr>
          <w:p w14:paraId="5782166F"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l,5</w:t>
            </w:r>
          </w:p>
        </w:tc>
        <w:tc>
          <w:tcPr>
            <w:tcW w:w="834" w:type="pct"/>
            <w:shd w:val="clear" w:color="auto" w:fill="auto"/>
            <w:noWrap/>
            <w:vAlign w:val="center"/>
            <w:hideMark/>
          </w:tcPr>
          <w:p w14:paraId="34A37F69"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l,6</w:t>
            </w:r>
          </w:p>
        </w:tc>
        <w:tc>
          <w:tcPr>
            <w:tcW w:w="834" w:type="pct"/>
            <w:shd w:val="clear" w:color="auto" w:fill="auto"/>
            <w:noWrap/>
            <w:vAlign w:val="center"/>
            <w:hideMark/>
          </w:tcPr>
          <w:p w14:paraId="7F5BA5E0"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l,7</w:t>
            </w:r>
          </w:p>
        </w:tc>
        <w:tc>
          <w:tcPr>
            <w:tcW w:w="833" w:type="pct"/>
            <w:shd w:val="clear" w:color="auto" w:fill="auto"/>
            <w:noWrap/>
            <w:vAlign w:val="center"/>
            <w:hideMark/>
          </w:tcPr>
          <w:p w14:paraId="79F76E32"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l,8</w:t>
            </w:r>
          </w:p>
        </w:tc>
        <w:tc>
          <w:tcPr>
            <w:tcW w:w="833" w:type="pct"/>
            <w:shd w:val="clear" w:color="auto" w:fill="auto"/>
            <w:noWrap/>
            <w:vAlign w:val="center"/>
            <w:hideMark/>
          </w:tcPr>
          <w:p w14:paraId="244B5CB1" w14:textId="77777777" w:rsidR="00992953" w:rsidRPr="006B671F" w:rsidRDefault="00992953" w:rsidP="00470705">
            <w:pPr>
              <w:spacing w:before="100" w:beforeAutospacing="1" w:after="100" w:afterAutospacing="1"/>
              <w:jc w:val="center"/>
              <w:rPr>
                <w:rFonts w:cs="Arial"/>
                <w:b/>
                <w:bCs/>
                <w:i/>
                <w:iCs/>
                <w:color w:val="000000"/>
                <w:sz w:val="20"/>
                <w:szCs w:val="20"/>
                <w:lang w:eastAsia="es-CO"/>
              </w:rPr>
            </w:pPr>
            <w:r w:rsidRPr="006B671F">
              <w:rPr>
                <w:rFonts w:cs="Arial"/>
                <w:b/>
                <w:bCs/>
                <w:i/>
                <w:iCs/>
                <w:color w:val="000000"/>
                <w:sz w:val="20"/>
                <w:szCs w:val="20"/>
                <w:lang w:eastAsia="es-CO"/>
              </w:rPr>
              <w:t>INVA</w:t>
            </w:r>
            <w:r w:rsidRPr="006B671F">
              <w:rPr>
                <w:rFonts w:cs="Arial"/>
                <w:b/>
                <w:bCs/>
                <w:i/>
                <w:iCs/>
                <w:color w:val="000000"/>
                <w:sz w:val="20"/>
                <w:szCs w:val="20"/>
                <w:vertAlign w:val="subscript"/>
                <w:lang w:eastAsia="es-CO"/>
              </w:rPr>
              <w:t>j,1, l,9</w:t>
            </w:r>
          </w:p>
        </w:tc>
      </w:tr>
      <w:tr w:rsidR="008C4BA9" w:rsidRPr="006B671F" w14:paraId="79D3380D" w14:textId="77777777" w:rsidTr="00DE2B95">
        <w:trPr>
          <w:trHeight w:val="384"/>
          <w:jc w:val="center"/>
        </w:trPr>
        <w:tc>
          <w:tcPr>
            <w:tcW w:w="834" w:type="pct"/>
            <w:shd w:val="clear" w:color="auto" w:fill="auto"/>
            <w:noWrap/>
            <w:vAlign w:val="center"/>
            <w:hideMark/>
          </w:tcPr>
          <w:p w14:paraId="13367B1A" w14:textId="77777777" w:rsidR="008C4BA9" w:rsidRPr="006B671F" w:rsidRDefault="008C4BA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11</w:t>
            </w:r>
          </w:p>
        </w:tc>
        <w:tc>
          <w:tcPr>
            <w:tcW w:w="834" w:type="pct"/>
            <w:shd w:val="clear" w:color="auto" w:fill="auto"/>
            <w:vAlign w:val="center"/>
          </w:tcPr>
          <w:p w14:paraId="2C1D5B67" w14:textId="30D4CA27" w:rsidR="008C4BA9" w:rsidRPr="008C4BA9" w:rsidRDefault="008C4BA9"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10.698.439.000</w:t>
            </w:r>
          </w:p>
        </w:tc>
        <w:tc>
          <w:tcPr>
            <w:tcW w:w="834" w:type="pct"/>
            <w:shd w:val="clear" w:color="auto" w:fill="auto"/>
            <w:vAlign w:val="center"/>
          </w:tcPr>
          <w:p w14:paraId="7D4858C7" w14:textId="5CB20B52" w:rsidR="008C4BA9" w:rsidRPr="008C4BA9" w:rsidRDefault="008C4BA9"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8.942.801.000</w:t>
            </w:r>
          </w:p>
        </w:tc>
        <w:tc>
          <w:tcPr>
            <w:tcW w:w="834" w:type="pct"/>
            <w:shd w:val="clear" w:color="auto" w:fill="auto"/>
            <w:vAlign w:val="center"/>
          </w:tcPr>
          <w:p w14:paraId="5B82CCBE" w14:textId="1FB27185" w:rsidR="008C4BA9" w:rsidRPr="008C4BA9" w:rsidRDefault="008C4BA9"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9.946.278.000</w:t>
            </w:r>
          </w:p>
        </w:tc>
        <w:tc>
          <w:tcPr>
            <w:tcW w:w="833" w:type="pct"/>
            <w:shd w:val="clear" w:color="auto" w:fill="auto"/>
            <w:vAlign w:val="center"/>
          </w:tcPr>
          <w:p w14:paraId="43F57801" w14:textId="42643A84" w:rsidR="008C4BA9" w:rsidRPr="008C4BA9" w:rsidRDefault="008C4BA9"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9.228.587.000</w:t>
            </w:r>
          </w:p>
        </w:tc>
        <w:tc>
          <w:tcPr>
            <w:tcW w:w="833" w:type="pct"/>
            <w:shd w:val="clear" w:color="auto" w:fill="auto"/>
            <w:vAlign w:val="center"/>
          </w:tcPr>
          <w:p w14:paraId="3B09962E" w14:textId="31D716C9" w:rsidR="008C4BA9" w:rsidRPr="008C4BA9" w:rsidRDefault="008C4BA9"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9.397.862.000</w:t>
            </w:r>
          </w:p>
        </w:tc>
      </w:tr>
      <w:tr w:rsidR="008C4BA9" w:rsidRPr="006B671F" w14:paraId="4ADCF029" w14:textId="77777777" w:rsidTr="00DE2B95">
        <w:trPr>
          <w:trHeight w:val="384"/>
          <w:jc w:val="center"/>
        </w:trPr>
        <w:tc>
          <w:tcPr>
            <w:tcW w:w="834" w:type="pct"/>
            <w:shd w:val="clear" w:color="auto" w:fill="auto"/>
            <w:noWrap/>
            <w:vAlign w:val="center"/>
            <w:hideMark/>
          </w:tcPr>
          <w:p w14:paraId="371A46A8" w14:textId="77777777" w:rsidR="008C4BA9" w:rsidRPr="006B671F" w:rsidRDefault="008C4BA9" w:rsidP="00470705">
            <w:pPr>
              <w:spacing w:before="100" w:beforeAutospacing="1" w:after="100" w:afterAutospacing="1"/>
              <w:jc w:val="center"/>
              <w:rPr>
                <w:rFonts w:cs="Arial"/>
                <w:i/>
                <w:iCs/>
                <w:color w:val="000000"/>
                <w:sz w:val="20"/>
                <w:szCs w:val="20"/>
                <w:lang w:eastAsia="es-CO"/>
              </w:rPr>
            </w:pPr>
            <w:r w:rsidRPr="006B671F">
              <w:rPr>
                <w:rFonts w:cs="Arial"/>
                <w:i/>
                <w:iCs/>
                <w:color w:val="000000"/>
                <w:sz w:val="20"/>
                <w:szCs w:val="20"/>
                <w:lang w:eastAsia="es-CO"/>
              </w:rPr>
              <w:t>l = 12</w:t>
            </w:r>
          </w:p>
        </w:tc>
        <w:tc>
          <w:tcPr>
            <w:tcW w:w="834" w:type="pct"/>
            <w:shd w:val="clear" w:color="auto" w:fill="auto"/>
            <w:vAlign w:val="center"/>
          </w:tcPr>
          <w:p w14:paraId="06155F4B" w14:textId="2D5CD9C6" w:rsidR="008C4BA9" w:rsidRPr="008C4BA9" w:rsidRDefault="008C4BA9"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17.137.162.236</w:t>
            </w:r>
          </w:p>
        </w:tc>
        <w:tc>
          <w:tcPr>
            <w:tcW w:w="834" w:type="pct"/>
            <w:shd w:val="clear" w:color="auto" w:fill="auto"/>
            <w:vAlign w:val="center"/>
          </w:tcPr>
          <w:p w14:paraId="7CF585ED" w14:textId="588D5F39" w:rsidR="008C4BA9" w:rsidRPr="008C4BA9" w:rsidRDefault="008C4BA9"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2.294.250.199</w:t>
            </w:r>
          </w:p>
        </w:tc>
        <w:tc>
          <w:tcPr>
            <w:tcW w:w="834" w:type="pct"/>
            <w:shd w:val="clear" w:color="auto" w:fill="auto"/>
            <w:vAlign w:val="center"/>
          </w:tcPr>
          <w:p w14:paraId="721FD273" w14:textId="6751A6FA" w:rsidR="008C4BA9" w:rsidRPr="008C4BA9" w:rsidRDefault="008C4BA9"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2.555.151.549</w:t>
            </w:r>
          </w:p>
        </w:tc>
        <w:tc>
          <w:tcPr>
            <w:tcW w:w="833" w:type="pct"/>
            <w:shd w:val="clear" w:color="auto" w:fill="auto"/>
            <w:vAlign w:val="center"/>
          </w:tcPr>
          <w:p w14:paraId="49D981A2" w14:textId="36553B4A" w:rsidR="008C4BA9" w:rsidRPr="008C4BA9" w:rsidRDefault="008C4BA9"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8.477.277.667</w:t>
            </w:r>
          </w:p>
        </w:tc>
        <w:tc>
          <w:tcPr>
            <w:tcW w:w="833" w:type="pct"/>
            <w:shd w:val="clear" w:color="auto" w:fill="auto"/>
            <w:vAlign w:val="center"/>
          </w:tcPr>
          <w:p w14:paraId="384F076F" w14:textId="1A4895A4" w:rsidR="008C4BA9" w:rsidRPr="008C4BA9" w:rsidRDefault="008C4BA9" w:rsidP="00470705">
            <w:pPr>
              <w:spacing w:before="100" w:beforeAutospacing="1" w:after="100" w:afterAutospacing="1"/>
              <w:jc w:val="right"/>
              <w:rPr>
                <w:rFonts w:cs="Arial"/>
                <w:i/>
                <w:iCs/>
                <w:color w:val="343536"/>
                <w:sz w:val="18"/>
                <w:szCs w:val="20"/>
              </w:rPr>
            </w:pPr>
            <w:r w:rsidRPr="008C4BA9">
              <w:rPr>
                <w:rFonts w:cs="Arial"/>
                <w:i/>
                <w:iCs/>
                <w:color w:val="343536"/>
                <w:sz w:val="18"/>
                <w:szCs w:val="20"/>
              </w:rPr>
              <w:t>18.671.213.981</w:t>
            </w:r>
          </w:p>
        </w:tc>
      </w:tr>
    </w:tbl>
    <w:p w14:paraId="56DD0E64" w14:textId="71FB15B7" w:rsidR="00793FA6" w:rsidRPr="006B671F" w:rsidRDefault="00DE2B95" w:rsidP="004417F9">
      <w:pPr>
        <w:pStyle w:val="Artculo"/>
        <w:numPr>
          <w:ilvl w:val="0"/>
          <w:numId w:val="0"/>
        </w:numPr>
        <w:spacing w:before="100" w:beforeAutospacing="1" w:after="100" w:afterAutospacing="1"/>
        <w:rPr>
          <w:b w:val="0"/>
        </w:rPr>
      </w:pPr>
      <w:r w:rsidRPr="00556903">
        <w:rPr>
          <w:bCs/>
        </w:rPr>
        <w:t xml:space="preserve">Artículo </w:t>
      </w:r>
      <w:r>
        <w:rPr>
          <w:bCs/>
        </w:rPr>
        <w:t>3</w:t>
      </w:r>
      <w:r w:rsidRPr="00556903">
        <w:rPr>
          <w:bCs/>
        </w:rPr>
        <w:t xml:space="preserve">. </w:t>
      </w:r>
      <w:r w:rsidR="00F91043" w:rsidRPr="006B671F">
        <w:rPr>
          <w:b w:val="0"/>
        </w:rPr>
        <w:t xml:space="preserve">La presente Resolución deberá notificarse a </w:t>
      </w:r>
      <w:r w:rsidR="008C4BA9">
        <w:rPr>
          <w:b w:val="0"/>
        </w:rPr>
        <w:t>CELSIA COLOMBIA</w:t>
      </w:r>
      <w:r w:rsidR="00A1450F" w:rsidRPr="006B671F">
        <w:rPr>
          <w:b w:val="0"/>
        </w:rPr>
        <w:t xml:space="preserve"> S.A. E.S.P.</w:t>
      </w:r>
      <w:r w:rsidR="005A55B0" w:rsidRPr="006B671F">
        <w:rPr>
          <w:b w:val="0"/>
        </w:rPr>
        <w:t xml:space="preserve"> </w:t>
      </w:r>
      <w:r w:rsidR="00F91043" w:rsidRPr="006B671F">
        <w:rPr>
          <w:b w:val="0"/>
        </w:rPr>
        <w:t xml:space="preserve">y publicarse en el </w:t>
      </w:r>
      <w:r w:rsidR="00F91043" w:rsidRPr="006B671F">
        <w:rPr>
          <w:b w:val="0"/>
          <w:i/>
        </w:rPr>
        <w:t>Diario Oficial</w:t>
      </w:r>
      <w:r w:rsidR="00F91043" w:rsidRPr="006B671F">
        <w:rPr>
          <w:b w:val="0"/>
        </w:rPr>
        <w:t xml:space="preserve">. </w:t>
      </w:r>
      <w:r w:rsidR="00DB77DF" w:rsidRPr="006B671F">
        <w:rPr>
          <w:b w:val="0"/>
        </w:rPr>
        <w:t>Contra lo dispuesto en este acto</w:t>
      </w:r>
      <w:r>
        <w:rPr>
          <w:b w:val="0"/>
        </w:rPr>
        <w:t xml:space="preserve"> administrativo</w:t>
      </w:r>
      <w:r w:rsidR="00DB77DF" w:rsidRPr="006B671F">
        <w:rPr>
          <w:b w:val="0"/>
        </w:rPr>
        <w:t xml:space="preserve"> no procede </w:t>
      </w:r>
      <w:r w:rsidR="00DB77DF" w:rsidRPr="006B671F">
        <w:rPr>
          <w:b w:val="0"/>
          <w:bCs/>
        </w:rPr>
        <w:t>recurso alguno, toda vez que se entienden agotados todos los recursos que por ley son obligatorios.</w:t>
      </w:r>
    </w:p>
    <w:p w14:paraId="509827C2" w14:textId="5B504651" w:rsidR="001067D3" w:rsidRPr="006B671F" w:rsidRDefault="00585CF8" w:rsidP="00470705">
      <w:pPr>
        <w:pStyle w:val="Artculo"/>
        <w:numPr>
          <w:ilvl w:val="0"/>
          <w:numId w:val="0"/>
        </w:numPr>
        <w:spacing w:before="100" w:beforeAutospacing="1" w:after="100" w:afterAutospacing="1"/>
        <w:jc w:val="center"/>
        <w:rPr>
          <w:b w:val="0"/>
        </w:rPr>
      </w:pPr>
      <w:r w:rsidRPr="006B671F">
        <w:t>NOTIF</w:t>
      </w:r>
      <w:r w:rsidR="00157B49" w:rsidRPr="006B671F">
        <w:t>Í</w:t>
      </w:r>
      <w:r w:rsidRPr="006B671F">
        <w:t xml:space="preserve">QUESE, </w:t>
      </w:r>
      <w:r w:rsidR="001067D3" w:rsidRPr="006B671F">
        <w:t>PUBLÍQUESE Y CÚMPLASE</w:t>
      </w:r>
    </w:p>
    <w:p w14:paraId="6AA84D0C" w14:textId="43547BCC" w:rsidR="007C127E" w:rsidRDefault="003343FE" w:rsidP="00470705">
      <w:pPr>
        <w:spacing w:before="100" w:beforeAutospacing="1" w:after="100" w:afterAutospacing="1"/>
      </w:pPr>
      <w:r w:rsidRPr="00C11F0E">
        <w:t xml:space="preserve">Dado en Bogotá D.C., </w:t>
      </w:r>
      <w:r w:rsidR="00C11F0E" w:rsidRPr="00C11F0E">
        <w:t xml:space="preserve">a los </w:t>
      </w:r>
      <w:r w:rsidR="00E7125B" w:rsidRPr="00C11F0E">
        <w:t>10</w:t>
      </w:r>
      <w:r w:rsidR="00C11F0E" w:rsidRPr="00C11F0E">
        <w:t xml:space="preserve"> días del mes de </w:t>
      </w:r>
      <w:r w:rsidR="00E7125B" w:rsidRPr="00C11F0E">
        <w:t>oct</w:t>
      </w:r>
      <w:r w:rsidR="00C11F0E" w:rsidRPr="00C11F0E">
        <w:t>ubre</w:t>
      </w:r>
      <w:r w:rsidR="0063602D" w:rsidRPr="00C11F0E">
        <w:t xml:space="preserve"> 202</w:t>
      </w:r>
      <w:r w:rsidR="008B7D90" w:rsidRPr="00C11F0E">
        <w:t>4</w:t>
      </w:r>
    </w:p>
    <w:p w14:paraId="22876C78" w14:textId="77777777" w:rsidR="00DE2B95" w:rsidRPr="00C11F0E" w:rsidRDefault="00DE2B95" w:rsidP="00470705">
      <w:pPr>
        <w:spacing w:before="100" w:beforeAutospacing="1" w:after="100" w:afterAutospacing="1"/>
      </w:pPr>
    </w:p>
    <w:p w14:paraId="6E6808BD" w14:textId="4F4A5BF3" w:rsidR="0063602D" w:rsidRPr="006B671F" w:rsidRDefault="0063602D" w:rsidP="00470705">
      <w:pPr>
        <w:spacing w:before="100" w:beforeAutospacing="1" w:after="100" w:afterAutospacing="1"/>
        <w:rPr>
          <w:highlight w:val="yellow"/>
        </w:rPr>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8F048F" w:rsidRPr="004A4E53" w14:paraId="38781296" w14:textId="77777777" w:rsidTr="004417F9">
        <w:trPr>
          <w:trHeight w:val="1037"/>
          <w:jc w:val="center"/>
        </w:trPr>
        <w:tc>
          <w:tcPr>
            <w:tcW w:w="5067" w:type="dxa"/>
          </w:tcPr>
          <w:p w14:paraId="783830AA" w14:textId="77777777" w:rsidR="008F048F" w:rsidRPr="004A4E53" w:rsidRDefault="008F048F" w:rsidP="004417F9">
            <w:pPr>
              <w:tabs>
                <w:tab w:val="left" w:pos="-720"/>
              </w:tabs>
              <w:suppressAutoHyphens/>
              <w:spacing w:before="0" w:after="0"/>
              <w:jc w:val="center"/>
              <w:rPr>
                <w:rFonts w:cs="Arial"/>
                <w:b/>
                <w:spacing w:val="-3"/>
              </w:rPr>
            </w:pPr>
            <w:r w:rsidRPr="004A4E53">
              <w:rPr>
                <w:rFonts w:cs="Arial"/>
                <w:b/>
                <w:spacing w:val="-3"/>
              </w:rPr>
              <w:t>OMAR ANDRÉS CAMACHO MORALES</w:t>
            </w:r>
          </w:p>
          <w:p w14:paraId="1EAFD701" w14:textId="77777777" w:rsidR="008F048F" w:rsidRPr="004A4E53" w:rsidRDefault="008F048F" w:rsidP="004417F9">
            <w:pPr>
              <w:tabs>
                <w:tab w:val="left" w:pos="-720"/>
              </w:tabs>
              <w:suppressAutoHyphens/>
              <w:spacing w:before="0" w:after="0"/>
              <w:jc w:val="center"/>
              <w:rPr>
                <w:rFonts w:cs="Arial"/>
              </w:rPr>
            </w:pPr>
            <w:r w:rsidRPr="004A4E53">
              <w:rPr>
                <w:rFonts w:cs="Arial"/>
              </w:rPr>
              <w:t>Ministro de Minas y Energía</w:t>
            </w:r>
          </w:p>
          <w:p w14:paraId="5AD814E8" w14:textId="77777777" w:rsidR="008F048F" w:rsidRPr="004A4E53" w:rsidRDefault="008F048F" w:rsidP="004417F9">
            <w:pPr>
              <w:tabs>
                <w:tab w:val="left" w:pos="-720"/>
              </w:tabs>
              <w:suppressAutoHyphens/>
              <w:spacing w:before="0" w:after="0"/>
              <w:jc w:val="center"/>
              <w:rPr>
                <w:rFonts w:cs="Arial"/>
                <w:b/>
                <w:strike/>
                <w:spacing w:val="-3"/>
              </w:rPr>
            </w:pPr>
            <w:r w:rsidRPr="004A4E53">
              <w:rPr>
                <w:rFonts w:cs="Arial"/>
              </w:rPr>
              <w:t>Presidente</w:t>
            </w:r>
          </w:p>
        </w:tc>
        <w:tc>
          <w:tcPr>
            <w:tcW w:w="4429" w:type="dxa"/>
          </w:tcPr>
          <w:p w14:paraId="2EA6F66D" w14:textId="77777777" w:rsidR="008F048F" w:rsidRPr="004A4E53" w:rsidRDefault="008F048F" w:rsidP="004417F9">
            <w:pPr>
              <w:tabs>
                <w:tab w:val="left" w:pos="-720"/>
              </w:tabs>
              <w:suppressAutoHyphens/>
              <w:spacing w:before="0" w:after="0"/>
              <w:jc w:val="center"/>
              <w:rPr>
                <w:rFonts w:cs="Arial"/>
                <w:b/>
              </w:rPr>
            </w:pPr>
            <w:r w:rsidRPr="004A4E53">
              <w:rPr>
                <w:rFonts w:cs="Arial"/>
                <w:b/>
              </w:rPr>
              <w:t>ANTONIO JÍMENEZ RIVERA</w:t>
            </w:r>
          </w:p>
          <w:p w14:paraId="56488DE3" w14:textId="77777777" w:rsidR="008F048F" w:rsidRPr="004A4E53" w:rsidRDefault="008F048F" w:rsidP="004417F9">
            <w:pPr>
              <w:tabs>
                <w:tab w:val="left" w:pos="-720"/>
              </w:tabs>
              <w:suppressAutoHyphens/>
              <w:spacing w:before="0" w:after="0"/>
              <w:jc w:val="center"/>
              <w:rPr>
                <w:rFonts w:cs="Arial"/>
                <w:b/>
                <w:spacing w:val="-3"/>
              </w:rPr>
            </w:pPr>
            <w:r w:rsidRPr="004A4E53">
              <w:rPr>
                <w:rFonts w:cs="Arial"/>
                <w:spacing w:val="-3"/>
              </w:rPr>
              <w:t>Director Ejecutivo</w:t>
            </w:r>
          </w:p>
        </w:tc>
      </w:tr>
    </w:tbl>
    <w:p w14:paraId="72B64F98" w14:textId="77777777" w:rsidR="00630A9A" w:rsidRPr="006B671F" w:rsidRDefault="00630A9A" w:rsidP="00470705">
      <w:pPr>
        <w:spacing w:before="100" w:beforeAutospacing="1" w:after="100" w:afterAutospacing="1"/>
      </w:pPr>
    </w:p>
    <w:p w14:paraId="69B2427A" w14:textId="77777777" w:rsidR="0063602D" w:rsidRPr="006B671F" w:rsidRDefault="0063602D" w:rsidP="00470705">
      <w:pPr>
        <w:spacing w:before="100" w:beforeAutospacing="1" w:after="100" w:afterAutospacing="1"/>
      </w:pPr>
    </w:p>
    <w:p w14:paraId="48099927" w14:textId="7891EAF9" w:rsidR="00847A87" w:rsidRPr="006B671F" w:rsidRDefault="00847A87" w:rsidP="00470705">
      <w:pPr>
        <w:spacing w:before="100" w:beforeAutospacing="1" w:after="100" w:afterAutospacing="1"/>
      </w:pPr>
    </w:p>
    <w:p w14:paraId="5853A1EE" w14:textId="77777777" w:rsidR="00950BFC" w:rsidRPr="00CF2A2D" w:rsidRDefault="00950BFC" w:rsidP="00470705">
      <w:pPr>
        <w:spacing w:before="100" w:beforeAutospacing="1" w:after="100" w:afterAutospacing="1"/>
        <w:rPr>
          <w:b/>
        </w:rPr>
      </w:pPr>
    </w:p>
    <w:sectPr w:rsidR="00950BFC" w:rsidRPr="00CF2A2D" w:rsidSect="001F1310">
      <w:headerReference w:type="default" r:id="rId13"/>
      <w:headerReference w:type="first" r:id="rId14"/>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52E94" w14:textId="77777777" w:rsidR="00B658D3" w:rsidRPr="006B671F" w:rsidRDefault="00B658D3">
      <w:r w:rsidRPr="006B671F">
        <w:separator/>
      </w:r>
    </w:p>
    <w:p w14:paraId="6378A464" w14:textId="77777777" w:rsidR="00B658D3" w:rsidRPr="006B671F" w:rsidRDefault="00B658D3"/>
    <w:p w14:paraId="26477080" w14:textId="77777777" w:rsidR="00B658D3" w:rsidRPr="006B671F" w:rsidRDefault="00B658D3" w:rsidP="00C851C0"/>
  </w:endnote>
  <w:endnote w:type="continuationSeparator" w:id="0">
    <w:p w14:paraId="109A2B77" w14:textId="77777777" w:rsidR="00B658D3" w:rsidRPr="006B671F" w:rsidRDefault="00B658D3">
      <w:r w:rsidRPr="006B671F">
        <w:continuationSeparator/>
      </w:r>
    </w:p>
    <w:p w14:paraId="05822AA2" w14:textId="77777777" w:rsidR="00B658D3" w:rsidRPr="006B671F" w:rsidRDefault="00B658D3"/>
    <w:p w14:paraId="6DAA3761" w14:textId="77777777" w:rsidR="00B658D3" w:rsidRPr="006B671F" w:rsidRDefault="00B658D3" w:rsidP="00C851C0"/>
  </w:endnote>
  <w:endnote w:type="continuationNotice" w:id="1">
    <w:p w14:paraId="578CA20B" w14:textId="77777777" w:rsidR="00B658D3" w:rsidRPr="006B671F" w:rsidRDefault="00B658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62EB2" w14:textId="77777777" w:rsidR="00B658D3" w:rsidRPr="006B671F" w:rsidRDefault="00B658D3">
      <w:r w:rsidRPr="006B671F">
        <w:separator/>
      </w:r>
    </w:p>
    <w:p w14:paraId="747A372E" w14:textId="77777777" w:rsidR="00B658D3" w:rsidRPr="006B671F" w:rsidRDefault="00B658D3"/>
    <w:p w14:paraId="0FA3DBB8" w14:textId="77777777" w:rsidR="00B658D3" w:rsidRPr="006B671F" w:rsidRDefault="00B658D3" w:rsidP="00C851C0"/>
  </w:footnote>
  <w:footnote w:type="continuationSeparator" w:id="0">
    <w:p w14:paraId="1C00D399" w14:textId="77777777" w:rsidR="00B658D3" w:rsidRPr="006B671F" w:rsidRDefault="00B658D3">
      <w:r w:rsidRPr="006B671F">
        <w:continuationSeparator/>
      </w:r>
    </w:p>
    <w:p w14:paraId="66C249B4" w14:textId="77777777" w:rsidR="00B658D3" w:rsidRPr="006B671F" w:rsidRDefault="00B658D3"/>
    <w:p w14:paraId="46927647" w14:textId="77777777" w:rsidR="00B658D3" w:rsidRPr="006B671F" w:rsidRDefault="00B658D3" w:rsidP="00C851C0"/>
  </w:footnote>
  <w:footnote w:type="continuationNotice" w:id="1">
    <w:p w14:paraId="0130405C" w14:textId="77777777" w:rsidR="00B658D3" w:rsidRPr="006B671F" w:rsidRDefault="00B658D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2689D9DC" w:rsidR="00C47CF3" w:rsidRPr="006B671F" w:rsidRDefault="00C47CF3" w:rsidP="002560C5">
    <w:pPr>
      <w:pStyle w:val="Ttulo1"/>
      <w:numPr>
        <w:ilvl w:val="0"/>
        <w:numId w:val="0"/>
      </w:numPr>
      <w:ind w:right="6"/>
      <w:jc w:val="left"/>
      <w:rPr>
        <w:rFonts w:cs="Arial"/>
        <w:b w:val="0"/>
        <w:sz w:val="22"/>
        <w:szCs w:val="22"/>
      </w:rPr>
    </w:pPr>
    <w:r w:rsidRPr="006B671F">
      <w:rPr>
        <w:rFonts w:cs="Arial"/>
        <w:b w:val="0"/>
        <w:sz w:val="22"/>
        <w:szCs w:val="22"/>
      </w:rPr>
      <w:t xml:space="preserve">RESOLUCIÓN No. </w:t>
    </w:r>
    <w:r w:rsidR="00C71147" w:rsidRPr="00C11F0E">
      <w:rPr>
        <w:rFonts w:cs="Arial"/>
        <w:bCs/>
        <w:szCs w:val="24"/>
        <w:u w:val="single"/>
      </w:rPr>
      <w:t>501 11</w:t>
    </w:r>
    <w:r w:rsidR="00966D7C">
      <w:rPr>
        <w:rFonts w:cs="Arial"/>
        <w:bCs/>
        <w:szCs w:val="24"/>
        <w:u w:val="single"/>
      </w:rPr>
      <w:t>3</w:t>
    </w:r>
    <w:r w:rsidRPr="006B671F">
      <w:rPr>
        <w:rFonts w:cs="Arial"/>
        <w:b w:val="0"/>
        <w:sz w:val="22"/>
        <w:szCs w:val="22"/>
        <w:u w:val="single"/>
      </w:rPr>
      <w:t xml:space="preserve"> </w:t>
    </w:r>
    <w:r w:rsidRPr="006B671F">
      <w:rPr>
        <w:rFonts w:cs="Arial"/>
        <w:b w:val="0"/>
        <w:sz w:val="22"/>
        <w:szCs w:val="22"/>
      </w:rPr>
      <w:t xml:space="preserve">            DE  </w:t>
    </w:r>
    <w:r w:rsidR="002B7452" w:rsidRPr="00C11F0E">
      <w:rPr>
        <w:rFonts w:cs="Arial"/>
        <w:bCs/>
        <w:szCs w:val="24"/>
        <w:u w:val="single"/>
      </w:rPr>
      <w:t>10</w:t>
    </w:r>
    <w:r w:rsidRPr="00C11F0E">
      <w:rPr>
        <w:rFonts w:cs="Arial"/>
        <w:bCs/>
        <w:szCs w:val="24"/>
        <w:u w:val="single"/>
      </w:rPr>
      <w:t xml:space="preserve"> </w:t>
    </w:r>
    <w:r w:rsidR="002B7452" w:rsidRPr="00C11F0E">
      <w:rPr>
        <w:rFonts w:cs="Arial"/>
        <w:bCs/>
        <w:szCs w:val="24"/>
        <w:u w:val="single"/>
      </w:rPr>
      <w:t>OCT</w:t>
    </w:r>
    <w:r w:rsidRPr="00C11F0E">
      <w:rPr>
        <w:rFonts w:cs="Arial"/>
        <w:bCs/>
        <w:szCs w:val="24"/>
        <w:u w:val="single"/>
      </w:rPr>
      <w:t>.</w:t>
    </w:r>
    <w:r w:rsidR="002B7452" w:rsidRPr="00C11F0E">
      <w:rPr>
        <w:rFonts w:cs="Arial"/>
        <w:bCs/>
        <w:szCs w:val="24"/>
        <w:u w:val="single"/>
      </w:rPr>
      <w:t xml:space="preserve"> </w:t>
    </w:r>
    <w:r w:rsidRPr="00C11F0E">
      <w:rPr>
        <w:rFonts w:cs="Arial"/>
        <w:bCs/>
        <w:szCs w:val="24"/>
        <w:u w:val="single"/>
      </w:rPr>
      <w:t>202</w:t>
    </w:r>
    <w:r w:rsidR="002B7452" w:rsidRPr="00C11F0E">
      <w:rPr>
        <w:rFonts w:cs="Arial"/>
        <w:bCs/>
        <w:szCs w:val="24"/>
        <w:u w:val="single"/>
      </w:rPr>
      <w:t>4</w:t>
    </w:r>
    <w:r w:rsidRPr="00C11F0E">
      <w:rPr>
        <w:rFonts w:cs="Arial"/>
        <w:b w:val="0"/>
        <w:sz w:val="22"/>
        <w:szCs w:val="22"/>
      </w:rPr>
      <w:t xml:space="preserve"> </w:t>
    </w:r>
    <w:r w:rsidR="00C71147" w:rsidRPr="00C11F0E">
      <w:rPr>
        <w:rFonts w:cs="Arial"/>
        <w:b w:val="0"/>
        <w:sz w:val="22"/>
        <w:szCs w:val="22"/>
      </w:rPr>
      <w:t xml:space="preserve">      </w:t>
    </w:r>
    <w:r w:rsidRPr="00C11F0E">
      <w:rPr>
        <w:rFonts w:cs="Arial"/>
        <w:b w:val="0"/>
        <w:sz w:val="22"/>
        <w:szCs w:val="22"/>
      </w:rPr>
      <w:t xml:space="preserve"> </w:t>
    </w:r>
    <w:r w:rsidRPr="006B671F">
      <w:rPr>
        <w:rFonts w:cs="Arial"/>
        <w:b w:val="0"/>
        <w:sz w:val="22"/>
        <w:szCs w:val="22"/>
        <w:u w:val="single"/>
      </w:rPr>
      <w:t xml:space="preserve"> </w:t>
    </w:r>
    <w:r w:rsidRPr="006B671F">
      <w:rPr>
        <w:rFonts w:cs="Arial"/>
        <w:b w:val="0"/>
        <w:sz w:val="22"/>
        <w:szCs w:val="22"/>
      </w:rPr>
      <w:t xml:space="preserve">HOJA No. </w:t>
    </w:r>
    <w:r w:rsidRPr="006B671F">
      <w:rPr>
        <w:rFonts w:cs="Arial"/>
        <w:b w:val="0"/>
        <w:sz w:val="22"/>
        <w:szCs w:val="22"/>
      </w:rPr>
      <w:fldChar w:fldCharType="begin"/>
    </w:r>
    <w:r w:rsidRPr="006B671F">
      <w:rPr>
        <w:rFonts w:cs="Arial"/>
        <w:b w:val="0"/>
        <w:sz w:val="22"/>
        <w:szCs w:val="22"/>
      </w:rPr>
      <w:instrText xml:space="preserve"> PAGE   \* MERGEFORMAT </w:instrText>
    </w:r>
    <w:r w:rsidRPr="006B671F">
      <w:rPr>
        <w:rFonts w:cs="Arial"/>
        <w:b w:val="0"/>
        <w:sz w:val="22"/>
        <w:szCs w:val="22"/>
      </w:rPr>
      <w:fldChar w:fldCharType="separate"/>
    </w:r>
    <w:r w:rsidR="002641A4" w:rsidRPr="006B671F">
      <w:rPr>
        <w:rFonts w:cs="Arial"/>
        <w:b w:val="0"/>
        <w:sz w:val="22"/>
        <w:szCs w:val="22"/>
      </w:rPr>
      <w:t>2</w:t>
    </w:r>
    <w:r w:rsidRPr="006B671F">
      <w:rPr>
        <w:rFonts w:cs="Arial"/>
        <w:b w:val="0"/>
        <w:sz w:val="22"/>
        <w:szCs w:val="22"/>
      </w:rPr>
      <w:fldChar w:fldCharType="end"/>
    </w:r>
    <w:r w:rsidRPr="006B671F">
      <w:rPr>
        <w:rFonts w:cs="Arial"/>
        <w:b w:val="0"/>
        <w:sz w:val="22"/>
        <w:szCs w:val="22"/>
      </w:rPr>
      <w:t>/</w:t>
    </w:r>
    <w:fldSimple w:instr="NUMPAGES  \* MERGEFORMAT">
      <w:r w:rsidR="002641A4" w:rsidRPr="006B671F">
        <w:rPr>
          <w:rFonts w:cs="Arial"/>
          <w:b w:val="0"/>
          <w:sz w:val="22"/>
          <w:szCs w:val="22"/>
        </w:rPr>
        <w:t>4</w:t>
      </w:r>
    </w:fldSimple>
  </w:p>
  <w:p w14:paraId="5EEBDD92" w14:textId="51A8C1AE" w:rsidR="00C47CF3" w:rsidRPr="006B671F" w:rsidRDefault="002A2F27" w:rsidP="00AD01E4">
    <w:pPr>
      <w:ind w:left="142" w:right="148"/>
      <w:rPr>
        <w:rFonts w:cs="Arial"/>
      </w:rPr>
    </w:pPr>
    <w:r w:rsidRPr="006B671F">
      <w:rPr>
        <w:noProof/>
        <w:lang w:eastAsia="es-CO"/>
      </w:rPr>
      <mc:AlternateContent>
        <mc:Choice Requires="wps">
          <w:drawing>
            <wp:anchor distT="0" distB="0" distL="114300" distR="114300" simplePos="0" relativeHeight="251658240" behindDoc="1" locked="0" layoutInCell="1" allowOverlap="1" wp14:anchorId="00F492FC" wp14:editId="7A0B8603">
              <wp:simplePos x="0" y="0"/>
              <wp:positionH relativeFrom="column">
                <wp:posOffset>-121285</wp:posOffset>
              </wp:positionH>
              <wp:positionV relativeFrom="paragraph">
                <wp:posOffset>141605</wp:posOffset>
              </wp:positionV>
              <wp:extent cx="6267450" cy="9950400"/>
              <wp:effectExtent l="12700" t="12700" r="1905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50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8F4444E" id="Rectangle 1" o:spid="_x0000_s1026" style="position:absolute;margin-left:-9.55pt;margin-top:11.15pt;width:493.5pt;height:7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HBwIAAO8DAAAOAAAAZHJzL2Uyb0RvYy54bWysU9uO2jAQfa/Uf7D8XhIQsEtEWK3YblVp&#10;e5G2/YDBcYhVx+OODYF+fceGZVH7VjUPlidjnzlz5nh5d+it2GsKBl0tx6NSCu0UNsZta/n92+O7&#10;WylCBNeARadredRB3q3evlkOvtIT7NA2mgSDuFANvpZdjL4qiqA63UMYodeOky1SD5FD2hYNwcDo&#10;vS0mZTkvBqTGEyodAv99OCXlKuO3rVbxS9sGHYWtJXOLeaW8btJarJZQbQl8Z9SZBvwDix6M46IX&#10;qAeIIHZk/oLqjSIM2MaRwr7AtjVK5x64m3H5RzfPHXide2Fxgr/IFP4frPq8f/ZfKVEP/gnVjyAc&#10;rjtwW31PhEOnoeFy4yRUMfhQXS6kIPBVsRk+YcOjhV3ErMGhpT4BcnfikKU+XqTWhygU/5xP5jfT&#10;GU9EcW6xmJXTMg+jgOrluqcQP2jsRdrUkniWGR72TyEmOlC9HEnVHD4aa/M8rRMDc16UXCB3htY0&#10;KZsD2m7WlsQekiXyl5tjAa6P9SayMa3pa3l7OQRV0uO9a3KZCMae9kzFurNASZNkv1BtsDmyPoQn&#10;1/Er4U2H9EuKgR1Xy/BzB6SlsB8da7wYT6fJojmYzm4mHNB1ZnOdAacYqpZRitN2HU+23nky244r&#10;jXPvDu95Lq3Jir2yOpNlV2Uhzy8g2fY6zqde3+nqNwAAAP//AwBQSwMEFAAGAAgAAAAhAIBVj57j&#10;AAAACwEAAA8AAABkcnMvZG93bnJldi54bWxMj8FOwzAQRO9I/IO1SFxQ6ySFNAlxqgqJE0gVoZXK&#10;zbWXJCK2Q+y26d+znOC4mqeZt+VqMj074eg7ZwXE8wgYWuV0ZxsB2/fnWQbMB2m17J1FARf0sKqu&#10;r0pZaHe2b3iqQ8OoxPpCCmhDGArOvWrRSD93A1rKPt1oZKBzbLge5ZnKTc+TKEq5kZ2lhVYO+NSi&#10;+qqPRsDdfWr0bv99GT/ql/1uk6n1q1dC3N5M60dgAafwB8OvPqlDRU4Hd7Tas17ALM5jQgUkyQIY&#10;AXm6zIEdiHzI8gXwquT/f6h+AAAA//8DAFBLAQItABQABgAIAAAAIQC2gziS/gAAAOEBAAATAAAA&#10;AAAAAAAAAAAAAAAAAABbQ29udGVudF9UeXBlc10ueG1sUEsBAi0AFAAGAAgAAAAhADj9If/WAAAA&#10;lAEAAAsAAAAAAAAAAAAAAAAALwEAAF9yZWxzLy5yZWxzUEsBAi0AFAAGAAgAAAAhAIyx/4cHAgAA&#10;7wMAAA4AAAAAAAAAAAAAAAAALgIAAGRycy9lMm9Eb2MueG1sUEsBAi0AFAAGAAgAAAAhAIBVj57j&#10;AAAACwEAAA8AAAAAAAAAAAAAAAAAYQQAAGRycy9kb3ducmV2LnhtbFBLBQYAAAAABAAEAPMAAABx&#10;BQAAAAA=&#10;" filled="f" strokeweight="1.5pt"/>
          </w:pict>
        </mc:Fallback>
      </mc:AlternateContent>
    </w:r>
  </w:p>
  <w:p w14:paraId="19A008AD" w14:textId="01734E6B" w:rsidR="00C47CF3" w:rsidRPr="00D018C6" w:rsidRDefault="00C47CF3" w:rsidP="00C202E9">
    <w:pPr>
      <w:pBdr>
        <w:bottom w:val="single" w:sz="4" w:space="1" w:color="auto"/>
      </w:pBdr>
      <w:rPr>
        <w:sz w:val="22"/>
        <w:szCs w:val="22"/>
      </w:rPr>
    </w:pPr>
    <w:r w:rsidRPr="00D018C6">
      <w:rPr>
        <w:sz w:val="22"/>
        <w:szCs w:val="22"/>
      </w:rPr>
      <w:t xml:space="preserve">Por la cual se resuelve el recurso de reposición interpuesto por </w:t>
    </w:r>
    <w:r w:rsidR="003C0F5A" w:rsidRPr="00D018C6">
      <w:rPr>
        <w:sz w:val="22"/>
        <w:szCs w:val="22"/>
      </w:rPr>
      <w:t>CELSIA</w:t>
    </w:r>
    <w:r w:rsidR="00D8043F" w:rsidRPr="00D018C6">
      <w:rPr>
        <w:sz w:val="22"/>
        <w:szCs w:val="22"/>
      </w:rPr>
      <w:t xml:space="preserve"> COLOMBIA</w:t>
    </w:r>
    <w:r w:rsidR="00A1450F" w:rsidRPr="00D018C6">
      <w:rPr>
        <w:sz w:val="22"/>
        <w:szCs w:val="22"/>
      </w:rPr>
      <w:t xml:space="preserve"> S.A. E.S.P.</w:t>
    </w:r>
    <w:r w:rsidR="00C40E4B" w:rsidRPr="00D018C6">
      <w:rPr>
        <w:sz w:val="22"/>
        <w:szCs w:val="22"/>
      </w:rPr>
      <w:t xml:space="preserve">, que atiende el mercado de comercialización del Tolima, </w:t>
    </w:r>
    <w:r w:rsidRPr="00D018C6">
      <w:rPr>
        <w:sz w:val="22"/>
        <w:szCs w:val="22"/>
      </w:rPr>
      <w:t xml:space="preserve">contra la Resolución </w:t>
    </w:r>
    <w:r w:rsidR="00A1450F" w:rsidRPr="00D018C6">
      <w:rPr>
        <w:sz w:val="22"/>
        <w:szCs w:val="22"/>
      </w:rPr>
      <w:t>CREG 501 04</w:t>
    </w:r>
    <w:r w:rsidR="003C0F5A" w:rsidRPr="00D018C6">
      <w:rPr>
        <w:sz w:val="22"/>
        <w:szCs w:val="22"/>
      </w:rPr>
      <w:t>1</w:t>
    </w:r>
    <w:r w:rsidR="00A1450F" w:rsidRPr="00D018C6">
      <w:rPr>
        <w:sz w:val="22"/>
        <w:szCs w:val="22"/>
      </w:rPr>
      <w:t xml:space="preserve"> de 2024</w:t>
    </w:r>
    <w:r w:rsidRPr="00D018C6">
      <w:rPr>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2E89" w14:textId="77777777" w:rsidR="00C47CF3" w:rsidRPr="006B671F" w:rsidRDefault="00C47CF3" w:rsidP="000B7990">
    <w:pPr>
      <w:pStyle w:val="Encabezado"/>
      <w:jc w:val="center"/>
      <w:rPr>
        <w:rFonts w:ascii="Arial" w:hAnsi="Arial" w:cs="Arial"/>
        <w:spacing w:val="20"/>
        <w:sz w:val="20"/>
      </w:rPr>
    </w:pPr>
    <w:r w:rsidRPr="006B671F">
      <w:rPr>
        <w:rFonts w:ascii="Arial" w:hAnsi="Arial" w:cs="Arial"/>
        <w:spacing w:val="20"/>
        <w:sz w:val="20"/>
      </w:rPr>
      <w:t>República de Colombia</w:t>
    </w:r>
  </w:p>
  <w:p w14:paraId="6ADC23F8" w14:textId="77777777" w:rsidR="00C47CF3" w:rsidRPr="006B671F" w:rsidRDefault="00C47CF3">
    <w:pPr>
      <w:pStyle w:val="Encabezado"/>
      <w:jc w:val="center"/>
      <w:rPr>
        <w:rFonts w:ascii="Arial" w:hAnsi="Arial" w:cs="Arial"/>
        <w:spacing w:val="20"/>
        <w:sz w:val="20"/>
      </w:rPr>
    </w:pPr>
  </w:p>
  <w:p w14:paraId="1A5CD802" w14:textId="77777777" w:rsidR="00C47CF3" w:rsidRPr="006B671F" w:rsidRDefault="00C47CF3" w:rsidP="00CA77FB">
    <w:pPr>
      <w:pStyle w:val="Encabezado"/>
      <w:jc w:val="center"/>
    </w:pPr>
    <w:r w:rsidRPr="006B671F">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3A199B1E" wp14:editId="501C9116">
              <wp:simplePos x="0" y="0"/>
              <wp:positionH relativeFrom="column">
                <wp:posOffset>-99061</wp:posOffset>
              </wp:positionH>
              <wp:positionV relativeFrom="paragraph">
                <wp:posOffset>257810</wp:posOffset>
              </wp:positionV>
              <wp:extent cx="62198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1A024DB" id="Rectangle 2" o:spid="_x0000_s1026" style="position:absolute;margin-left:-7.8pt;margin-top:20.3pt;width:489.7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lwBQIAAO8DAAAOAAAAZHJzL2Uyb0RvYy54bWysU9tu2zAMfR+wfxD0vthOky4x4hRFug4D&#10;ugvQ9QMUWbaFyaJGKXGyrx8lp2m2vg3zgyCa5CF5eLS6OfSG7RV6DbbixSTnTFkJtbZtxZ++379b&#10;cOaDsLUwYFXFj8rzm/XbN6vBlWoKHZhaISMQ68vBVbwLwZVZ5mWneuEn4JQlZwPYi0AmtlmNYiD0&#10;3mTTPL/OBsDaIUjlPf29G518nfCbRsnwtWm8CsxUnHoL6cR0buOZrVeibFG4TstTG+IfuuiFtlT0&#10;DHUngmA71K+gei0RPDRhIqHPoGm0VGkGmqbI/5rmsRNOpVmIHO/ONPn/Byu/7B/dN4yte/cA8odn&#10;FjadsK26RYShU6KmckUkKhucL88J0fCUyrbDZ6hptWIXIHFwaLCPgDQdOySqj2eq1SEwST+vp8Vy&#10;MZ1zJsm3XFwtr8iINUT5nO7Qh48KehYvFUfaZYIX+wcfxtDnkFjNwr02Ju3TWDZQz8t8nqcMD0bX&#10;0ZvGxHa7Mcj2IkoifafCf4T1OpAwje4rvjgHiTLy8cHWqUwQ2ox36trYE0GRkyg/X26hPhI/CKPq&#10;6JXQpQP8xdlAiqu4/7kTqDgznyxxvCxmsyjRZMzm76dk4KVne+kRVhJUxQNn43UTRlnvHOq2o0pF&#10;mt3CLe2l0Ymxl65OzZKqEuenFxBle2mnqJd3uv4NAAD//wMAUEsDBBQABgAIAAAAIQAXfz9F4gAA&#10;AAsBAAAPAAAAZHJzL2Rvd25yZXYueG1sTI9RS8MwEMffBb9DOMEX2ZLqVtbadAzBJwWxOphvWRLb&#10;YnOpSbZ1397zSZ+O43787/ev1pMb2NGG2HuUkM0FMIvamx5bCe9vj7MVsJgUGjV4tBLONsK6vryo&#10;VGn8CV/tsUktoxCMpZLQpTSWnEfdWafi3I8W6fbpg1OJ1tByE9SJwt3Ab4XIuVM90odOjfahs/qr&#10;OTgJN4vcme3u+xw+mqfd9mWlN89RS3l9NW3ugSU7pT8YfvVJHWpy2vsDmsgGCbNsmRMqYSFoElDk&#10;dwWwPZHLQmTA64r/71D/AAAA//8DAFBLAQItABQABgAIAAAAIQC2gziS/gAAAOEBAAATAAAAAAAA&#10;AAAAAAAAAAAAAABbQ29udGVudF9UeXBlc10ueG1sUEsBAi0AFAAGAAgAAAAhADj9If/WAAAAlAEA&#10;AAsAAAAAAAAAAAAAAAAALwEAAF9yZWxzLy5yZWxzUEsBAi0AFAAGAAgAAAAhANK1qXAFAgAA7wMA&#10;AA4AAAAAAAAAAAAAAAAALgIAAGRycy9lMm9Eb2MueG1sUEsBAi0AFAAGAAgAAAAhABd/P0X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8235CB"/>
    <w:multiLevelType w:val="hybridMultilevel"/>
    <w:tmpl w:val="D6562648"/>
    <w:lvl w:ilvl="0" w:tplc="4EEAF704">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5" w15:restartNumberingAfterBreak="0">
    <w:nsid w:val="27193723"/>
    <w:multiLevelType w:val="hybridMultilevel"/>
    <w:tmpl w:val="C9FE8A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7"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9"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10"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26C57E9"/>
    <w:multiLevelType w:val="hybridMultilevel"/>
    <w:tmpl w:val="B5A27A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BA421A4"/>
    <w:multiLevelType w:val="hybridMultilevel"/>
    <w:tmpl w:val="EC506C16"/>
    <w:lvl w:ilvl="0" w:tplc="76F2B2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1995600">
    <w:abstractNumId w:val="1"/>
  </w:num>
  <w:num w:numId="2" w16cid:durableId="717970195">
    <w:abstractNumId w:val="6"/>
  </w:num>
  <w:num w:numId="3" w16cid:durableId="56586464">
    <w:abstractNumId w:val="10"/>
  </w:num>
  <w:num w:numId="4" w16cid:durableId="1845702787">
    <w:abstractNumId w:val="9"/>
  </w:num>
  <w:num w:numId="5" w16cid:durableId="451557794">
    <w:abstractNumId w:val="12"/>
  </w:num>
  <w:num w:numId="6" w16cid:durableId="1281650517">
    <w:abstractNumId w:val="7"/>
  </w:num>
  <w:num w:numId="7" w16cid:durableId="167451520">
    <w:abstractNumId w:val="14"/>
  </w:num>
  <w:num w:numId="8" w16cid:durableId="70735608">
    <w:abstractNumId w:val="3"/>
  </w:num>
  <w:num w:numId="9" w16cid:durableId="546143552">
    <w:abstractNumId w:val="5"/>
  </w:num>
  <w:num w:numId="10" w16cid:durableId="1884629917">
    <w:abstractNumId w:val="2"/>
  </w:num>
  <w:num w:numId="11" w16cid:durableId="794835777">
    <w:abstractNumId w:val="13"/>
  </w:num>
  <w:num w:numId="12" w16cid:durableId="1284458888">
    <w:abstractNumId w:val="15"/>
  </w:num>
  <w:num w:numId="13" w16cid:durableId="1723796063">
    <w:abstractNumId w:val="12"/>
  </w:num>
  <w:num w:numId="14" w16cid:durableId="664474653">
    <w:abstractNumId w:val="12"/>
  </w:num>
  <w:num w:numId="15" w16cid:durableId="904803546">
    <w:abstractNumId w:val="12"/>
  </w:num>
  <w:num w:numId="16" w16cid:durableId="2056538934">
    <w:abstractNumId w:val="12"/>
  </w:num>
  <w:num w:numId="17" w16cid:durableId="1407190471">
    <w:abstractNumId w:val="12"/>
  </w:num>
  <w:num w:numId="18" w16cid:durableId="32120151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70E"/>
    <w:rsid w:val="00001178"/>
    <w:rsid w:val="000014A8"/>
    <w:rsid w:val="0000191D"/>
    <w:rsid w:val="0000215F"/>
    <w:rsid w:val="000023DF"/>
    <w:rsid w:val="00003049"/>
    <w:rsid w:val="0000342B"/>
    <w:rsid w:val="00004E9E"/>
    <w:rsid w:val="00005326"/>
    <w:rsid w:val="000055A9"/>
    <w:rsid w:val="000056FB"/>
    <w:rsid w:val="00006097"/>
    <w:rsid w:val="00006585"/>
    <w:rsid w:val="00006AE2"/>
    <w:rsid w:val="00006EF5"/>
    <w:rsid w:val="000076A1"/>
    <w:rsid w:val="00007736"/>
    <w:rsid w:val="00007AB0"/>
    <w:rsid w:val="00011638"/>
    <w:rsid w:val="000118B6"/>
    <w:rsid w:val="00011DFA"/>
    <w:rsid w:val="0001209B"/>
    <w:rsid w:val="00012259"/>
    <w:rsid w:val="0001368F"/>
    <w:rsid w:val="00014DE6"/>
    <w:rsid w:val="000158C6"/>
    <w:rsid w:val="00015D80"/>
    <w:rsid w:val="00015F4C"/>
    <w:rsid w:val="000162EE"/>
    <w:rsid w:val="00016B85"/>
    <w:rsid w:val="00016F42"/>
    <w:rsid w:val="00017216"/>
    <w:rsid w:val="00017396"/>
    <w:rsid w:val="000203BE"/>
    <w:rsid w:val="00020991"/>
    <w:rsid w:val="0002117B"/>
    <w:rsid w:val="00021AB8"/>
    <w:rsid w:val="00021B66"/>
    <w:rsid w:val="0002272D"/>
    <w:rsid w:val="00022832"/>
    <w:rsid w:val="000230DC"/>
    <w:rsid w:val="00023841"/>
    <w:rsid w:val="00024B72"/>
    <w:rsid w:val="00024EEB"/>
    <w:rsid w:val="00025383"/>
    <w:rsid w:val="0002591D"/>
    <w:rsid w:val="00025D05"/>
    <w:rsid w:val="000268D6"/>
    <w:rsid w:val="000275F7"/>
    <w:rsid w:val="00027868"/>
    <w:rsid w:val="00027C0A"/>
    <w:rsid w:val="00027C0E"/>
    <w:rsid w:val="00031CB6"/>
    <w:rsid w:val="00032C8E"/>
    <w:rsid w:val="000338C8"/>
    <w:rsid w:val="00034669"/>
    <w:rsid w:val="00034F65"/>
    <w:rsid w:val="0003547A"/>
    <w:rsid w:val="0003562B"/>
    <w:rsid w:val="0003568E"/>
    <w:rsid w:val="000356FD"/>
    <w:rsid w:val="00035DAC"/>
    <w:rsid w:val="0003695A"/>
    <w:rsid w:val="00037233"/>
    <w:rsid w:val="00037C2F"/>
    <w:rsid w:val="0004020B"/>
    <w:rsid w:val="00040250"/>
    <w:rsid w:val="00040C59"/>
    <w:rsid w:val="00040DE8"/>
    <w:rsid w:val="00041385"/>
    <w:rsid w:val="0004273E"/>
    <w:rsid w:val="00042862"/>
    <w:rsid w:val="00042A98"/>
    <w:rsid w:val="00043277"/>
    <w:rsid w:val="000432E2"/>
    <w:rsid w:val="0004449A"/>
    <w:rsid w:val="000446EC"/>
    <w:rsid w:val="00044E61"/>
    <w:rsid w:val="00045094"/>
    <w:rsid w:val="0004543A"/>
    <w:rsid w:val="00045D3D"/>
    <w:rsid w:val="00046473"/>
    <w:rsid w:val="00046B5A"/>
    <w:rsid w:val="00047950"/>
    <w:rsid w:val="000514CE"/>
    <w:rsid w:val="0005163B"/>
    <w:rsid w:val="0005171B"/>
    <w:rsid w:val="00051D1F"/>
    <w:rsid w:val="00052F22"/>
    <w:rsid w:val="000536E8"/>
    <w:rsid w:val="00053BE6"/>
    <w:rsid w:val="00054397"/>
    <w:rsid w:val="000547AE"/>
    <w:rsid w:val="00055984"/>
    <w:rsid w:val="00056071"/>
    <w:rsid w:val="00056ECE"/>
    <w:rsid w:val="00056FF5"/>
    <w:rsid w:val="0005705F"/>
    <w:rsid w:val="0005740C"/>
    <w:rsid w:val="0006037E"/>
    <w:rsid w:val="00060DCE"/>
    <w:rsid w:val="00060DFB"/>
    <w:rsid w:val="00062A66"/>
    <w:rsid w:val="000631F6"/>
    <w:rsid w:val="00063454"/>
    <w:rsid w:val="0006357B"/>
    <w:rsid w:val="00063657"/>
    <w:rsid w:val="00063751"/>
    <w:rsid w:val="00064964"/>
    <w:rsid w:val="00064F07"/>
    <w:rsid w:val="0006600D"/>
    <w:rsid w:val="00067260"/>
    <w:rsid w:val="000674F5"/>
    <w:rsid w:val="000701D3"/>
    <w:rsid w:val="000703B1"/>
    <w:rsid w:val="0007409E"/>
    <w:rsid w:val="00076213"/>
    <w:rsid w:val="00076325"/>
    <w:rsid w:val="00076680"/>
    <w:rsid w:val="00076A1D"/>
    <w:rsid w:val="00076C5F"/>
    <w:rsid w:val="000771FB"/>
    <w:rsid w:val="0007724C"/>
    <w:rsid w:val="0008073E"/>
    <w:rsid w:val="000808A5"/>
    <w:rsid w:val="0008115D"/>
    <w:rsid w:val="00081335"/>
    <w:rsid w:val="00081780"/>
    <w:rsid w:val="000821D9"/>
    <w:rsid w:val="0008290E"/>
    <w:rsid w:val="00082B34"/>
    <w:rsid w:val="00082FE9"/>
    <w:rsid w:val="000830B6"/>
    <w:rsid w:val="000831AC"/>
    <w:rsid w:val="00083364"/>
    <w:rsid w:val="000837A5"/>
    <w:rsid w:val="00083AA8"/>
    <w:rsid w:val="00083BA5"/>
    <w:rsid w:val="00083E13"/>
    <w:rsid w:val="000841D4"/>
    <w:rsid w:val="000848AC"/>
    <w:rsid w:val="00084A34"/>
    <w:rsid w:val="00084F74"/>
    <w:rsid w:val="000854D1"/>
    <w:rsid w:val="00085793"/>
    <w:rsid w:val="000857D1"/>
    <w:rsid w:val="00085843"/>
    <w:rsid w:val="00085C94"/>
    <w:rsid w:val="0008621D"/>
    <w:rsid w:val="00086640"/>
    <w:rsid w:val="0008751B"/>
    <w:rsid w:val="0008776A"/>
    <w:rsid w:val="00090211"/>
    <w:rsid w:val="0009104E"/>
    <w:rsid w:val="0009196C"/>
    <w:rsid w:val="00091CDB"/>
    <w:rsid w:val="000931FF"/>
    <w:rsid w:val="000934FB"/>
    <w:rsid w:val="00093BF1"/>
    <w:rsid w:val="00094406"/>
    <w:rsid w:val="000944AD"/>
    <w:rsid w:val="000944F8"/>
    <w:rsid w:val="000957BC"/>
    <w:rsid w:val="00095EA2"/>
    <w:rsid w:val="00096719"/>
    <w:rsid w:val="00096B33"/>
    <w:rsid w:val="000974F4"/>
    <w:rsid w:val="00097EC4"/>
    <w:rsid w:val="000A0B0B"/>
    <w:rsid w:val="000A1108"/>
    <w:rsid w:val="000A1319"/>
    <w:rsid w:val="000A19AC"/>
    <w:rsid w:val="000A2208"/>
    <w:rsid w:val="000A26FD"/>
    <w:rsid w:val="000A31B6"/>
    <w:rsid w:val="000A38CC"/>
    <w:rsid w:val="000A3924"/>
    <w:rsid w:val="000A403D"/>
    <w:rsid w:val="000A55BC"/>
    <w:rsid w:val="000A5644"/>
    <w:rsid w:val="000A7940"/>
    <w:rsid w:val="000B143C"/>
    <w:rsid w:val="000B1C02"/>
    <w:rsid w:val="000B2EC3"/>
    <w:rsid w:val="000B2EC9"/>
    <w:rsid w:val="000B3688"/>
    <w:rsid w:val="000B4E36"/>
    <w:rsid w:val="000B5566"/>
    <w:rsid w:val="000B65BD"/>
    <w:rsid w:val="000B7990"/>
    <w:rsid w:val="000C06AF"/>
    <w:rsid w:val="000C0914"/>
    <w:rsid w:val="000C1519"/>
    <w:rsid w:val="000C1951"/>
    <w:rsid w:val="000C1DE0"/>
    <w:rsid w:val="000C2165"/>
    <w:rsid w:val="000C23A9"/>
    <w:rsid w:val="000C266A"/>
    <w:rsid w:val="000C344E"/>
    <w:rsid w:val="000C406C"/>
    <w:rsid w:val="000C4AE5"/>
    <w:rsid w:val="000C5DF4"/>
    <w:rsid w:val="000C5F9C"/>
    <w:rsid w:val="000C64D6"/>
    <w:rsid w:val="000C6881"/>
    <w:rsid w:val="000C68D0"/>
    <w:rsid w:val="000C743D"/>
    <w:rsid w:val="000C784A"/>
    <w:rsid w:val="000D06CB"/>
    <w:rsid w:val="000D1E36"/>
    <w:rsid w:val="000D26F8"/>
    <w:rsid w:val="000D2A00"/>
    <w:rsid w:val="000D2AF5"/>
    <w:rsid w:val="000D2C95"/>
    <w:rsid w:val="000D33D4"/>
    <w:rsid w:val="000D36AF"/>
    <w:rsid w:val="000D3752"/>
    <w:rsid w:val="000D3884"/>
    <w:rsid w:val="000D3FC2"/>
    <w:rsid w:val="000D5201"/>
    <w:rsid w:val="000D5429"/>
    <w:rsid w:val="000D5C79"/>
    <w:rsid w:val="000D7A17"/>
    <w:rsid w:val="000D7A79"/>
    <w:rsid w:val="000E07E4"/>
    <w:rsid w:val="000E1309"/>
    <w:rsid w:val="000E1C36"/>
    <w:rsid w:val="000E22D1"/>
    <w:rsid w:val="000E272B"/>
    <w:rsid w:val="000E2A42"/>
    <w:rsid w:val="000E36C6"/>
    <w:rsid w:val="000E3D26"/>
    <w:rsid w:val="000E41DA"/>
    <w:rsid w:val="000E461D"/>
    <w:rsid w:val="000E4CB3"/>
    <w:rsid w:val="000E5813"/>
    <w:rsid w:val="000E5CC4"/>
    <w:rsid w:val="000E6526"/>
    <w:rsid w:val="000E75B3"/>
    <w:rsid w:val="000F0DC3"/>
    <w:rsid w:val="000F1937"/>
    <w:rsid w:val="000F30B5"/>
    <w:rsid w:val="000F32D0"/>
    <w:rsid w:val="000F3A75"/>
    <w:rsid w:val="000F4223"/>
    <w:rsid w:val="000F4463"/>
    <w:rsid w:val="000F46F7"/>
    <w:rsid w:val="000F47C4"/>
    <w:rsid w:val="000F4CDE"/>
    <w:rsid w:val="000F5015"/>
    <w:rsid w:val="000F5392"/>
    <w:rsid w:val="000F563E"/>
    <w:rsid w:val="000F68AA"/>
    <w:rsid w:val="000F69EC"/>
    <w:rsid w:val="000F77CC"/>
    <w:rsid w:val="000F7AE9"/>
    <w:rsid w:val="000F7C81"/>
    <w:rsid w:val="0010004A"/>
    <w:rsid w:val="001003E5"/>
    <w:rsid w:val="0010087D"/>
    <w:rsid w:val="0010101F"/>
    <w:rsid w:val="00101B5F"/>
    <w:rsid w:val="00101F35"/>
    <w:rsid w:val="00103127"/>
    <w:rsid w:val="0010333D"/>
    <w:rsid w:val="0010357A"/>
    <w:rsid w:val="00105E02"/>
    <w:rsid w:val="0010601F"/>
    <w:rsid w:val="0010658E"/>
    <w:rsid w:val="00106654"/>
    <w:rsid w:val="001067D3"/>
    <w:rsid w:val="00107BE0"/>
    <w:rsid w:val="001106AF"/>
    <w:rsid w:val="0011257F"/>
    <w:rsid w:val="0011261E"/>
    <w:rsid w:val="001129C7"/>
    <w:rsid w:val="00112F16"/>
    <w:rsid w:val="00113E40"/>
    <w:rsid w:val="0011457A"/>
    <w:rsid w:val="001147FF"/>
    <w:rsid w:val="00114A62"/>
    <w:rsid w:val="001150FE"/>
    <w:rsid w:val="00116227"/>
    <w:rsid w:val="001167F7"/>
    <w:rsid w:val="001177E6"/>
    <w:rsid w:val="00117BD9"/>
    <w:rsid w:val="00117CC3"/>
    <w:rsid w:val="00120917"/>
    <w:rsid w:val="00121317"/>
    <w:rsid w:val="001232F1"/>
    <w:rsid w:val="00124CC3"/>
    <w:rsid w:val="001264C4"/>
    <w:rsid w:val="00126763"/>
    <w:rsid w:val="00126B7F"/>
    <w:rsid w:val="00126EB6"/>
    <w:rsid w:val="00127434"/>
    <w:rsid w:val="0012783F"/>
    <w:rsid w:val="00130D85"/>
    <w:rsid w:val="00131AC4"/>
    <w:rsid w:val="00132D4E"/>
    <w:rsid w:val="00132FDE"/>
    <w:rsid w:val="00132FE3"/>
    <w:rsid w:val="001333FC"/>
    <w:rsid w:val="001336B4"/>
    <w:rsid w:val="0013384D"/>
    <w:rsid w:val="001338E9"/>
    <w:rsid w:val="00133EC9"/>
    <w:rsid w:val="0013526C"/>
    <w:rsid w:val="00135C1F"/>
    <w:rsid w:val="00136F57"/>
    <w:rsid w:val="00137921"/>
    <w:rsid w:val="001405C6"/>
    <w:rsid w:val="0014064C"/>
    <w:rsid w:val="0014070B"/>
    <w:rsid w:val="00141013"/>
    <w:rsid w:val="00142021"/>
    <w:rsid w:val="0014208F"/>
    <w:rsid w:val="0014220A"/>
    <w:rsid w:val="00142367"/>
    <w:rsid w:val="0014256F"/>
    <w:rsid w:val="00142E3A"/>
    <w:rsid w:val="0014307D"/>
    <w:rsid w:val="001430F4"/>
    <w:rsid w:val="0014363D"/>
    <w:rsid w:val="0014365D"/>
    <w:rsid w:val="001444A5"/>
    <w:rsid w:val="00144681"/>
    <w:rsid w:val="00144764"/>
    <w:rsid w:val="0014514F"/>
    <w:rsid w:val="0014568E"/>
    <w:rsid w:val="00145736"/>
    <w:rsid w:val="001459D6"/>
    <w:rsid w:val="001459FB"/>
    <w:rsid w:val="001478B5"/>
    <w:rsid w:val="00151A0F"/>
    <w:rsid w:val="0015228B"/>
    <w:rsid w:val="00152D9A"/>
    <w:rsid w:val="00152E0C"/>
    <w:rsid w:val="0015338C"/>
    <w:rsid w:val="00153456"/>
    <w:rsid w:val="0015387C"/>
    <w:rsid w:val="001540AA"/>
    <w:rsid w:val="001541F3"/>
    <w:rsid w:val="00154B16"/>
    <w:rsid w:val="00154D0C"/>
    <w:rsid w:val="00155C19"/>
    <w:rsid w:val="00155D6C"/>
    <w:rsid w:val="00155FC5"/>
    <w:rsid w:val="001560A7"/>
    <w:rsid w:val="00156F82"/>
    <w:rsid w:val="00157B49"/>
    <w:rsid w:val="00160BCF"/>
    <w:rsid w:val="00160D2E"/>
    <w:rsid w:val="00161084"/>
    <w:rsid w:val="00164E00"/>
    <w:rsid w:val="00166572"/>
    <w:rsid w:val="00166AA9"/>
    <w:rsid w:val="00166B53"/>
    <w:rsid w:val="00166CC2"/>
    <w:rsid w:val="001710F9"/>
    <w:rsid w:val="00171B59"/>
    <w:rsid w:val="001727F3"/>
    <w:rsid w:val="0017297E"/>
    <w:rsid w:val="00172E40"/>
    <w:rsid w:val="001750A0"/>
    <w:rsid w:val="00175ED3"/>
    <w:rsid w:val="001762DD"/>
    <w:rsid w:val="0017684A"/>
    <w:rsid w:val="00176B56"/>
    <w:rsid w:val="00177652"/>
    <w:rsid w:val="001777A6"/>
    <w:rsid w:val="001778BC"/>
    <w:rsid w:val="00177C51"/>
    <w:rsid w:val="00177CFC"/>
    <w:rsid w:val="00177D48"/>
    <w:rsid w:val="00177E96"/>
    <w:rsid w:val="0018241F"/>
    <w:rsid w:val="001827DF"/>
    <w:rsid w:val="00182E70"/>
    <w:rsid w:val="0018305D"/>
    <w:rsid w:val="00183134"/>
    <w:rsid w:val="00184170"/>
    <w:rsid w:val="00184D3B"/>
    <w:rsid w:val="00185F79"/>
    <w:rsid w:val="00186A70"/>
    <w:rsid w:val="001876F9"/>
    <w:rsid w:val="001879A3"/>
    <w:rsid w:val="001879E3"/>
    <w:rsid w:val="00190158"/>
    <w:rsid w:val="00190C2D"/>
    <w:rsid w:val="00190D18"/>
    <w:rsid w:val="0019130A"/>
    <w:rsid w:val="00191954"/>
    <w:rsid w:val="00192CBF"/>
    <w:rsid w:val="00192FF1"/>
    <w:rsid w:val="0019345E"/>
    <w:rsid w:val="001943A1"/>
    <w:rsid w:val="0019482F"/>
    <w:rsid w:val="00194947"/>
    <w:rsid w:val="001949D2"/>
    <w:rsid w:val="00194C52"/>
    <w:rsid w:val="00194E90"/>
    <w:rsid w:val="00195B63"/>
    <w:rsid w:val="0019633D"/>
    <w:rsid w:val="0019667F"/>
    <w:rsid w:val="00196D8C"/>
    <w:rsid w:val="00197F32"/>
    <w:rsid w:val="001A03DA"/>
    <w:rsid w:val="001A0A0B"/>
    <w:rsid w:val="001A0F6F"/>
    <w:rsid w:val="001A1422"/>
    <w:rsid w:val="001A2059"/>
    <w:rsid w:val="001A28E0"/>
    <w:rsid w:val="001A2B6E"/>
    <w:rsid w:val="001A3643"/>
    <w:rsid w:val="001A39D5"/>
    <w:rsid w:val="001A42B8"/>
    <w:rsid w:val="001A44FC"/>
    <w:rsid w:val="001A5F1B"/>
    <w:rsid w:val="001A6488"/>
    <w:rsid w:val="001A6742"/>
    <w:rsid w:val="001A7613"/>
    <w:rsid w:val="001B03F7"/>
    <w:rsid w:val="001B05A4"/>
    <w:rsid w:val="001B0C3A"/>
    <w:rsid w:val="001B17F4"/>
    <w:rsid w:val="001B1C22"/>
    <w:rsid w:val="001B31FC"/>
    <w:rsid w:val="001B34C6"/>
    <w:rsid w:val="001B3D78"/>
    <w:rsid w:val="001B67E0"/>
    <w:rsid w:val="001C083E"/>
    <w:rsid w:val="001C0C42"/>
    <w:rsid w:val="001C0D16"/>
    <w:rsid w:val="001C13C7"/>
    <w:rsid w:val="001C1F9F"/>
    <w:rsid w:val="001C2018"/>
    <w:rsid w:val="001C2365"/>
    <w:rsid w:val="001C2D65"/>
    <w:rsid w:val="001C31A4"/>
    <w:rsid w:val="001C36F4"/>
    <w:rsid w:val="001C3877"/>
    <w:rsid w:val="001C4A3C"/>
    <w:rsid w:val="001C66DB"/>
    <w:rsid w:val="001C72E1"/>
    <w:rsid w:val="001D0772"/>
    <w:rsid w:val="001D1473"/>
    <w:rsid w:val="001D1582"/>
    <w:rsid w:val="001D2EA9"/>
    <w:rsid w:val="001D307F"/>
    <w:rsid w:val="001D31E0"/>
    <w:rsid w:val="001D3333"/>
    <w:rsid w:val="001D35D1"/>
    <w:rsid w:val="001D3603"/>
    <w:rsid w:val="001D4A1A"/>
    <w:rsid w:val="001D516B"/>
    <w:rsid w:val="001D777D"/>
    <w:rsid w:val="001D7832"/>
    <w:rsid w:val="001D7EA3"/>
    <w:rsid w:val="001D7F97"/>
    <w:rsid w:val="001E0A4F"/>
    <w:rsid w:val="001E1023"/>
    <w:rsid w:val="001E12B6"/>
    <w:rsid w:val="001E2609"/>
    <w:rsid w:val="001E3911"/>
    <w:rsid w:val="001E42F7"/>
    <w:rsid w:val="001E485E"/>
    <w:rsid w:val="001E492C"/>
    <w:rsid w:val="001E5511"/>
    <w:rsid w:val="001E55E0"/>
    <w:rsid w:val="001E579C"/>
    <w:rsid w:val="001E6203"/>
    <w:rsid w:val="001E6246"/>
    <w:rsid w:val="001E692F"/>
    <w:rsid w:val="001E6A61"/>
    <w:rsid w:val="001E6EA9"/>
    <w:rsid w:val="001E7513"/>
    <w:rsid w:val="001F032E"/>
    <w:rsid w:val="001F0461"/>
    <w:rsid w:val="001F08A8"/>
    <w:rsid w:val="001F1310"/>
    <w:rsid w:val="001F1673"/>
    <w:rsid w:val="001F1C53"/>
    <w:rsid w:val="001F22E7"/>
    <w:rsid w:val="001F25B1"/>
    <w:rsid w:val="001F277A"/>
    <w:rsid w:val="001F27C5"/>
    <w:rsid w:val="001F2830"/>
    <w:rsid w:val="001F2C5B"/>
    <w:rsid w:val="001F2FD8"/>
    <w:rsid w:val="001F4256"/>
    <w:rsid w:val="001F47F9"/>
    <w:rsid w:val="001F496C"/>
    <w:rsid w:val="001F5AFE"/>
    <w:rsid w:val="001F7284"/>
    <w:rsid w:val="001F780F"/>
    <w:rsid w:val="001F7CCE"/>
    <w:rsid w:val="002000ED"/>
    <w:rsid w:val="00200815"/>
    <w:rsid w:val="00200842"/>
    <w:rsid w:val="002012D8"/>
    <w:rsid w:val="002015A0"/>
    <w:rsid w:val="00201816"/>
    <w:rsid w:val="00201867"/>
    <w:rsid w:val="00202992"/>
    <w:rsid w:val="002038CE"/>
    <w:rsid w:val="002039D6"/>
    <w:rsid w:val="002040BF"/>
    <w:rsid w:val="002040C1"/>
    <w:rsid w:val="00204D82"/>
    <w:rsid w:val="00204DDC"/>
    <w:rsid w:val="0020503E"/>
    <w:rsid w:val="0020533E"/>
    <w:rsid w:val="002064F0"/>
    <w:rsid w:val="00206B97"/>
    <w:rsid w:val="00206E10"/>
    <w:rsid w:val="00207D99"/>
    <w:rsid w:val="00207DF5"/>
    <w:rsid w:val="00207F42"/>
    <w:rsid w:val="00210C0F"/>
    <w:rsid w:val="00210D0C"/>
    <w:rsid w:val="00210DC1"/>
    <w:rsid w:val="00210F57"/>
    <w:rsid w:val="002113E9"/>
    <w:rsid w:val="0021157A"/>
    <w:rsid w:val="00211663"/>
    <w:rsid w:val="0021176A"/>
    <w:rsid w:val="00211D34"/>
    <w:rsid w:val="00212514"/>
    <w:rsid w:val="00212926"/>
    <w:rsid w:val="00212A38"/>
    <w:rsid w:val="00212AEB"/>
    <w:rsid w:val="00212EFF"/>
    <w:rsid w:val="002131D7"/>
    <w:rsid w:val="002133FA"/>
    <w:rsid w:val="00214328"/>
    <w:rsid w:val="00214F04"/>
    <w:rsid w:val="00215F30"/>
    <w:rsid w:val="00215F9A"/>
    <w:rsid w:val="002166E7"/>
    <w:rsid w:val="00216E62"/>
    <w:rsid w:val="00217D47"/>
    <w:rsid w:val="00220C35"/>
    <w:rsid w:val="002213C3"/>
    <w:rsid w:val="002213FE"/>
    <w:rsid w:val="00223E50"/>
    <w:rsid w:val="0022483E"/>
    <w:rsid w:val="00224FC9"/>
    <w:rsid w:val="002259F2"/>
    <w:rsid w:val="00227061"/>
    <w:rsid w:val="00227215"/>
    <w:rsid w:val="002273D2"/>
    <w:rsid w:val="002277CB"/>
    <w:rsid w:val="00227D53"/>
    <w:rsid w:val="00227E1E"/>
    <w:rsid w:val="002301AD"/>
    <w:rsid w:val="00232752"/>
    <w:rsid w:val="0023338E"/>
    <w:rsid w:val="00234E57"/>
    <w:rsid w:val="002352B9"/>
    <w:rsid w:val="0023547F"/>
    <w:rsid w:val="0023598E"/>
    <w:rsid w:val="00235E8D"/>
    <w:rsid w:val="0023621E"/>
    <w:rsid w:val="0023646C"/>
    <w:rsid w:val="002367F5"/>
    <w:rsid w:val="00236F00"/>
    <w:rsid w:val="00237EDC"/>
    <w:rsid w:val="00240300"/>
    <w:rsid w:val="00240640"/>
    <w:rsid w:val="002423EF"/>
    <w:rsid w:val="00242425"/>
    <w:rsid w:val="00242A95"/>
    <w:rsid w:val="00242F2B"/>
    <w:rsid w:val="002432D6"/>
    <w:rsid w:val="002433FA"/>
    <w:rsid w:val="002436B9"/>
    <w:rsid w:val="00243761"/>
    <w:rsid w:val="00243A0A"/>
    <w:rsid w:val="002444FF"/>
    <w:rsid w:val="00244B4F"/>
    <w:rsid w:val="002451B0"/>
    <w:rsid w:val="002452F2"/>
    <w:rsid w:val="00245E5D"/>
    <w:rsid w:val="00246D05"/>
    <w:rsid w:val="0025047F"/>
    <w:rsid w:val="00251CA5"/>
    <w:rsid w:val="00251FD4"/>
    <w:rsid w:val="0025287D"/>
    <w:rsid w:val="002528C8"/>
    <w:rsid w:val="002530A1"/>
    <w:rsid w:val="0025525F"/>
    <w:rsid w:val="00255649"/>
    <w:rsid w:val="00255960"/>
    <w:rsid w:val="00255DFE"/>
    <w:rsid w:val="002560C5"/>
    <w:rsid w:val="00256DBC"/>
    <w:rsid w:val="00256EA4"/>
    <w:rsid w:val="002571AD"/>
    <w:rsid w:val="002571C8"/>
    <w:rsid w:val="002578B3"/>
    <w:rsid w:val="002579DC"/>
    <w:rsid w:val="00257A41"/>
    <w:rsid w:val="00257EBA"/>
    <w:rsid w:val="002603B0"/>
    <w:rsid w:val="00260906"/>
    <w:rsid w:val="00261684"/>
    <w:rsid w:val="00261788"/>
    <w:rsid w:val="00261CF7"/>
    <w:rsid w:val="00261DF3"/>
    <w:rsid w:val="00262248"/>
    <w:rsid w:val="0026282C"/>
    <w:rsid w:val="00262AEC"/>
    <w:rsid w:val="002631B1"/>
    <w:rsid w:val="002641A4"/>
    <w:rsid w:val="002641E0"/>
    <w:rsid w:val="00264F14"/>
    <w:rsid w:val="0026521A"/>
    <w:rsid w:val="002654BA"/>
    <w:rsid w:val="00265553"/>
    <w:rsid w:val="002657E2"/>
    <w:rsid w:val="00265C1B"/>
    <w:rsid w:val="00266C51"/>
    <w:rsid w:val="00266CD6"/>
    <w:rsid w:val="002673AC"/>
    <w:rsid w:val="00267B60"/>
    <w:rsid w:val="00270C4A"/>
    <w:rsid w:val="00271781"/>
    <w:rsid w:val="00271C36"/>
    <w:rsid w:val="00271C3E"/>
    <w:rsid w:val="00271EF7"/>
    <w:rsid w:val="0027278C"/>
    <w:rsid w:val="00273484"/>
    <w:rsid w:val="002739BD"/>
    <w:rsid w:val="00274C95"/>
    <w:rsid w:val="00275144"/>
    <w:rsid w:val="00275DAB"/>
    <w:rsid w:val="00276059"/>
    <w:rsid w:val="00276BEC"/>
    <w:rsid w:val="00280F65"/>
    <w:rsid w:val="00281001"/>
    <w:rsid w:val="002821BE"/>
    <w:rsid w:val="00283340"/>
    <w:rsid w:val="002836E2"/>
    <w:rsid w:val="002852D5"/>
    <w:rsid w:val="0028662C"/>
    <w:rsid w:val="00286871"/>
    <w:rsid w:val="002903C0"/>
    <w:rsid w:val="002903D1"/>
    <w:rsid w:val="00291726"/>
    <w:rsid w:val="002922A7"/>
    <w:rsid w:val="00292FE9"/>
    <w:rsid w:val="002936B2"/>
    <w:rsid w:val="00294772"/>
    <w:rsid w:val="0029534B"/>
    <w:rsid w:val="00295355"/>
    <w:rsid w:val="00295582"/>
    <w:rsid w:val="00295857"/>
    <w:rsid w:val="00295ACD"/>
    <w:rsid w:val="00295EF3"/>
    <w:rsid w:val="002967E7"/>
    <w:rsid w:val="0029698E"/>
    <w:rsid w:val="002A0578"/>
    <w:rsid w:val="002A133E"/>
    <w:rsid w:val="002A1E50"/>
    <w:rsid w:val="002A2F27"/>
    <w:rsid w:val="002A4225"/>
    <w:rsid w:val="002A44EC"/>
    <w:rsid w:val="002A51EF"/>
    <w:rsid w:val="002A5520"/>
    <w:rsid w:val="002A6480"/>
    <w:rsid w:val="002A6CEB"/>
    <w:rsid w:val="002A782A"/>
    <w:rsid w:val="002A7D62"/>
    <w:rsid w:val="002B0922"/>
    <w:rsid w:val="002B0AAA"/>
    <w:rsid w:val="002B11E2"/>
    <w:rsid w:val="002B1512"/>
    <w:rsid w:val="002B24B8"/>
    <w:rsid w:val="002B25D3"/>
    <w:rsid w:val="002B2FDB"/>
    <w:rsid w:val="002B30C8"/>
    <w:rsid w:val="002B3A8B"/>
    <w:rsid w:val="002B41F1"/>
    <w:rsid w:val="002B5384"/>
    <w:rsid w:val="002B5E3C"/>
    <w:rsid w:val="002B6221"/>
    <w:rsid w:val="002B71B1"/>
    <w:rsid w:val="002B7231"/>
    <w:rsid w:val="002B73B1"/>
    <w:rsid w:val="002B7452"/>
    <w:rsid w:val="002C01FA"/>
    <w:rsid w:val="002C04F0"/>
    <w:rsid w:val="002C0713"/>
    <w:rsid w:val="002C0DCD"/>
    <w:rsid w:val="002C1516"/>
    <w:rsid w:val="002C1D36"/>
    <w:rsid w:val="002C2F66"/>
    <w:rsid w:val="002C3488"/>
    <w:rsid w:val="002C3F11"/>
    <w:rsid w:val="002C4170"/>
    <w:rsid w:val="002C48F7"/>
    <w:rsid w:val="002C5023"/>
    <w:rsid w:val="002C5344"/>
    <w:rsid w:val="002C5612"/>
    <w:rsid w:val="002C61CF"/>
    <w:rsid w:val="002C7252"/>
    <w:rsid w:val="002D1E55"/>
    <w:rsid w:val="002D3602"/>
    <w:rsid w:val="002D3AE9"/>
    <w:rsid w:val="002D3CE7"/>
    <w:rsid w:val="002D4510"/>
    <w:rsid w:val="002D472D"/>
    <w:rsid w:val="002D6FBC"/>
    <w:rsid w:val="002D7D6C"/>
    <w:rsid w:val="002E07DC"/>
    <w:rsid w:val="002E09F5"/>
    <w:rsid w:val="002E1183"/>
    <w:rsid w:val="002E1254"/>
    <w:rsid w:val="002E1770"/>
    <w:rsid w:val="002E1AF2"/>
    <w:rsid w:val="002E1F65"/>
    <w:rsid w:val="002E3319"/>
    <w:rsid w:val="002E346C"/>
    <w:rsid w:val="002E3B7D"/>
    <w:rsid w:val="002E3CD2"/>
    <w:rsid w:val="002E3E00"/>
    <w:rsid w:val="002E5B4D"/>
    <w:rsid w:val="002E635C"/>
    <w:rsid w:val="002E6544"/>
    <w:rsid w:val="002E6699"/>
    <w:rsid w:val="002E6C92"/>
    <w:rsid w:val="002E7997"/>
    <w:rsid w:val="002F026E"/>
    <w:rsid w:val="002F036D"/>
    <w:rsid w:val="002F04DC"/>
    <w:rsid w:val="002F0734"/>
    <w:rsid w:val="002F1CFE"/>
    <w:rsid w:val="002F22EB"/>
    <w:rsid w:val="002F2905"/>
    <w:rsid w:val="002F2D06"/>
    <w:rsid w:val="002F2EF0"/>
    <w:rsid w:val="002F3712"/>
    <w:rsid w:val="002F46E7"/>
    <w:rsid w:val="002F6E8F"/>
    <w:rsid w:val="002F72DB"/>
    <w:rsid w:val="002F75C0"/>
    <w:rsid w:val="002F7B19"/>
    <w:rsid w:val="00300436"/>
    <w:rsid w:val="003008A1"/>
    <w:rsid w:val="00301B40"/>
    <w:rsid w:val="00302345"/>
    <w:rsid w:val="00302511"/>
    <w:rsid w:val="00302EFB"/>
    <w:rsid w:val="0030336F"/>
    <w:rsid w:val="0030373F"/>
    <w:rsid w:val="00303BEA"/>
    <w:rsid w:val="003040BE"/>
    <w:rsid w:val="00304BEA"/>
    <w:rsid w:val="0030641B"/>
    <w:rsid w:val="003072A7"/>
    <w:rsid w:val="0030767B"/>
    <w:rsid w:val="003076FD"/>
    <w:rsid w:val="00307E9C"/>
    <w:rsid w:val="00307F8B"/>
    <w:rsid w:val="00307F96"/>
    <w:rsid w:val="003101DA"/>
    <w:rsid w:val="003107DC"/>
    <w:rsid w:val="003111C3"/>
    <w:rsid w:val="00311353"/>
    <w:rsid w:val="00311CED"/>
    <w:rsid w:val="00312443"/>
    <w:rsid w:val="00312838"/>
    <w:rsid w:val="00312DDD"/>
    <w:rsid w:val="0031391C"/>
    <w:rsid w:val="00313B84"/>
    <w:rsid w:val="003140B3"/>
    <w:rsid w:val="00314757"/>
    <w:rsid w:val="0031547B"/>
    <w:rsid w:val="00315689"/>
    <w:rsid w:val="00315CD0"/>
    <w:rsid w:val="00315F2A"/>
    <w:rsid w:val="003163BC"/>
    <w:rsid w:val="00317410"/>
    <w:rsid w:val="003211CE"/>
    <w:rsid w:val="00321648"/>
    <w:rsid w:val="0032190A"/>
    <w:rsid w:val="00321B6E"/>
    <w:rsid w:val="00322010"/>
    <w:rsid w:val="003225F9"/>
    <w:rsid w:val="00322663"/>
    <w:rsid w:val="00324244"/>
    <w:rsid w:val="00324253"/>
    <w:rsid w:val="00324364"/>
    <w:rsid w:val="003246CB"/>
    <w:rsid w:val="003253B3"/>
    <w:rsid w:val="0032714E"/>
    <w:rsid w:val="00327412"/>
    <w:rsid w:val="00327443"/>
    <w:rsid w:val="00330AB2"/>
    <w:rsid w:val="00330C02"/>
    <w:rsid w:val="00330E17"/>
    <w:rsid w:val="00331421"/>
    <w:rsid w:val="00331C8C"/>
    <w:rsid w:val="0033272C"/>
    <w:rsid w:val="003340E9"/>
    <w:rsid w:val="0033413B"/>
    <w:rsid w:val="0033437A"/>
    <w:rsid w:val="003343C8"/>
    <w:rsid w:val="003343FE"/>
    <w:rsid w:val="003344C3"/>
    <w:rsid w:val="00334599"/>
    <w:rsid w:val="00334CC9"/>
    <w:rsid w:val="00334E8A"/>
    <w:rsid w:val="00335315"/>
    <w:rsid w:val="00335608"/>
    <w:rsid w:val="0033564E"/>
    <w:rsid w:val="00335EAC"/>
    <w:rsid w:val="0033715F"/>
    <w:rsid w:val="003373A2"/>
    <w:rsid w:val="0033751A"/>
    <w:rsid w:val="003377C5"/>
    <w:rsid w:val="00337971"/>
    <w:rsid w:val="00337C84"/>
    <w:rsid w:val="00340A43"/>
    <w:rsid w:val="00340ADB"/>
    <w:rsid w:val="00340DAF"/>
    <w:rsid w:val="003410C6"/>
    <w:rsid w:val="00346141"/>
    <w:rsid w:val="003473A2"/>
    <w:rsid w:val="0034781C"/>
    <w:rsid w:val="00347CF5"/>
    <w:rsid w:val="003509B5"/>
    <w:rsid w:val="00350A8C"/>
    <w:rsid w:val="00350DE4"/>
    <w:rsid w:val="00351E6B"/>
    <w:rsid w:val="00352C2F"/>
    <w:rsid w:val="0035310E"/>
    <w:rsid w:val="003537FD"/>
    <w:rsid w:val="0035403A"/>
    <w:rsid w:val="003548BF"/>
    <w:rsid w:val="00354A5F"/>
    <w:rsid w:val="00355FF3"/>
    <w:rsid w:val="00356983"/>
    <w:rsid w:val="003606A3"/>
    <w:rsid w:val="00360890"/>
    <w:rsid w:val="003614BE"/>
    <w:rsid w:val="00361EF5"/>
    <w:rsid w:val="0036295A"/>
    <w:rsid w:val="0036394B"/>
    <w:rsid w:val="003646C3"/>
    <w:rsid w:val="00366AC7"/>
    <w:rsid w:val="00366DB6"/>
    <w:rsid w:val="003671B0"/>
    <w:rsid w:val="0036724C"/>
    <w:rsid w:val="0036763F"/>
    <w:rsid w:val="003676B0"/>
    <w:rsid w:val="00367E2C"/>
    <w:rsid w:val="00370325"/>
    <w:rsid w:val="003704FD"/>
    <w:rsid w:val="003706AD"/>
    <w:rsid w:val="003709B5"/>
    <w:rsid w:val="00371431"/>
    <w:rsid w:val="003714C5"/>
    <w:rsid w:val="0037156B"/>
    <w:rsid w:val="003716DA"/>
    <w:rsid w:val="003717C4"/>
    <w:rsid w:val="00371BB1"/>
    <w:rsid w:val="00372FD3"/>
    <w:rsid w:val="003735E3"/>
    <w:rsid w:val="00373B17"/>
    <w:rsid w:val="00373EAA"/>
    <w:rsid w:val="003742B8"/>
    <w:rsid w:val="003746DD"/>
    <w:rsid w:val="00374855"/>
    <w:rsid w:val="0037566A"/>
    <w:rsid w:val="003759C2"/>
    <w:rsid w:val="003768E9"/>
    <w:rsid w:val="0037710B"/>
    <w:rsid w:val="00377FCD"/>
    <w:rsid w:val="00380276"/>
    <w:rsid w:val="00380F32"/>
    <w:rsid w:val="00381634"/>
    <w:rsid w:val="00381AAD"/>
    <w:rsid w:val="00382EBE"/>
    <w:rsid w:val="00383AB4"/>
    <w:rsid w:val="00384BFB"/>
    <w:rsid w:val="00385A73"/>
    <w:rsid w:val="00386A9A"/>
    <w:rsid w:val="00387028"/>
    <w:rsid w:val="00387119"/>
    <w:rsid w:val="0038772A"/>
    <w:rsid w:val="003879B8"/>
    <w:rsid w:val="00387A1C"/>
    <w:rsid w:val="00387C27"/>
    <w:rsid w:val="0039014A"/>
    <w:rsid w:val="00390392"/>
    <w:rsid w:val="003908A1"/>
    <w:rsid w:val="00390FE4"/>
    <w:rsid w:val="0039127D"/>
    <w:rsid w:val="0039149C"/>
    <w:rsid w:val="0039155D"/>
    <w:rsid w:val="00391679"/>
    <w:rsid w:val="0039172F"/>
    <w:rsid w:val="003919F1"/>
    <w:rsid w:val="003923CF"/>
    <w:rsid w:val="0039240B"/>
    <w:rsid w:val="003927EE"/>
    <w:rsid w:val="003936AA"/>
    <w:rsid w:val="00393854"/>
    <w:rsid w:val="00393F9F"/>
    <w:rsid w:val="00395DEF"/>
    <w:rsid w:val="00395E9F"/>
    <w:rsid w:val="00396069"/>
    <w:rsid w:val="00396389"/>
    <w:rsid w:val="0039666B"/>
    <w:rsid w:val="00397365"/>
    <w:rsid w:val="00397DA6"/>
    <w:rsid w:val="003A0389"/>
    <w:rsid w:val="003A05F4"/>
    <w:rsid w:val="003A09A2"/>
    <w:rsid w:val="003A0E93"/>
    <w:rsid w:val="003A1451"/>
    <w:rsid w:val="003A1A65"/>
    <w:rsid w:val="003A2487"/>
    <w:rsid w:val="003A31F6"/>
    <w:rsid w:val="003A35EB"/>
    <w:rsid w:val="003A3A6C"/>
    <w:rsid w:val="003A3E98"/>
    <w:rsid w:val="003A4D03"/>
    <w:rsid w:val="003A4D67"/>
    <w:rsid w:val="003A4EE3"/>
    <w:rsid w:val="003A560E"/>
    <w:rsid w:val="003A6C10"/>
    <w:rsid w:val="003A6FE1"/>
    <w:rsid w:val="003A7169"/>
    <w:rsid w:val="003B0097"/>
    <w:rsid w:val="003B07F4"/>
    <w:rsid w:val="003B09F5"/>
    <w:rsid w:val="003B1627"/>
    <w:rsid w:val="003B2C98"/>
    <w:rsid w:val="003B3CE0"/>
    <w:rsid w:val="003B3EF0"/>
    <w:rsid w:val="003B4485"/>
    <w:rsid w:val="003B534A"/>
    <w:rsid w:val="003B5531"/>
    <w:rsid w:val="003B5A66"/>
    <w:rsid w:val="003B60D4"/>
    <w:rsid w:val="003B718A"/>
    <w:rsid w:val="003B79D4"/>
    <w:rsid w:val="003B7A86"/>
    <w:rsid w:val="003B7AE8"/>
    <w:rsid w:val="003B7B0D"/>
    <w:rsid w:val="003C0474"/>
    <w:rsid w:val="003C0F5A"/>
    <w:rsid w:val="003C1186"/>
    <w:rsid w:val="003C156A"/>
    <w:rsid w:val="003C242C"/>
    <w:rsid w:val="003C3447"/>
    <w:rsid w:val="003C4072"/>
    <w:rsid w:val="003C48B7"/>
    <w:rsid w:val="003C52D4"/>
    <w:rsid w:val="003C58C2"/>
    <w:rsid w:val="003C5E2C"/>
    <w:rsid w:val="003C6579"/>
    <w:rsid w:val="003C6738"/>
    <w:rsid w:val="003C6F33"/>
    <w:rsid w:val="003C7D50"/>
    <w:rsid w:val="003C7FA6"/>
    <w:rsid w:val="003D0607"/>
    <w:rsid w:val="003D076C"/>
    <w:rsid w:val="003D099C"/>
    <w:rsid w:val="003D1367"/>
    <w:rsid w:val="003D160E"/>
    <w:rsid w:val="003D1FD8"/>
    <w:rsid w:val="003D26B2"/>
    <w:rsid w:val="003D2D50"/>
    <w:rsid w:val="003D31C1"/>
    <w:rsid w:val="003D32DF"/>
    <w:rsid w:val="003D34F9"/>
    <w:rsid w:val="003D38E3"/>
    <w:rsid w:val="003D3BE5"/>
    <w:rsid w:val="003D6335"/>
    <w:rsid w:val="003D63E6"/>
    <w:rsid w:val="003D68CE"/>
    <w:rsid w:val="003D6C2E"/>
    <w:rsid w:val="003D7123"/>
    <w:rsid w:val="003D7344"/>
    <w:rsid w:val="003E01CE"/>
    <w:rsid w:val="003E0745"/>
    <w:rsid w:val="003E1C9E"/>
    <w:rsid w:val="003E29C9"/>
    <w:rsid w:val="003E3442"/>
    <w:rsid w:val="003E47EE"/>
    <w:rsid w:val="003E489D"/>
    <w:rsid w:val="003E4C33"/>
    <w:rsid w:val="003E51AE"/>
    <w:rsid w:val="003E5626"/>
    <w:rsid w:val="003E5A4D"/>
    <w:rsid w:val="003E5BDE"/>
    <w:rsid w:val="003E5FCF"/>
    <w:rsid w:val="003E69EC"/>
    <w:rsid w:val="003E6AD1"/>
    <w:rsid w:val="003E7112"/>
    <w:rsid w:val="003E7120"/>
    <w:rsid w:val="003E7817"/>
    <w:rsid w:val="003E7875"/>
    <w:rsid w:val="003E78B5"/>
    <w:rsid w:val="003F06BB"/>
    <w:rsid w:val="003F0B23"/>
    <w:rsid w:val="003F136E"/>
    <w:rsid w:val="003F13F5"/>
    <w:rsid w:val="003F1778"/>
    <w:rsid w:val="003F251B"/>
    <w:rsid w:val="003F2923"/>
    <w:rsid w:val="003F3F29"/>
    <w:rsid w:val="003F46A3"/>
    <w:rsid w:val="003F4F6D"/>
    <w:rsid w:val="003F54A4"/>
    <w:rsid w:val="003F55EE"/>
    <w:rsid w:val="003F70F2"/>
    <w:rsid w:val="003F71DF"/>
    <w:rsid w:val="003F77E3"/>
    <w:rsid w:val="003F7F77"/>
    <w:rsid w:val="00400A3D"/>
    <w:rsid w:val="00400DE2"/>
    <w:rsid w:val="004010BC"/>
    <w:rsid w:val="00401992"/>
    <w:rsid w:val="0040199C"/>
    <w:rsid w:val="00401C8D"/>
    <w:rsid w:val="00402C03"/>
    <w:rsid w:val="004035BB"/>
    <w:rsid w:val="00405029"/>
    <w:rsid w:val="00405433"/>
    <w:rsid w:val="0040566D"/>
    <w:rsid w:val="00406D0D"/>
    <w:rsid w:val="00407515"/>
    <w:rsid w:val="0040781C"/>
    <w:rsid w:val="0040783A"/>
    <w:rsid w:val="0040786E"/>
    <w:rsid w:val="00407A25"/>
    <w:rsid w:val="00410552"/>
    <w:rsid w:val="00412D3E"/>
    <w:rsid w:val="004134A5"/>
    <w:rsid w:val="004135D1"/>
    <w:rsid w:val="004139AF"/>
    <w:rsid w:val="004151D9"/>
    <w:rsid w:val="0041597A"/>
    <w:rsid w:val="00415BAB"/>
    <w:rsid w:val="00415C22"/>
    <w:rsid w:val="00415ED2"/>
    <w:rsid w:val="00417358"/>
    <w:rsid w:val="00417EC4"/>
    <w:rsid w:val="004202BD"/>
    <w:rsid w:val="0042068C"/>
    <w:rsid w:val="0042132A"/>
    <w:rsid w:val="00421975"/>
    <w:rsid w:val="00422808"/>
    <w:rsid w:val="00422EEA"/>
    <w:rsid w:val="00423679"/>
    <w:rsid w:val="004237FF"/>
    <w:rsid w:val="00423817"/>
    <w:rsid w:val="004255DF"/>
    <w:rsid w:val="00425A70"/>
    <w:rsid w:val="00425E93"/>
    <w:rsid w:val="00425F7D"/>
    <w:rsid w:val="00426BAB"/>
    <w:rsid w:val="00426BDE"/>
    <w:rsid w:val="004272FF"/>
    <w:rsid w:val="004309BF"/>
    <w:rsid w:val="00431CF3"/>
    <w:rsid w:val="00431DB9"/>
    <w:rsid w:val="00432279"/>
    <w:rsid w:val="00432822"/>
    <w:rsid w:val="004336E0"/>
    <w:rsid w:val="004336F1"/>
    <w:rsid w:val="00435CE4"/>
    <w:rsid w:val="00436359"/>
    <w:rsid w:val="0044009E"/>
    <w:rsid w:val="00440840"/>
    <w:rsid w:val="00440DC7"/>
    <w:rsid w:val="004417F9"/>
    <w:rsid w:val="00441C8E"/>
    <w:rsid w:val="00441FD9"/>
    <w:rsid w:val="004429D9"/>
    <w:rsid w:val="0044318E"/>
    <w:rsid w:val="004431DE"/>
    <w:rsid w:val="00443B35"/>
    <w:rsid w:val="004441E2"/>
    <w:rsid w:val="00444247"/>
    <w:rsid w:val="004457D6"/>
    <w:rsid w:val="00445F1A"/>
    <w:rsid w:val="00446813"/>
    <w:rsid w:val="00446BEE"/>
    <w:rsid w:val="00446C55"/>
    <w:rsid w:val="0044719F"/>
    <w:rsid w:val="0045002C"/>
    <w:rsid w:val="0045009B"/>
    <w:rsid w:val="004508F2"/>
    <w:rsid w:val="00450A9D"/>
    <w:rsid w:val="00450DE5"/>
    <w:rsid w:val="00451303"/>
    <w:rsid w:val="00451326"/>
    <w:rsid w:val="0045178C"/>
    <w:rsid w:val="00451B48"/>
    <w:rsid w:val="00451EE2"/>
    <w:rsid w:val="00451EFF"/>
    <w:rsid w:val="00451F60"/>
    <w:rsid w:val="00452577"/>
    <w:rsid w:val="004526AC"/>
    <w:rsid w:val="0045293D"/>
    <w:rsid w:val="00453055"/>
    <w:rsid w:val="004534D2"/>
    <w:rsid w:val="00453C71"/>
    <w:rsid w:val="00453E61"/>
    <w:rsid w:val="0045463B"/>
    <w:rsid w:val="004557E4"/>
    <w:rsid w:val="00455DAE"/>
    <w:rsid w:val="00455E26"/>
    <w:rsid w:val="00456622"/>
    <w:rsid w:val="00456912"/>
    <w:rsid w:val="00457049"/>
    <w:rsid w:val="00457689"/>
    <w:rsid w:val="004579A7"/>
    <w:rsid w:val="00460C2D"/>
    <w:rsid w:val="00461362"/>
    <w:rsid w:val="0046146A"/>
    <w:rsid w:val="00461628"/>
    <w:rsid w:val="00461B9E"/>
    <w:rsid w:val="00461D9A"/>
    <w:rsid w:val="004629A8"/>
    <w:rsid w:val="00463540"/>
    <w:rsid w:val="00463EF3"/>
    <w:rsid w:val="004649C0"/>
    <w:rsid w:val="00465E41"/>
    <w:rsid w:val="00466988"/>
    <w:rsid w:val="00467694"/>
    <w:rsid w:val="00467D10"/>
    <w:rsid w:val="00467D31"/>
    <w:rsid w:val="00470634"/>
    <w:rsid w:val="00470705"/>
    <w:rsid w:val="00470915"/>
    <w:rsid w:val="0047092D"/>
    <w:rsid w:val="00470F7B"/>
    <w:rsid w:val="0047122B"/>
    <w:rsid w:val="00472125"/>
    <w:rsid w:val="0047346C"/>
    <w:rsid w:val="00473B7A"/>
    <w:rsid w:val="00474922"/>
    <w:rsid w:val="00475A5D"/>
    <w:rsid w:val="00475AFA"/>
    <w:rsid w:val="00476CF6"/>
    <w:rsid w:val="004771D9"/>
    <w:rsid w:val="00480D2F"/>
    <w:rsid w:val="004816CC"/>
    <w:rsid w:val="00481D82"/>
    <w:rsid w:val="00481F5D"/>
    <w:rsid w:val="0048216C"/>
    <w:rsid w:val="004821BC"/>
    <w:rsid w:val="00482942"/>
    <w:rsid w:val="004829F6"/>
    <w:rsid w:val="00482D44"/>
    <w:rsid w:val="004836D4"/>
    <w:rsid w:val="00483D96"/>
    <w:rsid w:val="004846C7"/>
    <w:rsid w:val="00485536"/>
    <w:rsid w:val="004856EF"/>
    <w:rsid w:val="004857EB"/>
    <w:rsid w:val="00485CA3"/>
    <w:rsid w:val="00485DBF"/>
    <w:rsid w:val="00487081"/>
    <w:rsid w:val="00490CC9"/>
    <w:rsid w:val="00490E5A"/>
    <w:rsid w:val="00491F86"/>
    <w:rsid w:val="0049218A"/>
    <w:rsid w:val="00492C4A"/>
    <w:rsid w:val="00492ECE"/>
    <w:rsid w:val="00493A74"/>
    <w:rsid w:val="00494EA1"/>
    <w:rsid w:val="00495E55"/>
    <w:rsid w:val="00495EFD"/>
    <w:rsid w:val="004960E9"/>
    <w:rsid w:val="00497384"/>
    <w:rsid w:val="00497DC9"/>
    <w:rsid w:val="004A0B80"/>
    <w:rsid w:val="004A221B"/>
    <w:rsid w:val="004A2E88"/>
    <w:rsid w:val="004A3BDC"/>
    <w:rsid w:val="004A47FA"/>
    <w:rsid w:val="004A5305"/>
    <w:rsid w:val="004A6144"/>
    <w:rsid w:val="004A6D92"/>
    <w:rsid w:val="004A716C"/>
    <w:rsid w:val="004A73D6"/>
    <w:rsid w:val="004B132B"/>
    <w:rsid w:val="004B13C6"/>
    <w:rsid w:val="004B21A5"/>
    <w:rsid w:val="004B2667"/>
    <w:rsid w:val="004B26AA"/>
    <w:rsid w:val="004B31D3"/>
    <w:rsid w:val="004B32C1"/>
    <w:rsid w:val="004B41C9"/>
    <w:rsid w:val="004B55AA"/>
    <w:rsid w:val="004B5722"/>
    <w:rsid w:val="004B5B63"/>
    <w:rsid w:val="004B68F4"/>
    <w:rsid w:val="004B6FE8"/>
    <w:rsid w:val="004B7259"/>
    <w:rsid w:val="004B7792"/>
    <w:rsid w:val="004B7F05"/>
    <w:rsid w:val="004B7FAF"/>
    <w:rsid w:val="004C0257"/>
    <w:rsid w:val="004C0311"/>
    <w:rsid w:val="004C0564"/>
    <w:rsid w:val="004C05BC"/>
    <w:rsid w:val="004C2B46"/>
    <w:rsid w:val="004C3072"/>
    <w:rsid w:val="004C415D"/>
    <w:rsid w:val="004C485A"/>
    <w:rsid w:val="004C536A"/>
    <w:rsid w:val="004C5419"/>
    <w:rsid w:val="004C5DCB"/>
    <w:rsid w:val="004C687E"/>
    <w:rsid w:val="004C75F9"/>
    <w:rsid w:val="004C7A31"/>
    <w:rsid w:val="004C7E54"/>
    <w:rsid w:val="004D040D"/>
    <w:rsid w:val="004D182B"/>
    <w:rsid w:val="004D1AB9"/>
    <w:rsid w:val="004D2163"/>
    <w:rsid w:val="004D2400"/>
    <w:rsid w:val="004D328C"/>
    <w:rsid w:val="004D355C"/>
    <w:rsid w:val="004D4B8C"/>
    <w:rsid w:val="004D5A3A"/>
    <w:rsid w:val="004D6BC4"/>
    <w:rsid w:val="004D72B2"/>
    <w:rsid w:val="004D74C5"/>
    <w:rsid w:val="004D7634"/>
    <w:rsid w:val="004E0AC3"/>
    <w:rsid w:val="004E1214"/>
    <w:rsid w:val="004E196A"/>
    <w:rsid w:val="004E1BDA"/>
    <w:rsid w:val="004E339B"/>
    <w:rsid w:val="004E37B7"/>
    <w:rsid w:val="004E410F"/>
    <w:rsid w:val="004E4511"/>
    <w:rsid w:val="004E5514"/>
    <w:rsid w:val="004E55D4"/>
    <w:rsid w:val="004E5EAA"/>
    <w:rsid w:val="004E611A"/>
    <w:rsid w:val="004E6452"/>
    <w:rsid w:val="004E650C"/>
    <w:rsid w:val="004E79D3"/>
    <w:rsid w:val="004E7C6D"/>
    <w:rsid w:val="004E7D8C"/>
    <w:rsid w:val="004E7F8F"/>
    <w:rsid w:val="004F0852"/>
    <w:rsid w:val="004F165C"/>
    <w:rsid w:val="004F177E"/>
    <w:rsid w:val="004F17CA"/>
    <w:rsid w:val="004F1E0C"/>
    <w:rsid w:val="004F373D"/>
    <w:rsid w:val="004F3DF8"/>
    <w:rsid w:val="004F4FCA"/>
    <w:rsid w:val="004F5343"/>
    <w:rsid w:val="004F5B86"/>
    <w:rsid w:val="004F5F72"/>
    <w:rsid w:val="004F6360"/>
    <w:rsid w:val="004F6460"/>
    <w:rsid w:val="004F70B9"/>
    <w:rsid w:val="004F73B4"/>
    <w:rsid w:val="005010CF"/>
    <w:rsid w:val="00501AAD"/>
    <w:rsid w:val="00501B46"/>
    <w:rsid w:val="00501FD9"/>
    <w:rsid w:val="0050222B"/>
    <w:rsid w:val="00502946"/>
    <w:rsid w:val="005029C4"/>
    <w:rsid w:val="00503B34"/>
    <w:rsid w:val="0050436B"/>
    <w:rsid w:val="005044C6"/>
    <w:rsid w:val="00504A0F"/>
    <w:rsid w:val="00504D18"/>
    <w:rsid w:val="00505FC9"/>
    <w:rsid w:val="00505FE2"/>
    <w:rsid w:val="00506AFF"/>
    <w:rsid w:val="00506E54"/>
    <w:rsid w:val="00507DC6"/>
    <w:rsid w:val="00507F0B"/>
    <w:rsid w:val="00510115"/>
    <w:rsid w:val="00510668"/>
    <w:rsid w:val="0051095E"/>
    <w:rsid w:val="00510C24"/>
    <w:rsid w:val="005118A2"/>
    <w:rsid w:val="0051288E"/>
    <w:rsid w:val="00512B25"/>
    <w:rsid w:val="00513117"/>
    <w:rsid w:val="00514280"/>
    <w:rsid w:val="00514DE5"/>
    <w:rsid w:val="00514EC2"/>
    <w:rsid w:val="0051596E"/>
    <w:rsid w:val="00515CAA"/>
    <w:rsid w:val="00515D56"/>
    <w:rsid w:val="0051635B"/>
    <w:rsid w:val="00516E25"/>
    <w:rsid w:val="00517400"/>
    <w:rsid w:val="00517659"/>
    <w:rsid w:val="00517AC0"/>
    <w:rsid w:val="00517BCE"/>
    <w:rsid w:val="00517ECD"/>
    <w:rsid w:val="00520A3C"/>
    <w:rsid w:val="00521271"/>
    <w:rsid w:val="00521367"/>
    <w:rsid w:val="0052144F"/>
    <w:rsid w:val="00521497"/>
    <w:rsid w:val="00521637"/>
    <w:rsid w:val="00521746"/>
    <w:rsid w:val="00521AEF"/>
    <w:rsid w:val="00522D1F"/>
    <w:rsid w:val="00523A96"/>
    <w:rsid w:val="00524167"/>
    <w:rsid w:val="00525389"/>
    <w:rsid w:val="00525697"/>
    <w:rsid w:val="00525AEE"/>
    <w:rsid w:val="005263F5"/>
    <w:rsid w:val="00526A6A"/>
    <w:rsid w:val="00526C8C"/>
    <w:rsid w:val="0052720E"/>
    <w:rsid w:val="0052725A"/>
    <w:rsid w:val="005300D3"/>
    <w:rsid w:val="0053058C"/>
    <w:rsid w:val="00532074"/>
    <w:rsid w:val="005327EB"/>
    <w:rsid w:val="005333C9"/>
    <w:rsid w:val="00533511"/>
    <w:rsid w:val="00533BF6"/>
    <w:rsid w:val="0053520D"/>
    <w:rsid w:val="00536925"/>
    <w:rsid w:val="00537499"/>
    <w:rsid w:val="00537956"/>
    <w:rsid w:val="005402A5"/>
    <w:rsid w:val="005407C8"/>
    <w:rsid w:val="0054109E"/>
    <w:rsid w:val="00542A10"/>
    <w:rsid w:val="00543038"/>
    <w:rsid w:val="0054335B"/>
    <w:rsid w:val="005439F7"/>
    <w:rsid w:val="00543B0C"/>
    <w:rsid w:val="00544F82"/>
    <w:rsid w:val="00545317"/>
    <w:rsid w:val="00545DA9"/>
    <w:rsid w:val="005460E7"/>
    <w:rsid w:val="00546568"/>
    <w:rsid w:val="0054673A"/>
    <w:rsid w:val="00546CD5"/>
    <w:rsid w:val="00547E18"/>
    <w:rsid w:val="005509D2"/>
    <w:rsid w:val="00550FF3"/>
    <w:rsid w:val="00551C12"/>
    <w:rsid w:val="00552988"/>
    <w:rsid w:val="005532D5"/>
    <w:rsid w:val="005537F9"/>
    <w:rsid w:val="00553F3C"/>
    <w:rsid w:val="00554C96"/>
    <w:rsid w:val="00554CEA"/>
    <w:rsid w:val="005556FC"/>
    <w:rsid w:val="00555BA6"/>
    <w:rsid w:val="00555E24"/>
    <w:rsid w:val="00555F0E"/>
    <w:rsid w:val="00557262"/>
    <w:rsid w:val="005604B9"/>
    <w:rsid w:val="00560A68"/>
    <w:rsid w:val="005628C1"/>
    <w:rsid w:val="00562E7C"/>
    <w:rsid w:val="0056379B"/>
    <w:rsid w:val="00563C43"/>
    <w:rsid w:val="00563E79"/>
    <w:rsid w:val="0056428B"/>
    <w:rsid w:val="00564B67"/>
    <w:rsid w:val="00564B8B"/>
    <w:rsid w:val="00564EDF"/>
    <w:rsid w:val="0056570C"/>
    <w:rsid w:val="00566685"/>
    <w:rsid w:val="0056668A"/>
    <w:rsid w:val="005673AC"/>
    <w:rsid w:val="00567BC9"/>
    <w:rsid w:val="00570CC7"/>
    <w:rsid w:val="005711EC"/>
    <w:rsid w:val="00571229"/>
    <w:rsid w:val="005714A3"/>
    <w:rsid w:val="0057197A"/>
    <w:rsid w:val="00571C46"/>
    <w:rsid w:val="00571D26"/>
    <w:rsid w:val="00574008"/>
    <w:rsid w:val="00574AD7"/>
    <w:rsid w:val="005750F5"/>
    <w:rsid w:val="005764BA"/>
    <w:rsid w:val="00576EED"/>
    <w:rsid w:val="0057707D"/>
    <w:rsid w:val="00577185"/>
    <w:rsid w:val="0058059D"/>
    <w:rsid w:val="005807F5"/>
    <w:rsid w:val="00581AFE"/>
    <w:rsid w:val="00582BC2"/>
    <w:rsid w:val="00583A32"/>
    <w:rsid w:val="0058433C"/>
    <w:rsid w:val="005843A4"/>
    <w:rsid w:val="00584EFA"/>
    <w:rsid w:val="005851B8"/>
    <w:rsid w:val="00585CF8"/>
    <w:rsid w:val="00585EEC"/>
    <w:rsid w:val="00586135"/>
    <w:rsid w:val="00586CF2"/>
    <w:rsid w:val="005875E1"/>
    <w:rsid w:val="00587F3E"/>
    <w:rsid w:val="005908B9"/>
    <w:rsid w:val="00590B8B"/>
    <w:rsid w:val="00590FA3"/>
    <w:rsid w:val="005912D1"/>
    <w:rsid w:val="0059145D"/>
    <w:rsid w:val="005917E2"/>
    <w:rsid w:val="00591CF1"/>
    <w:rsid w:val="005922D0"/>
    <w:rsid w:val="005929C7"/>
    <w:rsid w:val="00593C43"/>
    <w:rsid w:val="00593C4F"/>
    <w:rsid w:val="005943AA"/>
    <w:rsid w:val="00594609"/>
    <w:rsid w:val="005946A8"/>
    <w:rsid w:val="00595129"/>
    <w:rsid w:val="0059537B"/>
    <w:rsid w:val="005A01FB"/>
    <w:rsid w:val="005A0E0C"/>
    <w:rsid w:val="005A32ED"/>
    <w:rsid w:val="005A35ED"/>
    <w:rsid w:val="005A3E1C"/>
    <w:rsid w:val="005A4407"/>
    <w:rsid w:val="005A4EDB"/>
    <w:rsid w:val="005A55B0"/>
    <w:rsid w:val="005A59EF"/>
    <w:rsid w:val="005A5B8B"/>
    <w:rsid w:val="005A5DF6"/>
    <w:rsid w:val="005A648D"/>
    <w:rsid w:val="005A6BDC"/>
    <w:rsid w:val="005A6E65"/>
    <w:rsid w:val="005B0ABE"/>
    <w:rsid w:val="005B1C7E"/>
    <w:rsid w:val="005B2095"/>
    <w:rsid w:val="005B2098"/>
    <w:rsid w:val="005B2CF0"/>
    <w:rsid w:val="005B6CB3"/>
    <w:rsid w:val="005B6E70"/>
    <w:rsid w:val="005C00E9"/>
    <w:rsid w:val="005C0F45"/>
    <w:rsid w:val="005C11D6"/>
    <w:rsid w:val="005C1C67"/>
    <w:rsid w:val="005C2146"/>
    <w:rsid w:val="005C2300"/>
    <w:rsid w:val="005C368B"/>
    <w:rsid w:val="005C36C6"/>
    <w:rsid w:val="005C3BAA"/>
    <w:rsid w:val="005C51B8"/>
    <w:rsid w:val="005C5450"/>
    <w:rsid w:val="005C54FD"/>
    <w:rsid w:val="005C5986"/>
    <w:rsid w:val="005C6976"/>
    <w:rsid w:val="005C772C"/>
    <w:rsid w:val="005C7781"/>
    <w:rsid w:val="005C77FA"/>
    <w:rsid w:val="005C798B"/>
    <w:rsid w:val="005D0151"/>
    <w:rsid w:val="005D0888"/>
    <w:rsid w:val="005D0A73"/>
    <w:rsid w:val="005D0C07"/>
    <w:rsid w:val="005D1C05"/>
    <w:rsid w:val="005D1DE8"/>
    <w:rsid w:val="005D1E4F"/>
    <w:rsid w:val="005D3126"/>
    <w:rsid w:val="005D31B9"/>
    <w:rsid w:val="005D352F"/>
    <w:rsid w:val="005D405A"/>
    <w:rsid w:val="005D40F0"/>
    <w:rsid w:val="005D4A35"/>
    <w:rsid w:val="005D502E"/>
    <w:rsid w:val="005D533D"/>
    <w:rsid w:val="005D5BC6"/>
    <w:rsid w:val="005D5EFD"/>
    <w:rsid w:val="005D5F64"/>
    <w:rsid w:val="005D700C"/>
    <w:rsid w:val="005D7162"/>
    <w:rsid w:val="005D7530"/>
    <w:rsid w:val="005E05CF"/>
    <w:rsid w:val="005E07AF"/>
    <w:rsid w:val="005E2B7C"/>
    <w:rsid w:val="005E3DB5"/>
    <w:rsid w:val="005E4190"/>
    <w:rsid w:val="005E4914"/>
    <w:rsid w:val="005E6234"/>
    <w:rsid w:val="005E6BEE"/>
    <w:rsid w:val="005F023D"/>
    <w:rsid w:val="005F1E60"/>
    <w:rsid w:val="005F3244"/>
    <w:rsid w:val="005F3416"/>
    <w:rsid w:val="005F39BD"/>
    <w:rsid w:val="005F39CA"/>
    <w:rsid w:val="005F4F95"/>
    <w:rsid w:val="005F502F"/>
    <w:rsid w:val="005F526D"/>
    <w:rsid w:val="005F64C9"/>
    <w:rsid w:val="005F6F41"/>
    <w:rsid w:val="005F7013"/>
    <w:rsid w:val="00601487"/>
    <w:rsid w:val="00601DDF"/>
    <w:rsid w:val="00601F10"/>
    <w:rsid w:val="00602D1B"/>
    <w:rsid w:val="0060532A"/>
    <w:rsid w:val="00605DA0"/>
    <w:rsid w:val="00605DA7"/>
    <w:rsid w:val="0060679E"/>
    <w:rsid w:val="006073BB"/>
    <w:rsid w:val="0060783E"/>
    <w:rsid w:val="006102A4"/>
    <w:rsid w:val="00610A14"/>
    <w:rsid w:val="0061112B"/>
    <w:rsid w:val="0061181E"/>
    <w:rsid w:val="00611B5C"/>
    <w:rsid w:val="006123DD"/>
    <w:rsid w:val="00612F66"/>
    <w:rsid w:val="00613302"/>
    <w:rsid w:val="00613932"/>
    <w:rsid w:val="006140AF"/>
    <w:rsid w:val="00614138"/>
    <w:rsid w:val="00614509"/>
    <w:rsid w:val="0061581B"/>
    <w:rsid w:val="006166B9"/>
    <w:rsid w:val="00616B17"/>
    <w:rsid w:val="00617169"/>
    <w:rsid w:val="00617BE6"/>
    <w:rsid w:val="00617D77"/>
    <w:rsid w:val="00620164"/>
    <w:rsid w:val="006203E4"/>
    <w:rsid w:val="0062074E"/>
    <w:rsid w:val="00620F71"/>
    <w:rsid w:val="00621736"/>
    <w:rsid w:val="00621E04"/>
    <w:rsid w:val="00622376"/>
    <w:rsid w:val="00622D5C"/>
    <w:rsid w:val="00623032"/>
    <w:rsid w:val="006236DF"/>
    <w:rsid w:val="00623929"/>
    <w:rsid w:val="00623ACD"/>
    <w:rsid w:val="00624A80"/>
    <w:rsid w:val="00624AF6"/>
    <w:rsid w:val="006259EB"/>
    <w:rsid w:val="00625BCF"/>
    <w:rsid w:val="00625D9F"/>
    <w:rsid w:val="00625DC6"/>
    <w:rsid w:val="006263B4"/>
    <w:rsid w:val="0062729D"/>
    <w:rsid w:val="00627335"/>
    <w:rsid w:val="006273C8"/>
    <w:rsid w:val="00627E29"/>
    <w:rsid w:val="00630A9A"/>
    <w:rsid w:val="006310C9"/>
    <w:rsid w:val="006314A1"/>
    <w:rsid w:val="006327E7"/>
    <w:rsid w:val="00632871"/>
    <w:rsid w:val="00632D20"/>
    <w:rsid w:val="00632DA8"/>
    <w:rsid w:val="0063513B"/>
    <w:rsid w:val="0063563E"/>
    <w:rsid w:val="00635B22"/>
    <w:rsid w:val="00635B25"/>
    <w:rsid w:val="0063602D"/>
    <w:rsid w:val="00636783"/>
    <w:rsid w:val="00636835"/>
    <w:rsid w:val="00637465"/>
    <w:rsid w:val="00637B06"/>
    <w:rsid w:val="00637F1B"/>
    <w:rsid w:val="006400D5"/>
    <w:rsid w:val="006402E5"/>
    <w:rsid w:val="00641554"/>
    <w:rsid w:val="006428D4"/>
    <w:rsid w:val="0064343E"/>
    <w:rsid w:val="0064391D"/>
    <w:rsid w:val="00644E86"/>
    <w:rsid w:val="006456FE"/>
    <w:rsid w:val="00645742"/>
    <w:rsid w:val="00645BF9"/>
    <w:rsid w:val="006460A5"/>
    <w:rsid w:val="00646756"/>
    <w:rsid w:val="00646967"/>
    <w:rsid w:val="00647AAE"/>
    <w:rsid w:val="006502EC"/>
    <w:rsid w:val="0065035C"/>
    <w:rsid w:val="006508AB"/>
    <w:rsid w:val="00650D7D"/>
    <w:rsid w:val="00651154"/>
    <w:rsid w:val="0065134A"/>
    <w:rsid w:val="006516F4"/>
    <w:rsid w:val="00651821"/>
    <w:rsid w:val="00651BBF"/>
    <w:rsid w:val="00651C8E"/>
    <w:rsid w:val="006528E5"/>
    <w:rsid w:val="00652B8C"/>
    <w:rsid w:val="00653410"/>
    <w:rsid w:val="00653D45"/>
    <w:rsid w:val="00653FE0"/>
    <w:rsid w:val="00654384"/>
    <w:rsid w:val="00654D23"/>
    <w:rsid w:val="006561FF"/>
    <w:rsid w:val="0065686C"/>
    <w:rsid w:val="00656A24"/>
    <w:rsid w:val="00657B06"/>
    <w:rsid w:val="00660613"/>
    <w:rsid w:val="0066063C"/>
    <w:rsid w:val="0066187A"/>
    <w:rsid w:val="006622B2"/>
    <w:rsid w:val="00662A64"/>
    <w:rsid w:val="00662D71"/>
    <w:rsid w:val="00663B7D"/>
    <w:rsid w:val="00664318"/>
    <w:rsid w:val="0066496C"/>
    <w:rsid w:val="00664F8D"/>
    <w:rsid w:val="00665050"/>
    <w:rsid w:val="0066576A"/>
    <w:rsid w:val="00665DA8"/>
    <w:rsid w:val="00665F3D"/>
    <w:rsid w:val="0066666A"/>
    <w:rsid w:val="0066675D"/>
    <w:rsid w:val="00666999"/>
    <w:rsid w:val="00666A1D"/>
    <w:rsid w:val="00666D82"/>
    <w:rsid w:val="006675CD"/>
    <w:rsid w:val="00667AD5"/>
    <w:rsid w:val="00667BDF"/>
    <w:rsid w:val="00671E5C"/>
    <w:rsid w:val="00672092"/>
    <w:rsid w:val="0067238D"/>
    <w:rsid w:val="00672517"/>
    <w:rsid w:val="006740B2"/>
    <w:rsid w:val="00674313"/>
    <w:rsid w:val="006747D5"/>
    <w:rsid w:val="00675985"/>
    <w:rsid w:val="00676724"/>
    <w:rsid w:val="00677E6A"/>
    <w:rsid w:val="00680BFA"/>
    <w:rsid w:val="00680C6F"/>
    <w:rsid w:val="00682A2F"/>
    <w:rsid w:val="0068360C"/>
    <w:rsid w:val="00683EB3"/>
    <w:rsid w:val="00684578"/>
    <w:rsid w:val="00684D9B"/>
    <w:rsid w:val="0068510A"/>
    <w:rsid w:val="00685152"/>
    <w:rsid w:val="00685BCB"/>
    <w:rsid w:val="00685EE6"/>
    <w:rsid w:val="00690CEF"/>
    <w:rsid w:val="006918A8"/>
    <w:rsid w:val="00691FFB"/>
    <w:rsid w:val="0069245B"/>
    <w:rsid w:val="00693449"/>
    <w:rsid w:val="00694071"/>
    <w:rsid w:val="006943B4"/>
    <w:rsid w:val="006948FC"/>
    <w:rsid w:val="00694E6C"/>
    <w:rsid w:val="006952D0"/>
    <w:rsid w:val="00695534"/>
    <w:rsid w:val="00696F9D"/>
    <w:rsid w:val="00697556"/>
    <w:rsid w:val="006978F7"/>
    <w:rsid w:val="006A02D7"/>
    <w:rsid w:val="006A0476"/>
    <w:rsid w:val="006A1CA8"/>
    <w:rsid w:val="006A1EB6"/>
    <w:rsid w:val="006A2808"/>
    <w:rsid w:val="006A2E41"/>
    <w:rsid w:val="006A2EDF"/>
    <w:rsid w:val="006A3BF0"/>
    <w:rsid w:val="006A3C82"/>
    <w:rsid w:val="006A4146"/>
    <w:rsid w:val="006A4993"/>
    <w:rsid w:val="006A4BBD"/>
    <w:rsid w:val="006A524E"/>
    <w:rsid w:val="006A577C"/>
    <w:rsid w:val="006A5A1A"/>
    <w:rsid w:val="006A5EB3"/>
    <w:rsid w:val="006A616B"/>
    <w:rsid w:val="006A72C7"/>
    <w:rsid w:val="006B0670"/>
    <w:rsid w:val="006B1433"/>
    <w:rsid w:val="006B191E"/>
    <w:rsid w:val="006B1FD1"/>
    <w:rsid w:val="006B1FDF"/>
    <w:rsid w:val="006B2EF5"/>
    <w:rsid w:val="006B4081"/>
    <w:rsid w:val="006B4168"/>
    <w:rsid w:val="006B4560"/>
    <w:rsid w:val="006B4647"/>
    <w:rsid w:val="006B4C2B"/>
    <w:rsid w:val="006B5445"/>
    <w:rsid w:val="006B5DFE"/>
    <w:rsid w:val="006B6139"/>
    <w:rsid w:val="006B6194"/>
    <w:rsid w:val="006B661E"/>
    <w:rsid w:val="006B671F"/>
    <w:rsid w:val="006B6D47"/>
    <w:rsid w:val="006B7078"/>
    <w:rsid w:val="006B719A"/>
    <w:rsid w:val="006B7359"/>
    <w:rsid w:val="006C0679"/>
    <w:rsid w:val="006C0E65"/>
    <w:rsid w:val="006C1DDA"/>
    <w:rsid w:val="006C1FD7"/>
    <w:rsid w:val="006C28E5"/>
    <w:rsid w:val="006C2D31"/>
    <w:rsid w:val="006C2D8E"/>
    <w:rsid w:val="006C39C5"/>
    <w:rsid w:val="006C3E16"/>
    <w:rsid w:val="006C4912"/>
    <w:rsid w:val="006C4AB6"/>
    <w:rsid w:val="006C551B"/>
    <w:rsid w:val="006C5A3C"/>
    <w:rsid w:val="006C5AFE"/>
    <w:rsid w:val="006C5F0F"/>
    <w:rsid w:val="006C7715"/>
    <w:rsid w:val="006C7AF6"/>
    <w:rsid w:val="006C7C20"/>
    <w:rsid w:val="006C7F6B"/>
    <w:rsid w:val="006D05E8"/>
    <w:rsid w:val="006D093B"/>
    <w:rsid w:val="006D1ED8"/>
    <w:rsid w:val="006D2747"/>
    <w:rsid w:val="006D2F90"/>
    <w:rsid w:val="006D30B1"/>
    <w:rsid w:val="006D3371"/>
    <w:rsid w:val="006D34D8"/>
    <w:rsid w:val="006D35FE"/>
    <w:rsid w:val="006D499A"/>
    <w:rsid w:val="006D4C57"/>
    <w:rsid w:val="006D5773"/>
    <w:rsid w:val="006D5E04"/>
    <w:rsid w:val="006E0A54"/>
    <w:rsid w:val="006E155D"/>
    <w:rsid w:val="006E1EEA"/>
    <w:rsid w:val="006E243D"/>
    <w:rsid w:val="006E24A7"/>
    <w:rsid w:val="006E38F5"/>
    <w:rsid w:val="006E4298"/>
    <w:rsid w:val="006E4C15"/>
    <w:rsid w:val="006E5FC3"/>
    <w:rsid w:val="006E6B54"/>
    <w:rsid w:val="006F0D35"/>
    <w:rsid w:val="006F2302"/>
    <w:rsid w:val="006F268E"/>
    <w:rsid w:val="006F2AB6"/>
    <w:rsid w:val="006F2EC8"/>
    <w:rsid w:val="006F33A3"/>
    <w:rsid w:val="006F352D"/>
    <w:rsid w:val="006F38C6"/>
    <w:rsid w:val="006F3950"/>
    <w:rsid w:val="006F3970"/>
    <w:rsid w:val="006F3ADA"/>
    <w:rsid w:val="006F4824"/>
    <w:rsid w:val="006F51FB"/>
    <w:rsid w:val="006F56D0"/>
    <w:rsid w:val="006F5E13"/>
    <w:rsid w:val="006F63C8"/>
    <w:rsid w:val="006F6886"/>
    <w:rsid w:val="006F6D95"/>
    <w:rsid w:val="006F7CFE"/>
    <w:rsid w:val="00701544"/>
    <w:rsid w:val="007018C5"/>
    <w:rsid w:val="00702937"/>
    <w:rsid w:val="00703F67"/>
    <w:rsid w:val="00705F15"/>
    <w:rsid w:val="00705F85"/>
    <w:rsid w:val="00706073"/>
    <w:rsid w:val="00706179"/>
    <w:rsid w:val="00706F13"/>
    <w:rsid w:val="007072E8"/>
    <w:rsid w:val="007074B2"/>
    <w:rsid w:val="007076FB"/>
    <w:rsid w:val="00707ED5"/>
    <w:rsid w:val="007106C9"/>
    <w:rsid w:val="00710CBC"/>
    <w:rsid w:val="00710FF1"/>
    <w:rsid w:val="0071113C"/>
    <w:rsid w:val="00711E2F"/>
    <w:rsid w:val="0071234E"/>
    <w:rsid w:val="007127EF"/>
    <w:rsid w:val="007134B4"/>
    <w:rsid w:val="0071352A"/>
    <w:rsid w:val="00713C72"/>
    <w:rsid w:val="00714A31"/>
    <w:rsid w:val="0071618D"/>
    <w:rsid w:val="00717A21"/>
    <w:rsid w:val="00717FED"/>
    <w:rsid w:val="00720AE2"/>
    <w:rsid w:val="00720E2E"/>
    <w:rsid w:val="0072116F"/>
    <w:rsid w:val="00721534"/>
    <w:rsid w:val="00721A52"/>
    <w:rsid w:val="00721D5B"/>
    <w:rsid w:val="00721EAE"/>
    <w:rsid w:val="007222A3"/>
    <w:rsid w:val="00722B3D"/>
    <w:rsid w:val="00722C3B"/>
    <w:rsid w:val="00723714"/>
    <w:rsid w:val="00723868"/>
    <w:rsid w:val="00723CF0"/>
    <w:rsid w:val="0072463D"/>
    <w:rsid w:val="00724792"/>
    <w:rsid w:val="00724A10"/>
    <w:rsid w:val="00724C58"/>
    <w:rsid w:val="00725E4D"/>
    <w:rsid w:val="00725FA4"/>
    <w:rsid w:val="00727584"/>
    <w:rsid w:val="007275E4"/>
    <w:rsid w:val="00727B2C"/>
    <w:rsid w:val="00730302"/>
    <w:rsid w:val="00730AF6"/>
    <w:rsid w:val="00730FC6"/>
    <w:rsid w:val="00731534"/>
    <w:rsid w:val="007321AA"/>
    <w:rsid w:val="00732367"/>
    <w:rsid w:val="007323B5"/>
    <w:rsid w:val="00732B59"/>
    <w:rsid w:val="00732D18"/>
    <w:rsid w:val="00732E0B"/>
    <w:rsid w:val="00732FDC"/>
    <w:rsid w:val="00733A84"/>
    <w:rsid w:val="00733D26"/>
    <w:rsid w:val="00733DD7"/>
    <w:rsid w:val="00733FD7"/>
    <w:rsid w:val="007340CC"/>
    <w:rsid w:val="00734187"/>
    <w:rsid w:val="00734190"/>
    <w:rsid w:val="00734C73"/>
    <w:rsid w:val="007351C6"/>
    <w:rsid w:val="007359D7"/>
    <w:rsid w:val="00736832"/>
    <w:rsid w:val="00736FF3"/>
    <w:rsid w:val="00737714"/>
    <w:rsid w:val="00740446"/>
    <w:rsid w:val="00740BDD"/>
    <w:rsid w:val="00740C95"/>
    <w:rsid w:val="007438A9"/>
    <w:rsid w:val="00743AD7"/>
    <w:rsid w:val="00743E7F"/>
    <w:rsid w:val="007443FC"/>
    <w:rsid w:val="0074441A"/>
    <w:rsid w:val="0074450F"/>
    <w:rsid w:val="0074491E"/>
    <w:rsid w:val="00744ACD"/>
    <w:rsid w:val="00745C85"/>
    <w:rsid w:val="00745F15"/>
    <w:rsid w:val="007461A1"/>
    <w:rsid w:val="0074654F"/>
    <w:rsid w:val="00746E56"/>
    <w:rsid w:val="0074749F"/>
    <w:rsid w:val="00747D06"/>
    <w:rsid w:val="00750305"/>
    <w:rsid w:val="007505BC"/>
    <w:rsid w:val="007511E4"/>
    <w:rsid w:val="007522EC"/>
    <w:rsid w:val="0075466B"/>
    <w:rsid w:val="00754C8D"/>
    <w:rsid w:val="00755178"/>
    <w:rsid w:val="0075578E"/>
    <w:rsid w:val="007565D2"/>
    <w:rsid w:val="00756ABB"/>
    <w:rsid w:val="00757039"/>
    <w:rsid w:val="007602F3"/>
    <w:rsid w:val="00760D67"/>
    <w:rsid w:val="0076163F"/>
    <w:rsid w:val="0076247A"/>
    <w:rsid w:val="00762FB0"/>
    <w:rsid w:val="00763072"/>
    <w:rsid w:val="00763175"/>
    <w:rsid w:val="00763381"/>
    <w:rsid w:val="00763E9C"/>
    <w:rsid w:val="007640A2"/>
    <w:rsid w:val="007659FF"/>
    <w:rsid w:val="0076612D"/>
    <w:rsid w:val="0076625D"/>
    <w:rsid w:val="007663CF"/>
    <w:rsid w:val="007668F7"/>
    <w:rsid w:val="0076706C"/>
    <w:rsid w:val="00767391"/>
    <w:rsid w:val="00767858"/>
    <w:rsid w:val="007705CD"/>
    <w:rsid w:val="00770886"/>
    <w:rsid w:val="00770FAA"/>
    <w:rsid w:val="00771B7C"/>
    <w:rsid w:val="00772A04"/>
    <w:rsid w:val="00773294"/>
    <w:rsid w:val="0077377A"/>
    <w:rsid w:val="00773E66"/>
    <w:rsid w:val="007740FB"/>
    <w:rsid w:val="00774313"/>
    <w:rsid w:val="007748D0"/>
    <w:rsid w:val="00774ABE"/>
    <w:rsid w:val="0077576D"/>
    <w:rsid w:val="00775964"/>
    <w:rsid w:val="0077639F"/>
    <w:rsid w:val="007765FE"/>
    <w:rsid w:val="007766B3"/>
    <w:rsid w:val="00777138"/>
    <w:rsid w:val="00777163"/>
    <w:rsid w:val="00781E1A"/>
    <w:rsid w:val="00783CA6"/>
    <w:rsid w:val="00784889"/>
    <w:rsid w:val="00785678"/>
    <w:rsid w:val="00785E4F"/>
    <w:rsid w:val="00786730"/>
    <w:rsid w:val="00787906"/>
    <w:rsid w:val="00787E5A"/>
    <w:rsid w:val="00790375"/>
    <w:rsid w:val="007910F2"/>
    <w:rsid w:val="007914FE"/>
    <w:rsid w:val="007928B7"/>
    <w:rsid w:val="00792C88"/>
    <w:rsid w:val="007930DA"/>
    <w:rsid w:val="0079349B"/>
    <w:rsid w:val="00793623"/>
    <w:rsid w:val="00793C5D"/>
    <w:rsid w:val="00793FA6"/>
    <w:rsid w:val="00794E2E"/>
    <w:rsid w:val="00795373"/>
    <w:rsid w:val="00795BFB"/>
    <w:rsid w:val="00797CE3"/>
    <w:rsid w:val="00797DBC"/>
    <w:rsid w:val="00797E3E"/>
    <w:rsid w:val="007A060C"/>
    <w:rsid w:val="007A1930"/>
    <w:rsid w:val="007A1FE8"/>
    <w:rsid w:val="007A428E"/>
    <w:rsid w:val="007A51BC"/>
    <w:rsid w:val="007A5822"/>
    <w:rsid w:val="007A594A"/>
    <w:rsid w:val="007A5E57"/>
    <w:rsid w:val="007A6AB0"/>
    <w:rsid w:val="007A6CEF"/>
    <w:rsid w:val="007A7544"/>
    <w:rsid w:val="007B0DBC"/>
    <w:rsid w:val="007B0FAC"/>
    <w:rsid w:val="007B100F"/>
    <w:rsid w:val="007B1184"/>
    <w:rsid w:val="007B1CF5"/>
    <w:rsid w:val="007B2760"/>
    <w:rsid w:val="007B2D30"/>
    <w:rsid w:val="007B2D4C"/>
    <w:rsid w:val="007B2D55"/>
    <w:rsid w:val="007B353E"/>
    <w:rsid w:val="007B39D7"/>
    <w:rsid w:val="007B3B15"/>
    <w:rsid w:val="007B3B7A"/>
    <w:rsid w:val="007B3DC2"/>
    <w:rsid w:val="007B4336"/>
    <w:rsid w:val="007B53E9"/>
    <w:rsid w:val="007B564B"/>
    <w:rsid w:val="007B5A1A"/>
    <w:rsid w:val="007B5CF2"/>
    <w:rsid w:val="007B601C"/>
    <w:rsid w:val="007B6903"/>
    <w:rsid w:val="007B6C0B"/>
    <w:rsid w:val="007B71EE"/>
    <w:rsid w:val="007B73FC"/>
    <w:rsid w:val="007B77CE"/>
    <w:rsid w:val="007B78ED"/>
    <w:rsid w:val="007B7ACF"/>
    <w:rsid w:val="007C0A8E"/>
    <w:rsid w:val="007C127E"/>
    <w:rsid w:val="007C1B10"/>
    <w:rsid w:val="007C2407"/>
    <w:rsid w:val="007C2DAA"/>
    <w:rsid w:val="007C2DC0"/>
    <w:rsid w:val="007C2EB9"/>
    <w:rsid w:val="007C585E"/>
    <w:rsid w:val="007C5B24"/>
    <w:rsid w:val="007C60D0"/>
    <w:rsid w:val="007C636C"/>
    <w:rsid w:val="007C679C"/>
    <w:rsid w:val="007C79E3"/>
    <w:rsid w:val="007D1D55"/>
    <w:rsid w:val="007D2F21"/>
    <w:rsid w:val="007D3138"/>
    <w:rsid w:val="007D3C39"/>
    <w:rsid w:val="007D3ECB"/>
    <w:rsid w:val="007D49D7"/>
    <w:rsid w:val="007D4B87"/>
    <w:rsid w:val="007D4E4D"/>
    <w:rsid w:val="007D5817"/>
    <w:rsid w:val="007D688D"/>
    <w:rsid w:val="007D69D2"/>
    <w:rsid w:val="007D6B92"/>
    <w:rsid w:val="007D7D17"/>
    <w:rsid w:val="007E09A4"/>
    <w:rsid w:val="007E1112"/>
    <w:rsid w:val="007E23F1"/>
    <w:rsid w:val="007E331A"/>
    <w:rsid w:val="007E3430"/>
    <w:rsid w:val="007E3D47"/>
    <w:rsid w:val="007E4390"/>
    <w:rsid w:val="007E47AA"/>
    <w:rsid w:val="007E4A8E"/>
    <w:rsid w:val="007E52FB"/>
    <w:rsid w:val="007E53C7"/>
    <w:rsid w:val="007E5792"/>
    <w:rsid w:val="007E5AC9"/>
    <w:rsid w:val="007E5B81"/>
    <w:rsid w:val="007E6265"/>
    <w:rsid w:val="007E66B1"/>
    <w:rsid w:val="007E6772"/>
    <w:rsid w:val="007E6B4D"/>
    <w:rsid w:val="007E71A4"/>
    <w:rsid w:val="007E72CE"/>
    <w:rsid w:val="007E7A97"/>
    <w:rsid w:val="007F0460"/>
    <w:rsid w:val="007F1280"/>
    <w:rsid w:val="007F1A49"/>
    <w:rsid w:val="007F2732"/>
    <w:rsid w:val="007F2D9F"/>
    <w:rsid w:val="007F355C"/>
    <w:rsid w:val="007F4A2F"/>
    <w:rsid w:val="007F54DB"/>
    <w:rsid w:val="007F61EC"/>
    <w:rsid w:val="007F6527"/>
    <w:rsid w:val="007F6598"/>
    <w:rsid w:val="007F6845"/>
    <w:rsid w:val="007F6A81"/>
    <w:rsid w:val="007F6C99"/>
    <w:rsid w:val="007F77FE"/>
    <w:rsid w:val="007F7C1B"/>
    <w:rsid w:val="00800D21"/>
    <w:rsid w:val="00801F33"/>
    <w:rsid w:val="00802584"/>
    <w:rsid w:val="00802E44"/>
    <w:rsid w:val="00803071"/>
    <w:rsid w:val="008032F4"/>
    <w:rsid w:val="00803388"/>
    <w:rsid w:val="0080401E"/>
    <w:rsid w:val="008042C8"/>
    <w:rsid w:val="008043BB"/>
    <w:rsid w:val="00804D2E"/>
    <w:rsid w:val="00804D6F"/>
    <w:rsid w:val="00804DE5"/>
    <w:rsid w:val="0080638E"/>
    <w:rsid w:val="00806C01"/>
    <w:rsid w:val="0081014E"/>
    <w:rsid w:val="00810456"/>
    <w:rsid w:val="008109A6"/>
    <w:rsid w:val="00810A93"/>
    <w:rsid w:val="00811BEE"/>
    <w:rsid w:val="00811D3E"/>
    <w:rsid w:val="008120B2"/>
    <w:rsid w:val="00812BAE"/>
    <w:rsid w:val="00813B37"/>
    <w:rsid w:val="008148CC"/>
    <w:rsid w:val="00814E22"/>
    <w:rsid w:val="008167FC"/>
    <w:rsid w:val="00817678"/>
    <w:rsid w:val="00817731"/>
    <w:rsid w:val="008209DD"/>
    <w:rsid w:val="00820E70"/>
    <w:rsid w:val="008211A4"/>
    <w:rsid w:val="00821986"/>
    <w:rsid w:val="008221CC"/>
    <w:rsid w:val="00822313"/>
    <w:rsid w:val="0082264D"/>
    <w:rsid w:val="00822961"/>
    <w:rsid w:val="0082304A"/>
    <w:rsid w:val="0082311D"/>
    <w:rsid w:val="008237CA"/>
    <w:rsid w:val="008251BC"/>
    <w:rsid w:val="00826E96"/>
    <w:rsid w:val="00826FBE"/>
    <w:rsid w:val="008276D9"/>
    <w:rsid w:val="00827DCB"/>
    <w:rsid w:val="00830603"/>
    <w:rsid w:val="00830A69"/>
    <w:rsid w:val="00830FF0"/>
    <w:rsid w:val="0083140E"/>
    <w:rsid w:val="0083169C"/>
    <w:rsid w:val="008318F6"/>
    <w:rsid w:val="008319E5"/>
    <w:rsid w:val="00831A7D"/>
    <w:rsid w:val="008324DF"/>
    <w:rsid w:val="00832A68"/>
    <w:rsid w:val="008331F2"/>
    <w:rsid w:val="0083340A"/>
    <w:rsid w:val="00834EFB"/>
    <w:rsid w:val="00835CB1"/>
    <w:rsid w:val="00837AD4"/>
    <w:rsid w:val="00837FD6"/>
    <w:rsid w:val="008405D2"/>
    <w:rsid w:val="00841C6A"/>
    <w:rsid w:val="00841D80"/>
    <w:rsid w:val="00842049"/>
    <w:rsid w:val="00842644"/>
    <w:rsid w:val="00842BF3"/>
    <w:rsid w:val="00843144"/>
    <w:rsid w:val="00843734"/>
    <w:rsid w:val="00843A08"/>
    <w:rsid w:val="00843DAD"/>
    <w:rsid w:val="008441EF"/>
    <w:rsid w:val="00845754"/>
    <w:rsid w:val="00845BAD"/>
    <w:rsid w:val="0084642E"/>
    <w:rsid w:val="0084693A"/>
    <w:rsid w:val="00847A87"/>
    <w:rsid w:val="00850643"/>
    <w:rsid w:val="0085094C"/>
    <w:rsid w:val="00850F2F"/>
    <w:rsid w:val="008510DD"/>
    <w:rsid w:val="008511DC"/>
    <w:rsid w:val="00851340"/>
    <w:rsid w:val="00851B06"/>
    <w:rsid w:val="00851E8C"/>
    <w:rsid w:val="00852ACA"/>
    <w:rsid w:val="00854203"/>
    <w:rsid w:val="00855406"/>
    <w:rsid w:val="00855DE4"/>
    <w:rsid w:val="0085640E"/>
    <w:rsid w:val="008567D4"/>
    <w:rsid w:val="0085730D"/>
    <w:rsid w:val="0085773A"/>
    <w:rsid w:val="00860886"/>
    <w:rsid w:val="0086104E"/>
    <w:rsid w:val="00861829"/>
    <w:rsid w:val="008625B3"/>
    <w:rsid w:val="00862C4C"/>
    <w:rsid w:val="00862E48"/>
    <w:rsid w:val="00863A37"/>
    <w:rsid w:val="00863AB8"/>
    <w:rsid w:val="00864C35"/>
    <w:rsid w:val="00864F48"/>
    <w:rsid w:val="008665E5"/>
    <w:rsid w:val="008670D0"/>
    <w:rsid w:val="00870417"/>
    <w:rsid w:val="0087090F"/>
    <w:rsid w:val="00871130"/>
    <w:rsid w:val="0087143B"/>
    <w:rsid w:val="0087145F"/>
    <w:rsid w:val="00871641"/>
    <w:rsid w:val="00873150"/>
    <w:rsid w:val="00873E50"/>
    <w:rsid w:val="00873F4F"/>
    <w:rsid w:val="00873FF9"/>
    <w:rsid w:val="00874329"/>
    <w:rsid w:val="00874613"/>
    <w:rsid w:val="008757AB"/>
    <w:rsid w:val="00875B5E"/>
    <w:rsid w:val="00875D52"/>
    <w:rsid w:val="00876557"/>
    <w:rsid w:val="0087657D"/>
    <w:rsid w:val="0087730D"/>
    <w:rsid w:val="008773A0"/>
    <w:rsid w:val="008807D5"/>
    <w:rsid w:val="00880832"/>
    <w:rsid w:val="00881031"/>
    <w:rsid w:val="00881A25"/>
    <w:rsid w:val="00881D1F"/>
    <w:rsid w:val="00882592"/>
    <w:rsid w:val="0088261E"/>
    <w:rsid w:val="00883659"/>
    <w:rsid w:val="0088369F"/>
    <w:rsid w:val="008836A4"/>
    <w:rsid w:val="00884D80"/>
    <w:rsid w:val="00886047"/>
    <w:rsid w:val="00886D19"/>
    <w:rsid w:val="00886EE1"/>
    <w:rsid w:val="0088717A"/>
    <w:rsid w:val="0088727D"/>
    <w:rsid w:val="008877B5"/>
    <w:rsid w:val="00887C49"/>
    <w:rsid w:val="00887F31"/>
    <w:rsid w:val="008902C7"/>
    <w:rsid w:val="00890320"/>
    <w:rsid w:val="00890546"/>
    <w:rsid w:val="00892528"/>
    <w:rsid w:val="0089291A"/>
    <w:rsid w:val="00892A07"/>
    <w:rsid w:val="00892F2C"/>
    <w:rsid w:val="0089340F"/>
    <w:rsid w:val="008944D2"/>
    <w:rsid w:val="008945BF"/>
    <w:rsid w:val="00894B89"/>
    <w:rsid w:val="00894C52"/>
    <w:rsid w:val="00894EF3"/>
    <w:rsid w:val="00895326"/>
    <w:rsid w:val="00896B06"/>
    <w:rsid w:val="00896F62"/>
    <w:rsid w:val="0089779F"/>
    <w:rsid w:val="00897C27"/>
    <w:rsid w:val="00897C75"/>
    <w:rsid w:val="008A0F70"/>
    <w:rsid w:val="008A0FDB"/>
    <w:rsid w:val="008A1221"/>
    <w:rsid w:val="008A1461"/>
    <w:rsid w:val="008A1EDB"/>
    <w:rsid w:val="008A2565"/>
    <w:rsid w:val="008A28A9"/>
    <w:rsid w:val="008A3CD8"/>
    <w:rsid w:val="008A3FCC"/>
    <w:rsid w:val="008A4148"/>
    <w:rsid w:val="008A4BD9"/>
    <w:rsid w:val="008A6101"/>
    <w:rsid w:val="008A6264"/>
    <w:rsid w:val="008A62FD"/>
    <w:rsid w:val="008A66C8"/>
    <w:rsid w:val="008A6BE9"/>
    <w:rsid w:val="008A7669"/>
    <w:rsid w:val="008B0DB5"/>
    <w:rsid w:val="008B1869"/>
    <w:rsid w:val="008B21A6"/>
    <w:rsid w:val="008B220B"/>
    <w:rsid w:val="008B23B8"/>
    <w:rsid w:val="008B2CEF"/>
    <w:rsid w:val="008B2EAF"/>
    <w:rsid w:val="008B3AEF"/>
    <w:rsid w:val="008B3DAA"/>
    <w:rsid w:val="008B502D"/>
    <w:rsid w:val="008B61E5"/>
    <w:rsid w:val="008B6760"/>
    <w:rsid w:val="008B6CFD"/>
    <w:rsid w:val="008B75EA"/>
    <w:rsid w:val="008B7D90"/>
    <w:rsid w:val="008C1097"/>
    <w:rsid w:val="008C1130"/>
    <w:rsid w:val="008C133D"/>
    <w:rsid w:val="008C13FC"/>
    <w:rsid w:val="008C18D3"/>
    <w:rsid w:val="008C1914"/>
    <w:rsid w:val="008C193F"/>
    <w:rsid w:val="008C3591"/>
    <w:rsid w:val="008C43F5"/>
    <w:rsid w:val="008C4BA9"/>
    <w:rsid w:val="008C52CE"/>
    <w:rsid w:val="008C5419"/>
    <w:rsid w:val="008C54CC"/>
    <w:rsid w:val="008C6406"/>
    <w:rsid w:val="008C6D97"/>
    <w:rsid w:val="008C6F1F"/>
    <w:rsid w:val="008C7A64"/>
    <w:rsid w:val="008C7D4D"/>
    <w:rsid w:val="008C7DA8"/>
    <w:rsid w:val="008D01AC"/>
    <w:rsid w:val="008D0647"/>
    <w:rsid w:val="008D13D1"/>
    <w:rsid w:val="008D18E6"/>
    <w:rsid w:val="008D1DC5"/>
    <w:rsid w:val="008D263A"/>
    <w:rsid w:val="008D2C6D"/>
    <w:rsid w:val="008D3144"/>
    <w:rsid w:val="008D3502"/>
    <w:rsid w:val="008D3613"/>
    <w:rsid w:val="008D4375"/>
    <w:rsid w:val="008D43D5"/>
    <w:rsid w:val="008D6D03"/>
    <w:rsid w:val="008D7A9B"/>
    <w:rsid w:val="008E0060"/>
    <w:rsid w:val="008E02C2"/>
    <w:rsid w:val="008E0F2A"/>
    <w:rsid w:val="008E121C"/>
    <w:rsid w:val="008E1E53"/>
    <w:rsid w:val="008E3926"/>
    <w:rsid w:val="008E3BC5"/>
    <w:rsid w:val="008E3FB9"/>
    <w:rsid w:val="008E4655"/>
    <w:rsid w:val="008E4F4C"/>
    <w:rsid w:val="008E57B9"/>
    <w:rsid w:val="008E6687"/>
    <w:rsid w:val="008E6D31"/>
    <w:rsid w:val="008E6EEF"/>
    <w:rsid w:val="008E7091"/>
    <w:rsid w:val="008E76AC"/>
    <w:rsid w:val="008E76D4"/>
    <w:rsid w:val="008F03AC"/>
    <w:rsid w:val="008F048F"/>
    <w:rsid w:val="008F09C6"/>
    <w:rsid w:val="008F1341"/>
    <w:rsid w:val="008F18B2"/>
    <w:rsid w:val="008F19E5"/>
    <w:rsid w:val="008F1EB1"/>
    <w:rsid w:val="008F1FDC"/>
    <w:rsid w:val="008F21F6"/>
    <w:rsid w:val="008F28D8"/>
    <w:rsid w:val="008F2B1B"/>
    <w:rsid w:val="008F2EB0"/>
    <w:rsid w:val="008F38A4"/>
    <w:rsid w:val="008F3E80"/>
    <w:rsid w:val="008F4468"/>
    <w:rsid w:val="008F44D5"/>
    <w:rsid w:val="008F63A8"/>
    <w:rsid w:val="008F6652"/>
    <w:rsid w:val="008F6EF8"/>
    <w:rsid w:val="008F6FA2"/>
    <w:rsid w:val="008F70D7"/>
    <w:rsid w:val="008F72E0"/>
    <w:rsid w:val="008F76EA"/>
    <w:rsid w:val="008F798E"/>
    <w:rsid w:val="00900B63"/>
    <w:rsid w:val="00900D5E"/>
    <w:rsid w:val="00900E75"/>
    <w:rsid w:val="009013BC"/>
    <w:rsid w:val="00901457"/>
    <w:rsid w:val="0090190E"/>
    <w:rsid w:val="0090198A"/>
    <w:rsid w:val="00901A82"/>
    <w:rsid w:val="00901DFC"/>
    <w:rsid w:val="00902F64"/>
    <w:rsid w:val="00903386"/>
    <w:rsid w:val="0090352C"/>
    <w:rsid w:val="009049C5"/>
    <w:rsid w:val="00904A12"/>
    <w:rsid w:val="0090513F"/>
    <w:rsid w:val="00906A2D"/>
    <w:rsid w:val="009113F1"/>
    <w:rsid w:val="00911464"/>
    <w:rsid w:val="00911CC7"/>
    <w:rsid w:val="00911F4D"/>
    <w:rsid w:val="0091359D"/>
    <w:rsid w:val="00913C85"/>
    <w:rsid w:val="00913D46"/>
    <w:rsid w:val="00914F06"/>
    <w:rsid w:val="00916086"/>
    <w:rsid w:val="00916874"/>
    <w:rsid w:val="00917201"/>
    <w:rsid w:val="00917367"/>
    <w:rsid w:val="00917C84"/>
    <w:rsid w:val="00920663"/>
    <w:rsid w:val="00920CF6"/>
    <w:rsid w:val="00921680"/>
    <w:rsid w:val="00921834"/>
    <w:rsid w:val="00921A1F"/>
    <w:rsid w:val="00921F0F"/>
    <w:rsid w:val="00923B14"/>
    <w:rsid w:val="0092537D"/>
    <w:rsid w:val="00925993"/>
    <w:rsid w:val="00926475"/>
    <w:rsid w:val="00926D40"/>
    <w:rsid w:val="00930543"/>
    <w:rsid w:val="00931ADD"/>
    <w:rsid w:val="00931E01"/>
    <w:rsid w:val="0093297A"/>
    <w:rsid w:val="00932B77"/>
    <w:rsid w:val="00933220"/>
    <w:rsid w:val="00933B57"/>
    <w:rsid w:val="00933B8D"/>
    <w:rsid w:val="00935218"/>
    <w:rsid w:val="00936488"/>
    <w:rsid w:val="009364F2"/>
    <w:rsid w:val="009370B1"/>
    <w:rsid w:val="009371CC"/>
    <w:rsid w:val="00937EE8"/>
    <w:rsid w:val="00940606"/>
    <w:rsid w:val="00940768"/>
    <w:rsid w:val="009407B5"/>
    <w:rsid w:val="009410AA"/>
    <w:rsid w:val="0094147E"/>
    <w:rsid w:val="009420DA"/>
    <w:rsid w:val="00942327"/>
    <w:rsid w:val="009427D5"/>
    <w:rsid w:val="0094299F"/>
    <w:rsid w:val="00943053"/>
    <w:rsid w:val="00943072"/>
    <w:rsid w:val="00943CA7"/>
    <w:rsid w:val="00943E31"/>
    <w:rsid w:val="00944E53"/>
    <w:rsid w:val="0094513B"/>
    <w:rsid w:val="00945454"/>
    <w:rsid w:val="009454E9"/>
    <w:rsid w:val="0094621B"/>
    <w:rsid w:val="00946A76"/>
    <w:rsid w:val="00946D72"/>
    <w:rsid w:val="00947973"/>
    <w:rsid w:val="00950BFC"/>
    <w:rsid w:val="0095183F"/>
    <w:rsid w:val="00951925"/>
    <w:rsid w:val="00951AF0"/>
    <w:rsid w:val="00951C06"/>
    <w:rsid w:val="00951EB7"/>
    <w:rsid w:val="00951F79"/>
    <w:rsid w:val="009524E2"/>
    <w:rsid w:val="009529A6"/>
    <w:rsid w:val="00954404"/>
    <w:rsid w:val="00954971"/>
    <w:rsid w:val="00954C36"/>
    <w:rsid w:val="00954EB1"/>
    <w:rsid w:val="00955F64"/>
    <w:rsid w:val="009561C0"/>
    <w:rsid w:val="00956203"/>
    <w:rsid w:val="00957503"/>
    <w:rsid w:val="00960823"/>
    <w:rsid w:val="00961195"/>
    <w:rsid w:val="00961EAC"/>
    <w:rsid w:val="0096279C"/>
    <w:rsid w:val="00962E31"/>
    <w:rsid w:val="0096342A"/>
    <w:rsid w:val="0096494C"/>
    <w:rsid w:val="00964BE8"/>
    <w:rsid w:val="0096528C"/>
    <w:rsid w:val="00966740"/>
    <w:rsid w:val="00966827"/>
    <w:rsid w:val="00966D7C"/>
    <w:rsid w:val="00967498"/>
    <w:rsid w:val="009703FA"/>
    <w:rsid w:val="00971B12"/>
    <w:rsid w:val="00971CC1"/>
    <w:rsid w:val="009733BB"/>
    <w:rsid w:val="009746EB"/>
    <w:rsid w:val="0097499D"/>
    <w:rsid w:val="00974AB5"/>
    <w:rsid w:val="00975624"/>
    <w:rsid w:val="009761E1"/>
    <w:rsid w:val="00976E3F"/>
    <w:rsid w:val="00976EC7"/>
    <w:rsid w:val="00976FD7"/>
    <w:rsid w:val="00977680"/>
    <w:rsid w:val="00977AEB"/>
    <w:rsid w:val="009820D7"/>
    <w:rsid w:val="00982408"/>
    <w:rsid w:val="00982701"/>
    <w:rsid w:val="0098286E"/>
    <w:rsid w:val="00982A7B"/>
    <w:rsid w:val="00982E74"/>
    <w:rsid w:val="00982F70"/>
    <w:rsid w:val="00982FE1"/>
    <w:rsid w:val="0098368D"/>
    <w:rsid w:val="0098425B"/>
    <w:rsid w:val="009843A8"/>
    <w:rsid w:val="0098445E"/>
    <w:rsid w:val="009844C9"/>
    <w:rsid w:val="00984C3F"/>
    <w:rsid w:val="009851BF"/>
    <w:rsid w:val="009851CD"/>
    <w:rsid w:val="0098525F"/>
    <w:rsid w:val="00985782"/>
    <w:rsid w:val="00986A5E"/>
    <w:rsid w:val="00986D33"/>
    <w:rsid w:val="00986E5B"/>
    <w:rsid w:val="0098706D"/>
    <w:rsid w:val="0098709A"/>
    <w:rsid w:val="0098744A"/>
    <w:rsid w:val="009875D0"/>
    <w:rsid w:val="0098764A"/>
    <w:rsid w:val="00990685"/>
    <w:rsid w:val="00991445"/>
    <w:rsid w:val="009915D6"/>
    <w:rsid w:val="00991B54"/>
    <w:rsid w:val="00992953"/>
    <w:rsid w:val="0099354A"/>
    <w:rsid w:val="009935FB"/>
    <w:rsid w:val="00993E50"/>
    <w:rsid w:val="00995D7E"/>
    <w:rsid w:val="00996465"/>
    <w:rsid w:val="00996C5B"/>
    <w:rsid w:val="00996E66"/>
    <w:rsid w:val="009971F5"/>
    <w:rsid w:val="00997985"/>
    <w:rsid w:val="00997E69"/>
    <w:rsid w:val="00997E70"/>
    <w:rsid w:val="009A0187"/>
    <w:rsid w:val="009A0748"/>
    <w:rsid w:val="009A0B12"/>
    <w:rsid w:val="009A235E"/>
    <w:rsid w:val="009A272D"/>
    <w:rsid w:val="009A3076"/>
    <w:rsid w:val="009A3C4E"/>
    <w:rsid w:val="009A3DAA"/>
    <w:rsid w:val="009A4D1C"/>
    <w:rsid w:val="009A4F41"/>
    <w:rsid w:val="009A5812"/>
    <w:rsid w:val="009A5BAA"/>
    <w:rsid w:val="009A6462"/>
    <w:rsid w:val="009A77FC"/>
    <w:rsid w:val="009B079A"/>
    <w:rsid w:val="009B104B"/>
    <w:rsid w:val="009B1328"/>
    <w:rsid w:val="009B2383"/>
    <w:rsid w:val="009B283D"/>
    <w:rsid w:val="009B303D"/>
    <w:rsid w:val="009B33F6"/>
    <w:rsid w:val="009B44D7"/>
    <w:rsid w:val="009B45B2"/>
    <w:rsid w:val="009B4C25"/>
    <w:rsid w:val="009B4CB8"/>
    <w:rsid w:val="009B4F8D"/>
    <w:rsid w:val="009B5752"/>
    <w:rsid w:val="009B57F5"/>
    <w:rsid w:val="009B5878"/>
    <w:rsid w:val="009B6410"/>
    <w:rsid w:val="009B646A"/>
    <w:rsid w:val="009B64AC"/>
    <w:rsid w:val="009B6938"/>
    <w:rsid w:val="009B6BDF"/>
    <w:rsid w:val="009C00FA"/>
    <w:rsid w:val="009C0686"/>
    <w:rsid w:val="009C0BED"/>
    <w:rsid w:val="009C152D"/>
    <w:rsid w:val="009C15AD"/>
    <w:rsid w:val="009C167B"/>
    <w:rsid w:val="009C17A6"/>
    <w:rsid w:val="009C17D3"/>
    <w:rsid w:val="009C1933"/>
    <w:rsid w:val="009C19CF"/>
    <w:rsid w:val="009C2AF0"/>
    <w:rsid w:val="009C2B57"/>
    <w:rsid w:val="009C3DB8"/>
    <w:rsid w:val="009C422B"/>
    <w:rsid w:val="009C4537"/>
    <w:rsid w:val="009C4A7A"/>
    <w:rsid w:val="009C51C4"/>
    <w:rsid w:val="009C57EA"/>
    <w:rsid w:val="009C5D2D"/>
    <w:rsid w:val="009C66F0"/>
    <w:rsid w:val="009C6CD0"/>
    <w:rsid w:val="009C6FF8"/>
    <w:rsid w:val="009C71DA"/>
    <w:rsid w:val="009C7500"/>
    <w:rsid w:val="009C7987"/>
    <w:rsid w:val="009C7E1C"/>
    <w:rsid w:val="009C7F29"/>
    <w:rsid w:val="009D02EA"/>
    <w:rsid w:val="009D0307"/>
    <w:rsid w:val="009D0843"/>
    <w:rsid w:val="009D0F79"/>
    <w:rsid w:val="009D191F"/>
    <w:rsid w:val="009D1F4D"/>
    <w:rsid w:val="009D22C0"/>
    <w:rsid w:val="009D24DB"/>
    <w:rsid w:val="009D261C"/>
    <w:rsid w:val="009D28E9"/>
    <w:rsid w:val="009D2A09"/>
    <w:rsid w:val="009D4626"/>
    <w:rsid w:val="009D469E"/>
    <w:rsid w:val="009D4C93"/>
    <w:rsid w:val="009D5565"/>
    <w:rsid w:val="009D64BE"/>
    <w:rsid w:val="009D7050"/>
    <w:rsid w:val="009D70BD"/>
    <w:rsid w:val="009D75F9"/>
    <w:rsid w:val="009E06C2"/>
    <w:rsid w:val="009E07DF"/>
    <w:rsid w:val="009E0A18"/>
    <w:rsid w:val="009E1320"/>
    <w:rsid w:val="009E1EB8"/>
    <w:rsid w:val="009E3023"/>
    <w:rsid w:val="009E3840"/>
    <w:rsid w:val="009E3D1C"/>
    <w:rsid w:val="009E459C"/>
    <w:rsid w:val="009E5113"/>
    <w:rsid w:val="009E5521"/>
    <w:rsid w:val="009E5968"/>
    <w:rsid w:val="009E5BC5"/>
    <w:rsid w:val="009E5D1D"/>
    <w:rsid w:val="009E6156"/>
    <w:rsid w:val="009E7190"/>
    <w:rsid w:val="009E7922"/>
    <w:rsid w:val="009E7D62"/>
    <w:rsid w:val="009F0489"/>
    <w:rsid w:val="009F0CCC"/>
    <w:rsid w:val="009F10FD"/>
    <w:rsid w:val="009F15BD"/>
    <w:rsid w:val="009F23A1"/>
    <w:rsid w:val="009F252B"/>
    <w:rsid w:val="009F34D9"/>
    <w:rsid w:val="009F3C2F"/>
    <w:rsid w:val="009F404D"/>
    <w:rsid w:val="009F457C"/>
    <w:rsid w:val="009F47C9"/>
    <w:rsid w:val="009F47F4"/>
    <w:rsid w:val="009F4A54"/>
    <w:rsid w:val="009F4BEC"/>
    <w:rsid w:val="009F4F37"/>
    <w:rsid w:val="009F553B"/>
    <w:rsid w:val="009F5874"/>
    <w:rsid w:val="009F59FE"/>
    <w:rsid w:val="009F6532"/>
    <w:rsid w:val="009F7CCD"/>
    <w:rsid w:val="00A00C9D"/>
    <w:rsid w:val="00A01B91"/>
    <w:rsid w:val="00A01BB3"/>
    <w:rsid w:val="00A02886"/>
    <w:rsid w:val="00A043FB"/>
    <w:rsid w:val="00A045AB"/>
    <w:rsid w:val="00A04D18"/>
    <w:rsid w:val="00A0515F"/>
    <w:rsid w:val="00A0606B"/>
    <w:rsid w:val="00A061FC"/>
    <w:rsid w:val="00A06943"/>
    <w:rsid w:val="00A06C25"/>
    <w:rsid w:val="00A0708C"/>
    <w:rsid w:val="00A07643"/>
    <w:rsid w:val="00A07CC1"/>
    <w:rsid w:val="00A10393"/>
    <w:rsid w:val="00A10857"/>
    <w:rsid w:val="00A11450"/>
    <w:rsid w:val="00A11576"/>
    <w:rsid w:val="00A12211"/>
    <w:rsid w:val="00A122C5"/>
    <w:rsid w:val="00A12893"/>
    <w:rsid w:val="00A1439A"/>
    <w:rsid w:val="00A144D4"/>
    <w:rsid w:val="00A1450F"/>
    <w:rsid w:val="00A169DC"/>
    <w:rsid w:val="00A16ABA"/>
    <w:rsid w:val="00A16ECA"/>
    <w:rsid w:val="00A1740F"/>
    <w:rsid w:val="00A176B2"/>
    <w:rsid w:val="00A1772B"/>
    <w:rsid w:val="00A21930"/>
    <w:rsid w:val="00A2261B"/>
    <w:rsid w:val="00A22BC4"/>
    <w:rsid w:val="00A2380C"/>
    <w:rsid w:val="00A23964"/>
    <w:rsid w:val="00A23ADF"/>
    <w:rsid w:val="00A23D13"/>
    <w:rsid w:val="00A23DA6"/>
    <w:rsid w:val="00A240CB"/>
    <w:rsid w:val="00A242DE"/>
    <w:rsid w:val="00A2447F"/>
    <w:rsid w:val="00A2482E"/>
    <w:rsid w:val="00A24CB4"/>
    <w:rsid w:val="00A25341"/>
    <w:rsid w:val="00A25FD7"/>
    <w:rsid w:val="00A263AC"/>
    <w:rsid w:val="00A26975"/>
    <w:rsid w:val="00A26AF4"/>
    <w:rsid w:val="00A26DEA"/>
    <w:rsid w:val="00A26F27"/>
    <w:rsid w:val="00A27683"/>
    <w:rsid w:val="00A324C5"/>
    <w:rsid w:val="00A34797"/>
    <w:rsid w:val="00A35A72"/>
    <w:rsid w:val="00A36333"/>
    <w:rsid w:val="00A366F9"/>
    <w:rsid w:val="00A37064"/>
    <w:rsid w:val="00A3741F"/>
    <w:rsid w:val="00A3756D"/>
    <w:rsid w:val="00A3773C"/>
    <w:rsid w:val="00A40314"/>
    <w:rsid w:val="00A40669"/>
    <w:rsid w:val="00A406BE"/>
    <w:rsid w:val="00A407C0"/>
    <w:rsid w:val="00A40880"/>
    <w:rsid w:val="00A40F12"/>
    <w:rsid w:val="00A424E6"/>
    <w:rsid w:val="00A42718"/>
    <w:rsid w:val="00A43041"/>
    <w:rsid w:val="00A43AFF"/>
    <w:rsid w:val="00A44A5A"/>
    <w:rsid w:val="00A44EEE"/>
    <w:rsid w:val="00A4514F"/>
    <w:rsid w:val="00A454E3"/>
    <w:rsid w:val="00A458BF"/>
    <w:rsid w:val="00A45FFB"/>
    <w:rsid w:val="00A46303"/>
    <w:rsid w:val="00A46F1A"/>
    <w:rsid w:val="00A50814"/>
    <w:rsid w:val="00A50932"/>
    <w:rsid w:val="00A50F78"/>
    <w:rsid w:val="00A515DA"/>
    <w:rsid w:val="00A51DA4"/>
    <w:rsid w:val="00A52D39"/>
    <w:rsid w:val="00A53109"/>
    <w:rsid w:val="00A532D3"/>
    <w:rsid w:val="00A537A1"/>
    <w:rsid w:val="00A5449F"/>
    <w:rsid w:val="00A54624"/>
    <w:rsid w:val="00A55000"/>
    <w:rsid w:val="00A55DBA"/>
    <w:rsid w:val="00A565AC"/>
    <w:rsid w:val="00A56798"/>
    <w:rsid w:val="00A57479"/>
    <w:rsid w:val="00A60C76"/>
    <w:rsid w:val="00A60F91"/>
    <w:rsid w:val="00A61324"/>
    <w:rsid w:val="00A619C0"/>
    <w:rsid w:val="00A62020"/>
    <w:rsid w:val="00A62334"/>
    <w:rsid w:val="00A6247F"/>
    <w:rsid w:val="00A62CF6"/>
    <w:rsid w:val="00A6330C"/>
    <w:rsid w:val="00A6411B"/>
    <w:rsid w:val="00A6416D"/>
    <w:rsid w:val="00A645DF"/>
    <w:rsid w:val="00A6492A"/>
    <w:rsid w:val="00A65095"/>
    <w:rsid w:val="00A66313"/>
    <w:rsid w:val="00A677B8"/>
    <w:rsid w:val="00A704DE"/>
    <w:rsid w:val="00A7111B"/>
    <w:rsid w:val="00A71EA8"/>
    <w:rsid w:val="00A731C3"/>
    <w:rsid w:val="00A73303"/>
    <w:rsid w:val="00A734BA"/>
    <w:rsid w:val="00A73698"/>
    <w:rsid w:val="00A736AC"/>
    <w:rsid w:val="00A73B1F"/>
    <w:rsid w:val="00A74AD1"/>
    <w:rsid w:val="00A774EB"/>
    <w:rsid w:val="00A7793A"/>
    <w:rsid w:val="00A77B96"/>
    <w:rsid w:val="00A77C02"/>
    <w:rsid w:val="00A80C05"/>
    <w:rsid w:val="00A80C7B"/>
    <w:rsid w:val="00A82091"/>
    <w:rsid w:val="00A82258"/>
    <w:rsid w:val="00A827B5"/>
    <w:rsid w:val="00A83A71"/>
    <w:rsid w:val="00A83B99"/>
    <w:rsid w:val="00A83EE1"/>
    <w:rsid w:val="00A8497A"/>
    <w:rsid w:val="00A84CD8"/>
    <w:rsid w:val="00A85C52"/>
    <w:rsid w:val="00A85FD1"/>
    <w:rsid w:val="00A86B6B"/>
    <w:rsid w:val="00A8738F"/>
    <w:rsid w:val="00A874FC"/>
    <w:rsid w:val="00A90A5A"/>
    <w:rsid w:val="00A9105D"/>
    <w:rsid w:val="00A91937"/>
    <w:rsid w:val="00A91B08"/>
    <w:rsid w:val="00A935BF"/>
    <w:rsid w:val="00A94045"/>
    <w:rsid w:val="00A9494D"/>
    <w:rsid w:val="00A95099"/>
    <w:rsid w:val="00A956C0"/>
    <w:rsid w:val="00A96464"/>
    <w:rsid w:val="00A96BFD"/>
    <w:rsid w:val="00A97D96"/>
    <w:rsid w:val="00AA02D5"/>
    <w:rsid w:val="00AA06CF"/>
    <w:rsid w:val="00AA0943"/>
    <w:rsid w:val="00AA0FA8"/>
    <w:rsid w:val="00AA2163"/>
    <w:rsid w:val="00AA2290"/>
    <w:rsid w:val="00AA2722"/>
    <w:rsid w:val="00AA289B"/>
    <w:rsid w:val="00AA2972"/>
    <w:rsid w:val="00AA30F9"/>
    <w:rsid w:val="00AA367A"/>
    <w:rsid w:val="00AA3E64"/>
    <w:rsid w:val="00AA404C"/>
    <w:rsid w:val="00AA4200"/>
    <w:rsid w:val="00AA4CC7"/>
    <w:rsid w:val="00AA4D04"/>
    <w:rsid w:val="00AA535A"/>
    <w:rsid w:val="00AA583A"/>
    <w:rsid w:val="00AA5E8E"/>
    <w:rsid w:val="00AA612B"/>
    <w:rsid w:val="00AA7048"/>
    <w:rsid w:val="00AA795E"/>
    <w:rsid w:val="00AB0281"/>
    <w:rsid w:val="00AB05E2"/>
    <w:rsid w:val="00AB0CF9"/>
    <w:rsid w:val="00AB0EB1"/>
    <w:rsid w:val="00AB1145"/>
    <w:rsid w:val="00AB163A"/>
    <w:rsid w:val="00AB1AF2"/>
    <w:rsid w:val="00AB225B"/>
    <w:rsid w:val="00AB29AA"/>
    <w:rsid w:val="00AB2BAD"/>
    <w:rsid w:val="00AB3CF4"/>
    <w:rsid w:val="00AB46ED"/>
    <w:rsid w:val="00AB4F19"/>
    <w:rsid w:val="00AB566F"/>
    <w:rsid w:val="00AB604C"/>
    <w:rsid w:val="00AB6107"/>
    <w:rsid w:val="00AB6163"/>
    <w:rsid w:val="00AB6CA7"/>
    <w:rsid w:val="00AB6D57"/>
    <w:rsid w:val="00AB6D86"/>
    <w:rsid w:val="00AB6DD5"/>
    <w:rsid w:val="00AC0BD4"/>
    <w:rsid w:val="00AC11B9"/>
    <w:rsid w:val="00AC1F33"/>
    <w:rsid w:val="00AC256E"/>
    <w:rsid w:val="00AC38C5"/>
    <w:rsid w:val="00AC3B82"/>
    <w:rsid w:val="00AC3EF0"/>
    <w:rsid w:val="00AC405A"/>
    <w:rsid w:val="00AC422F"/>
    <w:rsid w:val="00AC45AE"/>
    <w:rsid w:val="00AC47CD"/>
    <w:rsid w:val="00AC5050"/>
    <w:rsid w:val="00AC55C0"/>
    <w:rsid w:val="00AD01E4"/>
    <w:rsid w:val="00AD0858"/>
    <w:rsid w:val="00AD096D"/>
    <w:rsid w:val="00AD17E6"/>
    <w:rsid w:val="00AD3082"/>
    <w:rsid w:val="00AD3C2E"/>
    <w:rsid w:val="00AD4D6E"/>
    <w:rsid w:val="00AD5EF9"/>
    <w:rsid w:val="00AD67BA"/>
    <w:rsid w:val="00AD744F"/>
    <w:rsid w:val="00AD7779"/>
    <w:rsid w:val="00AD7D7C"/>
    <w:rsid w:val="00AE0286"/>
    <w:rsid w:val="00AE02E3"/>
    <w:rsid w:val="00AE1231"/>
    <w:rsid w:val="00AE168C"/>
    <w:rsid w:val="00AE1C98"/>
    <w:rsid w:val="00AE262D"/>
    <w:rsid w:val="00AE2B11"/>
    <w:rsid w:val="00AE4754"/>
    <w:rsid w:val="00AE4F77"/>
    <w:rsid w:val="00AE5145"/>
    <w:rsid w:val="00AE63D7"/>
    <w:rsid w:val="00AE7340"/>
    <w:rsid w:val="00AF0BB5"/>
    <w:rsid w:val="00AF0C52"/>
    <w:rsid w:val="00AF1197"/>
    <w:rsid w:val="00AF1BBD"/>
    <w:rsid w:val="00AF246E"/>
    <w:rsid w:val="00AF270C"/>
    <w:rsid w:val="00AF29D5"/>
    <w:rsid w:val="00AF4848"/>
    <w:rsid w:val="00AF4CDE"/>
    <w:rsid w:val="00AF5249"/>
    <w:rsid w:val="00AF53F4"/>
    <w:rsid w:val="00AF542A"/>
    <w:rsid w:val="00AF658F"/>
    <w:rsid w:val="00AF6FF3"/>
    <w:rsid w:val="00AF7656"/>
    <w:rsid w:val="00AF794B"/>
    <w:rsid w:val="00B006E0"/>
    <w:rsid w:val="00B009B7"/>
    <w:rsid w:val="00B02427"/>
    <w:rsid w:val="00B03139"/>
    <w:rsid w:val="00B03620"/>
    <w:rsid w:val="00B04948"/>
    <w:rsid w:val="00B04C4A"/>
    <w:rsid w:val="00B05249"/>
    <w:rsid w:val="00B052C2"/>
    <w:rsid w:val="00B05633"/>
    <w:rsid w:val="00B06FFE"/>
    <w:rsid w:val="00B077F9"/>
    <w:rsid w:val="00B09F47"/>
    <w:rsid w:val="00B10207"/>
    <w:rsid w:val="00B10E76"/>
    <w:rsid w:val="00B11EAF"/>
    <w:rsid w:val="00B12868"/>
    <w:rsid w:val="00B139F0"/>
    <w:rsid w:val="00B13BDD"/>
    <w:rsid w:val="00B13C0D"/>
    <w:rsid w:val="00B13EB1"/>
    <w:rsid w:val="00B141E7"/>
    <w:rsid w:val="00B14213"/>
    <w:rsid w:val="00B149AE"/>
    <w:rsid w:val="00B15349"/>
    <w:rsid w:val="00B1565A"/>
    <w:rsid w:val="00B16417"/>
    <w:rsid w:val="00B16B69"/>
    <w:rsid w:val="00B179EE"/>
    <w:rsid w:val="00B17A8F"/>
    <w:rsid w:val="00B17CC4"/>
    <w:rsid w:val="00B17D1F"/>
    <w:rsid w:val="00B20839"/>
    <w:rsid w:val="00B20CD4"/>
    <w:rsid w:val="00B22E7D"/>
    <w:rsid w:val="00B22E80"/>
    <w:rsid w:val="00B2421A"/>
    <w:rsid w:val="00B2435A"/>
    <w:rsid w:val="00B24CD2"/>
    <w:rsid w:val="00B24FD2"/>
    <w:rsid w:val="00B250E3"/>
    <w:rsid w:val="00B25B86"/>
    <w:rsid w:val="00B26197"/>
    <w:rsid w:val="00B26280"/>
    <w:rsid w:val="00B265A1"/>
    <w:rsid w:val="00B26626"/>
    <w:rsid w:val="00B26F43"/>
    <w:rsid w:val="00B31665"/>
    <w:rsid w:val="00B3194B"/>
    <w:rsid w:val="00B31B92"/>
    <w:rsid w:val="00B31D3C"/>
    <w:rsid w:val="00B326D6"/>
    <w:rsid w:val="00B3344F"/>
    <w:rsid w:val="00B343DF"/>
    <w:rsid w:val="00B3466A"/>
    <w:rsid w:val="00B349DD"/>
    <w:rsid w:val="00B351B4"/>
    <w:rsid w:val="00B351FA"/>
    <w:rsid w:val="00B35960"/>
    <w:rsid w:val="00B3602C"/>
    <w:rsid w:val="00B36490"/>
    <w:rsid w:val="00B36664"/>
    <w:rsid w:val="00B36AAD"/>
    <w:rsid w:val="00B371D3"/>
    <w:rsid w:val="00B37DD9"/>
    <w:rsid w:val="00B40D0D"/>
    <w:rsid w:val="00B415A9"/>
    <w:rsid w:val="00B41BA5"/>
    <w:rsid w:val="00B41DF4"/>
    <w:rsid w:val="00B4232B"/>
    <w:rsid w:val="00B42917"/>
    <w:rsid w:val="00B42993"/>
    <w:rsid w:val="00B42D44"/>
    <w:rsid w:val="00B43325"/>
    <w:rsid w:val="00B435D4"/>
    <w:rsid w:val="00B43898"/>
    <w:rsid w:val="00B446BD"/>
    <w:rsid w:val="00B453DA"/>
    <w:rsid w:val="00B45A6D"/>
    <w:rsid w:val="00B4666D"/>
    <w:rsid w:val="00B46887"/>
    <w:rsid w:val="00B46BCA"/>
    <w:rsid w:val="00B47458"/>
    <w:rsid w:val="00B47528"/>
    <w:rsid w:val="00B478AA"/>
    <w:rsid w:val="00B50E1D"/>
    <w:rsid w:val="00B513F5"/>
    <w:rsid w:val="00B51E7C"/>
    <w:rsid w:val="00B52415"/>
    <w:rsid w:val="00B5293D"/>
    <w:rsid w:val="00B535AB"/>
    <w:rsid w:val="00B537CA"/>
    <w:rsid w:val="00B5482F"/>
    <w:rsid w:val="00B554FE"/>
    <w:rsid w:val="00B55692"/>
    <w:rsid w:val="00B55B51"/>
    <w:rsid w:val="00B56028"/>
    <w:rsid w:val="00B564A4"/>
    <w:rsid w:val="00B565C7"/>
    <w:rsid w:val="00B568ED"/>
    <w:rsid w:val="00B5711A"/>
    <w:rsid w:val="00B57D8C"/>
    <w:rsid w:val="00B600A4"/>
    <w:rsid w:val="00B600FD"/>
    <w:rsid w:val="00B6016D"/>
    <w:rsid w:val="00B601FD"/>
    <w:rsid w:val="00B61A08"/>
    <w:rsid w:val="00B61D64"/>
    <w:rsid w:val="00B63E59"/>
    <w:rsid w:val="00B64F3D"/>
    <w:rsid w:val="00B650FD"/>
    <w:rsid w:val="00B658D3"/>
    <w:rsid w:val="00B65F61"/>
    <w:rsid w:val="00B665CD"/>
    <w:rsid w:val="00B6735F"/>
    <w:rsid w:val="00B70104"/>
    <w:rsid w:val="00B70D3B"/>
    <w:rsid w:val="00B710D7"/>
    <w:rsid w:val="00B72E5C"/>
    <w:rsid w:val="00B73DFA"/>
    <w:rsid w:val="00B73E7D"/>
    <w:rsid w:val="00B74125"/>
    <w:rsid w:val="00B741D6"/>
    <w:rsid w:val="00B7428A"/>
    <w:rsid w:val="00B744B8"/>
    <w:rsid w:val="00B746C7"/>
    <w:rsid w:val="00B749E9"/>
    <w:rsid w:val="00B754FA"/>
    <w:rsid w:val="00B75663"/>
    <w:rsid w:val="00B76A1F"/>
    <w:rsid w:val="00B76A8B"/>
    <w:rsid w:val="00B77482"/>
    <w:rsid w:val="00B778F5"/>
    <w:rsid w:val="00B77C2E"/>
    <w:rsid w:val="00B77CD0"/>
    <w:rsid w:val="00B80A4C"/>
    <w:rsid w:val="00B80A53"/>
    <w:rsid w:val="00B8131D"/>
    <w:rsid w:val="00B825C2"/>
    <w:rsid w:val="00B82619"/>
    <w:rsid w:val="00B82883"/>
    <w:rsid w:val="00B82DE0"/>
    <w:rsid w:val="00B83CA6"/>
    <w:rsid w:val="00B83F64"/>
    <w:rsid w:val="00B84016"/>
    <w:rsid w:val="00B84993"/>
    <w:rsid w:val="00B84C00"/>
    <w:rsid w:val="00B85325"/>
    <w:rsid w:val="00B85425"/>
    <w:rsid w:val="00B8564E"/>
    <w:rsid w:val="00B85FD4"/>
    <w:rsid w:val="00B86FA5"/>
    <w:rsid w:val="00B872AE"/>
    <w:rsid w:val="00B87806"/>
    <w:rsid w:val="00B879F4"/>
    <w:rsid w:val="00B87BEA"/>
    <w:rsid w:val="00B87EC9"/>
    <w:rsid w:val="00B90941"/>
    <w:rsid w:val="00B91F5D"/>
    <w:rsid w:val="00B93640"/>
    <w:rsid w:val="00B93B69"/>
    <w:rsid w:val="00B93FF5"/>
    <w:rsid w:val="00B948BB"/>
    <w:rsid w:val="00B94C9E"/>
    <w:rsid w:val="00B94D33"/>
    <w:rsid w:val="00B94F50"/>
    <w:rsid w:val="00B95154"/>
    <w:rsid w:val="00B95B66"/>
    <w:rsid w:val="00B96A6B"/>
    <w:rsid w:val="00BA070B"/>
    <w:rsid w:val="00BA0C46"/>
    <w:rsid w:val="00BA13ED"/>
    <w:rsid w:val="00BA1A6D"/>
    <w:rsid w:val="00BA1E60"/>
    <w:rsid w:val="00BA2E21"/>
    <w:rsid w:val="00BA3864"/>
    <w:rsid w:val="00BA3DFD"/>
    <w:rsid w:val="00BA4149"/>
    <w:rsid w:val="00BA4427"/>
    <w:rsid w:val="00BA5137"/>
    <w:rsid w:val="00BA5C68"/>
    <w:rsid w:val="00BA5CF9"/>
    <w:rsid w:val="00BA6B6D"/>
    <w:rsid w:val="00BA6BC0"/>
    <w:rsid w:val="00BA6E63"/>
    <w:rsid w:val="00BA6EFF"/>
    <w:rsid w:val="00BA7C03"/>
    <w:rsid w:val="00BA7F12"/>
    <w:rsid w:val="00BB09F1"/>
    <w:rsid w:val="00BB0C7D"/>
    <w:rsid w:val="00BB3E67"/>
    <w:rsid w:val="00BB4798"/>
    <w:rsid w:val="00BB4D95"/>
    <w:rsid w:val="00BB54BF"/>
    <w:rsid w:val="00BB6133"/>
    <w:rsid w:val="00BB6691"/>
    <w:rsid w:val="00BB6A96"/>
    <w:rsid w:val="00BB751A"/>
    <w:rsid w:val="00BC0C78"/>
    <w:rsid w:val="00BC0F45"/>
    <w:rsid w:val="00BC2397"/>
    <w:rsid w:val="00BC24A1"/>
    <w:rsid w:val="00BC353A"/>
    <w:rsid w:val="00BC3764"/>
    <w:rsid w:val="00BC3890"/>
    <w:rsid w:val="00BC38FD"/>
    <w:rsid w:val="00BC3BAD"/>
    <w:rsid w:val="00BC3C53"/>
    <w:rsid w:val="00BC40D7"/>
    <w:rsid w:val="00BC4928"/>
    <w:rsid w:val="00BC4C9E"/>
    <w:rsid w:val="00BC523D"/>
    <w:rsid w:val="00BC58DA"/>
    <w:rsid w:val="00BC58F9"/>
    <w:rsid w:val="00BC5BEC"/>
    <w:rsid w:val="00BC66D0"/>
    <w:rsid w:val="00BC7D44"/>
    <w:rsid w:val="00BD0415"/>
    <w:rsid w:val="00BD1C72"/>
    <w:rsid w:val="00BD1F61"/>
    <w:rsid w:val="00BD2747"/>
    <w:rsid w:val="00BD28F0"/>
    <w:rsid w:val="00BD30D2"/>
    <w:rsid w:val="00BD3EB5"/>
    <w:rsid w:val="00BD4760"/>
    <w:rsid w:val="00BD5F91"/>
    <w:rsid w:val="00BD6191"/>
    <w:rsid w:val="00BD68A9"/>
    <w:rsid w:val="00BD7269"/>
    <w:rsid w:val="00BD72C1"/>
    <w:rsid w:val="00BE064B"/>
    <w:rsid w:val="00BE0805"/>
    <w:rsid w:val="00BE1AC7"/>
    <w:rsid w:val="00BE2586"/>
    <w:rsid w:val="00BE27B8"/>
    <w:rsid w:val="00BE479B"/>
    <w:rsid w:val="00BE47E2"/>
    <w:rsid w:val="00BE4A70"/>
    <w:rsid w:val="00BE511F"/>
    <w:rsid w:val="00BE52B5"/>
    <w:rsid w:val="00BE6240"/>
    <w:rsid w:val="00BE6451"/>
    <w:rsid w:val="00BE68FB"/>
    <w:rsid w:val="00BE6D1B"/>
    <w:rsid w:val="00BE6FCB"/>
    <w:rsid w:val="00BF1941"/>
    <w:rsid w:val="00BF2DF6"/>
    <w:rsid w:val="00BF316F"/>
    <w:rsid w:val="00BF33FA"/>
    <w:rsid w:val="00BF350D"/>
    <w:rsid w:val="00BF3BDD"/>
    <w:rsid w:val="00BF4A8F"/>
    <w:rsid w:val="00BF4C2F"/>
    <w:rsid w:val="00BF4E65"/>
    <w:rsid w:val="00BF5269"/>
    <w:rsid w:val="00BF5A0E"/>
    <w:rsid w:val="00BF5EE4"/>
    <w:rsid w:val="00BF5F9B"/>
    <w:rsid w:val="00BF69C9"/>
    <w:rsid w:val="00BF737C"/>
    <w:rsid w:val="00BF7F5D"/>
    <w:rsid w:val="00C00DFC"/>
    <w:rsid w:val="00C01091"/>
    <w:rsid w:val="00C012D1"/>
    <w:rsid w:val="00C01D40"/>
    <w:rsid w:val="00C01DF8"/>
    <w:rsid w:val="00C02231"/>
    <w:rsid w:val="00C02BA1"/>
    <w:rsid w:val="00C02D7C"/>
    <w:rsid w:val="00C030AB"/>
    <w:rsid w:val="00C034CB"/>
    <w:rsid w:val="00C03CC4"/>
    <w:rsid w:val="00C03D13"/>
    <w:rsid w:val="00C046C2"/>
    <w:rsid w:val="00C0509B"/>
    <w:rsid w:val="00C051A8"/>
    <w:rsid w:val="00C054BC"/>
    <w:rsid w:val="00C0577C"/>
    <w:rsid w:val="00C059D0"/>
    <w:rsid w:val="00C061D6"/>
    <w:rsid w:val="00C06851"/>
    <w:rsid w:val="00C06896"/>
    <w:rsid w:val="00C07859"/>
    <w:rsid w:val="00C07ACD"/>
    <w:rsid w:val="00C07D28"/>
    <w:rsid w:val="00C10433"/>
    <w:rsid w:val="00C10618"/>
    <w:rsid w:val="00C1113C"/>
    <w:rsid w:val="00C1118B"/>
    <w:rsid w:val="00C1142D"/>
    <w:rsid w:val="00C1180D"/>
    <w:rsid w:val="00C11B7D"/>
    <w:rsid w:val="00C11BA3"/>
    <w:rsid w:val="00C11F0E"/>
    <w:rsid w:val="00C11F53"/>
    <w:rsid w:val="00C12F3B"/>
    <w:rsid w:val="00C13780"/>
    <w:rsid w:val="00C14033"/>
    <w:rsid w:val="00C149C5"/>
    <w:rsid w:val="00C14D0B"/>
    <w:rsid w:val="00C158D4"/>
    <w:rsid w:val="00C1631D"/>
    <w:rsid w:val="00C1640B"/>
    <w:rsid w:val="00C16479"/>
    <w:rsid w:val="00C170C2"/>
    <w:rsid w:val="00C17547"/>
    <w:rsid w:val="00C17897"/>
    <w:rsid w:val="00C17F23"/>
    <w:rsid w:val="00C202E9"/>
    <w:rsid w:val="00C210C6"/>
    <w:rsid w:val="00C2199B"/>
    <w:rsid w:val="00C21A7C"/>
    <w:rsid w:val="00C22072"/>
    <w:rsid w:val="00C22ACF"/>
    <w:rsid w:val="00C23D5E"/>
    <w:rsid w:val="00C23DE1"/>
    <w:rsid w:val="00C24475"/>
    <w:rsid w:val="00C24D55"/>
    <w:rsid w:val="00C260E5"/>
    <w:rsid w:val="00C2650A"/>
    <w:rsid w:val="00C267A9"/>
    <w:rsid w:val="00C273C7"/>
    <w:rsid w:val="00C30460"/>
    <w:rsid w:val="00C30D93"/>
    <w:rsid w:val="00C312D2"/>
    <w:rsid w:val="00C3136D"/>
    <w:rsid w:val="00C32B95"/>
    <w:rsid w:val="00C32CD4"/>
    <w:rsid w:val="00C32EF4"/>
    <w:rsid w:val="00C3440F"/>
    <w:rsid w:val="00C357DB"/>
    <w:rsid w:val="00C35C5B"/>
    <w:rsid w:val="00C35E0A"/>
    <w:rsid w:val="00C36017"/>
    <w:rsid w:val="00C36261"/>
    <w:rsid w:val="00C362A2"/>
    <w:rsid w:val="00C362A6"/>
    <w:rsid w:val="00C367C9"/>
    <w:rsid w:val="00C368B1"/>
    <w:rsid w:val="00C36AE6"/>
    <w:rsid w:val="00C37276"/>
    <w:rsid w:val="00C372D4"/>
    <w:rsid w:val="00C40052"/>
    <w:rsid w:val="00C4027E"/>
    <w:rsid w:val="00C409D5"/>
    <w:rsid w:val="00C40E4B"/>
    <w:rsid w:val="00C4188C"/>
    <w:rsid w:val="00C41A0A"/>
    <w:rsid w:val="00C435C3"/>
    <w:rsid w:val="00C43912"/>
    <w:rsid w:val="00C43FAE"/>
    <w:rsid w:val="00C441C5"/>
    <w:rsid w:val="00C4460E"/>
    <w:rsid w:val="00C44B9B"/>
    <w:rsid w:val="00C44CC9"/>
    <w:rsid w:val="00C44E5F"/>
    <w:rsid w:val="00C45493"/>
    <w:rsid w:val="00C46B05"/>
    <w:rsid w:val="00C47169"/>
    <w:rsid w:val="00C4722C"/>
    <w:rsid w:val="00C47CF3"/>
    <w:rsid w:val="00C50334"/>
    <w:rsid w:val="00C51595"/>
    <w:rsid w:val="00C51666"/>
    <w:rsid w:val="00C51827"/>
    <w:rsid w:val="00C51B7C"/>
    <w:rsid w:val="00C51CBB"/>
    <w:rsid w:val="00C52727"/>
    <w:rsid w:val="00C54054"/>
    <w:rsid w:val="00C5785F"/>
    <w:rsid w:val="00C60C51"/>
    <w:rsid w:val="00C6131D"/>
    <w:rsid w:val="00C61B63"/>
    <w:rsid w:val="00C61E0D"/>
    <w:rsid w:val="00C6234B"/>
    <w:rsid w:val="00C62D20"/>
    <w:rsid w:val="00C6302B"/>
    <w:rsid w:val="00C63EAE"/>
    <w:rsid w:val="00C649B7"/>
    <w:rsid w:val="00C64C7A"/>
    <w:rsid w:val="00C656EE"/>
    <w:rsid w:val="00C7000E"/>
    <w:rsid w:val="00C70C8D"/>
    <w:rsid w:val="00C70D9E"/>
    <w:rsid w:val="00C70E01"/>
    <w:rsid w:val="00C71147"/>
    <w:rsid w:val="00C71263"/>
    <w:rsid w:val="00C715FD"/>
    <w:rsid w:val="00C72366"/>
    <w:rsid w:val="00C72398"/>
    <w:rsid w:val="00C73260"/>
    <w:rsid w:val="00C74B5F"/>
    <w:rsid w:val="00C74DC4"/>
    <w:rsid w:val="00C7540C"/>
    <w:rsid w:val="00C7629F"/>
    <w:rsid w:val="00C762F3"/>
    <w:rsid w:val="00C766DB"/>
    <w:rsid w:val="00C771BE"/>
    <w:rsid w:val="00C772E9"/>
    <w:rsid w:val="00C80784"/>
    <w:rsid w:val="00C823AC"/>
    <w:rsid w:val="00C82A76"/>
    <w:rsid w:val="00C83796"/>
    <w:rsid w:val="00C84D76"/>
    <w:rsid w:val="00C851C0"/>
    <w:rsid w:val="00C85604"/>
    <w:rsid w:val="00C856E8"/>
    <w:rsid w:val="00C85990"/>
    <w:rsid w:val="00C86023"/>
    <w:rsid w:val="00C8661B"/>
    <w:rsid w:val="00C868C6"/>
    <w:rsid w:val="00C87AA0"/>
    <w:rsid w:val="00C87F56"/>
    <w:rsid w:val="00C90019"/>
    <w:rsid w:val="00C91579"/>
    <w:rsid w:val="00C91998"/>
    <w:rsid w:val="00C92001"/>
    <w:rsid w:val="00C92DD1"/>
    <w:rsid w:val="00C939C5"/>
    <w:rsid w:val="00C93C63"/>
    <w:rsid w:val="00C95040"/>
    <w:rsid w:val="00C9528B"/>
    <w:rsid w:val="00C952E7"/>
    <w:rsid w:val="00C95C54"/>
    <w:rsid w:val="00C96974"/>
    <w:rsid w:val="00C97581"/>
    <w:rsid w:val="00C979BF"/>
    <w:rsid w:val="00C97B90"/>
    <w:rsid w:val="00C97D8F"/>
    <w:rsid w:val="00C97EC5"/>
    <w:rsid w:val="00CA03C8"/>
    <w:rsid w:val="00CA0630"/>
    <w:rsid w:val="00CA0DFD"/>
    <w:rsid w:val="00CA139A"/>
    <w:rsid w:val="00CA19FA"/>
    <w:rsid w:val="00CA1D39"/>
    <w:rsid w:val="00CA2899"/>
    <w:rsid w:val="00CA34F1"/>
    <w:rsid w:val="00CA3A3D"/>
    <w:rsid w:val="00CA3AA6"/>
    <w:rsid w:val="00CA3EF3"/>
    <w:rsid w:val="00CA4880"/>
    <w:rsid w:val="00CA4F3A"/>
    <w:rsid w:val="00CA51FC"/>
    <w:rsid w:val="00CA5545"/>
    <w:rsid w:val="00CA555C"/>
    <w:rsid w:val="00CA77FB"/>
    <w:rsid w:val="00CA793D"/>
    <w:rsid w:val="00CA7942"/>
    <w:rsid w:val="00CB026C"/>
    <w:rsid w:val="00CB0C67"/>
    <w:rsid w:val="00CB12E8"/>
    <w:rsid w:val="00CB146E"/>
    <w:rsid w:val="00CB169F"/>
    <w:rsid w:val="00CB1AA6"/>
    <w:rsid w:val="00CB2886"/>
    <w:rsid w:val="00CB2B8A"/>
    <w:rsid w:val="00CB3293"/>
    <w:rsid w:val="00CB3718"/>
    <w:rsid w:val="00CB379B"/>
    <w:rsid w:val="00CB3BF4"/>
    <w:rsid w:val="00CB4074"/>
    <w:rsid w:val="00CB454A"/>
    <w:rsid w:val="00CB4F88"/>
    <w:rsid w:val="00CB5DD0"/>
    <w:rsid w:val="00CB654C"/>
    <w:rsid w:val="00CB7813"/>
    <w:rsid w:val="00CC06BA"/>
    <w:rsid w:val="00CC0D19"/>
    <w:rsid w:val="00CC1A37"/>
    <w:rsid w:val="00CC269A"/>
    <w:rsid w:val="00CC3D6A"/>
    <w:rsid w:val="00CC4043"/>
    <w:rsid w:val="00CC4757"/>
    <w:rsid w:val="00CC4AD9"/>
    <w:rsid w:val="00CC51D4"/>
    <w:rsid w:val="00CC5367"/>
    <w:rsid w:val="00CC5633"/>
    <w:rsid w:val="00CC65DA"/>
    <w:rsid w:val="00CC695D"/>
    <w:rsid w:val="00CC6C62"/>
    <w:rsid w:val="00CC6D40"/>
    <w:rsid w:val="00CC7D91"/>
    <w:rsid w:val="00CD1043"/>
    <w:rsid w:val="00CD13F3"/>
    <w:rsid w:val="00CD14B9"/>
    <w:rsid w:val="00CD1962"/>
    <w:rsid w:val="00CD259D"/>
    <w:rsid w:val="00CD29AE"/>
    <w:rsid w:val="00CD37B3"/>
    <w:rsid w:val="00CD40A9"/>
    <w:rsid w:val="00CD46B3"/>
    <w:rsid w:val="00CD57BB"/>
    <w:rsid w:val="00CD692C"/>
    <w:rsid w:val="00CD6C8C"/>
    <w:rsid w:val="00CD78C4"/>
    <w:rsid w:val="00CD7B7C"/>
    <w:rsid w:val="00CE02A6"/>
    <w:rsid w:val="00CE11CC"/>
    <w:rsid w:val="00CE18A4"/>
    <w:rsid w:val="00CE1C13"/>
    <w:rsid w:val="00CE2AA7"/>
    <w:rsid w:val="00CE31D4"/>
    <w:rsid w:val="00CE3A9A"/>
    <w:rsid w:val="00CE4916"/>
    <w:rsid w:val="00CE4EA6"/>
    <w:rsid w:val="00CE5AA0"/>
    <w:rsid w:val="00CE5F1D"/>
    <w:rsid w:val="00CE7C18"/>
    <w:rsid w:val="00CF0103"/>
    <w:rsid w:val="00CF174F"/>
    <w:rsid w:val="00CF18AF"/>
    <w:rsid w:val="00CF18FA"/>
    <w:rsid w:val="00CF205A"/>
    <w:rsid w:val="00CF21B9"/>
    <w:rsid w:val="00CF2A2D"/>
    <w:rsid w:val="00CF2C2D"/>
    <w:rsid w:val="00CF3182"/>
    <w:rsid w:val="00CF369F"/>
    <w:rsid w:val="00CF3D9C"/>
    <w:rsid w:val="00CF5104"/>
    <w:rsid w:val="00CF5914"/>
    <w:rsid w:val="00CF6BF9"/>
    <w:rsid w:val="00CF70BE"/>
    <w:rsid w:val="00CF70DA"/>
    <w:rsid w:val="00CF75DD"/>
    <w:rsid w:val="00D00274"/>
    <w:rsid w:val="00D00748"/>
    <w:rsid w:val="00D018C6"/>
    <w:rsid w:val="00D02A5C"/>
    <w:rsid w:val="00D0301D"/>
    <w:rsid w:val="00D03745"/>
    <w:rsid w:val="00D03800"/>
    <w:rsid w:val="00D03EF8"/>
    <w:rsid w:val="00D05D30"/>
    <w:rsid w:val="00D065D3"/>
    <w:rsid w:val="00D06B96"/>
    <w:rsid w:val="00D0710C"/>
    <w:rsid w:val="00D0751F"/>
    <w:rsid w:val="00D0784F"/>
    <w:rsid w:val="00D078BE"/>
    <w:rsid w:val="00D10A31"/>
    <w:rsid w:val="00D10C65"/>
    <w:rsid w:val="00D10DD2"/>
    <w:rsid w:val="00D10DE5"/>
    <w:rsid w:val="00D11C4B"/>
    <w:rsid w:val="00D11F46"/>
    <w:rsid w:val="00D12AEC"/>
    <w:rsid w:val="00D13799"/>
    <w:rsid w:val="00D14142"/>
    <w:rsid w:val="00D1486D"/>
    <w:rsid w:val="00D14C94"/>
    <w:rsid w:val="00D1712E"/>
    <w:rsid w:val="00D17291"/>
    <w:rsid w:val="00D20068"/>
    <w:rsid w:val="00D200B5"/>
    <w:rsid w:val="00D208B8"/>
    <w:rsid w:val="00D20C48"/>
    <w:rsid w:val="00D215E1"/>
    <w:rsid w:val="00D21DF3"/>
    <w:rsid w:val="00D220B4"/>
    <w:rsid w:val="00D229B4"/>
    <w:rsid w:val="00D22C00"/>
    <w:rsid w:val="00D22FDD"/>
    <w:rsid w:val="00D231C8"/>
    <w:rsid w:val="00D2539F"/>
    <w:rsid w:val="00D256FA"/>
    <w:rsid w:val="00D25F2C"/>
    <w:rsid w:val="00D26D63"/>
    <w:rsid w:val="00D27672"/>
    <w:rsid w:val="00D27F49"/>
    <w:rsid w:val="00D30192"/>
    <w:rsid w:val="00D30CE1"/>
    <w:rsid w:val="00D31C4A"/>
    <w:rsid w:val="00D32315"/>
    <w:rsid w:val="00D32841"/>
    <w:rsid w:val="00D32F94"/>
    <w:rsid w:val="00D3421B"/>
    <w:rsid w:val="00D342A6"/>
    <w:rsid w:val="00D343C4"/>
    <w:rsid w:val="00D34440"/>
    <w:rsid w:val="00D3458A"/>
    <w:rsid w:val="00D35A33"/>
    <w:rsid w:val="00D3636B"/>
    <w:rsid w:val="00D36A6A"/>
    <w:rsid w:val="00D36C6E"/>
    <w:rsid w:val="00D37634"/>
    <w:rsid w:val="00D379BA"/>
    <w:rsid w:val="00D400F9"/>
    <w:rsid w:val="00D40F41"/>
    <w:rsid w:val="00D41024"/>
    <w:rsid w:val="00D428AA"/>
    <w:rsid w:val="00D43F15"/>
    <w:rsid w:val="00D442B1"/>
    <w:rsid w:val="00D443BE"/>
    <w:rsid w:val="00D443CC"/>
    <w:rsid w:val="00D4575D"/>
    <w:rsid w:val="00D45CA6"/>
    <w:rsid w:val="00D464BF"/>
    <w:rsid w:val="00D46635"/>
    <w:rsid w:val="00D46EAD"/>
    <w:rsid w:val="00D47A86"/>
    <w:rsid w:val="00D47FA5"/>
    <w:rsid w:val="00D50AC3"/>
    <w:rsid w:val="00D50AF0"/>
    <w:rsid w:val="00D50F3E"/>
    <w:rsid w:val="00D51B48"/>
    <w:rsid w:val="00D524B1"/>
    <w:rsid w:val="00D52BDB"/>
    <w:rsid w:val="00D5356B"/>
    <w:rsid w:val="00D53C58"/>
    <w:rsid w:val="00D53E26"/>
    <w:rsid w:val="00D53F76"/>
    <w:rsid w:val="00D54357"/>
    <w:rsid w:val="00D553D3"/>
    <w:rsid w:val="00D557EE"/>
    <w:rsid w:val="00D55FD3"/>
    <w:rsid w:val="00D5650E"/>
    <w:rsid w:val="00D56B71"/>
    <w:rsid w:val="00D57074"/>
    <w:rsid w:val="00D60EE3"/>
    <w:rsid w:val="00D60EE7"/>
    <w:rsid w:val="00D61A48"/>
    <w:rsid w:val="00D62F2F"/>
    <w:rsid w:val="00D62F75"/>
    <w:rsid w:val="00D630BE"/>
    <w:rsid w:val="00D6322D"/>
    <w:rsid w:val="00D63517"/>
    <w:rsid w:val="00D65A49"/>
    <w:rsid w:val="00D65EA0"/>
    <w:rsid w:val="00D65EBE"/>
    <w:rsid w:val="00D66082"/>
    <w:rsid w:val="00D66A81"/>
    <w:rsid w:val="00D66CA8"/>
    <w:rsid w:val="00D70E31"/>
    <w:rsid w:val="00D70FA3"/>
    <w:rsid w:val="00D711B2"/>
    <w:rsid w:val="00D72DA3"/>
    <w:rsid w:val="00D74469"/>
    <w:rsid w:val="00D74C46"/>
    <w:rsid w:val="00D755F8"/>
    <w:rsid w:val="00D765C2"/>
    <w:rsid w:val="00D76752"/>
    <w:rsid w:val="00D77688"/>
    <w:rsid w:val="00D77B9E"/>
    <w:rsid w:val="00D8043F"/>
    <w:rsid w:val="00D80618"/>
    <w:rsid w:val="00D80B75"/>
    <w:rsid w:val="00D80BC1"/>
    <w:rsid w:val="00D80C9F"/>
    <w:rsid w:val="00D82487"/>
    <w:rsid w:val="00D829B1"/>
    <w:rsid w:val="00D82D1A"/>
    <w:rsid w:val="00D8377A"/>
    <w:rsid w:val="00D83905"/>
    <w:rsid w:val="00D848C6"/>
    <w:rsid w:val="00D84D15"/>
    <w:rsid w:val="00D85092"/>
    <w:rsid w:val="00D851A4"/>
    <w:rsid w:val="00D85297"/>
    <w:rsid w:val="00D85B77"/>
    <w:rsid w:val="00D87054"/>
    <w:rsid w:val="00D87308"/>
    <w:rsid w:val="00D87DCA"/>
    <w:rsid w:val="00D87FDD"/>
    <w:rsid w:val="00D9080F"/>
    <w:rsid w:val="00D91453"/>
    <w:rsid w:val="00D91E04"/>
    <w:rsid w:val="00D921BE"/>
    <w:rsid w:val="00D949F4"/>
    <w:rsid w:val="00D94CCE"/>
    <w:rsid w:val="00D95055"/>
    <w:rsid w:val="00D95AA4"/>
    <w:rsid w:val="00D964EE"/>
    <w:rsid w:val="00D979E4"/>
    <w:rsid w:val="00D97E45"/>
    <w:rsid w:val="00DA0339"/>
    <w:rsid w:val="00DA1377"/>
    <w:rsid w:val="00DA206F"/>
    <w:rsid w:val="00DA2C21"/>
    <w:rsid w:val="00DA3BBD"/>
    <w:rsid w:val="00DA3E95"/>
    <w:rsid w:val="00DA5182"/>
    <w:rsid w:val="00DA5470"/>
    <w:rsid w:val="00DA59D4"/>
    <w:rsid w:val="00DA5ADC"/>
    <w:rsid w:val="00DA6172"/>
    <w:rsid w:val="00DA61BD"/>
    <w:rsid w:val="00DA653F"/>
    <w:rsid w:val="00DA6B2C"/>
    <w:rsid w:val="00DA6EF0"/>
    <w:rsid w:val="00DA78EC"/>
    <w:rsid w:val="00DA7B0D"/>
    <w:rsid w:val="00DA7CAD"/>
    <w:rsid w:val="00DB020A"/>
    <w:rsid w:val="00DB182C"/>
    <w:rsid w:val="00DB2582"/>
    <w:rsid w:val="00DB2A08"/>
    <w:rsid w:val="00DB390F"/>
    <w:rsid w:val="00DB3AC1"/>
    <w:rsid w:val="00DB5402"/>
    <w:rsid w:val="00DB5DF7"/>
    <w:rsid w:val="00DB62A2"/>
    <w:rsid w:val="00DB661A"/>
    <w:rsid w:val="00DB77DF"/>
    <w:rsid w:val="00DB7D6D"/>
    <w:rsid w:val="00DB7F6D"/>
    <w:rsid w:val="00DC02C0"/>
    <w:rsid w:val="00DC0F46"/>
    <w:rsid w:val="00DC1278"/>
    <w:rsid w:val="00DC1841"/>
    <w:rsid w:val="00DC1AB9"/>
    <w:rsid w:val="00DC22D8"/>
    <w:rsid w:val="00DC292D"/>
    <w:rsid w:val="00DC2DB9"/>
    <w:rsid w:val="00DC30E6"/>
    <w:rsid w:val="00DC32A9"/>
    <w:rsid w:val="00DC336D"/>
    <w:rsid w:val="00DC3445"/>
    <w:rsid w:val="00DC392E"/>
    <w:rsid w:val="00DC3BD1"/>
    <w:rsid w:val="00DC4047"/>
    <w:rsid w:val="00DC411C"/>
    <w:rsid w:val="00DC469F"/>
    <w:rsid w:val="00DC4BA1"/>
    <w:rsid w:val="00DC4BB6"/>
    <w:rsid w:val="00DC5242"/>
    <w:rsid w:val="00DC5247"/>
    <w:rsid w:val="00DC5A2E"/>
    <w:rsid w:val="00DC5A3D"/>
    <w:rsid w:val="00DC61DA"/>
    <w:rsid w:val="00DC6C6E"/>
    <w:rsid w:val="00DC70A4"/>
    <w:rsid w:val="00DC756E"/>
    <w:rsid w:val="00DC7B09"/>
    <w:rsid w:val="00DD096C"/>
    <w:rsid w:val="00DD236B"/>
    <w:rsid w:val="00DD2F81"/>
    <w:rsid w:val="00DD30AF"/>
    <w:rsid w:val="00DD3302"/>
    <w:rsid w:val="00DD38C0"/>
    <w:rsid w:val="00DD3943"/>
    <w:rsid w:val="00DD466F"/>
    <w:rsid w:val="00DD4707"/>
    <w:rsid w:val="00DD4F0E"/>
    <w:rsid w:val="00DD54ED"/>
    <w:rsid w:val="00DD5F22"/>
    <w:rsid w:val="00DD62B1"/>
    <w:rsid w:val="00DD68F7"/>
    <w:rsid w:val="00DD746B"/>
    <w:rsid w:val="00DD763B"/>
    <w:rsid w:val="00DE00D9"/>
    <w:rsid w:val="00DE0C1C"/>
    <w:rsid w:val="00DE0C49"/>
    <w:rsid w:val="00DE0DD9"/>
    <w:rsid w:val="00DE122C"/>
    <w:rsid w:val="00DE1387"/>
    <w:rsid w:val="00DE1D45"/>
    <w:rsid w:val="00DE2B95"/>
    <w:rsid w:val="00DE2C11"/>
    <w:rsid w:val="00DE3611"/>
    <w:rsid w:val="00DE3C07"/>
    <w:rsid w:val="00DE3C62"/>
    <w:rsid w:val="00DE3D6D"/>
    <w:rsid w:val="00DE481D"/>
    <w:rsid w:val="00DE4ACD"/>
    <w:rsid w:val="00DE74ED"/>
    <w:rsid w:val="00DE78F6"/>
    <w:rsid w:val="00DE7A52"/>
    <w:rsid w:val="00DE7B7E"/>
    <w:rsid w:val="00DF004C"/>
    <w:rsid w:val="00DF090C"/>
    <w:rsid w:val="00DF0BF0"/>
    <w:rsid w:val="00DF0D16"/>
    <w:rsid w:val="00DF1383"/>
    <w:rsid w:val="00DF186D"/>
    <w:rsid w:val="00DF1CB4"/>
    <w:rsid w:val="00DF2700"/>
    <w:rsid w:val="00DF3955"/>
    <w:rsid w:val="00DF3CA2"/>
    <w:rsid w:val="00DF4B14"/>
    <w:rsid w:val="00DF5747"/>
    <w:rsid w:val="00DF5C05"/>
    <w:rsid w:val="00DF6A7B"/>
    <w:rsid w:val="00DF71DC"/>
    <w:rsid w:val="00DF728F"/>
    <w:rsid w:val="00DF753B"/>
    <w:rsid w:val="00DF75ED"/>
    <w:rsid w:val="00DF7651"/>
    <w:rsid w:val="00DF781C"/>
    <w:rsid w:val="00DF78A4"/>
    <w:rsid w:val="00DF7E9D"/>
    <w:rsid w:val="00E002EF"/>
    <w:rsid w:val="00E002F6"/>
    <w:rsid w:val="00E01375"/>
    <w:rsid w:val="00E01463"/>
    <w:rsid w:val="00E01A6B"/>
    <w:rsid w:val="00E02991"/>
    <w:rsid w:val="00E03B99"/>
    <w:rsid w:val="00E04B1A"/>
    <w:rsid w:val="00E04F2F"/>
    <w:rsid w:val="00E052C8"/>
    <w:rsid w:val="00E0592A"/>
    <w:rsid w:val="00E05E0A"/>
    <w:rsid w:val="00E060BE"/>
    <w:rsid w:val="00E062E2"/>
    <w:rsid w:val="00E10452"/>
    <w:rsid w:val="00E10E29"/>
    <w:rsid w:val="00E12069"/>
    <w:rsid w:val="00E14239"/>
    <w:rsid w:val="00E147B1"/>
    <w:rsid w:val="00E151C6"/>
    <w:rsid w:val="00E1545B"/>
    <w:rsid w:val="00E16AAC"/>
    <w:rsid w:val="00E16F1D"/>
    <w:rsid w:val="00E20C8D"/>
    <w:rsid w:val="00E20F14"/>
    <w:rsid w:val="00E20F89"/>
    <w:rsid w:val="00E214C3"/>
    <w:rsid w:val="00E217E9"/>
    <w:rsid w:val="00E218EB"/>
    <w:rsid w:val="00E21AF5"/>
    <w:rsid w:val="00E22AD7"/>
    <w:rsid w:val="00E230D1"/>
    <w:rsid w:val="00E24036"/>
    <w:rsid w:val="00E240E2"/>
    <w:rsid w:val="00E24857"/>
    <w:rsid w:val="00E2486B"/>
    <w:rsid w:val="00E25479"/>
    <w:rsid w:val="00E261D8"/>
    <w:rsid w:val="00E26271"/>
    <w:rsid w:val="00E26F95"/>
    <w:rsid w:val="00E27608"/>
    <w:rsid w:val="00E2797C"/>
    <w:rsid w:val="00E30643"/>
    <w:rsid w:val="00E3092E"/>
    <w:rsid w:val="00E3419F"/>
    <w:rsid w:val="00E348B6"/>
    <w:rsid w:val="00E35613"/>
    <w:rsid w:val="00E36456"/>
    <w:rsid w:val="00E3651B"/>
    <w:rsid w:val="00E367EE"/>
    <w:rsid w:val="00E4023E"/>
    <w:rsid w:val="00E40697"/>
    <w:rsid w:val="00E40B05"/>
    <w:rsid w:val="00E418FA"/>
    <w:rsid w:val="00E427F7"/>
    <w:rsid w:val="00E4302C"/>
    <w:rsid w:val="00E43F74"/>
    <w:rsid w:val="00E442C8"/>
    <w:rsid w:val="00E44594"/>
    <w:rsid w:val="00E44D6B"/>
    <w:rsid w:val="00E45320"/>
    <w:rsid w:val="00E474A8"/>
    <w:rsid w:val="00E4771A"/>
    <w:rsid w:val="00E47A98"/>
    <w:rsid w:val="00E50D1A"/>
    <w:rsid w:val="00E512DA"/>
    <w:rsid w:val="00E51372"/>
    <w:rsid w:val="00E521C9"/>
    <w:rsid w:val="00E534CF"/>
    <w:rsid w:val="00E538D3"/>
    <w:rsid w:val="00E553F7"/>
    <w:rsid w:val="00E5588D"/>
    <w:rsid w:val="00E568C9"/>
    <w:rsid w:val="00E56A9C"/>
    <w:rsid w:val="00E56D4F"/>
    <w:rsid w:val="00E57794"/>
    <w:rsid w:val="00E60997"/>
    <w:rsid w:val="00E609EA"/>
    <w:rsid w:val="00E613E8"/>
    <w:rsid w:val="00E61918"/>
    <w:rsid w:val="00E62A11"/>
    <w:rsid w:val="00E62B27"/>
    <w:rsid w:val="00E65533"/>
    <w:rsid w:val="00E65DF5"/>
    <w:rsid w:val="00E66A24"/>
    <w:rsid w:val="00E66EF8"/>
    <w:rsid w:val="00E6757C"/>
    <w:rsid w:val="00E70347"/>
    <w:rsid w:val="00E703C1"/>
    <w:rsid w:val="00E70525"/>
    <w:rsid w:val="00E70F15"/>
    <w:rsid w:val="00E7125B"/>
    <w:rsid w:val="00E71517"/>
    <w:rsid w:val="00E71939"/>
    <w:rsid w:val="00E71DEE"/>
    <w:rsid w:val="00E71EE0"/>
    <w:rsid w:val="00E72226"/>
    <w:rsid w:val="00E72262"/>
    <w:rsid w:val="00E72EDC"/>
    <w:rsid w:val="00E7329D"/>
    <w:rsid w:val="00E73CF4"/>
    <w:rsid w:val="00E76552"/>
    <w:rsid w:val="00E770BB"/>
    <w:rsid w:val="00E77C52"/>
    <w:rsid w:val="00E77DCF"/>
    <w:rsid w:val="00E80AA0"/>
    <w:rsid w:val="00E81AA5"/>
    <w:rsid w:val="00E81CB4"/>
    <w:rsid w:val="00E827BF"/>
    <w:rsid w:val="00E82A33"/>
    <w:rsid w:val="00E82FB6"/>
    <w:rsid w:val="00E831F8"/>
    <w:rsid w:val="00E8393E"/>
    <w:rsid w:val="00E8394D"/>
    <w:rsid w:val="00E83DD8"/>
    <w:rsid w:val="00E83F58"/>
    <w:rsid w:val="00E8444F"/>
    <w:rsid w:val="00E85178"/>
    <w:rsid w:val="00E8548B"/>
    <w:rsid w:val="00E8585B"/>
    <w:rsid w:val="00E85C1F"/>
    <w:rsid w:val="00E86A5D"/>
    <w:rsid w:val="00E86C55"/>
    <w:rsid w:val="00E86D3F"/>
    <w:rsid w:val="00E8738B"/>
    <w:rsid w:val="00E8757C"/>
    <w:rsid w:val="00E87CCE"/>
    <w:rsid w:val="00E87F41"/>
    <w:rsid w:val="00E9057E"/>
    <w:rsid w:val="00E90E21"/>
    <w:rsid w:val="00E90F09"/>
    <w:rsid w:val="00E91098"/>
    <w:rsid w:val="00E911DC"/>
    <w:rsid w:val="00E91C57"/>
    <w:rsid w:val="00E91CAC"/>
    <w:rsid w:val="00E92880"/>
    <w:rsid w:val="00E92D2E"/>
    <w:rsid w:val="00E92FFA"/>
    <w:rsid w:val="00E9330F"/>
    <w:rsid w:val="00E93E5E"/>
    <w:rsid w:val="00E93F3C"/>
    <w:rsid w:val="00E94C3E"/>
    <w:rsid w:val="00E95049"/>
    <w:rsid w:val="00E95321"/>
    <w:rsid w:val="00E95572"/>
    <w:rsid w:val="00E959C0"/>
    <w:rsid w:val="00E95A46"/>
    <w:rsid w:val="00E97083"/>
    <w:rsid w:val="00E973B0"/>
    <w:rsid w:val="00E97CCA"/>
    <w:rsid w:val="00EA1DA9"/>
    <w:rsid w:val="00EA1EB0"/>
    <w:rsid w:val="00EA20BE"/>
    <w:rsid w:val="00EA2B2E"/>
    <w:rsid w:val="00EA3193"/>
    <w:rsid w:val="00EA396E"/>
    <w:rsid w:val="00EA3F15"/>
    <w:rsid w:val="00EA55D5"/>
    <w:rsid w:val="00EA5C47"/>
    <w:rsid w:val="00EA5CB1"/>
    <w:rsid w:val="00EA5F40"/>
    <w:rsid w:val="00EA69C9"/>
    <w:rsid w:val="00EA7847"/>
    <w:rsid w:val="00EA7BB7"/>
    <w:rsid w:val="00EB16F4"/>
    <w:rsid w:val="00EB219D"/>
    <w:rsid w:val="00EB29E1"/>
    <w:rsid w:val="00EB2AD3"/>
    <w:rsid w:val="00EB2D0B"/>
    <w:rsid w:val="00EB2F92"/>
    <w:rsid w:val="00EB352A"/>
    <w:rsid w:val="00EB3569"/>
    <w:rsid w:val="00EB3D1E"/>
    <w:rsid w:val="00EB432F"/>
    <w:rsid w:val="00EB4453"/>
    <w:rsid w:val="00EB4C2F"/>
    <w:rsid w:val="00EB5054"/>
    <w:rsid w:val="00EB571F"/>
    <w:rsid w:val="00EB6E9E"/>
    <w:rsid w:val="00EC0085"/>
    <w:rsid w:val="00EC16F9"/>
    <w:rsid w:val="00EC24EC"/>
    <w:rsid w:val="00EC2AFB"/>
    <w:rsid w:val="00EC2FFB"/>
    <w:rsid w:val="00EC56E8"/>
    <w:rsid w:val="00EC5748"/>
    <w:rsid w:val="00EC5A4B"/>
    <w:rsid w:val="00EC688C"/>
    <w:rsid w:val="00EC6A1C"/>
    <w:rsid w:val="00ED0150"/>
    <w:rsid w:val="00ED0A96"/>
    <w:rsid w:val="00ED0D19"/>
    <w:rsid w:val="00ED130C"/>
    <w:rsid w:val="00ED1943"/>
    <w:rsid w:val="00ED1945"/>
    <w:rsid w:val="00ED1D47"/>
    <w:rsid w:val="00ED27EE"/>
    <w:rsid w:val="00ED2AFF"/>
    <w:rsid w:val="00ED31EA"/>
    <w:rsid w:val="00ED3DCD"/>
    <w:rsid w:val="00ED5072"/>
    <w:rsid w:val="00ED521C"/>
    <w:rsid w:val="00ED58D7"/>
    <w:rsid w:val="00ED5D82"/>
    <w:rsid w:val="00ED5FF2"/>
    <w:rsid w:val="00ED651F"/>
    <w:rsid w:val="00ED74F3"/>
    <w:rsid w:val="00ED7DB3"/>
    <w:rsid w:val="00EE095F"/>
    <w:rsid w:val="00EE14D6"/>
    <w:rsid w:val="00EE1951"/>
    <w:rsid w:val="00EE259D"/>
    <w:rsid w:val="00EE2E6E"/>
    <w:rsid w:val="00EE325D"/>
    <w:rsid w:val="00EE36B2"/>
    <w:rsid w:val="00EE3A8D"/>
    <w:rsid w:val="00EE3FCD"/>
    <w:rsid w:val="00EE45EA"/>
    <w:rsid w:val="00EE473F"/>
    <w:rsid w:val="00EE4FE4"/>
    <w:rsid w:val="00EE5E86"/>
    <w:rsid w:val="00EE5FCC"/>
    <w:rsid w:val="00EE62C0"/>
    <w:rsid w:val="00EE64AA"/>
    <w:rsid w:val="00EE67C5"/>
    <w:rsid w:val="00EE76C0"/>
    <w:rsid w:val="00EF0398"/>
    <w:rsid w:val="00EF056A"/>
    <w:rsid w:val="00EF0B60"/>
    <w:rsid w:val="00EF3006"/>
    <w:rsid w:val="00EF3279"/>
    <w:rsid w:val="00EF363D"/>
    <w:rsid w:val="00EF4281"/>
    <w:rsid w:val="00EF50B9"/>
    <w:rsid w:val="00EF521A"/>
    <w:rsid w:val="00EF569B"/>
    <w:rsid w:val="00EF5816"/>
    <w:rsid w:val="00EF6391"/>
    <w:rsid w:val="00EF77C3"/>
    <w:rsid w:val="00F0030B"/>
    <w:rsid w:val="00F0035C"/>
    <w:rsid w:val="00F005AF"/>
    <w:rsid w:val="00F0072F"/>
    <w:rsid w:val="00F00B67"/>
    <w:rsid w:val="00F00C90"/>
    <w:rsid w:val="00F01149"/>
    <w:rsid w:val="00F01EB4"/>
    <w:rsid w:val="00F02A7F"/>
    <w:rsid w:val="00F02C03"/>
    <w:rsid w:val="00F02C0E"/>
    <w:rsid w:val="00F02E84"/>
    <w:rsid w:val="00F036C0"/>
    <w:rsid w:val="00F044B6"/>
    <w:rsid w:val="00F045A9"/>
    <w:rsid w:val="00F04810"/>
    <w:rsid w:val="00F04C88"/>
    <w:rsid w:val="00F04F0D"/>
    <w:rsid w:val="00F0759E"/>
    <w:rsid w:val="00F07B90"/>
    <w:rsid w:val="00F07E1D"/>
    <w:rsid w:val="00F07F26"/>
    <w:rsid w:val="00F11188"/>
    <w:rsid w:val="00F12502"/>
    <w:rsid w:val="00F12863"/>
    <w:rsid w:val="00F12B38"/>
    <w:rsid w:val="00F13E43"/>
    <w:rsid w:val="00F1447E"/>
    <w:rsid w:val="00F144BE"/>
    <w:rsid w:val="00F1521A"/>
    <w:rsid w:val="00F16A43"/>
    <w:rsid w:val="00F176E8"/>
    <w:rsid w:val="00F178D8"/>
    <w:rsid w:val="00F17914"/>
    <w:rsid w:val="00F17B18"/>
    <w:rsid w:val="00F219B9"/>
    <w:rsid w:val="00F21CE3"/>
    <w:rsid w:val="00F224BD"/>
    <w:rsid w:val="00F227B5"/>
    <w:rsid w:val="00F22883"/>
    <w:rsid w:val="00F231C2"/>
    <w:rsid w:val="00F2375C"/>
    <w:rsid w:val="00F23AC4"/>
    <w:rsid w:val="00F23C0E"/>
    <w:rsid w:val="00F23E4C"/>
    <w:rsid w:val="00F246AE"/>
    <w:rsid w:val="00F24F53"/>
    <w:rsid w:val="00F25A7F"/>
    <w:rsid w:val="00F25FBE"/>
    <w:rsid w:val="00F26E16"/>
    <w:rsid w:val="00F2705F"/>
    <w:rsid w:val="00F270E9"/>
    <w:rsid w:val="00F2718C"/>
    <w:rsid w:val="00F276E2"/>
    <w:rsid w:val="00F304FE"/>
    <w:rsid w:val="00F30572"/>
    <w:rsid w:val="00F31249"/>
    <w:rsid w:val="00F3147E"/>
    <w:rsid w:val="00F3199B"/>
    <w:rsid w:val="00F320B2"/>
    <w:rsid w:val="00F32E67"/>
    <w:rsid w:val="00F33C6F"/>
    <w:rsid w:val="00F345CB"/>
    <w:rsid w:val="00F3467E"/>
    <w:rsid w:val="00F35F07"/>
    <w:rsid w:val="00F36702"/>
    <w:rsid w:val="00F37441"/>
    <w:rsid w:val="00F37A1B"/>
    <w:rsid w:val="00F40882"/>
    <w:rsid w:val="00F40BA3"/>
    <w:rsid w:val="00F40F88"/>
    <w:rsid w:val="00F43881"/>
    <w:rsid w:val="00F44393"/>
    <w:rsid w:val="00F45710"/>
    <w:rsid w:val="00F458AF"/>
    <w:rsid w:val="00F46071"/>
    <w:rsid w:val="00F4627D"/>
    <w:rsid w:val="00F46780"/>
    <w:rsid w:val="00F46B61"/>
    <w:rsid w:val="00F47F49"/>
    <w:rsid w:val="00F47FF2"/>
    <w:rsid w:val="00F50305"/>
    <w:rsid w:val="00F504A5"/>
    <w:rsid w:val="00F5085D"/>
    <w:rsid w:val="00F50AC4"/>
    <w:rsid w:val="00F51218"/>
    <w:rsid w:val="00F51A86"/>
    <w:rsid w:val="00F51C53"/>
    <w:rsid w:val="00F52701"/>
    <w:rsid w:val="00F532BA"/>
    <w:rsid w:val="00F53489"/>
    <w:rsid w:val="00F53EFF"/>
    <w:rsid w:val="00F54493"/>
    <w:rsid w:val="00F5566F"/>
    <w:rsid w:val="00F559EF"/>
    <w:rsid w:val="00F55A19"/>
    <w:rsid w:val="00F56125"/>
    <w:rsid w:val="00F564F9"/>
    <w:rsid w:val="00F57709"/>
    <w:rsid w:val="00F57CCB"/>
    <w:rsid w:val="00F6004A"/>
    <w:rsid w:val="00F600D4"/>
    <w:rsid w:val="00F602B8"/>
    <w:rsid w:val="00F6205E"/>
    <w:rsid w:val="00F6297F"/>
    <w:rsid w:val="00F62A1B"/>
    <w:rsid w:val="00F6306E"/>
    <w:rsid w:val="00F64373"/>
    <w:rsid w:val="00F64A44"/>
    <w:rsid w:val="00F64A85"/>
    <w:rsid w:val="00F66930"/>
    <w:rsid w:val="00F67134"/>
    <w:rsid w:val="00F678DC"/>
    <w:rsid w:val="00F70043"/>
    <w:rsid w:val="00F72223"/>
    <w:rsid w:val="00F72289"/>
    <w:rsid w:val="00F7234A"/>
    <w:rsid w:val="00F72B25"/>
    <w:rsid w:val="00F73BEA"/>
    <w:rsid w:val="00F73E95"/>
    <w:rsid w:val="00F740BD"/>
    <w:rsid w:val="00F74C38"/>
    <w:rsid w:val="00F75FF9"/>
    <w:rsid w:val="00F7693A"/>
    <w:rsid w:val="00F76BB6"/>
    <w:rsid w:val="00F76C1D"/>
    <w:rsid w:val="00F76F33"/>
    <w:rsid w:val="00F7760D"/>
    <w:rsid w:val="00F77B04"/>
    <w:rsid w:val="00F77B98"/>
    <w:rsid w:val="00F77D2D"/>
    <w:rsid w:val="00F800C1"/>
    <w:rsid w:val="00F80317"/>
    <w:rsid w:val="00F80CE0"/>
    <w:rsid w:val="00F80E82"/>
    <w:rsid w:val="00F81421"/>
    <w:rsid w:val="00F82110"/>
    <w:rsid w:val="00F821A3"/>
    <w:rsid w:val="00F82C05"/>
    <w:rsid w:val="00F82FBB"/>
    <w:rsid w:val="00F83414"/>
    <w:rsid w:val="00F83735"/>
    <w:rsid w:val="00F83FD1"/>
    <w:rsid w:val="00F8437A"/>
    <w:rsid w:val="00F84552"/>
    <w:rsid w:val="00F84A6D"/>
    <w:rsid w:val="00F84C8C"/>
    <w:rsid w:val="00F86162"/>
    <w:rsid w:val="00F8620B"/>
    <w:rsid w:val="00F87C8D"/>
    <w:rsid w:val="00F91043"/>
    <w:rsid w:val="00F91C11"/>
    <w:rsid w:val="00F9246F"/>
    <w:rsid w:val="00F9309A"/>
    <w:rsid w:val="00F9314A"/>
    <w:rsid w:val="00F93529"/>
    <w:rsid w:val="00F940B2"/>
    <w:rsid w:val="00F9422A"/>
    <w:rsid w:val="00F94902"/>
    <w:rsid w:val="00F95AF6"/>
    <w:rsid w:val="00F95D08"/>
    <w:rsid w:val="00F96854"/>
    <w:rsid w:val="00F96970"/>
    <w:rsid w:val="00F9742E"/>
    <w:rsid w:val="00FA075E"/>
    <w:rsid w:val="00FA0F50"/>
    <w:rsid w:val="00FA102B"/>
    <w:rsid w:val="00FA1462"/>
    <w:rsid w:val="00FA3C92"/>
    <w:rsid w:val="00FA469B"/>
    <w:rsid w:val="00FA4FE3"/>
    <w:rsid w:val="00FA5915"/>
    <w:rsid w:val="00FA5BD7"/>
    <w:rsid w:val="00FA631B"/>
    <w:rsid w:val="00FA6E4C"/>
    <w:rsid w:val="00FA75EC"/>
    <w:rsid w:val="00FA7FEE"/>
    <w:rsid w:val="00FB0D86"/>
    <w:rsid w:val="00FB19E8"/>
    <w:rsid w:val="00FB1DA9"/>
    <w:rsid w:val="00FB24A5"/>
    <w:rsid w:val="00FB2A38"/>
    <w:rsid w:val="00FB2CA8"/>
    <w:rsid w:val="00FB335B"/>
    <w:rsid w:val="00FB372B"/>
    <w:rsid w:val="00FB397E"/>
    <w:rsid w:val="00FB3B0F"/>
    <w:rsid w:val="00FB41DE"/>
    <w:rsid w:val="00FB5CA9"/>
    <w:rsid w:val="00FB5EC8"/>
    <w:rsid w:val="00FB5FC2"/>
    <w:rsid w:val="00FB61D1"/>
    <w:rsid w:val="00FB67F1"/>
    <w:rsid w:val="00FB6C27"/>
    <w:rsid w:val="00FB7110"/>
    <w:rsid w:val="00FB7A02"/>
    <w:rsid w:val="00FB7F50"/>
    <w:rsid w:val="00FC0CC7"/>
    <w:rsid w:val="00FC1E35"/>
    <w:rsid w:val="00FC4B39"/>
    <w:rsid w:val="00FC4BFD"/>
    <w:rsid w:val="00FC524D"/>
    <w:rsid w:val="00FC5798"/>
    <w:rsid w:val="00FC58EF"/>
    <w:rsid w:val="00FC5ADC"/>
    <w:rsid w:val="00FC64D4"/>
    <w:rsid w:val="00FC783B"/>
    <w:rsid w:val="00FC786D"/>
    <w:rsid w:val="00FC7C87"/>
    <w:rsid w:val="00FD1049"/>
    <w:rsid w:val="00FD120A"/>
    <w:rsid w:val="00FD1785"/>
    <w:rsid w:val="00FD2588"/>
    <w:rsid w:val="00FD2D52"/>
    <w:rsid w:val="00FD30C0"/>
    <w:rsid w:val="00FD33DF"/>
    <w:rsid w:val="00FD3CBE"/>
    <w:rsid w:val="00FD3FF4"/>
    <w:rsid w:val="00FD514E"/>
    <w:rsid w:val="00FD5320"/>
    <w:rsid w:val="00FD69A5"/>
    <w:rsid w:val="00FD6ADE"/>
    <w:rsid w:val="00FD7AA3"/>
    <w:rsid w:val="00FD7DED"/>
    <w:rsid w:val="00FE0820"/>
    <w:rsid w:val="00FE0E01"/>
    <w:rsid w:val="00FE0F2D"/>
    <w:rsid w:val="00FE19FB"/>
    <w:rsid w:val="00FE1A12"/>
    <w:rsid w:val="00FE2042"/>
    <w:rsid w:val="00FE304A"/>
    <w:rsid w:val="00FE38A0"/>
    <w:rsid w:val="00FE39D7"/>
    <w:rsid w:val="00FE4072"/>
    <w:rsid w:val="00FE460F"/>
    <w:rsid w:val="00FE4A21"/>
    <w:rsid w:val="00FE4ECD"/>
    <w:rsid w:val="00FE6205"/>
    <w:rsid w:val="00FE67AD"/>
    <w:rsid w:val="00FE771C"/>
    <w:rsid w:val="00FE7EAA"/>
    <w:rsid w:val="00FF0A41"/>
    <w:rsid w:val="00FF2292"/>
    <w:rsid w:val="00FF2C43"/>
    <w:rsid w:val="00FF2D46"/>
    <w:rsid w:val="00FF33B3"/>
    <w:rsid w:val="00FF4689"/>
    <w:rsid w:val="00FF4760"/>
    <w:rsid w:val="00FF4827"/>
    <w:rsid w:val="00FF5FDC"/>
    <w:rsid w:val="00FF67D7"/>
    <w:rsid w:val="00FF68E5"/>
    <w:rsid w:val="00FF75C5"/>
    <w:rsid w:val="00FF7A97"/>
    <w:rsid w:val="01AC3E8B"/>
    <w:rsid w:val="01EAD136"/>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F38EC5"/>
    <w:rsid w:val="0BF2E7E4"/>
    <w:rsid w:val="0C127857"/>
    <w:rsid w:val="0C5D0725"/>
    <w:rsid w:val="0C7BDAE5"/>
    <w:rsid w:val="0CEFFC92"/>
    <w:rsid w:val="0D3DD5F0"/>
    <w:rsid w:val="0D413DF8"/>
    <w:rsid w:val="0DC27548"/>
    <w:rsid w:val="0DD0119C"/>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5774F5D"/>
    <w:rsid w:val="26188534"/>
    <w:rsid w:val="265AE9C2"/>
    <w:rsid w:val="27F0BB65"/>
    <w:rsid w:val="284DF516"/>
    <w:rsid w:val="2880152C"/>
    <w:rsid w:val="296B86AD"/>
    <w:rsid w:val="29C79DBE"/>
    <w:rsid w:val="29FDCFEC"/>
    <w:rsid w:val="2A130E38"/>
    <w:rsid w:val="2A374A4E"/>
    <w:rsid w:val="2A86EFCD"/>
    <w:rsid w:val="2DB1861A"/>
    <w:rsid w:val="2DD31FA7"/>
    <w:rsid w:val="2DD50F84"/>
    <w:rsid w:val="2DF02F8C"/>
    <w:rsid w:val="2E2D38AF"/>
    <w:rsid w:val="2E3802CE"/>
    <w:rsid w:val="2F134593"/>
    <w:rsid w:val="2F45F2A1"/>
    <w:rsid w:val="3031D4DA"/>
    <w:rsid w:val="304A0365"/>
    <w:rsid w:val="309283CB"/>
    <w:rsid w:val="30EE4FE0"/>
    <w:rsid w:val="329BBFBF"/>
    <w:rsid w:val="34AFAF13"/>
    <w:rsid w:val="34FF2280"/>
    <w:rsid w:val="352D3563"/>
    <w:rsid w:val="3543EB4D"/>
    <w:rsid w:val="356A0EBA"/>
    <w:rsid w:val="35C1C103"/>
    <w:rsid w:val="367F5CFD"/>
    <w:rsid w:val="36EEC4E0"/>
    <w:rsid w:val="37186F10"/>
    <w:rsid w:val="3885C392"/>
    <w:rsid w:val="38B19DB7"/>
    <w:rsid w:val="3ABF7C83"/>
    <w:rsid w:val="3C255201"/>
    <w:rsid w:val="3D0BCFEE"/>
    <w:rsid w:val="3D63F4AA"/>
    <w:rsid w:val="3DEAF278"/>
    <w:rsid w:val="3E122499"/>
    <w:rsid w:val="3E9A1C25"/>
    <w:rsid w:val="3F1BA789"/>
    <w:rsid w:val="40A3873F"/>
    <w:rsid w:val="41178D86"/>
    <w:rsid w:val="42FCC037"/>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913DE9"/>
    <w:rsid w:val="4F05E76F"/>
    <w:rsid w:val="4F6FFF4C"/>
    <w:rsid w:val="4FA4D429"/>
    <w:rsid w:val="4FB105BD"/>
    <w:rsid w:val="50119D9B"/>
    <w:rsid w:val="51E56DB8"/>
    <w:rsid w:val="528A45D8"/>
    <w:rsid w:val="52A52CFE"/>
    <w:rsid w:val="52F3598B"/>
    <w:rsid w:val="53203CEA"/>
    <w:rsid w:val="53780CDF"/>
    <w:rsid w:val="53DBD4F1"/>
    <w:rsid w:val="5407F02E"/>
    <w:rsid w:val="543963C1"/>
    <w:rsid w:val="5478454C"/>
    <w:rsid w:val="54C0E20F"/>
    <w:rsid w:val="5572247D"/>
    <w:rsid w:val="562F3D45"/>
    <w:rsid w:val="565E1F14"/>
    <w:rsid w:val="5682C5B4"/>
    <w:rsid w:val="56AD5906"/>
    <w:rsid w:val="58778D6A"/>
    <w:rsid w:val="595E3EEF"/>
    <w:rsid w:val="5AD49DA3"/>
    <w:rsid w:val="5ADB1156"/>
    <w:rsid w:val="5AE47F9A"/>
    <w:rsid w:val="5AE786D0"/>
    <w:rsid w:val="5AF59094"/>
    <w:rsid w:val="5AFDCEB9"/>
    <w:rsid w:val="5B58CFC5"/>
    <w:rsid w:val="5BF88F72"/>
    <w:rsid w:val="5C702EA9"/>
    <w:rsid w:val="5C8210DD"/>
    <w:rsid w:val="5D744172"/>
    <w:rsid w:val="5D9EF369"/>
    <w:rsid w:val="5E12B218"/>
    <w:rsid w:val="5FBAF7F3"/>
    <w:rsid w:val="5FC6F11F"/>
    <w:rsid w:val="61820745"/>
    <w:rsid w:val="623F2EBB"/>
    <w:rsid w:val="6370193E"/>
    <w:rsid w:val="6481F39C"/>
    <w:rsid w:val="64E9F7B1"/>
    <w:rsid w:val="65BD8746"/>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3226220"/>
    <w:rsid w:val="7355BFE1"/>
    <w:rsid w:val="747EEF09"/>
    <w:rsid w:val="74D304C0"/>
    <w:rsid w:val="7544B85B"/>
    <w:rsid w:val="7592B20F"/>
    <w:rsid w:val="75AD75A1"/>
    <w:rsid w:val="75B0DFCE"/>
    <w:rsid w:val="77E9125B"/>
    <w:rsid w:val="77F87463"/>
    <w:rsid w:val="78322F5F"/>
    <w:rsid w:val="795A4DB2"/>
    <w:rsid w:val="79FD14E2"/>
    <w:rsid w:val="7A282C6D"/>
    <w:rsid w:val="7A39703C"/>
    <w:rsid w:val="7AA244AB"/>
    <w:rsid w:val="7B93A35B"/>
    <w:rsid w:val="7BD5409D"/>
    <w:rsid w:val="7BE3D80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C065278"/>
  <w15:chartTrackingRefBased/>
  <w15:docId w15:val="{0D3D5FED-D144-4CF4-A72B-026F4546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C25"/>
    <w:pPr>
      <w:spacing w:before="120" w:after="120"/>
      <w:jc w:val="both"/>
    </w:pPr>
    <w:rPr>
      <w:rFonts w:ascii="Bookman Old Style" w:hAnsi="Bookman Old Style"/>
      <w:sz w:val="24"/>
      <w:szCs w:val="24"/>
      <w:lang w:eastAsia="es-ES"/>
    </w:rPr>
  </w:style>
  <w:style w:type="paragraph" w:styleId="Ttulo1">
    <w:name w:val="heading 1"/>
    <w:basedOn w:val="Normal"/>
    <w:next w:val="Normal"/>
    <w:link w:val="Ttulo1Car"/>
    <w:qFormat/>
    <w:rsid w:val="00F74C38"/>
    <w:pPr>
      <w:keepNext/>
      <w:numPr>
        <w:numId w:val="2"/>
      </w:numPr>
      <w:jc w:val="center"/>
      <w:outlineLvl w:val="0"/>
    </w:pPr>
    <w:rPr>
      <w:b/>
      <w:szCs w:val="20"/>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qFormat/>
    <w:rsid w:val="00BF5A0E"/>
    <w:pPr>
      <w:numPr>
        <w:numId w:val="5"/>
      </w:numPr>
      <w:spacing w:before="240" w:after="240"/>
    </w:pPr>
    <w:rPr>
      <w:szCs w:val="20"/>
    </w:rPr>
  </w:style>
  <w:style w:type="character" w:customStyle="1" w:styleId="PrrafodelistaCar">
    <w:name w:val="Párrafo de lista Car"/>
    <w:link w:val="Prrafodelista"/>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eastAsia="es-ES"/>
    </w:rPr>
  </w:style>
  <w:style w:type="character" w:customStyle="1" w:styleId="Ttulo8Car">
    <w:name w:val="Título 8 Car"/>
    <w:link w:val="Ttulo8"/>
    <w:uiPriority w:val="9"/>
    <w:rsid w:val="00595129"/>
    <w:rPr>
      <w:rFonts w:ascii="Calibri" w:hAnsi="Calibri"/>
      <w:i/>
      <w:iCs/>
      <w:sz w:val="24"/>
      <w:szCs w:val="24"/>
      <w:lang w:eastAsia="es-ES"/>
    </w:rPr>
  </w:style>
  <w:style w:type="character" w:customStyle="1" w:styleId="Ttulo9Car">
    <w:name w:val="Título 9 Car"/>
    <w:link w:val="Ttulo9"/>
    <w:uiPriority w:val="9"/>
    <w:rsid w:val="00595129"/>
    <w:rPr>
      <w:rFonts w:ascii="Calibri Light" w:hAnsi="Calibri Light"/>
      <w:sz w:val="22"/>
      <w:szCs w:val="22"/>
      <w:lang w:eastAsia="es-ES"/>
    </w:rPr>
  </w:style>
  <w:style w:type="paragraph" w:customStyle="1" w:styleId="Artculo">
    <w:name w:val="Artículo"/>
    <w:basedOn w:val="Normal"/>
    <w:link w:val="ArtculoCar"/>
    <w:qFormat/>
    <w:rsid w:val="00FE4ECD"/>
    <w:pPr>
      <w:numPr>
        <w:numId w:val="4"/>
      </w:numPr>
      <w:spacing w:before="240" w:after="240"/>
      <w:ind w:left="425"/>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rPr>
  </w:style>
  <w:style w:type="paragraph" w:styleId="TDC4">
    <w:name w:val="toc 4"/>
    <w:basedOn w:val="Normal"/>
    <w:next w:val="Normal"/>
    <w:autoRedefine/>
    <w:uiPriority w:val="39"/>
    <w:rsid w:val="008B6CFD"/>
    <w:pPr>
      <w:spacing w:before="240" w:after="240"/>
      <w:ind w:left="480"/>
    </w:pPr>
    <w:rPr>
      <w:rFonts w:ascii="Calibri" w:hAnsi="Calibri"/>
      <w:sz w:val="20"/>
      <w:szCs w:val="20"/>
    </w:rPr>
  </w:style>
  <w:style w:type="paragraph" w:styleId="TDC5">
    <w:name w:val="toc 5"/>
    <w:basedOn w:val="Normal"/>
    <w:next w:val="Normal"/>
    <w:autoRedefine/>
    <w:uiPriority w:val="39"/>
    <w:rsid w:val="008B6CFD"/>
    <w:pPr>
      <w:spacing w:before="240" w:after="240"/>
      <w:ind w:left="720"/>
    </w:pPr>
    <w:rPr>
      <w:rFonts w:ascii="Calibri" w:hAnsi="Calibri"/>
      <w:sz w:val="20"/>
      <w:szCs w:val="20"/>
    </w:rPr>
  </w:style>
  <w:style w:type="paragraph" w:styleId="TDC6">
    <w:name w:val="toc 6"/>
    <w:basedOn w:val="Normal"/>
    <w:next w:val="Normal"/>
    <w:autoRedefine/>
    <w:uiPriority w:val="39"/>
    <w:rsid w:val="008B6CFD"/>
    <w:pPr>
      <w:spacing w:before="240" w:after="240"/>
      <w:ind w:left="960"/>
    </w:pPr>
    <w:rPr>
      <w:rFonts w:ascii="Calibri" w:hAnsi="Calibri"/>
      <w:sz w:val="20"/>
      <w:szCs w:val="20"/>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rPr>
  </w:style>
  <w:style w:type="paragraph" w:styleId="TDC9">
    <w:name w:val="toc 9"/>
    <w:basedOn w:val="Normal"/>
    <w:next w:val="Normal"/>
    <w:autoRedefine/>
    <w:uiPriority w:val="39"/>
    <w:rsid w:val="008B6CFD"/>
    <w:pPr>
      <w:spacing w:before="240" w:after="240"/>
      <w:ind w:left="1680"/>
    </w:pPr>
    <w:rPr>
      <w:rFonts w:ascii="Calibri" w:hAnsi="Calibri"/>
      <w:sz w:val="20"/>
      <w:szCs w:val="20"/>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eastAsia="ar-SA"/>
    </w:rPr>
  </w:style>
  <w:style w:type="paragraph" w:styleId="Lista">
    <w:name w:val="List"/>
    <w:basedOn w:val="Normal"/>
    <w:rsid w:val="008B6CFD"/>
    <w:pPr>
      <w:suppressAutoHyphens/>
      <w:spacing w:before="240" w:after="240"/>
      <w:ind w:left="283" w:hanging="283"/>
    </w:pPr>
    <w:rPr>
      <w:sz w:val="22"/>
      <w:szCs w:val="20"/>
      <w:lang w:eastAsia="ar-SA"/>
    </w:rPr>
  </w:style>
  <w:style w:type="paragraph" w:customStyle="1" w:styleId="Index">
    <w:name w:val="Index"/>
    <w:basedOn w:val="Normal"/>
    <w:rsid w:val="008B6CFD"/>
    <w:pPr>
      <w:suppressLineNumbers/>
      <w:suppressAutoHyphens/>
      <w:spacing w:before="240" w:after="240"/>
    </w:pPr>
    <w:rPr>
      <w:sz w:val="22"/>
      <w:szCs w:val="20"/>
      <w:lang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eastAsia="ar-SA"/>
    </w:rPr>
  </w:style>
  <w:style w:type="paragraph" w:styleId="ndice2">
    <w:name w:val="index 2"/>
    <w:basedOn w:val="Normal"/>
    <w:next w:val="Normal"/>
    <w:rsid w:val="008B6CFD"/>
    <w:pPr>
      <w:suppressAutoHyphens/>
      <w:spacing w:before="240" w:after="240"/>
      <w:ind w:left="480" w:hanging="240"/>
    </w:pPr>
    <w:rPr>
      <w:sz w:val="20"/>
      <w:szCs w:val="20"/>
      <w:lang w:eastAsia="ar-SA"/>
    </w:rPr>
  </w:style>
  <w:style w:type="paragraph" w:styleId="ndice3">
    <w:name w:val="index 3"/>
    <w:basedOn w:val="Normal"/>
    <w:next w:val="Normal"/>
    <w:rsid w:val="008B6CFD"/>
    <w:pPr>
      <w:suppressAutoHyphens/>
      <w:spacing w:before="240" w:after="240"/>
      <w:ind w:left="720" w:hanging="240"/>
    </w:pPr>
    <w:rPr>
      <w:sz w:val="20"/>
      <w:szCs w:val="20"/>
      <w:lang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eastAsia="ar-SA"/>
    </w:rPr>
  </w:style>
  <w:style w:type="paragraph" w:customStyle="1" w:styleId="Text">
    <w:name w:val="Text"/>
    <w:basedOn w:val="Normal"/>
    <w:rsid w:val="008B6CFD"/>
    <w:pPr>
      <w:suppressLineNumbers/>
      <w:suppressAutoHyphens/>
    </w:pPr>
    <w:rPr>
      <w:i/>
      <w:iCs/>
      <w:lang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eastAsia="es-CO"/>
    </w:rPr>
  </w:style>
  <w:style w:type="paragraph" w:customStyle="1" w:styleId="xl78">
    <w:name w:val="xl78"/>
    <w:basedOn w:val="Normal"/>
    <w:rsid w:val="008B6CFD"/>
    <w:pPr>
      <w:spacing w:before="100" w:beforeAutospacing="1" w:after="100" w:afterAutospacing="1"/>
      <w:jc w:val="center"/>
    </w:pPr>
    <w:rPr>
      <w:sz w:val="12"/>
      <w:szCs w:val="12"/>
      <w:lang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00814690">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69750930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011177">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62921530">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294482259">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54721944">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44889213">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81284920">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127c683-ebd0-4e75-9c9b-930d1b233c64">
      <UserInfo>
        <DisplayName>Magaly Echeverria</DisplayName>
        <AccountId>255</AccountId>
        <AccountType/>
      </UserInfo>
      <UserInfo>
        <DisplayName>Olga Estella Ramirez Yaima</DisplayName>
        <AccountId>39</AccountId>
        <AccountType/>
      </UserInfo>
    </SharedWithUsers>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2.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3.xml><?xml version="1.0" encoding="utf-8"?>
<ds:datastoreItem xmlns:ds="http://schemas.openxmlformats.org/officeDocument/2006/customXml" ds:itemID="{E20AF1BA-2151-4C6C-9849-B6E48D5EF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35</TotalTime>
  <Pages>1</Pages>
  <Words>6479</Words>
  <Characters>35638</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42033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16</cp:revision>
  <cp:lastPrinted>2025-02-07T16:04:00Z</cp:lastPrinted>
  <dcterms:created xsi:type="dcterms:W3CDTF">2025-01-30T21:31:00Z</dcterms:created>
  <dcterms:modified xsi:type="dcterms:W3CDTF">2025-02-07T16:04:00Z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