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41F8E436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 w:rsidR="00912616">
        <w:rPr>
          <w:rFonts w:ascii="Arial" w:hAnsi="Arial" w:cs="Arial"/>
          <w:noProof/>
          <w:sz w:val="22"/>
          <w:szCs w:val="22"/>
          <w:lang w:val="es-MX"/>
        </w:rPr>
        <w:t xml:space="preserve">28 </w:t>
      </w:r>
      <w:r>
        <w:rPr>
          <w:rFonts w:ascii="Arial" w:hAnsi="Arial" w:cs="Arial"/>
          <w:noProof/>
          <w:sz w:val="22"/>
          <w:szCs w:val="22"/>
          <w:lang w:val="es-MX"/>
        </w:rPr>
        <w:t>de septiembre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DF36FC6" w14:textId="67BFBEF5" w:rsidR="00BA6D78" w:rsidRPr="00BA6D78" w:rsidRDefault="00BA6D78" w:rsidP="00CA4A8D">
      <w:pPr>
        <w:pStyle w:val="Ttulo5"/>
        <w:spacing w:before="480" w:after="48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A02553" w:rsidRPr="00A02553">
        <w:t xml:space="preserve"> </w:t>
      </w:r>
      <w:r w:rsidR="00A02553" w:rsidRPr="00A02553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072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74FF62B2" w14:textId="545EC703" w:rsidR="00BA6D78" w:rsidRPr="004142B1" w:rsidRDefault="00BA6D78" w:rsidP="00556705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AGENTES DEL MERCADO DE ENERGÍA MAYORISTA Y TERCEROS INTERESADOS</w:t>
      </w:r>
      <w:r>
        <w:rPr>
          <w:rFonts w:ascii="Arial" w:hAnsi="Arial" w:cs="Arial"/>
          <w:b/>
        </w:rPr>
        <w:fldChar w:fldCharType="end"/>
      </w:r>
    </w:p>
    <w:p w14:paraId="5ECA4954" w14:textId="11F570A6" w:rsidR="00BA6D78" w:rsidRDefault="00BA6D78" w:rsidP="00556705">
      <w:pPr>
        <w:pStyle w:val="Sangradetextonormal"/>
        <w:spacing w:before="120" w:line="360" w:lineRule="auto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</w:t>
      </w:r>
      <w:r w:rsidR="007F22FF">
        <w:rPr>
          <w:rFonts w:ascii="Arial" w:hAnsi="Arial" w:cs="Arial"/>
          <w:b/>
          <w:noProof/>
        </w:rPr>
        <w:t>CCIÓN</w:t>
      </w:r>
      <w:r>
        <w:rPr>
          <w:rFonts w:ascii="Arial" w:hAnsi="Arial" w:cs="Arial"/>
          <w:b/>
          <w:noProof/>
        </w:rPr>
        <w:t xml:space="preserve"> EJECUTIV</w:t>
      </w:r>
      <w:r w:rsidR="007F22FF">
        <w:rPr>
          <w:rFonts w:ascii="Arial" w:hAnsi="Arial" w:cs="Arial"/>
          <w:b/>
          <w:noProof/>
        </w:rPr>
        <w:t>A</w:t>
      </w:r>
      <w:r>
        <w:rPr>
          <w:rFonts w:ascii="Arial" w:hAnsi="Arial" w:cs="Arial"/>
          <w:b/>
        </w:rPr>
        <w:fldChar w:fldCharType="end"/>
      </w:r>
    </w:p>
    <w:p w14:paraId="3AF4582F" w14:textId="3BB17BBF" w:rsidR="00BA6D78" w:rsidRDefault="00BA6D78" w:rsidP="00556705">
      <w:pPr>
        <w:pStyle w:val="Sangradetextonormal"/>
        <w:spacing w:before="120" w:line="360" w:lineRule="auto"/>
        <w:ind w:left="1410" w:hanging="1410"/>
        <w:rPr>
          <w:rFonts w:ascii="Arial" w:hAnsi="Arial" w:cs="Arial"/>
          <w:b/>
          <w:bCs/>
          <w:lang w:val="es-ES"/>
        </w:rPr>
      </w:pPr>
      <w:r w:rsidRPr="16BA92F5">
        <w:rPr>
          <w:rFonts w:ascii="Arial" w:hAnsi="Arial" w:cs="Arial"/>
          <w:b/>
          <w:bCs/>
          <w:lang w:val="es-ES"/>
        </w:rPr>
        <w:t>ASUNTO:</w:t>
      </w:r>
      <w:r>
        <w:tab/>
      </w:r>
      <w:r w:rsidR="00EA4DD0" w:rsidRPr="16BA92F5">
        <w:rPr>
          <w:rFonts w:ascii="Arial" w:hAnsi="Arial" w:cs="Arial"/>
          <w:b/>
          <w:bCs/>
          <w:lang w:val="es-ES"/>
        </w:rPr>
        <w:t>ACTIVACIÓN DEL MECANISMO PARA EL SOSTENIMIENTO DE LA CONFIABILIDAD</w:t>
      </w:r>
    </w:p>
    <w:p w14:paraId="64F1F51F" w14:textId="396A5A96" w:rsidR="00C02632" w:rsidRDefault="000356C0" w:rsidP="00556705">
      <w:pPr>
        <w:pStyle w:val="Textoindependiente"/>
        <w:spacing w:before="240" w:after="240" w:line="360" w:lineRule="auto"/>
        <w:rPr>
          <w:rFonts w:cs="Arial"/>
          <w:sz w:val="24"/>
          <w:szCs w:val="24"/>
        </w:rPr>
      </w:pPr>
      <w:r w:rsidRPr="79017E75">
        <w:rPr>
          <w:rFonts w:cs="Arial"/>
          <w:sz w:val="24"/>
          <w:szCs w:val="24"/>
        </w:rPr>
        <w:t xml:space="preserve">La Dirección Ejecutiva de la Comisión de Regulación de Energía y Gas, CREG, se permite </w:t>
      </w:r>
      <w:r w:rsidR="00EA4DD0" w:rsidRPr="79017E75">
        <w:rPr>
          <w:rFonts w:cs="Arial"/>
          <w:sz w:val="24"/>
          <w:szCs w:val="24"/>
        </w:rPr>
        <w:t xml:space="preserve">informar que en la Sesión 1342 del 28 de septiembre de presente año </w:t>
      </w:r>
      <w:r w:rsidR="00B732FA" w:rsidRPr="79017E75">
        <w:rPr>
          <w:rFonts w:cs="Arial"/>
          <w:sz w:val="24"/>
          <w:szCs w:val="24"/>
        </w:rPr>
        <w:t xml:space="preserve">y de acuerdo con lo definido en la Resolución CREG 026 de 2014 </w:t>
      </w:r>
      <w:r w:rsidR="00EA4DD0" w:rsidRPr="79017E75">
        <w:rPr>
          <w:rFonts w:cs="Arial"/>
          <w:sz w:val="24"/>
          <w:szCs w:val="24"/>
        </w:rPr>
        <w:t xml:space="preserve">se decidió </w:t>
      </w:r>
      <w:r w:rsidR="00C02632" w:rsidRPr="79017E75">
        <w:rPr>
          <w:rFonts w:cs="Arial"/>
          <w:sz w:val="24"/>
          <w:szCs w:val="24"/>
        </w:rPr>
        <w:t>confirmar el cambio del e</w:t>
      </w:r>
      <w:r w:rsidR="00B732FA" w:rsidRPr="79017E75">
        <w:rPr>
          <w:rFonts w:cs="Arial"/>
          <w:sz w:val="24"/>
          <w:szCs w:val="24"/>
        </w:rPr>
        <w:t xml:space="preserve">stado del sistema manifestado por el Centro Nacional de Despacho </w:t>
      </w:r>
      <w:r w:rsidR="0DD893A0" w:rsidRPr="79017E75">
        <w:rPr>
          <w:rFonts w:cs="Arial"/>
          <w:sz w:val="24"/>
          <w:szCs w:val="24"/>
        </w:rPr>
        <w:t xml:space="preserve">y el Consejo Nacional de Operación </w:t>
      </w:r>
      <w:r w:rsidR="00B732FA" w:rsidRPr="79017E75">
        <w:rPr>
          <w:rFonts w:cs="Arial"/>
          <w:sz w:val="24"/>
          <w:szCs w:val="24"/>
        </w:rPr>
        <w:t>de vigilancia a riesgo.</w:t>
      </w:r>
    </w:p>
    <w:p w14:paraId="52385976" w14:textId="42C67C24" w:rsidR="00EA4DD0" w:rsidRPr="00EA4DD0" w:rsidRDefault="00B732FA" w:rsidP="00556705">
      <w:pPr>
        <w:pStyle w:val="Textoindependiente"/>
        <w:spacing w:before="240" w:after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acuerdo con el cambio del sistema, se dará inicio al </w:t>
      </w:r>
      <w:r w:rsidR="00EA4DD0" w:rsidRPr="00EA4DD0">
        <w:rPr>
          <w:rFonts w:cs="Arial"/>
          <w:sz w:val="24"/>
          <w:szCs w:val="24"/>
        </w:rPr>
        <w:t xml:space="preserve">mecanismo para el sostenimiento de </w:t>
      </w:r>
      <w:r w:rsidR="00512204">
        <w:rPr>
          <w:rFonts w:cs="Arial"/>
          <w:sz w:val="24"/>
          <w:szCs w:val="24"/>
        </w:rPr>
        <w:t xml:space="preserve">la </w:t>
      </w:r>
      <w:r w:rsidR="00EA4DD0" w:rsidRPr="00EA4DD0">
        <w:rPr>
          <w:rFonts w:cs="Arial"/>
          <w:sz w:val="24"/>
          <w:szCs w:val="24"/>
        </w:rPr>
        <w:t>confiabilidad</w:t>
      </w:r>
      <w:r>
        <w:rPr>
          <w:rFonts w:cs="Arial"/>
          <w:sz w:val="24"/>
          <w:szCs w:val="24"/>
        </w:rPr>
        <w:t xml:space="preserve"> </w:t>
      </w:r>
      <w:r w:rsidR="00EA4DD0" w:rsidRPr="00EA4DD0">
        <w:rPr>
          <w:rFonts w:cs="Arial"/>
          <w:sz w:val="24"/>
          <w:szCs w:val="24"/>
        </w:rPr>
        <w:t>en los términos de las Resoluciones CREG 026 y 155 de 2014.</w:t>
      </w:r>
    </w:p>
    <w:p w14:paraId="7A8750F8" w14:textId="53ECE408" w:rsidR="00EA4DD0" w:rsidRDefault="00C83128" w:rsidP="00556705">
      <w:pPr>
        <w:pStyle w:val="Textoindependiente"/>
        <w:spacing w:before="240" w:after="240" w:line="360" w:lineRule="auto"/>
        <w:rPr>
          <w:rFonts w:cs="Arial"/>
          <w:sz w:val="24"/>
          <w:szCs w:val="24"/>
        </w:rPr>
      </w:pPr>
      <w:r w:rsidRPr="79017E75">
        <w:rPr>
          <w:rFonts w:cs="Arial"/>
          <w:sz w:val="24"/>
          <w:szCs w:val="24"/>
        </w:rPr>
        <w:t xml:space="preserve">Esta </w:t>
      </w:r>
      <w:r w:rsidR="00EA4DD0" w:rsidRPr="79017E75">
        <w:rPr>
          <w:rFonts w:cs="Arial"/>
          <w:sz w:val="24"/>
          <w:szCs w:val="24"/>
        </w:rPr>
        <w:t>decisión</w:t>
      </w:r>
      <w:r w:rsidR="00CA4A8D" w:rsidRPr="79017E75">
        <w:rPr>
          <w:rFonts w:cs="Arial"/>
          <w:sz w:val="24"/>
          <w:szCs w:val="24"/>
        </w:rPr>
        <w:t>,</w:t>
      </w:r>
      <w:r w:rsidR="00EA4DD0" w:rsidRPr="79017E75">
        <w:rPr>
          <w:rFonts w:cs="Arial"/>
          <w:sz w:val="24"/>
          <w:szCs w:val="24"/>
        </w:rPr>
        <w:t xml:space="preserve"> obedece al análisis realizado sobre el comportamiento de las variables energéticas, de mercado y al cambio en el estado de los indicadores del sistema informado por el Centro Nacional de Despacho mediante </w:t>
      </w:r>
      <w:r w:rsidR="009049FD" w:rsidRPr="79017E75">
        <w:rPr>
          <w:rFonts w:cs="Arial"/>
          <w:sz w:val="24"/>
          <w:szCs w:val="24"/>
        </w:rPr>
        <w:t xml:space="preserve">comunicación </w:t>
      </w:r>
      <w:r w:rsidR="00963B54" w:rsidRPr="79017E75">
        <w:rPr>
          <w:rFonts w:cs="Arial"/>
          <w:sz w:val="24"/>
          <w:szCs w:val="24"/>
        </w:rPr>
        <w:t>Cítese</w:t>
      </w:r>
      <w:r w:rsidR="009049FD" w:rsidRPr="79017E75">
        <w:rPr>
          <w:rFonts w:cs="Arial"/>
          <w:sz w:val="24"/>
          <w:szCs w:val="24"/>
        </w:rPr>
        <w:t xml:space="preserve"> </w:t>
      </w:r>
      <w:r w:rsidR="00963B54" w:rsidRPr="79017E75">
        <w:rPr>
          <w:rFonts w:cs="Arial"/>
          <w:sz w:val="24"/>
          <w:szCs w:val="24"/>
        </w:rPr>
        <w:t>202444</w:t>
      </w:r>
      <w:r w:rsidR="005076F4" w:rsidRPr="79017E75">
        <w:rPr>
          <w:rFonts w:cs="Arial"/>
          <w:sz w:val="24"/>
          <w:szCs w:val="24"/>
        </w:rPr>
        <w:t>020504-1 XM</w:t>
      </w:r>
      <w:r w:rsidR="188B93BC" w:rsidRPr="79017E75">
        <w:rPr>
          <w:rFonts w:cs="Arial"/>
          <w:sz w:val="24"/>
          <w:szCs w:val="24"/>
        </w:rPr>
        <w:t xml:space="preserve"> y el Consejo Nacional de Operación mediante comunicación del 27 de septiembre del presente año.</w:t>
      </w:r>
    </w:p>
    <w:p w14:paraId="67505650" w14:textId="7197E021" w:rsidR="38FE24C8" w:rsidRDefault="00B732FA" w:rsidP="00556705">
      <w:pPr>
        <w:pStyle w:val="Textoindependiente"/>
        <w:spacing w:before="240" w:after="240" w:line="360" w:lineRule="auto"/>
        <w:rPr>
          <w:rFonts w:cs="Arial"/>
          <w:sz w:val="24"/>
          <w:szCs w:val="24"/>
        </w:rPr>
      </w:pPr>
      <w:r w:rsidRPr="38FE24C8">
        <w:rPr>
          <w:rFonts w:cs="Arial"/>
          <w:sz w:val="24"/>
          <w:szCs w:val="24"/>
        </w:rPr>
        <w:t xml:space="preserve">La aplicación del mecanismo para el sostenimiento de la confiabilidad implica la determinación de la generación térmica </w:t>
      </w:r>
      <w:r w:rsidR="009667C1" w:rsidRPr="38FE24C8">
        <w:rPr>
          <w:rFonts w:cs="Arial"/>
          <w:sz w:val="24"/>
          <w:szCs w:val="24"/>
        </w:rPr>
        <w:t xml:space="preserve">que los modelos energéticos del operador del sistema identifican </w:t>
      </w:r>
      <w:r w:rsidR="009667C1" w:rsidRPr="38FE24C8">
        <w:rPr>
          <w:rFonts w:cs="Arial"/>
          <w:sz w:val="24"/>
          <w:szCs w:val="24"/>
        </w:rPr>
        <w:lastRenderedPageBreak/>
        <w:t>como necesaria y eficiente</w:t>
      </w:r>
      <w:r w:rsidR="00C83128" w:rsidRPr="38FE24C8">
        <w:rPr>
          <w:rFonts w:cs="Arial"/>
          <w:sz w:val="24"/>
          <w:szCs w:val="24"/>
        </w:rPr>
        <w:t>, es acotad</w:t>
      </w:r>
      <w:r w:rsidR="00CA4A8D" w:rsidRPr="38FE24C8">
        <w:rPr>
          <w:rFonts w:cs="Arial"/>
          <w:sz w:val="24"/>
          <w:szCs w:val="24"/>
        </w:rPr>
        <w:t>o</w:t>
      </w:r>
      <w:r w:rsidR="00C83128" w:rsidRPr="38FE24C8">
        <w:rPr>
          <w:rFonts w:cs="Arial"/>
          <w:sz w:val="24"/>
          <w:szCs w:val="24"/>
        </w:rPr>
        <w:t xml:space="preserve"> en el tiempo y busca</w:t>
      </w:r>
      <w:r w:rsidR="009667C1" w:rsidRPr="38FE24C8">
        <w:rPr>
          <w:rFonts w:cs="Arial"/>
          <w:sz w:val="24"/>
          <w:szCs w:val="24"/>
        </w:rPr>
        <w:t xml:space="preserve"> la recuperación del embalse del sistema durante esta condición hidrológica atípica de esta temporada de invierno y prepararnos para la estación de verano 2024-2025</w:t>
      </w:r>
      <w:r w:rsidR="002906DE">
        <w:rPr>
          <w:rFonts w:cs="Arial"/>
          <w:sz w:val="24"/>
          <w:szCs w:val="24"/>
        </w:rPr>
        <w:t xml:space="preserve">, es decir, </w:t>
      </w:r>
      <w:r w:rsidR="00C65D5B">
        <w:rPr>
          <w:rFonts w:cs="Arial"/>
          <w:sz w:val="24"/>
          <w:szCs w:val="24"/>
        </w:rPr>
        <w:t xml:space="preserve">su duración </w:t>
      </w:r>
      <w:r w:rsidR="00120D05">
        <w:rPr>
          <w:rFonts w:cs="Arial"/>
          <w:sz w:val="24"/>
          <w:szCs w:val="24"/>
        </w:rPr>
        <w:t>dependerá de l</w:t>
      </w:r>
      <w:r w:rsidR="00CC172F">
        <w:rPr>
          <w:rFonts w:cs="Arial"/>
          <w:sz w:val="24"/>
          <w:szCs w:val="24"/>
        </w:rPr>
        <w:t>a</w:t>
      </w:r>
      <w:r w:rsidR="00120D05">
        <w:rPr>
          <w:rFonts w:cs="Arial"/>
          <w:sz w:val="24"/>
          <w:szCs w:val="24"/>
        </w:rPr>
        <w:t xml:space="preserve"> </w:t>
      </w:r>
      <w:r w:rsidR="00CC172F">
        <w:rPr>
          <w:rFonts w:cs="Arial"/>
          <w:sz w:val="24"/>
          <w:szCs w:val="24"/>
        </w:rPr>
        <w:t xml:space="preserve">evolución de los </w:t>
      </w:r>
      <w:r w:rsidR="00120D05">
        <w:rPr>
          <w:rFonts w:cs="Arial"/>
          <w:sz w:val="24"/>
          <w:szCs w:val="24"/>
        </w:rPr>
        <w:t>aportes hídricos</w:t>
      </w:r>
      <w:r w:rsidR="00CC172F">
        <w:rPr>
          <w:rFonts w:cs="Arial"/>
          <w:sz w:val="24"/>
          <w:szCs w:val="24"/>
        </w:rPr>
        <w:t xml:space="preserve"> y</w:t>
      </w:r>
      <w:r w:rsidR="00F45ED4">
        <w:rPr>
          <w:rFonts w:cs="Arial"/>
          <w:sz w:val="24"/>
          <w:szCs w:val="24"/>
        </w:rPr>
        <w:t xml:space="preserve"> la demanda de energía, la disponibilida</w:t>
      </w:r>
      <w:r w:rsidR="00CC172F">
        <w:rPr>
          <w:rFonts w:cs="Arial"/>
          <w:sz w:val="24"/>
          <w:szCs w:val="24"/>
        </w:rPr>
        <w:t xml:space="preserve">d del parque de generación y </w:t>
      </w:r>
      <w:r w:rsidR="00FF024C">
        <w:rPr>
          <w:rFonts w:cs="Arial"/>
          <w:sz w:val="24"/>
          <w:szCs w:val="24"/>
        </w:rPr>
        <w:t>hasta que el nivel del embalse del Sistema Interconectado Nacional alcance la senda de referencia para esta estación.</w:t>
      </w:r>
    </w:p>
    <w:p w14:paraId="2D6C9818" w14:textId="77777777" w:rsidR="00BA6D78" w:rsidRDefault="00BA6D78" w:rsidP="00556705">
      <w:pPr>
        <w:pStyle w:val="Textoindependiente"/>
        <w:spacing w:before="240" w:after="240" w:line="360" w:lineRule="auto"/>
        <w:rPr>
          <w:rFonts w:cs="Arial"/>
          <w:sz w:val="24"/>
          <w:szCs w:val="24"/>
        </w:rPr>
      </w:pPr>
      <w:r w:rsidRPr="00EA4DD0">
        <w:rPr>
          <w:rFonts w:cs="Arial"/>
          <w:sz w:val="24"/>
          <w:szCs w:val="24"/>
        </w:rPr>
        <w:t>Cordialmente,</w:t>
      </w:r>
    </w:p>
    <w:p w14:paraId="227E8F00" w14:textId="77777777" w:rsidR="00C83128" w:rsidRDefault="00C83128" w:rsidP="009F49E2">
      <w:pPr>
        <w:pStyle w:val="Textoindependiente"/>
        <w:spacing w:after="0" w:line="240" w:lineRule="auto"/>
        <w:jc w:val="center"/>
        <w:rPr>
          <w:rFonts w:cs="Arial"/>
          <w:b/>
          <w:bCs/>
          <w:sz w:val="22"/>
          <w:szCs w:val="22"/>
        </w:rPr>
      </w:pPr>
    </w:p>
    <w:p w14:paraId="561C8EAD" w14:textId="0FB15E62" w:rsidR="009F49E2" w:rsidRPr="009F49E2" w:rsidRDefault="009F49E2" w:rsidP="009F49E2">
      <w:pPr>
        <w:pStyle w:val="Textoindependiente"/>
        <w:spacing w:after="0" w:line="240" w:lineRule="auto"/>
        <w:jc w:val="center"/>
        <w:rPr>
          <w:rFonts w:cs="Arial"/>
          <w:b/>
          <w:bCs/>
          <w:sz w:val="22"/>
          <w:szCs w:val="22"/>
        </w:rPr>
      </w:pPr>
      <w:r w:rsidRPr="009F49E2">
        <w:rPr>
          <w:rFonts w:cs="Arial"/>
          <w:b/>
          <w:bCs/>
          <w:sz w:val="22"/>
          <w:szCs w:val="22"/>
        </w:rPr>
        <w:t>ANTONIO JIMÉNEZ RIVERA</w:t>
      </w:r>
    </w:p>
    <w:p w14:paraId="09F2BAD1" w14:textId="55F2CECA" w:rsidR="00A02553" w:rsidRPr="00A02553" w:rsidRDefault="009F49E2" w:rsidP="00A02553">
      <w:pPr>
        <w:pStyle w:val="Textoindependiente"/>
        <w:spacing w:after="0" w:line="240" w:lineRule="auto"/>
        <w:jc w:val="center"/>
        <w:rPr>
          <w:rFonts w:cs="Arial"/>
          <w:sz w:val="22"/>
          <w:szCs w:val="22"/>
        </w:rPr>
      </w:pPr>
      <w:r w:rsidRPr="009F49E2">
        <w:rPr>
          <w:rFonts w:cs="Arial"/>
          <w:sz w:val="22"/>
          <w:szCs w:val="22"/>
        </w:rPr>
        <w:t>Director Ejecutivo</w:t>
      </w:r>
    </w:p>
    <w:sectPr w:rsidR="00A02553" w:rsidRPr="00A02553" w:rsidSect="008B09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9ACF8" w14:textId="77777777" w:rsidR="00167E5D" w:rsidRDefault="00167E5D" w:rsidP="00AA0519">
      <w:r>
        <w:separator/>
      </w:r>
    </w:p>
  </w:endnote>
  <w:endnote w:type="continuationSeparator" w:id="0">
    <w:p w14:paraId="0FBEE9E1" w14:textId="77777777" w:rsidR="00167E5D" w:rsidRDefault="00167E5D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FDD8" w14:textId="6B311D7C" w:rsidR="000356C0" w:rsidRDefault="000356C0" w:rsidP="000356C0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6688150C" w14:textId="2E66E81A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D9C48DA" w14:textId="77777777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FA37E5B" w14:textId="77777777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E333482" w14:textId="77777777" w:rsidR="000356C0" w:rsidRPr="00256928" w:rsidRDefault="000356C0" w:rsidP="000356C0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69E6" w14:textId="7F5A7112" w:rsidR="000356C0" w:rsidRDefault="000356C0" w:rsidP="000356C0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4C8E0E82" w14:textId="4B449600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0CF824C" w14:textId="77777777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3C654C2" w14:textId="77777777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4BB0BB8C" w:rsidR="003F2F4B" w:rsidRPr="000356C0" w:rsidRDefault="000356C0" w:rsidP="00895C43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71EB6" w14:textId="77777777" w:rsidR="00167E5D" w:rsidRDefault="00167E5D" w:rsidP="00AA0519">
      <w:r>
        <w:separator/>
      </w:r>
    </w:p>
  </w:footnote>
  <w:footnote w:type="continuationSeparator" w:id="0">
    <w:p w14:paraId="41DEAFD9" w14:textId="77777777" w:rsidR="00167E5D" w:rsidRDefault="00167E5D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991C" w14:textId="77777777" w:rsidR="000356C0" w:rsidRDefault="000356C0" w:rsidP="000356C0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4158A3C" wp14:editId="1964E914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13926993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F4E7078" wp14:editId="0F3D7B05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278869518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8CDA" w14:textId="77777777" w:rsidR="000356C0" w:rsidRDefault="000356C0" w:rsidP="000356C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4347591" wp14:editId="0B8F0496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8AF97DB" wp14:editId="53616A39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356C0"/>
    <w:rsid w:val="00040E20"/>
    <w:rsid w:val="00046BDF"/>
    <w:rsid w:val="000669CA"/>
    <w:rsid w:val="00071BA7"/>
    <w:rsid w:val="00074D17"/>
    <w:rsid w:val="000B439A"/>
    <w:rsid w:val="000F11F6"/>
    <w:rsid w:val="000F38B4"/>
    <w:rsid w:val="00120D05"/>
    <w:rsid w:val="001215BB"/>
    <w:rsid w:val="00124C31"/>
    <w:rsid w:val="0014353D"/>
    <w:rsid w:val="00153BE7"/>
    <w:rsid w:val="00167E5D"/>
    <w:rsid w:val="0017449E"/>
    <w:rsid w:val="001E2DD2"/>
    <w:rsid w:val="001F303A"/>
    <w:rsid w:val="001F47AB"/>
    <w:rsid w:val="00212267"/>
    <w:rsid w:val="0024085D"/>
    <w:rsid w:val="00241901"/>
    <w:rsid w:val="002906DE"/>
    <w:rsid w:val="002C26C3"/>
    <w:rsid w:val="00324760"/>
    <w:rsid w:val="00353D1D"/>
    <w:rsid w:val="0035632E"/>
    <w:rsid w:val="00361DFF"/>
    <w:rsid w:val="00364011"/>
    <w:rsid w:val="0038014E"/>
    <w:rsid w:val="003A7FC9"/>
    <w:rsid w:val="003B1FEC"/>
    <w:rsid w:val="003C7E1C"/>
    <w:rsid w:val="003F2F4B"/>
    <w:rsid w:val="00401E61"/>
    <w:rsid w:val="004142B1"/>
    <w:rsid w:val="004170AF"/>
    <w:rsid w:val="00433836"/>
    <w:rsid w:val="0044278A"/>
    <w:rsid w:val="00456720"/>
    <w:rsid w:val="00457CC2"/>
    <w:rsid w:val="00471D69"/>
    <w:rsid w:val="00483D6B"/>
    <w:rsid w:val="004A2A45"/>
    <w:rsid w:val="004A6CAB"/>
    <w:rsid w:val="004C0855"/>
    <w:rsid w:val="004C69B7"/>
    <w:rsid w:val="004E017D"/>
    <w:rsid w:val="005076F4"/>
    <w:rsid w:val="00512204"/>
    <w:rsid w:val="00515BEF"/>
    <w:rsid w:val="0053330D"/>
    <w:rsid w:val="00556705"/>
    <w:rsid w:val="005604AC"/>
    <w:rsid w:val="005723D7"/>
    <w:rsid w:val="00583E09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47FF"/>
    <w:rsid w:val="00730AA1"/>
    <w:rsid w:val="00735E1F"/>
    <w:rsid w:val="0074199A"/>
    <w:rsid w:val="00752DEC"/>
    <w:rsid w:val="00762CBD"/>
    <w:rsid w:val="00772A5E"/>
    <w:rsid w:val="0078631A"/>
    <w:rsid w:val="007A7C1D"/>
    <w:rsid w:val="007F14A9"/>
    <w:rsid w:val="007F22FF"/>
    <w:rsid w:val="007F42E3"/>
    <w:rsid w:val="007F4E31"/>
    <w:rsid w:val="008066FD"/>
    <w:rsid w:val="00823401"/>
    <w:rsid w:val="00836D27"/>
    <w:rsid w:val="00847FE4"/>
    <w:rsid w:val="008776E3"/>
    <w:rsid w:val="00895C43"/>
    <w:rsid w:val="008B0943"/>
    <w:rsid w:val="008C0A5F"/>
    <w:rsid w:val="00902889"/>
    <w:rsid w:val="009049FD"/>
    <w:rsid w:val="00912616"/>
    <w:rsid w:val="00930F73"/>
    <w:rsid w:val="00941824"/>
    <w:rsid w:val="00946086"/>
    <w:rsid w:val="00957BE3"/>
    <w:rsid w:val="00963B54"/>
    <w:rsid w:val="009667C1"/>
    <w:rsid w:val="00976702"/>
    <w:rsid w:val="00990E97"/>
    <w:rsid w:val="009A3312"/>
    <w:rsid w:val="009E7865"/>
    <w:rsid w:val="009F3478"/>
    <w:rsid w:val="009F49E2"/>
    <w:rsid w:val="009F5428"/>
    <w:rsid w:val="00A02553"/>
    <w:rsid w:val="00A15CDD"/>
    <w:rsid w:val="00A15D55"/>
    <w:rsid w:val="00A84924"/>
    <w:rsid w:val="00A90A86"/>
    <w:rsid w:val="00A92B44"/>
    <w:rsid w:val="00AA0519"/>
    <w:rsid w:val="00AA7A5F"/>
    <w:rsid w:val="00B04FC1"/>
    <w:rsid w:val="00B1429A"/>
    <w:rsid w:val="00B37FAA"/>
    <w:rsid w:val="00B43B45"/>
    <w:rsid w:val="00B732FA"/>
    <w:rsid w:val="00B74DFE"/>
    <w:rsid w:val="00BA6D78"/>
    <w:rsid w:val="00C02632"/>
    <w:rsid w:val="00C65D5B"/>
    <w:rsid w:val="00C81E1F"/>
    <w:rsid w:val="00C83128"/>
    <w:rsid w:val="00C902BC"/>
    <w:rsid w:val="00C9169C"/>
    <w:rsid w:val="00C93328"/>
    <w:rsid w:val="00CA4A8D"/>
    <w:rsid w:val="00CB3666"/>
    <w:rsid w:val="00CC172F"/>
    <w:rsid w:val="00CD6394"/>
    <w:rsid w:val="00CE66F4"/>
    <w:rsid w:val="00D31768"/>
    <w:rsid w:val="00D4346A"/>
    <w:rsid w:val="00D754A1"/>
    <w:rsid w:val="00D915DC"/>
    <w:rsid w:val="00DF79E2"/>
    <w:rsid w:val="00E035CC"/>
    <w:rsid w:val="00E56853"/>
    <w:rsid w:val="00E617D4"/>
    <w:rsid w:val="00E77923"/>
    <w:rsid w:val="00EA4DD0"/>
    <w:rsid w:val="00EC5291"/>
    <w:rsid w:val="00F02D43"/>
    <w:rsid w:val="00F0446F"/>
    <w:rsid w:val="00F13D47"/>
    <w:rsid w:val="00F35EFC"/>
    <w:rsid w:val="00F45ED4"/>
    <w:rsid w:val="00F66BF3"/>
    <w:rsid w:val="00F80B1D"/>
    <w:rsid w:val="00F82573"/>
    <w:rsid w:val="00FA6661"/>
    <w:rsid w:val="00FB07C1"/>
    <w:rsid w:val="00FC759B"/>
    <w:rsid w:val="00FD2A8B"/>
    <w:rsid w:val="00FD726E"/>
    <w:rsid w:val="00FF024C"/>
    <w:rsid w:val="0DD893A0"/>
    <w:rsid w:val="16BA92F5"/>
    <w:rsid w:val="188B93BC"/>
    <w:rsid w:val="2BD46198"/>
    <w:rsid w:val="38FE24C8"/>
    <w:rsid w:val="7901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5" ma:contentTypeDescription="Crear nuevo documento." ma:contentTypeScope="" ma:versionID="dff8ae948c4bd22059ddfa6d0b8561e9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1e03938b67e8d7b01cb6c96024269efc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a0a591-6e08-4792-bc2c-079f6227fde3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A4FB-F72C-4AFC-AD85-E0F52498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12485-ADB4-45A1-836F-CAA87B030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099EB-BC4D-4501-93D5-44A7EA1FE77B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customXml/itemProps4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34</cp:revision>
  <cp:lastPrinted>2024-09-28T23:01:00Z</cp:lastPrinted>
  <dcterms:created xsi:type="dcterms:W3CDTF">2022-08-09T13:58:00Z</dcterms:created>
  <dcterms:modified xsi:type="dcterms:W3CDTF">2024-09-28T23:01:00Z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0x010100A7D4FDF199FE64438732850D4FBE260F</vt:lpwstr>
  </property>
  <property fmtid="{D5CDD505-2E9C-101B-9397-08002B2CF9AE}" pid="3" name="MediaServiceImageTags">
    <vt:lpwstr/>
  </property>
</Properties>
</file>