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E2F8E" w14:textId="77777777" w:rsidR="002953DC" w:rsidRPr="00567ED3" w:rsidRDefault="002953DC" w:rsidP="001653F2">
      <w:pPr>
        <w:rPr>
          <w:rFonts w:ascii="Helvetica" w:hAnsi="Helvetica" w:cs="Helvetica"/>
          <w:kern w:val="0"/>
          <w:sz w:val="24"/>
          <w:szCs w:val="24"/>
          <w:lang w:val="es-MX"/>
          <w14:ligatures w14:val="none"/>
        </w:rPr>
      </w:pPr>
    </w:p>
    <w:p w14:paraId="469E3572" w14:textId="741F1202" w:rsidR="00567ED3" w:rsidRPr="00567ED3" w:rsidRDefault="00567ED3" w:rsidP="00567ED3">
      <w:pPr>
        <w:rPr>
          <w:rFonts w:ascii="Helvetica" w:hAnsi="Helvetica" w:cs="Helvetica"/>
          <w:lang w:val="es-MX"/>
        </w:rPr>
      </w:pPr>
      <w:r w:rsidRPr="00567ED3">
        <w:rPr>
          <w:rFonts w:ascii="Helvetica" w:hAnsi="Helvetica" w:cs="Helvetica"/>
          <w:lang w:val="es-MX"/>
        </w:rPr>
        <w:t xml:space="preserve">Bogotá, D. C., </w:t>
      </w:r>
      <w:r w:rsidR="003F5F47">
        <w:rPr>
          <w:rFonts w:ascii="Helvetica" w:hAnsi="Helvetica" w:cs="Helvetica"/>
          <w:lang w:val="es-MX"/>
        </w:rPr>
        <w:t>27 de septiembre de 2024</w:t>
      </w:r>
    </w:p>
    <w:p w14:paraId="3E754010" w14:textId="77777777" w:rsidR="00567ED3" w:rsidRPr="00567ED3" w:rsidRDefault="00567ED3" w:rsidP="00567ED3">
      <w:pPr>
        <w:pStyle w:val="Encabezado"/>
        <w:rPr>
          <w:rFonts w:ascii="Helvetica" w:hAnsi="Helvetica" w:cs="Helvetica"/>
          <w:lang w:val="es-MX"/>
        </w:rPr>
      </w:pPr>
    </w:p>
    <w:p w14:paraId="33278400" w14:textId="77777777" w:rsidR="00567ED3" w:rsidRPr="00567ED3" w:rsidRDefault="00567ED3" w:rsidP="003F5F47">
      <w:pPr>
        <w:spacing w:line="240" w:lineRule="auto"/>
        <w:rPr>
          <w:rFonts w:ascii="Helvetica" w:hAnsi="Helvetica" w:cs="Helvetica"/>
          <w:lang w:val="es-MX"/>
        </w:rPr>
      </w:pPr>
    </w:p>
    <w:p w14:paraId="0DFFB3D8" w14:textId="2C6EFC3E" w:rsidR="00567ED3" w:rsidRPr="00567ED3" w:rsidRDefault="00567ED3" w:rsidP="00567ED3">
      <w:pPr>
        <w:jc w:val="center"/>
        <w:rPr>
          <w:rFonts w:ascii="Helvetica" w:hAnsi="Helvetica" w:cs="Helvetica"/>
          <w:b/>
          <w:bCs/>
          <w:lang w:val="es-MX"/>
        </w:rPr>
      </w:pPr>
      <w:r w:rsidRPr="00567ED3">
        <w:rPr>
          <w:rFonts w:ascii="Helvetica" w:hAnsi="Helvetica" w:cs="Helvetica"/>
          <w:b/>
          <w:bCs/>
          <w:lang w:val="es-MX"/>
        </w:rPr>
        <w:t xml:space="preserve">AUTO </w:t>
      </w:r>
      <w:r w:rsidRPr="00567ED3">
        <w:rPr>
          <w:rFonts w:ascii="Helvetica" w:hAnsi="Helvetica" w:cs="Helvetica"/>
          <w:b/>
          <w:bCs/>
          <w:lang w:val="es-MX"/>
        </w:rPr>
        <w:fldChar w:fldCharType="begin"/>
      </w:r>
      <w:r w:rsidRPr="00567ED3">
        <w:rPr>
          <w:rFonts w:ascii="Helvetica" w:hAnsi="Helvetica" w:cs="Helvetica"/>
          <w:b/>
          <w:bCs/>
          <w:lang w:val="es-MX"/>
        </w:rPr>
        <w:instrText xml:space="preserve"> MERGEFIELD  Fecha  \* MERGEFORMAT </w:instrText>
      </w:r>
      <w:r w:rsidRPr="00567ED3">
        <w:rPr>
          <w:rFonts w:ascii="Helvetica" w:hAnsi="Helvetica" w:cs="Helvetica"/>
          <w:b/>
          <w:bCs/>
          <w:lang w:val="es-MX"/>
        </w:rPr>
        <w:fldChar w:fldCharType="separate"/>
      </w:r>
      <w:r w:rsidR="003F5F47" w:rsidRPr="003F5F47">
        <w:t xml:space="preserve"> </w:t>
      </w:r>
      <w:r w:rsidR="003F5F47" w:rsidRPr="003F5F47">
        <w:rPr>
          <w:rFonts w:ascii="Helvetica" w:hAnsi="Helvetica" w:cs="Helvetica"/>
          <w:b/>
          <w:bCs/>
          <w:noProof/>
          <w:lang w:val="es-MX"/>
        </w:rPr>
        <w:t>0000354</w:t>
      </w:r>
      <w:r w:rsidRPr="00567ED3">
        <w:rPr>
          <w:rFonts w:ascii="Helvetica" w:hAnsi="Helvetica" w:cs="Helvetica"/>
          <w:b/>
          <w:bCs/>
          <w:noProof/>
          <w:lang w:val="es-MX"/>
        </w:rPr>
        <w:t xml:space="preserve"> de 2024</w:t>
      </w:r>
      <w:r w:rsidRPr="00567ED3">
        <w:rPr>
          <w:rFonts w:ascii="Helvetica" w:hAnsi="Helvetica" w:cs="Helvetica"/>
          <w:b/>
          <w:bCs/>
          <w:lang w:val="es-MX"/>
        </w:rPr>
        <w:fldChar w:fldCharType="end"/>
      </w:r>
    </w:p>
    <w:p w14:paraId="5E0DF312" w14:textId="77777777" w:rsidR="003F5F47" w:rsidRDefault="003F5F47" w:rsidP="006E4FD7">
      <w:pPr>
        <w:jc w:val="center"/>
        <w:rPr>
          <w:rFonts w:ascii="Helvetica" w:hAnsi="Helvetica" w:cs="Helvetica"/>
          <w:b/>
          <w:bCs/>
          <w:kern w:val="0"/>
          <w:sz w:val="24"/>
          <w:szCs w:val="24"/>
          <w:lang w:val="es-ES"/>
          <w14:ligatures w14:val="none"/>
        </w:rPr>
      </w:pPr>
    </w:p>
    <w:p w14:paraId="5F35FDAD" w14:textId="4CCC8B6F" w:rsidR="002953DC" w:rsidRPr="00567ED3" w:rsidRDefault="002953DC" w:rsidP="006E4FD7">
      <w:pPr>
        <w:jc w:val="center"/>
        <w:rPr>
          <w:rFonts w:ascii="Helvetica" w:hAnsi="Helvetica" w:cs="Helvetica"/>
          <w:b/>
          <w:bCs/>
          <w:kern w:val="0"/>
          <w:sz w:val="24"/>
          <w:szCs w:val="24"/>
          <w:lang w:val="es-ES"/>
          <w14:ligatures w14:val="none"/>
        </w:rPr>
      </w:pPr>
      <w:r w:rsidRPr="00567ED3">
        <w:rPr>
          <w:rFonts w:ascii="Helvetica" w:hAnsi="Helvetica" w:cs="Helvetica"/>
          <w:b/>
          <w:bCs/>
          <w:kern w:val="0"/>
          <w:sz w:val="24"/>
          <w:szCs w:val="24"/>
          <w:lang w:val="es-ES"/>
          <w14:ligatures w14:val="none"/>
        </w:rPr>
        <w:t>LA COMISIÓN DE REGULACIÓN DE ENERGÍA Y GAS</w:t>
      </w:r>
    </w:p>
    <w:p w14:paraId="3551BF0C" w14:textId="77777777" w:rsidR="002953DC" w:rsidRPr="00567ED3" w:rsidRDefault="002953DC" w:rsidP="007C70CF">
      <w:pPr>
        <w:jc w:val="center"/>
        <w:rPr>
          <w:rFonts w:ascii="Helvetica" w:hAnsi="Helvetica" w:cs="Helvetica"/>
          <w:b/>
          <w:bCs/>
          <w:kern w:val="0"/>
          <w:sz w:val="24"/>
          <w:szCs w:val="24"/>
          <w:lang w:val="es-ES"/>
          <w14:ligatures w14:val="none"/>
        </w:rPr>
      </w:pPr>
      <w:r w:rsidRPr="00567ED3">
        <w:rPr>
          <w:rFonts w:ascii="Helvetica" w:hAnsi="Helvetica" w:cs="Helvetica"/>
          <w:b/>
          <w:bCs/>
          <w:kern w:val="0"/>
          <w:sz w:val="24"/>
          <w:szCs w:val="24"/>
          <w:lang w:val="es-ES"/>
          <w14:ligatures w14:val="none"/>
        </w:rPr>
        <w:t>DIRECCIÓN EJECUTIVA</w:t>
      </w:r>
    </w:p>
    <w:p w14:paraId="1C1B0A1A" w14:textId="77777777" w:rsidR="002953DC" w:rsidRPr="00567ED3" w:rsidRDefault="002953DC" w:rsidP="007C70CF">
      <w:pPr>
        <w:jc w:val="center"/>
        <w:rPr>
          <w:rFonts w:ascii="Helvetica" w:hAnsi="Helvetica" w:cs="Helvetica"/>
          <w:b/>
          <w:bCs/>
          <w:kern w:val="0"/>
          <w:sz w:val="24"/>
          <w:szCs w:val="24"/>
          <w:lang w:val="es-ES"/>
          <w14:ligatures w14:val="none"/>
        </w:rPr>
      </w:pPr>
    </w:p>
    <w:p w14:paraId="24805274" w14:textId="60BD3075" w:rsidR="00843D5F" w:rsidRDefault="002953DC" w:rsidP="007060CC">
      <w:pPr>
        <w:ind w:left="1410" w:hanging="1410"/>
        <w:jc w:val="both"/>
        <w:rPr>
          <w:rFonts w:ascii="Helvetica" w:hAnsi="Helvetica" w:cs="Helvetica"/>
          <w:bCs/>
          <w:noProof/>
          <w:kern w:val="0"/>
          <w:sz w:val="24"/>
          <w:szCs w:val="24"/>
          <w:lang w:val="es-ES"/>
          <w14:ligatures w14:val="none"/>
        </w:rPr>
      </w:pPr>
      <w:r w:rsidRPr="00567ED3">
        <w:rPr>
          <w:rFonts w:ascii="Helvetica" w:hAnsi="Helvetica" w:cs="Helvetica"/>
          <w:b/>
          <w:bCs/>
          <w:kern w:val="0"/>
          <w:sz w:val="24"/>
          <w:szCs w:val="24"/>
          <w:lang w:val="es-ES"/>
          <w14:ligatures w14:val="none"/>
        </w:rPr>
        <w:t>Asunto:</w:t>
      </w:r>
      <w:r w:rsidRPr="00567ED3">
        <w:rPr>
          <w:rFonts w:ascii="Helvetica" w:hAnsi="Helvetica" w:cs="Helvetica"/>
          <w:b/>
          <w:bCs/>
          <w:kern w:val="0"/>
          <w:sz w:val="24"/>
          <w:szCs w:val="24"/>
          <w:lang w:val="es-ES"/>
          <w14:ligatures w14:val="none"/>
        </w:rPr>
        <w:tab/>
      </w:r>
      <w:r w:rsidRPr="00567ED3">
        <w:rPr>
          <w:rFonts w:ascii="Helvetica" w:hAnsi="Helvetica" w:cs="Helvetica"/>
          <w:bCs/>
          <w:kern w:val="0"/>
          <w:sz w:val="24"/>
          <w:szCs w:val="24"/>
          <w:lang w:val="es-ES"/>
          <w14:ligatures w14:val="none"/>
        </w:rPr>
        <w:t xml:space="preserve">Actuación administrativa iniciada de oficio para </w:t>
      </w:r>
      <w:r w:rsidR="00843D5F">
        <w:rPr>
          <w:rFonts w:ascii="Helvetica" w:hAnsi="Helvetica" w:cs="Helvetica"/>
          <w:bCs/>
          <w:kern w:val="0"/>
          <w:sz w:val="24"/>
          <w:szCs w:val="24"/>
          <w:lang w:val="es-ES"/>
          <w14:ligatures w14:val="none"/>
        </w:rPr>
        <w:t>definir las modificaciones de la resolución 0</w:t>
      </w:r>
      <w:r w:rsidR="007462B6">
        <w:rPr>
          <w:rFonts w:ascii="Helvetica" w:hAnsi="Helvetica" w:cs="Helvetica"/>
          <w:bCs/>
          <w:kern w:val="0"/>
          <w:sz w:val="24"/>
          <w:szCs w:val="24"/>
          <w:lang w:val="es-ES"/>
          <w14:ligatures w14:val="none"/>
        </w:rPr>
        <w:t>24</w:t>
      </w:r>
      <w:r w:rsidR="00843D5F">
        <w:rPr>
          <w:rFonts w:ascii="Helvetica" w:hAnsi="Helvetica" w:cs="Helvetica"/>
          <w:bCs/>
          <w:kern w:val="0"/>
          <w:sz w:val="24"/>
          <w:szCs w:val="24"/>
          <w:lang w:val="es-ES"/>
          <w14:ligatures w14:val="none"/>
        </w:rPr>
        <w:t xml:space="preserve"> de 2021</w:t>
      </w:r>
      <w:r w:rsidR="00D36CA0">
        <w:rPr>
          <w:rFonts w:ascii="Helvetica" w:hAnsi="Helvetica" w:cs="Helvetica"/>
          <w:bCs/>
          <w:kern w:val="0"/>
          <w:sz w:val="24"/>
          <w:szCs w:val="24"/>
          <w:lang w:val="es-ES"/>
          <w14:ligatures w14:val="none"/>
        </w:rPr>
        <w:t>,</w:t>
      </w:r>
      <w:r w:rsidR="006D3362">
        <w:rPr>
          <w:rFonts w:ascii="Helvetica" w:hAnsi="Helvetica" w:cs="Helvetica"/>
          <w:bCs/>
          <w:kern w:val="0"/>
          <w:sz w:val="24"/>
          <w:szCs w:val="24"/>
          <w:lang w:val="es-ES"/>
          <w14:ligatures w14:val="none"/>
        </w:rPr>
        <w:t xml:space="preserve"> modificada por la 0</w:t>
      </w:r>
      <w:r w:rsidR="0011042E">
        <w:rPr>
          <w:rFonts w:ascii="Helvetica" w:hAnsi="Helvetica" w:cs="Helvetica"/>
          <w:bCs/>
          <w:kern w:val="0"/>
          <w:sz w:val="24"/>
          <w:szCs w:val="24"/>
          <w:lang w:val="es-ES"/>
          <w14:ligatures w14:val="none"/>
        </w:rPr>
        <w:t>78 de 2021,</w:t>
      </w:r>
      <w:r w:rsidR="005F0C80">
        <w:rPr>
          <w:rFonts w:ascii="Helvetica" w:hAnsi="Helvetica" w:cs="Helvetica"/>
          <w:bCs/>
          <w:kern w:val="0"/>
          <w:sz w:val="24"/>
          <w:szCs w:val="24"/>
          <w:lang w:val="es-ES"/>
          <w14:ligatures w14:val="none"/>
        </w:rPr>
        <w:t xml:space="preserve"> </w:t>
      </w:r>
      <w:r w:rsidR="003E77FD">
        <w:rPr>
          <w:rFonts w:ascii="Helvetica" w:hAnsi="Helvetica" w:cs="Helvetica"/>
          <w:bCs/>
          <w:kern w:val="0"/>
          <w:sz w:val="24"/>
          <w:szCs w:val="24"/>
          <w:lang w:val="es-ES"/>
          <w14:ligatures w14:val="none"/>
        </w:rPr>
        <w:t xml:space="preserve">de acuerdo con lo ordenado por el Tribunal Administrativo del Atlántico en el </w:t>
      </w:r>
      <w:r w:rsidR="003E77FD" w:rsidRPr="003E77FD">
        <w:rPr>
          <w:rFonts w:ascii="Helvetica" w:hAnsi="Helvetica" w:cs="Helvetica"/>
          <w:bCs/>
          <w:kern w:val="0"/>
          <w:sz w:val="24"/>
          <w:szCs w:val="24"/>
          <w14:ligatures w14:val="none"/>
        </w:rPr>
        <w:t xml:space="preserve">Auto dentro del medio de control acción popular radicado </w:t>
      </w:r>
      <w:r w:rsidR="009A607E" w:rsidRPr="002C58C8">
        <w:rPr>
          <w:rFonts w:ascii="Helvetica" w:hAnsi="Helvetica" w:cs="Helvetica"/>
          <w:kern w:val="0"/>
          <w:sz w:val="24"/>
          <w:szCs w:val="24"/>
          <w14:ligatures w14:val="none"/>
        </w:rPr>
        <w:t>08-001-23-3</w:t>
      </w:r>
      <w:r w:rsidR="009A607E">
        <w:rPr>
          <w:rFonts w:ascii="Helvetica" w:hAnsi="Helvetica" w:cs="Helvetica"/>
          <w:kern w:val="0"/>
          <w:sz w:val="24"/>
          <w:szCs w:val="24"/>
          <w14:ligatures w14:val="none"/>
        </w:rPr>
        <w:t>3</w:t>
      </w:r>
      <w:r w:rsidR="009A607E" w:rsidRPr="002C58C8">
        <w:rPr>
          <w:rFonts w:ascii="Helvetica" w:hAnsi="Helvetica" w:cs="Helvetica"/>
          <w:kern w:val="0"/>
          <w:sz w:val="24"/>
          <w:szCs w:val="24"/>
          <w14:ligatures w14:val="none"/>
        </w:rPr>
        <w:t>-000-2022-00397-00</w:t>
      </w:r>
      <w:r w:rsidR="009A607E">
        <w:rPr>
          <w:rFonts w:ascii="Helvetica" w:hAnsi="Helvetica" w:cs="Helvetica"/>
          <w:kern w:val="0"/>
          <w:sz w:val="24"/>
          <w:szCs w:val="24"/>
          <w14:ligatures w14:val="none"/>
        </w:rPr>
        <w:t>-ACUMULADO</w:t>
      </w:r>
      <w:r w:rsidR="003E77FD">
        <w:rPr>
          <w:rFonts w:ascii="Helvetica" w:hAnsi="Helvetica" w:cs="Helvetica"/>
          <w:bCs/>
          <w:kern w:val="0"/>
          <w:sz w:val="24"/>
          <w:szCs w:val="24"/>
          <w:lang w:val="es-ES"/>
          <w14:ligatures w14:val="none"/>
        </w:rPr>
        <w:t>.</w:t>
      </w:r>
    </w:p>
    <w:p w14:paraId="31DE16A9" w14:textId="77777777" w:rsidR="003F5F47" w:rsidRDefault="003F5F47" w:rsidP="002C7D54">
      <w:pPr>
        <w:jc w:val="center"/>
        <w:rPr>
          <w:rFonts w:ascii="Helvetica" w:hAnsi="Helvetica" w:cs="Helvetica"/>
          <w:b/>
          <w:bCs/>
          <w:kern w:val="0"/>
          <w:sz w:val="24"/>
          <w:szCs w:val="24"/>
          <w:lang w:val="es-ES"/>
          <w14:ligatures w14:val="none"/>
        </w:rPr>
      </w:pPr>
    </w:p>
    <w:p w14:paraId="22810408" w14:textId="5832D9E5" w:rsidR="002953DC" w:rsidRPr="00567ED3" w:rsidRDefault="002953DC" w:rsidP="002C7D54">
      <w:pPr>
        <w:jc w:val="center"/>
        <w:rPr>
          <w:rFonts w:ascii="Helvetica" w:hAnsi="Helvetica" w:cs="Helvetica"/>
          <w:b/>
          <w:bCs/>
          <w:kern w:val="0"/>
          <w:sz w:val="24"/>
          <w:szCs w:val="24"/>
          <w:lang w:val="es-ES"/>
          <w14:ligatures w14:val="none"/>
        </w:rPr>
      </w:pPr>
      <w:r w:rsidRPr="00567ED3">
        <w:rPr>
          <w:rFonts w:ascii="Helvetica" w:hAnsi="Helvetica" w:cs="Helvetica"/>
          <w:b/>
          <w:bCs/>
          <w:kern w:val="0"/>
          <w:sz w:val="24"/>
          <w:szCs w:val="24"/>
          <w:lang w:val="es-ES"/>
          <w14:ligatures w14:val="none"/>
        </w:rPr>
        <w:t>SE CONSIDERA QUE:</w:t>
      </w:r>
    </w:p>
    <w:p w14:paraId="0DFB06B4" w14:textId="77777777" w:rsidR="001B37EF" w:rsidRPr="00567ED3" w:rsidRDefault="001B37EF" w:rsidP="001B37EF">
      <w:pPr>
        <w:jc w:val="both"/>
        <w:rPr>
          <w:rFonts w:ascii="Helvetica" w:hAnsi="Helvetica" w:cs="Helvetica"/>
          <w:bCs/>
          <w:kern w:val="0"/>
          <w:sz w:val="24"/>
          <w:szCs w:val="24"/>
          <w:lang w:val="es-ES"/>
          <w14:ligatures w14:val="none"/>
        </w:rPr>
      </w:pPr>
      <w:r w:rsidRPr="00567ED3">
        <w:rPr>
          <w:rFonts w:ascii="Helvetica" w:hAnsi="Helvetica" w:cs="Helvetica"/>
          <w:bCs/>
          <w:kern w:val="0"/>
          <w:sz w:val="24"/>
          <w:szCs w:val="24"/>
          <w:lang w:val="es-ES"/>
          <w14:ligatures w14:val="none"/>
        </w:rPr>
        <w:t xml:space="preserve">De acuerdo con lo previsto en el literal d) del artículo 23, y el artículo 41, ambos de la Ley 143 de 1994, es función de la Comisión de Regulación de Energía y Gas fijar las tarifas por el acceso y uso de las redes eléctricas.  </w:t>
      </w:r>
    </w:p>
    <w:p w14:paraId="723CDBC3" w14:textId="77777777" w:rsidR="001B37EF" w:rsidRDefault="001B37EF" w:rsidP="001B37EF">
      <w:pPr>
        <w:jc w:val="both"/>
        <w:rPr>
          <w:rFonts w:ascii="Helvetica" w:hAnsi="Helvetica" w:cs="Helvetica"/>
          <w:bCs/>
          <w:kern w:val="0"/>
          <w:sz w:val="24"/>
          <w:szCs w:val="24"/>
          <w:lang w:val="es-ES"/>
          <w14:ligatures w14:val="none"/>
        </w:rPr>
      </w:pPr>
      <w:r w:rsidRPr="00567ED3">
        <w:rPr>
          <w:rFonts w:ascii="Helvetica" w:hAnsi="Helvetica" w:cs="Helvetica"/>
          <w:bCs/>
          <w:kern w:val="0"/>
          <w:sz w:val="24"/>
          <w:szCs w:val="24"/>
          <w:lang w:val="es-ES"/>
          <w14:ligatures w14:val="none"/>
        </w:rPr>
        <w:t>Mediante la Resolución CREG 015 de 2018, modificada por las Resoluciones CREG 085 de 2018, 036 y 199 de 2019, 167 y 195 de 2020, 222 de 2021, 101 009, 101 012, 101 022, 101 027 de 2022, 101 032 de 2022 y 101 019 de 2023, la Comisión estableció la metodología para la remuneración de la actividad de distribución de energía eléctrica en el Sistema Interconectado Nacional.</w:t>
      </w:r>
    </w:p>
    <w:p w14:paraId="23C7C6C5" w14:textId="77777777" w:rsidR="001B37EF" w:rsidRPr="00206E70" w:rsidRDefault="001B37EF" w:rsidP="001B37EF">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El Plan Nacional de Desarrollo, Ley 1955 de 2019, en su artículo 318, autorizó al Gobierno Nacional para establecer un régimen transitorio especial en materia tarifaria para las actividades de distribución y comercialización de energía eléctrica en el mercado que atendía la Electrificadora del Caribe S. A. E.S.P. en ese momento.</w:t>
      </w:r>
    </w:p>
    <w:p w14:paraId="42214204" w14:textId="77777777" w:rsidR="001B37EF" w:rsidRPr="00206E70" w:rsidRDefault="001B37EF" w:rsidP="001B37EF">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Con base en esto, mediante el Decreto 1645 de 2019, expedido por el Gobierno Nacional, se reglamentó el mencionado artículo 318 de la Ley 1955 de 2019 y se delegó en la Comisión de Regulación de Energía y Gas la función de establecer el régimen transitorio especial en materia tarifaria para asegurar la sostenibilidad de la prestación eficiente del servicio público domiciliario de energía eléctrica en la región Caribe, conforme a los lineamientos allí dispuestos.</w:t>
      </w:r>
    </w:p>
    <w:p w14:paraId="10EE741D" w14:textId="77777777" w:rsidR="001B37EF" w:rsidRPr="00206E70" w:rsidRDefault="001B37EF" w:rsidP="001B37EF">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lastRenderedPageBreak/>
        <w:t xml:space="preserve">En </w:t>
      </w:r>
      <w:r>
        <w:rPr>
          <w:rFonts w:ascii="Helvetica" w:hAnsi="Helvetica" w:cs="Helvetica"/>
          <w:bCs/>
          <w:kern w:val="0"/>
          <w:sz w:val="24"/>
          <w:szCs w:val="24"/>
          <w:lang w:val="es-ES"/>
          <w14:ligatures w14:val="none"/>
        </w:rPr>
        <w:t xml:space="preserve">el </w:t>
      </w:r>
      <w:r w:rsidRPr="00206E70">
        <w:rPr>
          <w:rFonts w:ascii="Helvetica" w:hAnsi="Helvetica" w:cs="Helvetica"/>
          <w:bCs/>
          <w:kern w:val="0"/>
          <w:sz w:val="24"/>
          <w:szCs w:val="24"/>
          <w:lang w:val="es-ES"/>
          <w14:ligatures w14:val="none"/>
        </w:rPr>
        <w:t>decret</w:t>
      </w:r>
      <w:r>
        <w:rPr>
          <w:rFonts w:ascii="Helvetica" w:hAnsi="Helvetica" w:cs="Helvetica"/>
          <w:bCs/>
          <w:kern w:val="0"/>
          <w:sz w:val="24"/>
          <w:szCs w:val="24"/>
          <w:lang w:val="es-ES"/>
          <w14:ligatures w14:val="none"/>
        </w:rPr>
        <w:t>o citado,</w:t>
      </w:r>
      <w:r w:rsidRPr="00206E70">
        <w:rPr>
          <w:rFonts w:ascii="Helvetica" w:hAnsi="Helvetica" w:cs="Helvetica"/>
          <w:bCs/>
          <w:kern w:val="0"/>
          <w:sz w:val="24"/>
          <w:szCs w:val="24"/>
          <w:lang w:val="es-ES"/>
          <w14:ligatures w14:val="none"/>
        </w:rPr>
        <w:t xml:space="preserve"> se estableció un procedimiento especial para la adopción del régimen transitorio especial, estableciendo términos de consulta, expedición de la resolución definitiva y vigencia de las resoluciones particulares.</w:t>
      </w:r>
    </w:p>
    <w:p w14:paraId="26E93C27" w14:textId="77777777" w:rsidR="001B37EF" w:rsidRPr="00206E70" w:rsidRDefault="001B37EF" w:rsidP="001B37EF">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Por su parte, el Ministerio de Minas y Energía, mediante comunicación 2019090413 del 20 de diciembre de 2019 expresó que la facultad delegada a la CREG (...) puede reconocer o incluir las particularidades que se deriven y/o que resulten procedentes para asegurar la sostenibilidad de la prestación eficiente del servicio público domiciliario de energía eléctrica, en concordancia con artículo 18 de la Ley 1955 de 2019.</w:t>
      </w:r>
    </w:p>
    <w:p w14:paraId="5CB55FCF" w14:textId="77777777" w:rsidR="001B37EF" w:rsidRPr="00206E70" w:rsidRDefault="001B37EF" w:rsidP="001B37EF">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En cumplimiento de lo anterior, la CREG expidió la Resolución CREG 109 de 2019 publicando un proyecto de resolución a consulta.</w:t>
      </w:r>
    </w:p>
    <w:p w14:paraId="35297885" w14:textId="77777777" w:rsidR="001B37EF" w:rsidRPr="00206E70" w:rsidRDefault="001B37EF" w:rsidP="001B37EF">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Una vez revisados y analizados los comentarios recibidos, se elaboró la resolución definitiva contenida en la Resolución CREG 010 de 2020, con consideraciones adicionales a las establecidas en la Resolución CREG 015 de 2018 aplicables exclusivamente al mercado Caribe.</w:t>
      </w:r>
    </w:p>
    <w:p w14:paraId="13014483" w14:textId="77777777" w:rsidR="001B37EF" w:rsidRDefault="001B37EF" w:rsidP="001B37EF">
      <w:pPr>
        <w:jc w:val="both"/>
        <w:rPr>
          <w:rFonts w:ascii="Helvetica" w:hAnsi="Helvetica" w:cs="Helvetica"/>
          <w:bCs/>
          <w:kern w:val="0"/>
          <w:sz w:val="24"/>
          <w:szCs w:val="24"/>
          <w:lang w:val="es-ES"/>
          <w14:ligatures w14:val="none"/>
        </w:rPr>
      </w:pPr>
      <w:r w:rsidRPr="00206E70">
        <w:rPr>
          <w:rFonts w:ascii="Helvetica" w:hAnsi="Helvetica" w:cs="Helvetica"/>
          <w:bCs/>
          <w:kern w:val="0"/>
          <w:sz w:val="24"/>
          <w:szCs w:val="24"/>
          <w:lang w:val="es-ES"/>
          <w14:ligatures w14:val="none"/>
        </w:rPr>
        <w:t>Posteriormente, se aprobó la Resolución CREG 188 de 2020, con el ajuste al costo base de comercialización ordenado por los decretos y resoluciones del MME mencionados anteriormente.</w:t>
      </w:r>
    </w:p>
    <w:p w14:paraId="32ADFFED" w14:textId="77777777" w:rsidR="001B37EF" w:rsidRPr="00567ED3" w:rsidRDefault="001B37EF" w:rsidP="001B37EF">
      <w:pPr>
        <w:jc w:val="both"/>
        <w:rPr>
          <w:rFonts w:ascii="Helvetica" w:hAnsi="Helvetica" w:cs="Helvetica"/>
        </w:rPr>
      </w:pPr>
      <w:r>
        <w:rPr>
          <w:rFonts w:ascii="Helvetica" w:hAnsi="Helvetica" w:cs="Helvetica"/>
          <w:bCs/>
          <w:kern w:val="0"/>
          <w:sz w:val="24"/>
          <w:szCs w:val="24"/>
          <w:lang w:val="es-ES"/>
          <w14:ligatures w14:val="none"/>
        </w:rPr>
        <w:t xml:space="preserve">Mediante la </w:t>
      </w:r>
      <w:r w:rsidRPr="001035BD">
        <w:rPr>
          <w:rFonts w:ascii="Helvetica" w:hAnsi="Helvetica" w:cs="Helvetica"/>
          <w:bCs/>
          <w:kern w:val="0"/>
          <w:sz w:val="24"/>
          <w:szCs w:val="24"/>
          <w:lang w:val="es-ES"/>
          <w14:ligatures w14:val="none"/>
        </w:rPr>
        <w:t>Resolución CREG 010 de 2020, se estableció el régimen transitorio especial en materia tarifaria para la región Caribe</w:t>
      </w:r>
      <w:r>
        <w:rPr>
          <w:rFonts w:ascii="Helvetica" w:hAnsi="Helvetica" w:cs="Helvetica"/>
          <w:bCs/>
          <w:kern w:val="0"/>
          <w:sz w:val="24"/>
          <w:szCs w:val="24"/>
          <w:lang w:val="es-ES"/>
          <w14:ligatures w14:val="none"/>
        </w:rPr>
        <w:t xml:space="preserve">, en cumplimiento de lo establecido en </w:t>
      </w:r>
      <w:r w:rsidRPr="001035BD">
        <w:rPr>
          <w:rFonts w:ascii="Helvetica" w:hAnsi="Helvetica" w:cs="Helvetica"/>
          <w:bCs/>
          <w:kern w:val="0"/>
          <w:sz w:val="24"/>
          <w:szCs w:val="24"/>
          <w:lang w:val="es-ES"/>
          <w14:ligatures w14:val="none"/>
        </w:rPr>
        <w:t>artículo 318 de la Ley 1955 de 2019</w:t>
      </w:r>
      <w:r>
        <w:rPr>
          <w:rFonts w:ascii="Helvetica" w:hAnsi="Helvetica" w:cs="Helvetica"/>
          <w:bCs/>
          <w:kern w:val="0"/>
          <w:sz w:val="24"/>
          <w:szCs w:val="24"/>
          <w:lang w:val="es-ES"/>
          <w14:ligatures w14:val="none"/>
        </w:rPr>
        <w:t>, reglamentado por el</w:t>
      </w:r>
      <w:r w:rsidRPr="00597844">
        <w:rPr>
          <w:rFonts w:ascii="Helvetica" w:hAnsi="Helvetica" w:cs="Helvetica"/>
          <w:bCs/>
          <w:kern w:val="0"/>
          <w:sz w:val="24"/>
          <w:szCs w:val="24"/>
          <w:lang w:val="es-ES"/>
          <w14:ligatures w14:val="none"/>
        </w:rPr>
        <w:t xml:space="preserve"> Decreto 1645 de 2019</w:t>
      </w:r>
      <w:r w:rsidRPr="001035BD">
        <w:rPr>
          <w:rFonts w:ascii="Helvetica" w:hAnsi="Helvetica" w:cs="Helvetica"/>
          <w:bCs/>
          <w:kern w:val="0"/>
          <w:sz w:val="24"/>
          <w:szCs w:val="24"/>
          <w:lang w:val="es-ES"/>
          <w14:ligatures w14:val="none"/>
        </w:rPr>
        <w:t>.</w:t>
      </w:r>
    </w:p>
    <w:p w14:paraId="4C2A3519" w14:textId="77777777" w:rsidR="002C58C8" w:rsidRDefault="002C58C8" w:rsidP="002C58C8">
      <w:pPr>
        <w:jc w:val="both"/>
        <w:rPr>
          <w:rFonts w:ascii="Helvetica" w:hAnsi="Helvetica" w:cs="Helvetica"/>
          <w:kern w:val="0"/>
          <w:sz w:val="24"/>
          <w:szCs w:val="24"/>
          <w:lang w:val="es-ES"/>
          <w14:ligatures w14:val="none"/>
        </w:rPr>
      </w:pPr>
      <w:r w:rsidRPr="002C58C8">
        <w:rPr>
          <w:rFonts w:ascii="Helvetica" w:hAnsi="Helvetica" w:cs="Helvetica"/>
          <w:kern w:val="0"/>
          <w:sz w:val="24"/>
          <w:szCs w:val="24"/>
          <w:lang w:val="es-ES"/>
          <w14:ligatures w14:val="none"/>
        </w:rPr>
        <w:t>Mediante la Resolución CREG 024 de 2021 se aprobaron las variables necesarias para calcular los ingresos y cargos asociados con la actividad de distribución de energía eléctrica para el mercado de comercialización atendido por AIR-E S.A.S. E.S.P. Posteriormente, a través de la Resolución CREG 078 de 2021 se resolvió el recurso de reposición, interpuesto por AIR-E S.A.S. E.S.P. contra la Resolución CREG 024 de 2021.</w:t>
      </w:r>
    </w:p>
    <w:p w14:paraId="583E3C0D" w14:textId="488FF64B" w:rsidR="00AD0EDD" w:rsidRDefault="00AD0EDD" w:rsidP="002C58C8">
      <w:p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En la siguiente tabla se relacionan las variables aprobadas y modificadas mediante las Resolución CREG 024 modificada por la Resolución CREG 078 de 2021:</w:t>
      </w:r>
    </w:p>
    <w:tbl>
      <w:tblPr>
        <w:tblStyle w:val="Tablaconcuadrcula"/>
        <w:tblW w:w="5056" w:type="pct"/>
        <w:tblLook w:val="04A0" w:firstRow="1" w:lastRow="0" w:firstColumn="1" w:lastColumn="0" w:noHBand="0" w:noVBand="1"/>
      </w:tblPr>
      <w:tblGrid>
        <w:gridCol w:w="6233"/>
        <w:gridCol w:w="2694"/>
      </w:tblGrid>
      <w:tr w:rsidR="004544AE" w:rsidRPr="004544AE" w14:paraId="31F8182C" w14:textId="77777777" w:rsidTr="00491327">
        <w:trPr>
          <w:tblHeader/>
        </w:trPr>
        <w:tc>
          <w:tcPr>
            <w:tcW w:w="3491" w:type="pct"/>
            <w:vAlign w:val="center"/>
          </w:tcPr>
          <w:p w14:paraId="160BC01C" w14:textId="1B65F467" w:rsidR="004544AE" w:rsidRPr="004544AE" w:rsidRDefault="004544AE" w:rsidP="00491327">
            <w:pPr>
              <w:jc w:val="center"/>
              <w:rPr>
                <w:rFonts w:ascii="Helvetica" w:hAnsi="Helvetica" w:cs="Helvetica"/>
                <w:b/>
                <w:bCs/>
                <w:sz w:val="20"/>
                <w:szCs w:val="20"/>
              </w:rPr>
            </w:pPr>
            <w:r w:rsidRPr="004544AE">
              <w:rPr>
                <w:rFonts w:ascii="Helvetica" w:hAnsi="Helvetica" w:cs="Helvetica"/>
                <w:b/>
                <w:bCs/>
                <w:sz w:val="20"/>
                <w:szCs w:val="20"/>
              </w:rPr>
              <w:t>Variable</w:t>
            </w:r>
            <w:r w:rsidR="00491327">
              <w:rPr>
                <w:rFonts w:ascii="Helvetica" w:hAnsi="Helvetica" w:cs="Helvetica"/>
                <w:b/>
                <w:bCs/>
                <w:sz w:val="20"/>
                <w:szCs w:val="20"/>
              </w:rPr>
              <w:t>s aprobadas en Res. 024 de 2021</w:t>
            </w:r>
          </w:p>
        </w:tc>
        <w:tc>
          <w:tcPr>
            <w:tcW w:w="1509" w:type="pct"/>
            <w:vAlign w:val="center"/>
          </w:tcPr>
          <w:p w14:paraId="5BD5BE73" w14:textId="43C54866" w:rsidR="004544AE" w:rsidRPr="004544AE" w:rsidRDefault="00491327" w:rsidP="00491327">
            <w:pPr>
              <w:jc w:val="center"/>
              <w:rPr>
                <w:rFonts w:ascii="Helvetica" w:hAnsi="Helvetica" w:cs="Helvetica"/>
                <w:b/>
                <w:bCs/>
                <w:sz w:val="20"/>
                <w:szCs w:val="20"/>
              </w:rPr>
            </w:pPr>
            <w:r>
              <w:rPr>
                <w:rFonts w:ascii="Helvetica" w:hAnsi="Helvetica" w:cs="Helvetica"/>
                <w:b/>
                <w:bCs/>
                <w:sz w:val="20"/>
                <w:szCs w:val="20"/>
              </w:rPr>
              <w:t xml:space="preserve">Variables modificadas en </w:t>
            </w:r>
            <w:r w:rsidR="004544AE" w:rsidRPr="004544AE">
              <w:rPr>
                <w:rFonts w:ascii="Helvetica" w:hAnsi="Helvetica" w:cs="Helvetica"/>
                <w:b/>
                <w:bCs/>
                <w:sz w:val="20"/>
                <w:szCs w:val="20"/>
              </w:rPr>
              <w:t>Res. 078</w:t>
            </w:r>
            <w:r>
              <w:rPr>
                <w:rFonts w:ascii="Helvetica" w:hAnsi="Helvetica" w:cs="Helvetica"/>
                <w:b/>
                <w:bCs/>
                <w:sz w:val="20"/>
                <w:szCs w:val="20"/>
              </w:rPr>
              <w:t xml:space="preserve"> de 2021</w:t>
            </w:r>
          </w:p>
        </w:tc>
      </w:tr>
      <w:tr w:rsidR="004544AE" w:rsidRPr="004544AE" w14:paraId="391CCC5C" w14:textId="77777777" w:rsidTr="00491327">
        <w:tc>
          <w:tcPr>
            <w:tcW w:w="3491" w:type="pct"/>
          </w:tcPr>
          <w:p w14:paraId="15C41406" w14:textId="20ABBC8A" w:rsidR="004544AE" w:rsidRPr="004544AE" w:rsidRDefault="0082386E" w:rsidP="00AD0EDD">
            <w:pPr>
              <w:rPr>
                <w:rFonts w:ascii="Helvetica" w:hAnsi="Helvetica" w:cs="Helvetica"/>
                <w:sz w:val="20"/>
                <w:szCs w:val="20"/>
              </w:rPr>
            </w:pPr>
            <w:r>
              <w:rPr>
                <w:rFonts w:ascii="Helvetica" w:hAnsi="Helvetica" w:cs="Helvetica"/>
                <w:sz w:val="20"/>
                <w:szCs w:val="20"/>
              </w:rPr>
              <w:t>B</w:t>
            </w:r>
            <w:r w:rsidRPr="004544AE">
              <w:rPr>
                <w:rFonts w:ascii="Helvetica" w:hAnsi="Helvetica" w:cs="Helvetica"/>
                <w:sz w:val="20"/>
                <w:szCs w:val="20"/>
              </w:rPr>
              <w:t>ase regulatoria de activos eléctricos al inicio del período tarifario.</w:t>
            </w:r>
          </w:p>
        </w:tc>
        <w:tc>
          <w:tcPr>
            <w:tcW w:w="1509" w:type="pct"/>
            <w:vAlign w:val="center"/>
          </w:tcPr>
          <w:p w14:paraId="1E40DAF6" w14:textId="77777777" w:rsidR="004544AE" w:rsidRPr="004544AE" w:rsidRDefault="004544AE" w:rsidP="004544AE">
            <w:pPr>
              <w:jc w:val="center"/>
              <w:rPr>
                <w:rFonts w:ascii="Helvetica" w:hAnsi="Helvetica" w:cs="Helvetica"/>
                <w:sz w:val="20"/>
                <w:szCs w:val="20"/>
              </w:rPr>
            </w:pPr>
            <w:r w:rsidRPr="004544AE">
              <w:rPr>
                <w:rFonts w:ascii="Helvetica" w:hAnsi="Helvetica" w:cs="Helvetica"/>
                <w:sz w:val="20"/>
                <w:szCs w:val="20"/>
              </w:rPr>
              <w:t>x</w:t>
            </w:r>
          </w:p>
        </w:tc>
      </w:tr>
      <w:tr w:rsidR="004544AE" w:rsidRPr="004544AE" w14:paraId="46D99392" w14:textId="77777777" w:rsidTr="00491327">
        <w:tc>
          <w:tcPr>
            <w:tcW w:w="3491" w:type="pct"/>
          </w:tcPr>
          <w:p w14:paraId="20D8B9B8" w14:textId="4159CFD4" w:rsidR="004544AE" w:rsidRPr="004544AE" w:rsidRDefault="00FF59C8" w:rsidP="00AD0EDD">
            <w:pPr>
              <w:rPr>
                <w:rFonts w:ascii="Helvetica" w:hAnsi="Helvetica" w:cs="Helvetica"/>
                <w:sz w:val="20"/>
                <w:szCs w:val="20"/>
              </w:rPr>
            </w:pPr>
            <w:r>
              <w:rPr>
                <w:rFonts w:ascii="Helvetica" w:hAnsi="Helvetica" w:cs="Helvetica"/>
                <w:sz w:val="20"/>
                <w:szCs w:val="20"/>
              </w:rPr>
              <w:t>I</w:t>
            </w:r>
            <w:r w:rsidRPr="004544AE">
              <w:rPr>
                <w:rFonts w:ascii="Helvetica" w:hAnsi="Helvetica" w:cs="Helvetica"/>
                <w:sz w:val="20"/>
                <w:szCs w:val="20"/>
              </w:rPr>
              <w:t>nversión aprobada en el plan de inversiones.</w:t>
            </w:r>
          </w:p>
        </w:tc>
        <w:tc>
          <w:tcPr>
            <w:tcW w:w="1509" w:type="pct"/>
            <w:vAlign w:val="center"/>
          </w:tcPr>
          <w:p w14:paraId="35598895" w14:textId="77777777" w:rsidR="004544AE" w:rsidRPr="004544AE" w:rsidRDefault="004544AE" w:rsidP="004544AE">
            <w:pPr>
              <w:jc w:val="center"/>
              <w:rPr>
                <w:rFonts w:ascii="Helvetica" w:hAnsi="Helvetica" w:cs="Helvetica"/>
                <w:sz w:val="20"/>
                <w:szCs w:val="20"/>
              </w:rPr>
            </w:pPr>
            <w:r w:rsidRPr="004544AE">
              <w:rPr>
                <w:rFonts w:ascii="Helvetica" w:hAnsi="Helvetica" w:cs="Helvetica"/>
                <w:sz w:val="20"/>
                <w:szCs w:val="20"/>
              </w:rPr>
              <w:t>x</w:t>
            </w:r>
          </w:p>
        </w:tc>
      </w:tr>
      <w:tr w:rsidR="004544AE" w:rsidRPr="004544AE" w14:paraId="0774E2F6" w14:textId="77777777" w:rsidTr="00491327">
        <w:tc>
          <w:tcPr>
            <w:tcW w:w="3491" w:type="pct"/>
          </w:tcPr>
          <w:p w14:paraId="23FF20E8" w14:textId="25006EC3" w:rsidR="004544AE" w:rsidRPr="004544AE" w:rsidRDefault="00305C4B" w:rsidP="00AD0EDD">
            <w:pPr>
              <w:rPr>
                <w:rFonts w:ascii="Helvetica" w:hAnsi="Helvetica" w:cs="Helvetica"/>
                <w:sz w:val="20"/>
                <w:szCs w:val="20"/>
              </w:rPr>
            </w:pPr>
            <w:r w:rsidRPr="004544AE">
              <w:rPr>
                <w:rFonts w:ascii="Helvetica" w:hAnsi="Helvetica" w:cs="Helvetica"/>
                <w:sz w:val="20"/>
                <w:szCs w:val="20"/>
              </w:rPr>
              <w:t xml:space="preserve">Recuperación de capital de activos de la </w:t>
            </w:r>
            <w:r>
              <w:rPr>
                <w:rFonts w:ascii="Helvetica" w:hAnsi="Helvetica" w:cs="Helvetica"/>
                <w:sz w:val="20"/>
                <w:szCs w:val="20"/>
              </w:rPr>
              <w:t>BRA</w:t>
            </w:r>
            <w:r w:rsidRPr="004544AE">
              <w:rPr>
                <w:rFonts w:ascii="Helvetica" w:hAnsi="Helvetica" w:cs="Helvetica"/>
                <w:sz w:val="20"/>
                <w:szCs w:val="20"/>
              </w:rPr>
              <w:t xml:space="preserve"> inicial.</w:t>
            </w:r>
          </w:p>
        </w:tc>
        <w:tc>
          <w:tcPr>
            <w:tcW w:w="1509" w:type="pct"/>
            <w:vAlign w:val="center"/>
          </w:tcPr>
          <w:p w14:paraId="0D9E2818" w14:textId="77777777" w:rsidR="004544AE" w:rsidRPr="004544AE" w:rsidRDefault="004544AE" w:rsidP="004544AE">
            <w:pPr>
              <w:jc w:val="center"/>
              <w:rPr>
                <w:rFonts w:ascii="Helvetica" w:hAnsi="Helvetica" w:cs="Helvetica"/>
                <w:sz w:val="20"/>
                <w:szCs w:val="20"/>
              </w:rPr>
            </w:pPr>
            <w:r w:rsidRPr="004544AE">
              <w:rPr>
                <w:rFonts w:ascii="Helvetica" w:hAnsi="Helvetica" w:cs="Helvetica"/>
                <w:sz w:val="20"/>
                <w:szCs w:val="20"/>
              </w:rPr>
              <w:t>x</w:t>
            </w:r>
          </w:p>
        </w:tc>
      </w:tr>
      <w:tr w:rsidR="004544AE" w:rsidRPr="004544AE" w14:paraId="082C2887" w14:textId="77777777" w:rsidTr="00491327">
        <w:tc>
          <w:tcPr>
            <w:tcW w:w="3491" w:type="pct"/>
          </w:tcPr>
          <w:p w14:paraId="2A339A5C" w14:textId="3A368C28" w:rsidR="004544AE" w:rsidRPr="004544AE" w:rsidRDefault="00DE1D44" w:rsidP="00AD0EDD">
            <w:pPr>
              <w:rPr>
                <w:rFonts w:ascii="Helvetica" w:hAnsi="Helvetica" w:cs="Helvetica"/>
                <w:sz w:val="20"/>
                <w:szCs w:val="20"/>
              </w:rPr>
            </w:pPr>
            <w:bookmarkStart w:id="0" w:name="5"/>
            <w:r w:rsidRPr="004544AE">
              <w:rPr>
                <w:rFonts w:ascii="Helvetica" w:hAnsi="Helvetica" w:cs="Helvetica"/>
                <w:sz w:val="20"/>
                <w:szCs w:val="20"/>
              </w:rPr>
              <w:t>Recuperación de capital de activos nuevos.</w:t>
            </w:r>
            <w:bookmarkEnd w:id="0"/>
          </w:p>
        </w:tc>
        <w:tc>
          <w:tcPr>
            <w:tcW w:w="1509" w:type="pct"/>
            <w:vAlign w:val="center"/>
          </w:tcPr>
          <w:p w14:paraId="18B58E98" w14:textId="77777777" w:rsidR="004544AE" w:rsidRPr="004544AE" w:rsidRDefault="004544AE" w:rsidP="004544AE">
            <w:pPr>
              <w:jc w:val="center"/>
              <w:rPr>
                <w:rFonts w:ascii="Helvetica" w:hAnsi="Helvetica" w:cs="Helvetica"/>
                <w:sz w:val="20"/>
                <w:szCs w:val="20"/>
              </w:rPr>
            </w:pPr>
            <w:r w:rsidRPr="004544AE">
              <w:rPr>
                <w:rFonts w:ascii="Helvetica" w:hAnsi="Helvetica" w:cs="Helvetica"/>
                <w:sz w:val="20"/>
                <w:szCs w:val="20"/>
              </w:rPr>
              <w:t>x</w:t>
            </w:r>
          </w:p>
        </w:tc>
      </w:tr>
      <w:tr w:rsidR="004544AE" w:rsidRPr="004544AE" w14:paraId="1F963F8F" w14:textId="77777777" w:rsidTr="00491327">
        <w:tc>
          <w:tcPr>
            <w:tcW w:w="3491" w:type="pct"/>
          </w:tcPr>
          <w:p w14:paraId="211B6536" w14:textId="4F6AD0BE" w:rsidR="004544AE" w:rsidRPr="004544AE" w:rsidRDefault="00DE1D44" w:rsidP="00AD0EDD">
            <w:pPr>
              <w:rPr>
                <w:rFonts w:ascii="Helvetica" w:hAnsi="Helvetica" w:cs="Helvetica"/>
                <w:sz w:val="20"/>
                <w:szCs w:val="20"/>
              </w:rPr>
            </w:pPr>
            <w:r w:rsidRPr="004544AE">
              <w:rPr>
                <w:rFonts w:ascii="Helvetica" w:hAnsi="Helvetica" w:cs="Helvetica"/>
                <w:sz w:val="20"/>
                <w:szCs w:val="20"/>
              </w:rPr>
              <w:t>Base regulatoria de terrenos.</w:t>
            </w:r>
          </w:p>
        </w:tc>
        <w:tc>
          <w:tcPr>
            <w:tcW w:w="1509" w:type="pct"/>
            <w:vAlign w:val="center"/>
          </w:tcPr>
          <w:p w14:paraId="33069BDD" w14:textId="77777777" w:rsidR="004544AE" w:rsidRPr="004544AE" w:rsidRDefault="004544AE" w:rsidP="004544AE">
            <w:pPr>
              <w:jc w:val="center"/>
              <w:rPr>
                <w:rFonts w:ascii="Helvetica" w:hAnsi="Helvetica" w:cs="Helvetica"/>
                <w:sz w:val="20"/>
                <w:szCs w:val="20"/>
              </w:rPr>
            </w:pPr>
            <w:r w:rsidRPr="004544AE">
              <w:rPr>
                <w:rFonts w:ascii="Helvetica" w:hAnsi="Helvetica" w:cs="Helvetica"/>
                <w:sz w:val="20"/>
                <w:szCs w:val="20"/>
              </w:rPr>
              <w:t>x</w:t>
            </w:r>
          </w:p>
        </w:tc>
      </w:tr>
      <w:tr w:rsidR="004544AE" w:rsidRPr="004544AE" w14:paraId="2DF1FABF" w14:textId="77777777" w:rsidTr="00491327">
        <w:tc>
          <w:tcPr>
            <w:tcW w:w="3491" w:type="pct"/>
          </w:tcPr>
          <w:p w14:paraId="6211155B" w14:textId="0E13CC55" w:rsidR="004544AE" w:rsidRPr="004544AE" w:rsidRDefault="00DE1D44" w:rsidP="00AD0EDD">
            <w:pPr>
              <w:rPr>
                <w:rFonts w:ascii="Helvetica" w:hAnsi="Helvetica" w:cs="Helvetica"/>
                <w:sz w:val="20"/>
                <w:szCs w:val="20"/>
              </w:rPr>
            </w:pPr>
            <w:r w:rsidRPr="004544AE">
              <w:rPr>
                <w:rFonts w:ascii="Helvetica" w:hAnsi="Helvetica" w:cs="Helvetica"/>
                <w:sz w:val="20"/>
                <w:szCs w:val="20"/>
              </w:rPr>
              <w:t>A</w:t>
            </w:r>
            <w:r>
              <w:rPr>
                <w:rFonts w:ascii="Helvetica" w:hAnsi="Helvetica" w:cs="Helvetica"/>
                <w:sz w:val="20"/>
                <w:szCs w:val="20"/>
              </w:rPr>
              <w:t>OM</w:t>
            </w:r>
            <w:r w:rsidRPr="004544AE">
              <w:rPr>
                <w:rFonts w:ascii="Helvetica" w:hAnsi="Helvetica" w:cs="Helvetica"/>
                <w:sz w:val="20"/>
                <w:szCs w:val="20"/>
              </w:rPr>
              <w:t xml:space="preserve"> base por nivel de tensión.</w:t>
            </w:r>
          </w:p>
        </w:tc>
        <w:tc>
          <w:tcPr>
            <w:tcW w:w="1509" w:type="pct"/>
            <w:vAlign w:val="center"/>
          </w:tcPr>
          <w:p w14:paraId="446D3E0B" w14:textId="77777777" w:rsidR="004544AE" w:rsidRPr="004544AE" w:rsidRDefault="004544AE" w:rsidP="004544AE">
            <w:pPr>
              <w:jc w:val="center"/>
              <w:rPr>
                <w:rFonts w:ascii="Helvetica" w:hAnsi="Helvetica" w:cs="Helvetica"/>
                <w:sz w:val="20"/>
                <w:szCs w:val="20"/>
              </w:rPr>
            </w:pPr>
            <w:r w:rsidRPr="004544AE">
              <w:rPr>
                <w:rFonts w:ascii="Helvetica" w:hAnsi="Helvetica" w:cs="Helvetica"/>
                <w:sz w:val="20"/>
                <w:szCs w:val="20"/>
              </w:rPr>
              <w:t>x</w:t>
            </w:r>
          </w:p>
        </w:tc>
      </w:tr>
      <w:tr w:rsidR="004544AE" w:rsidRPr="004544AE" w14:paraId="3FBA2AC5" w14:textId="77777777" w:rsidTr="00491327">
        <w:tc>
          <w:tcPr>
            <w:tcW w:w="3491" w:type="pct"/>
          </w:tcPr>
          <w:p w14:paraId="372D478E" w14:textId="4DBB2554" w:rsidR="004544AE" w:rsidRPr="004544AE" w:rsidRDefault="00DE1D44" w:rsidP="00AD0EDD">
            <w:pPr>
              <w:rPr>
                <w:rFonts w:ascii="Helvetica" w:hAnsi="Helvetica" w:cs="Helvetica"/>
                <w:sz w:val="20"/>
                <w:szCs w:val="20"/>
              </w:rPr>
            </w:pPr>
            <w:bookmarkStart w:id="1" w:name="8"/>
            <w:r w:rsidRPr="004544AE">
              <w:rPr>
                <w:rFonts w:ascii="Helvetica" w:hAnsi="Helvetica" w:cs="Helvetica"/>
                <w:sz w:val="20"/>
                <w:szCs w:val="20"/>
              </w:rPr>
              <w:t>Factor ambiental para las nuevas inversiones.</w:t>
            </w:r>
            <w:bookmarkEnd w:id="1"/>
          </w:p>
        </w:tc>
        <w:tc>
          <w:tcPr>
            <w:tcW w:w="1509" w:type="pct"/>
            <w:vAlign w:val="center"/>
          </w:tcPr>
          <w:p w14:paraId="5F1EE814" w14:textId="77777777" w:rsidR="004544AE" w:rsidRPr="004544AE" w:rsidRDefault="004544AE" w:rsidP="004544AE">
            <w:pPr>
              <w:jc w:val="center"/>
              <w:rPr>
                <w:rFonts w:ascii="Helvetica" w:hAnsi="Helvetica" w:cs="Helvetica"/>
                <w:sz w:val="20"/>
                <w:szCs w:val="20"/>
              </w:rPr>
            </w:pPr>
            <w:r w:rsidRPr="004544AE">
              <w:rPr>
                <w:rFonts w:ascii="Helvetica" w:hAnsi="Helvetica" w:cs="Helvetica"/>
                <w:sz w:val="20"/>
                <w:szCs w:val="20"/>
              </w:rPr>
              <w:t>x</w:t>
            </w:r>
          </w:p>
        </w:tc>
      </w:tr>
      <w:tr w:rsidR="004544AE" w:rsidRPr="004544AE" w14:paraId="35626349" w14:textId="77777777" w:rsidTr="00491327">
        <w:tc>
          <w:tcPr>
            <w:tcW w:w="3491" w:type="pct"/>
          </w:tcPr>
          <w:p w14:paraId="6407A9CC" w14:textId="5C50F785" w:rsidR="004544AE" w:rsidRPr="004544AE" w:rsidRDefault="00DE1D44" w:rsidP="00AD0EDD">
            <w:pPr>
              <w:rPr>
                <w:rFonts w:ascii="Helvetica" w:hAnsi="Helvetica" w:cs="Helvetica"/>
                <w:sz w:val="20"/>
                <w:szCs w:val="20"/>
              </w:rPr>
            </w:pPr>
            <w:r w:rsidRPr="004544AE">
              <w:rPr>
                <w:rFonts w:ascii="Helvetica" w:hAnsi="Helvetica" w:cs="Helvetica"/>
                <w:sz w:val="20"/>
                <w:szCs w:val="20"/>
              </w:rPr>
              <w:t>Indicadores de referencia de calidad media.</w:t>
            </w:r>
          </w:p>
        </w:tc>
        <w:tc>
          <w:tcPr>
            <w:tcW w:w="1509" w:type="pct"/>
            <w:vAlign w:val="center"/>
          </w:tcPr>
          <w:p w14:paraId="1509D5F9" w14:textId="77777777" w:rsidR="004544AE" w:rsidRPr="004544AE" w:rsidRDefault="004544AE" w:rsidP="004544AE">
            <w:pPr>
              <w:jc w:val="center"/>
              <w:rPr>
                <w:rFonts w:ascii="Helvetica" w:hAnsi="Helvetica" w:cs="Helvetica"/>
                <w:sz w:val="20"/>
                <w:szCs w:val="20"/>
              </w:rPr>
            </w:pPr>
          </w:p>
        </w:tc>
      </w:tr>
      <w:tr w:rsidR="004544AE" w:rsidRPr="004544AE" w14:paraId="5C6207CE" w14:textId="77777777" w:rsidTr="00491327">
        <w:tc>
          <w:tcPr>
            <w:tcW w:w="3491" w:type="pct"/>
          </w:tcPr>
          <w:p w14:paraId="1A87B958" w14:textId="5E75E8C1" w:rsidR="004544AE" w:rsidRPr="004544AE" w:rsidRDefault="00DE1D44" w:rsidP="00AD0EDD">
            <w:pPr>
              <w:rPr>
                <w:rFonts w:ascii="Helvetica" w:hAnsi="Helvetica" w:cs="Helvetica"/>
                <w:sz w:val="20"/>
                <w:szCs w:val="20"/>
              </w:rPr>
            </w:pPr>
            <w:bookmarkStart w:id="2" w:name="10"/>
            <w:r w:rsidRPr="004544AE">
              <w:rPr>
                <w:rFonts w:ascii="Helvetica" w:hAnsi="Helvetica" w:cs="Helvetica"/>
                <w:sz w:val="20"/>
                <w:szCs w:val="20"/>
              </w:rPr>
              <w:lastRenderedPageBreak/>
              <w:t>Metas anuales de calidad media para el indicador de duración de eventos.</w:t>
            </w:r>
            <w:bookmarkEnd w:id="2"/>
          </w:p>
        </w:tc>
        <w:tc>
          <w:tcPr>
            <w:tcW w:w="1509" w:type="pct"/>
            <w:vAlign w:val="center"/>
          </w:tcPr>
          <w:p w14:paraId="63DE25EE" w14:textId="77777777" w:rsidR="004544AE" w:rsidRPr="004544AE" w:rsidRDefault="004544AE" w:rsidP="004544AE">
            <w:pPr>
              <w:jc w:val="center"/>
              <w:rPr>
                <w:rFonts w:ascii="Helvetica" w:hAnsi="Helvetica" w:cs="Helvetica"/>
                <w:sz w:val="20"/>
                <w:szCs w:val="20"/>
              </w:rPr>
            </w:pPr>
          </w:p>
        </w:tc>
      </w:tr>
      <w:tr w:rsidR="004544AE" w:rsidRPr="004544AE" w14:paraId="24D39030" w14:textId="77777777" w:rsidTr="00491327">
        <w:tc>
          <w:tcPr>
            <w:tcW w:w="3491" w:type="pct"/>
          </w:tcPr>
          <w:p w14:paraId="37D25CB4" w14:textId="1B56352C" w:rsidR="004544AE" w:rsidRPr="004544AE" w:rsidRDefault="00DE1D44" w:rsidP="00AD0EDD">
            <w:pPr>
              <w:rPr>
                <w:rFonts w:ascii="Helvetica" w:hAnsi="Helvetica" w:cs="Helvetica"/>
                <w:sz w:val="20"/>
                <w:szCs w:val="20"/>
              </w:rPr>
            </w:pPr>
            <w:bookmarkStart w:id="3" w:name="11"/>
            <w:r w:rsidRPr="004544AE">
              <w:rPr>
                <w:rFonts w:ascii="Helvetica" w:hAnsi="Helvetica" w:cs="Helvetica"/>
                <w:sz w:val="20"/>
                <w:szCs w:val="20"/>
              </w:rPr>
              <w:t>Metas anuales de calidad media para el indicador de frecuencia de eventos.</w:t>
            </w:r>
            <w:bookmarkEnd w:id="3"/>
          </w:p>
        </w:tc>
        <w:tc>
          <w:tcPr>
            <w:tcW w:w="1509" w:type="pct"/>
            <w:vAlign w:val="center"/>
          </w:tcPr>
          <w:p w14:paraId="1C3B2A54" w14:textId="77777777" w:rsidR="004544AE" w:rsidRPr="004544AE" w:rsidRDefault="004544AE" w:rsidP="004544AE">
            <w:pPr>
              <w:jc w:val="center"/>
              <w:rPr>
                <w:rFonts w:ascii="Helvetica" w:hAnsi="Helvetica" w:cs="Helvetica"/>
                <w:sz w:val="20"/>
                <w:szCs w:val="20"/>
              </w:rPr>
            </w:pPr>
          </w:p>
        </w:tc>
      </w:tr>
      <w:tr w:rsidR="004544AE" w:rsidRPr="004544AE" w14:paraId="56B8F2EA" w14:textId="77777777" w:rsidTr="00491327">
        <w:tc>
          <w:tcPr>
            <w:tcW w:w="3491" w:type="pct"/>
          </w:tcPr>
          <w:p w14:paraId="634F59B4" w14:textId="6161BF16" w:rsidR="004544AE" w:rsidRPr="004544AE" w:rsidRDefault="00DE1D44" w:rsidP="00AD0EDD">
            <w:pPr>
              <w:rPr>
                <w:rFonts w:ascii="Helvetica" w:hAnsi="Helvetica" w:cs="Helvetica"/>
                <w:sz w:val="20"/>
                <w:szCs w:val="20"/>
              </w:rPr>
            </w:pPr>
            <w:bookmarkStart w:id="4" w:name="12"/>
            <w:r w:rsidRPr="004544AE">
              <w:rPr>
                <w:rFonts w:ascii="Helvetica" w:hAnsi="Helvetica" w:cs="Helvetica"/>
                <w:sz w:val="20"/>
                <w:szCs w:val="20"/>
              </w:rPr>
              <w:t>Indicadores de calidad individual de duración de eventos.</w:t>
            </w:r>
            <w:bookmarkEnd w:id="4"/>
            <w:r w:rsidRPr="004544AE">
              <w:rPr>
                <w:rFonts w:ascii="Helvetica" w:hAnsi="Helvetica" w:cs="Helvetica"/>
                <w:b/>
                <w:bCs/>
                <w:sz w:val="20"/>
                <w:szCs w:val="20"/>
              </w:rPr>
              <w:t> </w:t>
            </w:r>
          </w:p>
        </w:tc>
        <w:tc>
          <w:tcPr>
            <w:tcW w:w="1509" w:type="pct"/>
            <w:vAlign w:val="center"/>
          </w:tcPr>
          <w:p w14:paraId="7631272D" w14:textId="77777777" w:rsidR="004544AE" w:rsidRPr="004544AE" w:rsidRDefault="004544AE" w:rsidP="004544AE">
            <w:pPr>
              <w:jc w:val="center"/>
              <w:rPr>
                <w:rFonts w:ascii="Helvetica" w:hAnsi="Helvetica" w:cs="Helvetica"/>
                <w:sz w:val="20"/>
                <w:szCs w:val="20"/>
              </w:rPr>
            </w:pPr>
          </w:p>
        </w:tc>
      </w:tr>
      <w:tr w:rsidR="004544AE" w:rsidRPr="004544AE" w14:paraId="35BA1CB3" w14:textId="77777777" w:rsidTr="00491327">
        <w:tc>
          <w:tcPr>
            <w:tcW w:w="3491" w:type="pct"/>
          </w:tcPr>
          <w:p w14:paraId="104BE7BB" w14:textId="02AE03FE" w:rsidR="004544AE" w:rsidRPr="004544AE" w:rsidRDefault="00DE1D44" w:rsidP="00AD0EDD">
            <w:pPr>
              <w:rPr>
                <w:rFonts w:ascii="Helvetica" w:hAnsi="Helvetica" w:cs="Helvetica"/>
                <w:sz w:val="20"/>
                <w:szCs w:val="20"/>
              </w:rPr>
            </w:pPr>
            <w:bookmarkStart w:id="5" w:name="13"/>
            <w:r w:rsidRPr="004544AE">
              <w:rPr>
                <w:rFonts w:ascii="Helvetica" w:hAnsi="Helvetica" w:cs="Helvetica"/>
                <w:sz w:val="20"/>
                <w:szCs w:val="20"/>
              </w:rPr>
              <w:t>Indicadores de calidad individual de frecuencia de eventos</w:t>
            </w:r>
            <w:bookmarkEnd w:id="5"/>
            <w:r w:rsidRPr="004544AE">
              <w:rPr>
                <w:rFonts w:ascii="Helvetica" w:hAnsi="Helvetica" w:cs="Helvetica"/>
                <w:sz w:val="20"/>
                <w:szCs w:val="20"/>
              </w:rPr>
              <w:t>.</w:t>
            </w:r>
          </w:p>
        </w:tc>
        <w:tc>
          <w:tcPr>
            <w:tcW w:w="1509" w:type="pct"/>
            <w:vAlign w:val="center"/>
          </w:tcPr>
          <w:p w14:paraId="4B05B9EA" w14:textId="77777777" w:rsidR="004544AE" w:rsidRPr="004544AE" w:rsidRDefault="004544AE" w:rsidP="004544AE">
            <w:pPr>
              <w:jc w:val="center"/>
              <w:rPr>
                <w:rFonts w:ascii="Helvetica" w:hAnsi="Helvetica" w:cs="Helvetica"/>
                <w:sz w:val="20"/>
                <w:szCs w:val="20"/>
              </w:rPr>
            </w:pPr>
          </w:p>
        </w:tc>
      </w:tr>
      <w:tr w:rsidR="004544AE" w:rsidRPr="004544AE" w14:paraId="2D073A53" w14:textId="77777777" w:rsidTr="00491327">
        <w:tc>
          <w:tcPr>
            <w:tcW w:w="3491" w:type="pct"/>
          </w:tcPr>
          <w:p w14:paraId="3FEBDEF0" w14:textId="58B2B58A" w:rsidR="004544AE" w:rsidRPr="004544AE" w:rsidRDefault="00DE1D44" w:rsidP="00AD0EDD">
            <w:pPr>
              <w:rPr>
                <w:rFonts w:ascii="Helvetica" w:hAnsi="Helvetica" w:cs="Helvetica"/>
                <w:sz w:val="20"/>
                <w:szCs w:val="20"/>
              </w:rPr>
            </w:pPr>
            <w:bookmarkStart w:id="6" w:name="14"/>
            <w:r w:rsidRPr="004544AE">
              <w:rPr>
                <w:rFonts w:ascii="Helvetica" w:hAnsi="Helvetica" w:cs="Helvetica"/>
                <w:sz w:val="20"/>
                <w:szCs w:val="20"/>
              </w:rPr>
              <w:t>Índices de referencia pérdidas eficientes</w:t>
            </w:r>
            <w:r w:rsidR="00EA40CA">
              <w:rPr>
                <w:rFonts w:ascii="Helvetica" w:hAnsi="Helvetica" w:cs="Helvetica"/>
                <w:sz w:val="20"/>
                <w:szCs w:val="20"/>
              </w:rPr>
              <w:t xml:space="preserve"> por nivel</w:t>
            </w:r>
            <w:r w:rsidRPr="004544AE">
              <w:rPr>
                <w:rFonts w:ascii="Helvetica" w:hAnsi="Helvetica" w:cs="Helvetica"/>
                <w:sz w:val="20"/>
                <w:szCs w:val="20"/>
              </w:rPr>
              <w:t>.</w:t>
            </w:r>
            <w:bookmarkEnd w:id="6"/>
          </w:p>
        </w:tc>
        <w:tc>
          <w:tcPr>
            <w:tcW w:w="1509" w:type="pct"/>
            <w:vAlign w:val="center"/>
          </w:tcPr>
          <w:p w14:paraId="56D463D8" w14:textId="77777777" w:rsidR="004544AE" w:rsidRPr="004544AE" w:rsidRDefault="004544AE" w:rsidP="004544AE">
            <w:pPr>
              <w:jc w:val="center"/>
              <w:rPr>
                <w:rFonts w:ascii="Helvetica" w:hAnsi="Helvetica" w:cs="Helvetica"/>
                <w:sz w:val="20"/>
                <w:szCs w:val="20"/>
              </w:rPr>
            </w:pPr>
          </w:p>
        </w:tc>
      </w:tr>
      <w:tr w:rsidR="004544AE" w:rsidRPr="004544AE" w14:paraId="6B35EDF3" w14:textId="77777777" w:rsidTr="00491327">
        <w:tc>
          <w:tcPr>
            <w:tcW w:w="3491" w:type="pct"/>
          </w:tcPr>
          <w:p w14:paraId="0955485D" w14:textId="3749E1A7" w:rsidR="004544AE" w:rsidRPr="004544AE" w:rsidRDefault="00DE1D44" w:rsidP="00AD0EDD">
            <w:pPr>
              <w:rPr>
                <w:rFonts w:ascii="Helvetica" w:hAnsi="Helvetica" w:cs="Helvetica"/>
                <w:sz w:val="20"/>
                <w:szCs w:val="20"/>
              </w:rPr>
            </w:pPr>
            <w:bookmarkStart w:id="7" w:name="15"/>
            <w:r w:rsidRPr="004544AE">
              <w:rPr>
                <w:rFonts w:ascii="Helvetica" w:hAnsi="Helvetica" w:cs="Helvetica"/>
                <w:sz w:val="20"/>
                <w:szCs w:val="20"/>
              </w:rPr>
              <w:t>Costos de reposición de referencia.</w:t>
            </w:r>
            <w:bookmarkEnd w:id="7"/>
          </w:p>
        </w:tc>
        <w:tc>
          <w:tcPr>
            <w:tcW w:w="1509" w:type="pct"/>
            <w:vAlign w:val="center"/>
          </w:tcPr>
          <w:p w14:paraId="27C5D2D5" w14:textId="77777777" w:rsidR="004544AE" w:rsidRPr="004544AE" w:rsidRDefault="004544AE" w:rsidP="004544AE">
            <w:pPr>
              <w:jc w:val="center"/>
              <w:rPr>
                <w:rFonts w:ascii="Helvetica" w:hAnsi="Helvetica" w:cs="Helvetica"/>
                <w:sz w:val="20"/>
                <w:szCs w:val="20"/>
              </w:rPr>
            </w:pPr>
            <w:r w:rsidRPr="004544AE">
              <w:rPr>
                <w:rFonts w:ascii="Helvetica" w:hAnsi="Helvetica" w:cs="Helvetica"/>
                <w:sz w:val="20"/>
                <w:szCs w:val="20"/>
              </w:rPr>
              <w:t>x</w:t>
            </w:r>
          </w:p>
        </w:tc>
      </w:tr>
      <w:tr w:rsidR="004544AE" w:rsidRPr="004544AE" w14:paraId="1CF1ED69" w14:textId="77777777" w:rsidTr="00491327">
        <w:tc>
          <w:tcPr>
            <w:tcW w:w="3491" w:type="pct"/>
          </w:tcPr>
          <w:p w14:paraId="0EF66271" w14:textId="60D55C89" w:rsidR="004544AE" w:rsidRPr="004544AE" w:rsidRDefault="00DE1D44" w:rsidP="00AD0EDD">
            <w:pPr>
              <w:rPr>
                <w:rFonts w:ascii="Helvetica" w:hAnsi="Helvetica" w:cs="Helvetica"/>
                <w:sz w:val="20"/>
                <w:szCs w:val="20"/>
              </w:rPr>
            </w:pPr>
            <w:bookmarkStart w:id="8" w:name="16"/>
            <w:r w:rsidRPr="004544AE">
              <w:rPr>
                <w:rFonts w:ascii="Helvetica" w:hAnsi="Helvetica" w:cs="Helvetica"/>
                <w:sz w:val="20"/>
                <w:szCs w:val="20"/>
              </w:rPr>
              <w:t>Índice de pérdidas de energía en el nivel de tensión 1 al inicio del plan</w:t>
            </w:r>
            <w:bookmarkEnd w:id="8"/>
          </w:p>
        </w:tc>
        <w:tc>
          <w:tcPr>
            <w:tcW w:w="1509" w:type="pct"/>
            <w:vAlign w:val="center"/>
          </w:tcPr>
          <w:p w14:paraId="1D2B308A" w14:textId="77777777" w:rsidR="004544AE" w:rsidRPr="004544AE" w:rsidRDefault="004544AE" w:rsidP="004544AE">
            <w:pPr>
              <w:jc w:val="center"/>
              <w:rPr>
                <w:rFonts w:ascii="Helvetica" w:hAnsi="Helvetica" w:cs="Helvetica"/>
                <w:sz w:val="20"/>
                <w:szCs w:val="20"/>
              </w:rPr>
            </w:pPr>
          </w:p>
        </w:tc>
      </w:tr>
      <w:tr w:rsidR="004544AE" w:rsidRPr="004544AE" w14:paraId="2DD46EE0" w14:textId="77777777" w:rsidTr="00491327">
        <w:tc>
          <w:tcPr>
            <w:tcW w:w="3491" w:type="pct"/>
          </w:tcPr>
          <w:p w14:paraId="082D8F5E" w14:textId="5EB14D79" w:rsidR="004544AE" w:rsidRPr="004544AE" w:rsidRDefault="00DE1D44" w:rsidP="00AD0EDD">
            <w:pPr>
              <w:rPr>
                <w:rFonts w:ascii="Helvetica" w:hAnsi="Helvetica" w:cs="Helvetica"/>
                <w:sz w:val="20"/>
                <w:szCs w:val="20"/>
              </w:rPr>
            </w:pPr>
            <w:bookmarkStart w:id="9" w:name="17"/>
            <w:r w:rsidRPr="004544AE">
              <w:rPr>
                <w:rFonts w:ascii="Helvetica" w:hAnsi="Helvetica" w:cs="Helvetica"/>
                <w:sz w:val="20"/>
                <w:szCs w:val="20"/>
              </w:rPr>
              <w:t>Senda de reducción de pérdidas.</w:t>
            </w:r>
            <w:bookmarkEnd w:id="9"/>
          </w:p>
        </w:tc>
        <w:tc>
          <w:tcPr>
            <w:tcW w:w="1509" w:type="pct"/>
            <w:vAlign w:val="center"/>
          </w:tcPr>
          <w:p w14:paraId="56E1C1CB" w14:textId="77777777" w:rsidR="004544AE" w:rsidRPr="004544AE" w:rsidRDefault="004544AE" w:rsidP="004544AE">
            <w:pPr>
              <w:jc w:val="center"/>
              <w:rPr>
                <w:rFonts w:ascii="Helvetica" w:hAnsi="Helvetica" w:cs="Helvetica"/>
                <w:sz w:val="20"/>
                <w:szCs w:val="20"/>
              </w:rPr>
            </w:pPr>
            <w:r w:rsidRPr="004544AE">
              <w:rPr>
                <w:rFonts w:ascii="Helvetica" w:hAnsi="Helvetica" w:cs="Helvetica"/>
                <w:sz w:val="20"/>
                <w:szCs w:val="20"/>
              </w:rPr>
              <w:t>x</w:t>
            </w:r>
          </w:p>
        </w:tc>
      </w:tr>
      <w:tr w:rsidR="004544AE" w:rsidRPr="004544AE" w14:paraId="0EDDB9C9" w14:textId="77777777" w:rsidTr="00491327">
        <w:tc>
          <w:tcPr>
            <w:tcW w:w="3491" w:type="pct"/>
          </w:tcPr>
          <w:p w14:paraId="49AE50F4" w14:textId="33BA0924" w:rsidR="004544AE" w:rsidRPr="004544AE" w:rsidRDefault="00DE1D44" w:rsidP="00AD0EDD">
            <w:pPr>
              <w:rPr>
                <w:rFonts w:ascii="Helvetica" w:hAnsi="Helvetica" w:cs="Helvetica"/>
                <w:sz w:val="20"/>
                <w:szCs w:val="20"/>
              </w:rPr>
            </w:pPr>
            <w:bookmarkStart w:id="10" w:name="18"/>
            <w:r w:rsidRPr="004544AE">
              <w:rPr>
                <w:rFonts w:ascii="Helvetica" w:hAnsi="Helvetica" w:cs="Helvetica"/>
                <w:sz w:val="20"/>
                <w:szCs w:val="20"/>
              </w:rPr>
              <w:t>Costo anual del plan de gestión de pérdidas.</w:t>
            </w:r>
            <w:bookmarkEnd w:id="10"/>
          </w:p>
        </w:tc>
        <w:tc>
          <w:tcPr>
            <w:tcW w:w="1509" w:type="pct"/>
            <w:vAlign w:val="center"/>
          </w:tcPr>
          <w:p w14:paraId="3F6488B7" w14:textId="77777777" w:rsidR="004544AE" w:rsidRPr="004544AE" w:rsidRDefault="004544AE" w:rsidP="004544AE">
            <w:pPr>
              <w:jc w:val="center"/>
              <w:rPr>
                <w:rFonts w:ascii="Helvetica" w:hAnsi="Helvetica" w:cs="Helvetica"/>
                <w:sz w:val="20"/>
                <w:szCs w:val="20"/>
              </w:rPr>
            </w:pPr>
            <w:r w:rsidRPr="004544AE">
              <w:rPr>
                <w:rFonts w:ascii="Helvetica" w:hAnsi="Helvetica" w:cs="Helvetica"/>
                <w:sz w:val="20"/>
                <w:szCs w:val="20"/>
              </w:rPr>
              <w:t>x</w:t>
            </w:r>
          </w:p>
        </w:tc>
      </w:tr>
      <w:tr w:rsidR="004544AE" w:rsidRPr="004544AE" w14:paraId="4EE3A260" w14:textId="77777777" w:rsidTr="00491327">
        <w:tc>
          <w:tcPr>
            <w:tcW w:w="3491" w:type="pct"/>
          </w:tcPr>
          <w:p w14:paraId="6B2D1DAC" w14:textId="76AF57D8" w:rsidR="004544AE" w:rsidRPr="004544AE" w:rsidRDefault="00DE1D44" w:rsidP="00AD0EDD">
            <w:pPr>
              <w:rPr>
                <w:rFonts w:ascii="Helvetica" w:hAnsi="Helvetica" w:cs="Helvetica"/>
                <w:sz w:val="20"/>
                <w:szCs w:val="20"/>
              </w:rPr>
            </w:pPr>
            <w:bookmarkStart w:id="11" w:name="19"/>
            <w:r w:rsidRPr="004544AE">
              <w:rPr>
                <w:rFonts w:ascii="Helvetica" w:hAnsi="Helvetica" w:cs="Helvetica"/>
                <w:sz w:val="20"/>
                <w:szCs w:val="20"/>
              </w:rPr>
              <w:t xml:space="preserve">Costo de las inversiones en activos que no son clasificables como </w:t>
            </w:r>
            <w:r>
              <w:rPr>
                <w:rFonts w:ascii="Helvetica" w:hAnsi="Helvetica" w:cs="Helvetica"/>
                <w:sz w:val="20"/>
                <w:szCs w:val="20"/>
              </w:rPr>
              <w:t>UC</w:t>
            </w:r>
            <w:r w:rsidRPr="004544AE">
              <w:rPr>
                <w:rFonts w:ascii="Helvetica" w:hAnsi="Helvetica" w:cs="Helvetica"/>
                <w:sz w:val="20"/>
                <w:szCs w:val="20"/>
              </w:rPr>
              <w:t>.</w:t>
            </w:r>
            <w:bookmarkEnd w:id="11"/>
          </w:p>
        </w:tc>
        <w:tc>
          <w:tcPr>
            <w:tcW w:w="1509" w:type="pct"/>
            <w:vAlign w:val="center"/>
          </w:tcPr>
          <w:p w14:paraId="3CD83E87" w14:textId="77777777" w:rsidR="004544AE" w:rsidRPr="004544AE" w:rsidRDefault="004544AE" w:rsidP="004544AE">
            <w:pPr>
              <w:jc w:val="center"/>
              <w:rPr>
                <w:rFonts w:ascii="Helvetica" w:hAnsi="Helvetica" w:cs="Helvetica"/>
                <w:sz w:val="20"/>
                <w:szCs w:val="20"/>
              </w:rPr>
            </w:pPr>
            <w:r w:rsidRPr="004544AE">
              <w:rPr>
                <w:rFonts w:ascii="Helvetica" w:hAnsi="Helvetica" w:cs="Helvetica"/>
                <w:sz w:val="20"/>
                <w:szCs w:val="20"/>
              </w:rPr>
              <w:t>x</w:t>
            </w:r>
          </w:p>
        </w:tc>
      </w:tr>
      <w:tr w:rsidR="004544AE" w:rsidRPr="004544AE" w14:paraId="3BB5264B" w14:textId="77777777" w:rsidTr="00491327">
        <w:tc>
          <w:tcPr>
            <w:tcW w:w="3491" w:type="pct"/>
          </w:tcPr>
          <w:p w14:paraId="0DD914D8" w14:textId="5FE5067C" w:rsidR="004544AE" w:rsidRPr="004544AE" w:rsidRDefault="00DE1D44" w:rsidP="00AD0EDD">
            <w:pPr>
              <w:rPr>
                <w:rFonts w:ascii="Helvetica" w:hAnsi="Helvetica" w:cs="Helvetica"/>
                <w:sz w:val="20"/>
                <w:szCs w:val="20"/>
              </w:rPr>
            </w:pPr>
            <w:bookmarkStart w:id="12" w:name="20"/>
            <w:r w:rsidRPr="004544AE">
              <w:rPr>
                <w:rFonts w:ascii="Helvetica" w:hAnsi="Helvetica" w:cs="Helvetica"/>
                <w:sz w:val="20"/>
                <w:szCs w:val="20"/>
              </w:rPr>
              <w:t xml:space="preserve"> Valor anual por concepto de conexiones al sistema de otro </w:t>
            </w:r>
            <w:r>
              <w:rPr>
                <w:rFonts w:ascii="Helvetica" w:hAnsi="Helvetica" w:cs="Helvetica"/>
                <w:sz w:val="20"/>
                <w:szCs w:val="20"/>
              </w:rPr>
              <w:t>OR</w:t>
            </w:r>
            <w:r w:rsidRPr="004544AE">
              <w:rPr>
                <w:rFonts w:ascii="Helvetica" w:hAnsi="Helvetica" w:cs="Helvetica"/>
                <w:sz w:val="20"/>
                <w:szCs w:val="20"/>
              </w:rPr>
              <w:t>.</w:t>
            </w:r>
            <w:bookmarkEnd w:id="12"/>
          </w:p>
        </w:tc>
        <w:tc>
          <w:tcPr>
            <w:tcW w:w="1509" w:type="pct"/>
            <w:vAlign w:val="center"/>
          </w:tcPr>
          <w:p w14:paraId="5C015F62" w14:textId="77777777" w:rsidR="004544AE" w:rsidRPr="004544AE" w:rsidRDefault="004544AE" w:rsidP="004544AE">
            <w:pPr>
              <w:jc w:val="center"/>
              <w:rPr>
                <w:rFonts w:ascii="Helvetica" w:hAnsi="Helvetica" w:cs="Helvetica"/>
                <w:sz w:val="20"/>
                <w:szCs w:val="20"/>
              </w:rPr>
            </w:pPr>
          </w:p>
        </w:tc>
      </w:tr>
      <w:tr w:rsidR="004544AE" w:rsidRPr="004544AE" w14:paraId="7169D7C2" w14:textId="77777777" w:rsidTr="00491327">
        <w:tc>
          <w:tcPr>
            <w:tcW w:w="3491" w:type="pct"/>
          </w:tcPr>
          <w:p w14:paraId="2F8AD01B" w14:textId="30C386EB" w:rsidR="004544AE" w:rsidRPr="004544AE" w:rsidRDefault="00DE1D44" w:rsidP="00AD0EDD">
            <w:pPr>
              <w:rPr>
                <w:rFonts w:ascii="Helvetica" w:hAnsi="Helvetica" w:cs="Helvetica"/>
                <w:sz w:val="20"/>
                <w:szCs w:val="20"/>
              </w:rPr>
            </w:pPr>
            <w:bookmarkStart w:id="13" w:name="21"/>
            <w:r w:rsidRPr="004544AE">
              <w:rPr>
                <w:rFonts w:ascii="Helvetica" w:hAnsi="Helvetica" w:cs="Helvetica"/>
                <w:sz w:val="20"/>
                <w:szCs w:val="20"/>
              </w:rPr>
              <w:t xml:space="preserve">Conformación del </w:t>
            </w:r>
            <w:r>
              <w:rPr>
                <w:rFonts w:ascii="Helvetica" w:hAnsi="Helvetica" w:cs="Helvetica"/>
                <w:sz w:val="20"/>
                <w:szCs w:val="20"/>
              </w:rPr>
              <w:t>STR</w:t>
            </w:r>
            <w:r w:rsidRPr="004544AE">
              <w:rPr>
                <w:rFonts w:ascii="Helvetica" w:hAnsi="Helvetica" w:cs="Helvetica"/>
                <w:sz w:val="20"/>
                <w:szCs w:val="20"/>
              </w:rPr>
              <w:t>.</w:t>
            </w:r>
            <w:bookmarkEnd w:id="13"/>
          </w:p>
        </w:tc>
        <w:tc>
          <w:tcPr>
            <w:tcW w:w="1509" w:type="pct"/>
            <w:vAlign w:val="center"/>
          </w:tcPr>
          <w:p w14:paraId="7B5E72DF" w14:textId="77777777" w:rsidR="004544AE" w:rsidRPr="004544AE" w:rsidRDefault="004544AE" w:rsidP="004544AE">
            <w:pPr>
              <w:jc w:val="center"/>
              <w:rPr>
                <w:rFonts w:ascii="Helvetica" w:hAnsi="Helvetica" w:cs="Helvetica"/>
                <w:sz w:val="20"/>
                <w:szCs w:val="20"/>
              </w:rPr>
            </w:pPr>
          </w:p>
        </w:tc>
      </w:tr>
    </w:tbl>
    <w:p w14:paraId="20952DD3" w14:textId="77777777" w:rsidR="004544AE" w:rsidRPr="002C58C8" w:rsidRDefault="004544AE" w:rsidP="002C58C8">
      <w:pPr>
        <w:jc w:val="both"/>
        <w:rPr>
          <w:rFonts w:ascii="Helvetica" w:hAnsi="Helvetica" w:cs="Helvetica"/>
          <w:kern w:val="0"/>
          <w:sz w:val="24"/>
          <w:szCs w:val="24"/>
          <w:lang w:val="es-ES"/>
          <w14:ligatures w14:val="none"/>
        </w:rPr>
      </w:pPr>
    </w:p>
    <w:p w14:paraId="6770E264" w14:textId="5283B212" w:rsidR="002C58C8" w:rsidRDefault="002C58C8" w:rsidP="002C58C8">
      <w:p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E</w:t>
      </w:r>
      <w:r w:rsidRPr="002C58C8">
        <w:rPr>
          <w:rFonts w:ascii="Helvetica" w:hAnsi="Helvetica" w:cs="Helvetica"/>
          <w:kern w:val="0"/>
          <w:sz w:val="24"/>
          <w:szCs w:val="24"/>
          <w:lang w:val="es-ES"/>
          <w14:ligatures w14:val="none"/>
        </w:rPr>
        <w:t xml:space="preserve">n aplicación del artículo 6 de la Resolución CREG 015 de 2018, la Comisión expidió la Resolución CREG 501 056 de 2022 </w:t>
      </w:r>
      <w:r w:rsidR="0098528F">
        <w:rPr>
          <w:rFonts w:ascii="Helvetica" w:hAnsi="Helvetica" w:cs="Helvetica"/>
          <w:kern w:val="0"/>
          <w:sz w:val="24"/>
          <w:szCs w:val="24"/>
          <w:lang w:val="es-ES"/>
          <w14:ligatures w14:val="none"/>
        </w:rPr>
        <w:t>mediante la cual se</w:t>
      </w:r>
      <w:r w:rsidRPr="002C58C8">
        <w:rPr>
          <w:rFonts w:ascii="Helvetica" w:hAnsi="Helvetica" w:cs="Helvetica"/>
          <w:kern w:val="0"/>
          <w:sz w:val="24"/>
          <w:szCs w:val="24"/>
          <w:lang w:val="es-ES"/>
          <w14:ligatures w14:val="none"/>
        </w:rPr>
        <w:t xml:space="preserve"> modificó el plan de inversiones del mercado de comercialización atendido por AIR-E S.A.S. E.S.P. aprobado en la Resolución CREG 024 de 2021.</w:t>
      </w:r>
      <w:r>
        <w:rPr>
          <w:rFonts w:ascii="Helvetica" w:hAnsi="Helvetica" w:cs="Helvetica"/>
          <w:kern w:val="0"/>
          <w:sz w:val="24"/>
          <w:szCs w:val="24"/>
          <w:lang w:val="es-ES"/>
          <w14:ligatures w14:val="none"/>
        </w:rPr>
        <w:t xml:space="preserve"> Posteriormente, a través de la Resolución CREG 501 011 de 2023 </w:t>
      </w:r>
      <w:r w:rsidRPr="002C58C8">
        <w:rPr>
          <w:rFonts w:ascii="Helvetica" w:hAnsi="Helvetica" w:cs="Helvetica"/>
          <w:kern w:val="0"/>
          <w:sz w:val="24"/>
          <w:szCs w:val="24"/>
          <w:lang w:val="es-ES"/>
          <w14:ligatures w14:val="none"/>
        </w:rPr>
        <w:t xml:space="preserve">se resolvió el recurso de reposición, interpuesto por AIR-E S.A.S. E.S.P. contra la Resolución CREG </w:t>
      </w:r>
      <w:r>
        <w:rPr>
          <w:rFonts w:ascii="Helvetica" w:hAnsi="Helvetica" w:cs="Helvetica"/>
          <w:kern w:val="0"/>
          <w:sz w:val="24"/>
          <w:szCs w:val="24"/>
          <w:lang w:val="es-ES"/>
          <w14:ligatures w14:val="none"/>
        </w:rPr>
        <w:t>501 056</w:t>
      </w:r>
      <w:r w:rsidRPr="002C58C8">
        <w:rPr>
          <w:rFonts w:ascii="Helvetica" w:hAnsi="Helvetica" w:cs="Helvetica"/>
          <w:kern w:val="0"/>
          <w:sz w:val="24"/>
          <w:szCs w:val="24"/>
          <w:lang w:val="es-ES"/>
          <w14:ligatures w14:val="none"/>
        </w:rPr>
        <w:t xml:space="preserve"> de 202</w:t>
      </w:r>
      <w:r>
        <w:rPr>
          <w:rFonts w:ascii="Helvetica" w:hAnsi="Helvetica" w:cs="Helvetica"/>
          <w:kern w:val="0"/>
          <w:sz w:val="24"/>
          <w:szCs w:val="24"/>
          <w:lang w:val="es-ES"/>
          <w14:ligatures w14:val="none"/>
        </w:rPr>
        <w:t>2</w:t>
      </w:r>
      <w:r w:rsidRPr="002C58C8">
        <w:rPr>
          <w:rFonts w:ascii="Helvetica" w:hAnsi="Helvetica" w:cs="Helvetica"/>
          <w:kern w:val="0"/>
          <w:sz w:val="24"/>
          <w:szCs w:val="24"/>
          <w:lang w:val="es-ES"/>
          <w14:ligatures w14:val="none"/>
        </w:rPr>
        <w:t>.</w:t>
      </w:r>
    </w:p>
    <w:p w14:paraId="7B357C7C" w14:textId="77777777" w:rsidR="004037F7" w:rsidRDefault="004037F7" w:rsidP="004037F7">
      <w:pPr>
        <w:jc w:val="both"/>
        <w:rPr>
          <w:rFonts w:ascii="Helvetica" w:hAnsi="Helvetica" w:cs="Helvetica"/>
          <w:kern w:val="0"/>
          <w:sz w:val="24"/>
          <w:szCs w:val="24"/>
          <w14:ligatures w14:val="none"/>
        </w:rPr>
      </w:pPr>
      <w:r>
        <w:rPr>
          <w:rFonts w:ascii="Helvetica" w:hAnsi="Helvetica" w:cs="Helvetica"/>
          <w:kern w:val="0"/>
          <w:sz w:val="24"/>
          <w:szCs w:val="24"/>
          <w:lang w:val="es-ES"/>
          <w14:ligatures w14:val="none"/>
        </w:rPr>
        <w:t xml:space="preserve">Mediante </w:t>
      </w:r>
      <w:r w:rsidRPr="002C58C8">
        <w:rPr>
          <w:rFonts w:ascii="Helvetica" w:hAnsi="Helvetica" w:cs="Helvetica"/>
          <w:kern w:val="0"/>
          <w:sz w:val="24"/>
          <w:szCs w:val="24"/>
          <w14:ligatures w14:val="none"/>
        </w:rPr>
        <w:t xml:space="preserve">Auto </w:t>
      </w:r>
      <w:r>
        <w:rPr>
          <w:rFonts w:ascii="Helvetica" w:hAnsi="Helvetica" w:cs="Helvetica"/>
          <w:kern w:val="0"/>
          <w:sz w:val="24"/>
          <w:szCs w:val="24"/>
          <w14:ligatures w14:val="none"/>
        </w:rPr>
        <w:t xml:space="preserve">del 22 de agosto de 2024, </w:t>
      </w:r>
      <w:r w:rsidRPr="002C58C8">
        <w:rPr>
          <w:rFonts w:ascii="Helvetica" w:hAnsi="Helvetica" w:cs="Helvetica"/>
          <w:kern w:val="0"/>
          <w:sz w:val="24"/>
          <w:szCs w:val="24"/>
          <w14:ligatures w14:val="none"/>
        </w:rPr>
        <w:t>dentro del medio de control acción popular</w:t>
      </w:r>
      <w:r>
        <w:rPr>
          <w:rFonts w:ascii="Helvetica" w:hAnsi="Helvetica" w:cs="Helvetica"/>
          <w:kern w:val="0"/>
          <w:sz w:val="24"/>
          <w:szCs w:val="24"/>
          <w14:ligatures w14:val="none"/>
        </w:rPr>
        <w:t xml:space="preserve"> con</w:t>
      </w:r>
      <w:r w:rsidRPr="002C58C8">
        <w:rPr>
          <w:rFonts w:ascii="Helvetica" w:hAnsi="Helvetica" w:cs="Helvetica"/>
          <w:kern w:val="0"/>
          <w:sz w:val="24"/>
          <w:szCs w:val="24"/>
          <w14:ligatures w14:val="none"/>
        </w:rPr>
        <w:t xml:space="preserve"> radicado 08-001-23-3</w:t>
      </w:r>
      <w:r>
        <w:rPr>
          <w:rFonts w:ascii="Helvetica" w:hAnsi="Helvetica" w:cs="Helvetica"/>
          <w:kern w:val="0"/>
          <w:sz w:val="24"/>
          <w:szCs w:val="24"/>
          <w14:ligatures w14:val="none"/>
        </w:rPr>
        <w:t>3</w:t>
      </w:r>
      <w:r w:rsidRPr="002C58C8">
        <w:rPr>
          <w:rFonts w:ascii="Helvetica" w:hAnsi="Helvetica" w:cs="Helvetica"/>
          <w:kern w:val="0"/>
          <w:sz w:val="24"/>
          <w:szCs w:val="24"/>
          <w14:ligatures w14:val="none"/>
        </w:rPr>
        <w:t>-000-2022-00397-00</w:t>
      </w:r>
      <w:r>
        <w:rPr>
          <w:rFonts w:ascii="Helvetica" w:hAnsi="Helvetica" w:cs="Helvetica"/>
          <w:kern w:val="0"/>
          <w:sz w:val="24"/>
          <w:szCs w:val="24"/>
          <w14:ligatures w14:val="none"/>
        </w:rPr>
        <w:t xml:space="preserve">-ACUMULADO, el </w:t>
      </w:r>
      <w:r w:rsidRPr="002C58C8">
        <w:rPr>
          <w:rFonts w:ascii="Helvetica" w:hAnsi="Helvetica" w:cs="Helvetica"/>
          <w:kern w:val="0"/>
          <w:sz w:val="24"/>
          <w:szCs w:val="24"/>
          <w14:ligatures w14:val="none"/>
        </w:rPr>
        <w:t>Tribunal Administrativo del Atlántico</w:t>
      </w:r>
      <w:r>
        <w:rPr>
          <w:rFonts w:ascii="Helvetica" w:hAnsi="Helvetica" w:cs="Helvetica"/>
          <w:kern w:val="0"/>
          <w:sz w:val="24"/>
          <w:szCs w:val="24"/>
          <w14:ligatures w14:val="none"/>
        </w:rPr>
        <w:t xml:space="preserve"> ordenó a la CREG iniciar la actuación administrativa que modifique las Resoluciones CREG 010 de 2020 y CREG 078 de 2021, en los siguientes términos:</w:t>
      </w:r>
    </w:p>
    <w:p w14:paraId="4DF58D2B" w14:textId="77777777" w:rsidR="004037F7" w:rsidRPr="00876311" w:rsidRDefault="004037F7" w:rsidP="004037F7">
      <w:pPr>
        <w:ind w:left="708"/>
        <w:jc w:val="both"/>
        <w:rPr>
          <w:rFonts w:ascii="Helvetica" w:hAnsi="Helvetica" w:cs="Helvetica"/>
          <w:i/>
          <w:iCs/>
          <w:kern w:val="0"/>
          <w:sz w:val="24"/>
          <w:szCs w:val="24"/>
          <w14:ligatures w14:val="none"/>
        </w:rPr>
      </w:pPr>
      <w:r w:rsidRPr="00876311">
        <w:rPr>
          <w:rFonts w:ascii="Helvetica" w:hAnsi="Helvetica" w:cs="Helvetica"/>
          <w:i/>
          <w:iCs/>
          <w:kern w:val="0"/>
          <w:sz w:val="24"/>
          <w:szCs w:val="24"/>
          <w14:ligatures w14:val="none"/>
        </w:rPr>
        <w:t>“3. ORDENAR al Ministerio de Minas y Energía y a la CREG que dentro de los diez días (10) siguientes a la culminación de la sesión y/o audiencia pública inicien la actuación administrativa correspondiente acorde a la normatividad vigente, a fin de expedir el acto administrativo que modifique las Resoluciones 010 de 2020 y 78 de 2021 y/o cualquier acto administrativo, que tenga por objeto reducir las tarifas del servicio de energía eléctrica para la Región Caribe sin que sobrepase el plazo fijado en la ley para definir tal actuación”</w:t>
      </w:r>
      <w:r>
        <w:rPr>
          <w:rFonts w:ascii="Helvetica" w:hAnsi="Helvetica" w:cs="Helvetica"/>
          <w:i/>
          <w:iCs/>
          <w:kern w:val="0"/>
          <w:sz w:val="24"/>
          <w:szCs w:val="24"/>
          <w14:ligatures w14:val="none"/>
        </w:rPr>
        <w:t>.</w:t>
      </w:r>
    </w:p>
    <w:p w14:paraId="00DD48DA" w14:textId="7863D3A2" w:rsidR="002953DC" w:rsidRPr="00567ED3" w:rsidRDefault="00F77CE7" w:rsidP="5AF96E0C">
      <w:pPr>
        <w:jc w:val="both"/>
        <w:rPr>
          <w:rFonts w:ascii="Helvetica" w:hAnsi="Helvetica" w:cs="Helvetica"/>
          <w:kern w:val="0"/>
          <w:sz w:val="24"/>
          <w:szCs w:val="24"/>
          <w:lang w:val="es-ES"/>
          <w14:ligatures w14:val="none"/>
        </w:rPr>
      </w:pPr>
      <w:r>
        <w:rPr>
          <w:rFonts w:ascii="Helvetica" w:hAnsi="Helvetica" w:cs="Helvetica"/>
          <w:kern w:val="0"/>
          <w:sz w:val="24"/>
          <w:szCs w:val="24"/>
          <w:lang w:val="es-ES"/>
          <w14:ligatures w14:val="none"/>
        </w:rPr>
        <w:t>En cumplimiento del Auto citado</w:t>
      </w:r>
      <w:r w:rsidR="00280A99">
        <w:rPr>
          <w:rFonts w:ascii="Helvetica" w:hAnsi="Helvetica" w:cs="Helvetica"/>
          <w:kern w:val="0"/>
          <w:sz w:val="24"/>
          <w:szCs w:val="24"/>
          <w:lang w:val="es-ES"/>
          <w14:ligatures w14:val="none"/>
        </w:rPr>
        <w:t>,</w:t>
      </w:r>
      <w:r w:rsidRPr="00567ED3">
        <w:rPr>
          <w:rFonts w:ascii="Helvetica" w:hAnsi="Helvetica" w:cs="Helvetica"/>
          <w:kern w:val="0"/>
          <w:sz w:val="24"/>
          <w:szCs w:val="24"/>
          <w:lang w:val="es-ES"/>
          <w14:ligatures w14:val="none"/>
        </w:rPr>
        <w:t xml:space="preserve"> </w:t>
      </w:r>
      <w:r>
        <w:rPr>
          <w:rFonts w:ascii="Helvetica" w:hAnsi="Helvetica" w:cs="Helvetica"/>
          <w:kern w:val="0"/>
          <w:sz w:val="24"/>
          <w:szCs w:val="24"/>
          <w:lang w:val="es-ES"/>
          <w14:ligatures w14:val="none"/>
        </w:rPr>
        <w:t xml:space="preserve">la </w:t>
      </w:r>
      <w:r w:rsidR="002953DC" w:rsidRPr="00567ED3">
        <w:rPr>
          <w:rFonts w:ascii="Helvetica" w:hAnsi="Helvetica" w:cs="Helvetica"/>
          <w:kern w:val="0"/>
          <w:sz w:val="24"/>
          <w:szCs w:val="24"/>
          <w:lang w:val="es-ES"/>
          <w14:ligatures w14:val="none"/>
        </w:rPr>
        <w:t xml:space="preserve">Comisión </w:t>
      </w:r>
      <w:r w:rsidR="00B06D8D">
        <w:rPr>
          <w:rFonts w:ascii="Helvetica" w:hAnsi="Helvetica" w:cs="Helvetica"/>
          <w:kern w:val="0"/>
          <w:sz w:val="24"/>
          <w:szCs w:val="24"/>
          <w:lang w:val="es-ES"/>
          <w14:ligatures w14:val="none"/>
        </w:rPr>
        <w:t>debe</w:t>
      </w:r>
      <w:r w:rsidR="002953DC" w:rsidRPr="00567ED3">
        <w:rPr>
          <w:rFonts w:ascii="Helvetica" w:hAnsi="Helvetica" w:cs="Helvetica"/>
          <w:kern w:val="0"/>
          <w:sz w:val="24"/>
          <w:szCs w:val="24"/>
          <w:lang w:val="es-ES"/>
          <w14:ligatures w14:val="none"/>
        </w:rPr>
        <w:t xml:space="preserve"> iniciar actuación administrativa </w:t>
      </w:r>
      <w:r w:rsidR="00F22765">
        <w:rPr>
          <w:rFonts w:ascii="Helvetica" w:hAnsi="Helvetica" w:cs="Helvetica"/>
          <w:kern w:val="0"/>
          <w:sz w:val="24"/>
          <w:szCs w:val="24"/>
          <w:lang w:val="es-ES"/>
          <w14:ligatures w14:val="none"/>
        </w:rPr>
        <w:t xml:space="preserve">con el objeto de </w:t>
      </w:r>
      <w:r w:rsidR="00876311">
        <w:rPr>
          <w:rFonts w:ascii="Helvetica" w:hAnsi="Helvetica" w:cs="Helvetica"/>
          <w:kern w:val="0"/>
          <w:sz w:val="24"/>
          <w:szCs w:val="24"/>
          <w:lang w:val="es-ES"/>
          <w14:ligatures w14:val="none"/>
        </w:rPr>
        <w:t xml:space="preserve">establecer </w:t>
      </w:r>
      <w:r w:rsidR="00295D95">
        <w:rPr>
          <w:rFonts w:ascii="Helvetica" w:hAnsi="Helvetica" w:cs="Helvetica"/>
          <w:kern w:val="0"/>
          <w:sz w:val="24"/>
          <w:szCs w:val="24"/>
          <w:lang w:val="es-ES"/>
          <w14:ligatures w14:val="none"/>
        </w:rPr>
        <w:t xml:space="preserve">las modificaciones pertinentes </w:t>
      </w:r>
      <w:r w:rsidR="00132D12">
        <w:rPr>
          <w:rFonts w:ascii="Helvetica" w:hAnsi="Helvetica" w:cs="Helvetica"/>
          <w:kern w:val="0"/>
          <w:sz w:val="24"/>
          <w:szCs w:val="24"/>
          <w:lang w:val="es-ES"/>
          <w14:ligatures w14:val="none"/>
        </w:rPr>
        <w:t>a</w:t>
      </w:r>
      <w:r w:rsidR="00876311">
        <w:rPr>
          <w:rFonts w:ascii="Helvetica" w:hAnsi="Helvetica" w:cs="Helvetica"/>
          <w:kern w:val="0"/>
          <w:sz w:val="24"/>
          <w:szCs w:val="24"/>
          <w:lang w:val="es-ES"/>
          <w14:ligatures w14:val="none"/>
        </w:rPr>
        <w:t xml:space="preserve"> la </w:t>
      </w:r>
      <w:r w:rsidR="00183637">
        <w:rPr>
          <w:rFonts w:ascii="Helvetica" w:hAnsi="Helvetica" w:cs="Helvetica"/>
          <w:kern w:val="0"/>
          <w:sz w:val="24"/>
          <w:szCs w:val="24"/>
          <w:lang w:val="es-ES"/>
          <w14:ligatures w14:val="none"/>
        </w:rPr>
        <w:t>R</w:t>
      </w:r>
      <w:r w:rsidR="00876311">
        <w:rPr>
          <w:rFonts w:ascii="Helvetica" w:hAnsi="Helvetica" w:cs="Helvetica"/>
          <w:kern w:val="0"/>
          <w:sz w:val="24"/>
          <w:szCs w:val="24"/>
          <w:lang w:val="es-ES"/>
          <w14:ligatures w14:val="none"/>
        </w:rPr>
        <w:t>esolución CREG 024 de 2021</w:t>
      </w:r>
      <w:r w:rsidR="00993833">
        <w:rPr>
          <w:rFonts w:ascii="Helvetica" w:hAnsi="Helvetica" w:cs="Helvetica"/>
          <w:kern w:val="0"/>
          <w:sz w:val="24"/>
          <w:szCs w:val="24"/>
          <w:lang w:val="es-ES"/>
          <w14:ligatures w14:val="none"/>
        </w:rPr>
        <w:t>, modificada por la Resolución CREG 078 de 2021</w:t>
      </w:r>
      <w:r w:rsidR="004037F7">
        <w:rPr>
          <w:rFonts w:ascii="Helvetica" w:hAnsi="Helvetica" w:cs="Helvetica"/>
          <w:kern w:val="0"/>
          <w:sz w:val="24"/>
          <w:szCs w:val="24"/>
          <w:lang w:val="es-ES"/>
          <w14:ligatures w14:val="none"/>
        </w:rPr>
        <w:t xml:space="preserve">, </w:t>
      </w:r>
      <w:r w:rsidR="005733CC" w:rsidRPr="00B639B0">
        <w:rPr>
          <w:rFonts w:ascii="Helvetica" w:hAnsi="Helvetica" w:cs="Helvetica"/>
          <w:kern w:val="0"/>
          <w:sz w:val="24"/>
          <w:szCs w:val="24"/>
          <w:lang w:val="es-ES"/>
          <w14:ligatures w14:val="none"/>
        </w:rPr>
        <w:t>con base en lo establecido en los artículos 124 al 126 de la ley 142 respecto de la revisión de los esquemas tarifarios establecidos por la CREG.</w:t>
      </w:r>
      <w:r w:rsidR="005733CC" w:rsidRPr="00326CC9">
        <w:rPr>
          <w:rFonts w:ascii="Helvetica" w:hAnsi="Helvetica" w:cs="Helvetica"/>
          <w:kern w:val="0"/>
          <w:sz w:val="24"/>
          <w:szCs w:val="24"/>
          <w:lang w:val="es-ES"/>
          <w14:ligatures w14:val="none"/>
        </w:rPr>
        <w:t xml:space="preserve"> </w:t>
      </w:r>
      <w:r w:rsidR="005733CC">
        <w:rPr>
          <w:rFonts w:ascii="Helvetica" w:hAnsi="Helvetica" w:cs="Helvetica"/>
          <w:kern w:val="0"/>
          <w:sz w:val="24"/>
          <w:szCs w:val="24"/>
          <w:lang w:val="es-ES"/>
          <w14:ligatures w14:val="none"/>
        </w:rPr>
        <w:t>E</w:t>
      </w:r>
      <w:r w:rsidR="005733CC" w:rsidRPr="008A760B">
        <w:rPr>
          <w:rFonts w:ascii="Helvetica" w:hAnsi="Helvetica" w:cs="Helvetica"/>
          <w:kern w:val="0"/>
          <w:sz w:val="24"/>
          <w:szCs w:val="24"/>
          <w:lang w:val="es-ES"/>
          <w14:ligatures w14:val="none"/>
        </w:rPr>
        <w:t xml:space="preserve">l presente documento se entiende </w:t>
      </w:r>
      <w:r w:rsidR="005733CC" w:rsidRPr="008A760B">
        <w:rPr>
          <w:rFonts w:ascii="Helvetica" w:hAnsi="Helvetica" w:cs="Helvetica"/>
          <w:kern w:val="0"/>
          <w:sz w:val="24"/>
          <w:szCs w:val="24"/>
          <w:lang w:val="es-ES"/>
          <w14:ligatures w14:val="none"/>
        </w:rPr>
        <w:lastRenderedPageBreak/>
        <w:t>como el impulso a la actuación administrativa de que trata el artículo 124 de la Ley 142 de 1994.</w:t>
      </w:r>
      <w:r w:rsidR="002953DC" w:rsidRPr="00567ED3">
        <w:rPr>
          <w:rFonts w:ascii="Helvetica" w:hAnsi="Helvetica" w:cs="Helvetica"/>
          <w:kern w:val="0"/>
          <w:sz w:val="24"/>
          <w:szCs w:val="24"/>
          <w:lang w:val="es-ES"/>
          <w14:ligatures w14:val="none"/>
        </w:rPr>
        <w:t xml:space="preserve">  </w:t>
      </w:r>
    </w:p>
    <w:p w14:paraId="44408852" w14:textId="77777777" w:rsidR="002953DC" w:rsidRPr="00567ED3" w:rsidRDefault="002953DC" w:rsidP="002C7D54">
      <w:pPr>
        <w:jc w:val="both"/>
        <w:rPr>
          <w:rFonts w:ascii="Helvetica" w:hAnsi="Helvetica" w:cs="Helvetica"/>
          <w:bCs/>
          <w:kern w:val="0"/>
          <w:sz w:val="24"/>
          <w:szCs w:val="24"/>
          <w:lang w:val="es-ES"/>
          <w14:ligatures w14:val="none"/>
        </w:rPr>
      </w:pPr>
      <w:r w:rsidRPr="00567ED3">
        <w:rPr>
          <w:rFonts w:ascii="Helvetica" w:hAnsi="Helvetica" w:cs="Helvetica"/>
          <w:bCs/>
          <w:kern w:val="0"/>
          <w:sz w:val="24"/>
          <w:szCs w:val="24"/>
          <w:lang w:val="es-ES"/>
          <w14:ligatures w14:val="none"/>
        </w:rPr>
        <w:t xml:space="preserve">De conformidad con el numeral 1 del artículo 7 del Decreto 1260 de 2013, le corresponde al director ejecutivo, impulsar las actuaciones administrativas tendientes a la expedición de las decisiones misionales.  </w:t>
      </w:r>
    </w:p>
    <w:p w14:paraId="604C6AFA" w14:textId="77777777" w:rsidR="002953DC" w:rsidRPr="00567ED3" w:rsidRDefault="002953DC" w:rsidP="00A74B2A">
      <w:pPr>
        <w:jc w:val="center"/>
        <w:rPr>
          <w:rFonts w:ascii="Helvetica" w:hAnsi="Helvetica" w:cs="Helvetica"/>
          <w:bCs/>
          <w:kern w:val="0"/>
          <w:sz w:val="24"/>
          <w:szCs w:val="24"/>
          <w:lang w:val="es-ES"/>
          <w14:ligatures w14:val="none"/>
        </w:rPr>
      </w:pPr>
      <w:r w:rsidRPr="00567ED3">
        <w:rPr>
          <w:rFonts w:ascii="Helvetica" w:hAnsi="Helvetica" w:cs="Helvetica"/>
          <w:b/>
          <w:bCs/>
          <w:kern w:val="0"/>
          <w:sz w:val="24"/>
          <w:szCs w:val="24"/>
          <w:lang w:val="es-ES"/>
          <w14:ligatures w14:val="none"/>
        </w:rPr>
        <w:t>RESUELVE:</w:t>
      </w:r>
    </w:p>
    <w:p w14:paraId="6EB0EDA2" w14:textId="61384D9D" w:rsidR="002953DC" w:rsidRDefault="002953DC" w:rsidP="002C7D54">
      <w:pPr>
        <w:jc w:val="both"/>
        <w:rPr>
          <w:rFonts w:ascii="Helvetica" w:hAnsi="Helvetica" w:cs="Helvetica"/>
          <w:kern w:val="0"/>
          <w:sz w:val="24"/>
          <w:szCs w:val="24"/>
          <w:lang w:val="es-ES"/>
          <w14:ligatures w14:val="none"/>
        </w:rPr>
      </w:pPr>
      <w:r w:rsidRPr="00567ED3">
        <w:rPr>
          <w:rFonts w:ascii="Helvetica" w:hAnsi="Helvetica" w:cs="Helvetica"/>
          <w:b/>
          <w:bCs/>
          <w:kern w:val="0"/>
          <w:sz w:val="24"/>
          <w:szCs w:val="24"/>
          <w:lang w:val="es-ES"/>
          <w14:ligatures w14:val="none"/>
        </w:rPr>
        <w:t>PRIMERO.</w:t>
      </w:r>
      <w:r w:rsidRPr="00567ED3">
        <w:rPr>
          <w:rFonts w:ascii="Helvetica" w:hAnsi="Helvetica" w:cs="Helvetica"/>
          <w:bCs/>
          <w:kern w:val="0"/>
          <w:sz w:val="24"/>
          <w:szCs w:val="24"/>
          <w:lang w:val="es-ES"/>
          <w14:ligatures w14:val="none"/>
        </w:rPr>
        <w:t xml:space="preserve"> Iniciar la actuación administrativa,</w:t>
      </w:r>
      <w:r w:rsidR="00A173B7">
        <w:rPr>
          <w:rFonts w:ascii="Helvetica" w:hAnsi="Helvetica" w:cs="Helvetica"/>
          <w:bCs/>
          <w:kern w:val="0"/>
          <w:sz w:val="24"/>
          <w:szCs w:val="24"/>
          <w:lang w:val="es-ES"/>
          <w14:ligatures w14:val="none"/>
        </w:rPr>
        <w:t xml:space="preserve"> ordenada en el numeral 3 del </w:t>
      </w:r>
      <w:r w:rsidR="00A173B7" w:rsidRPr="002C58C8">
        <w:rPr>
          <w:rFonts w:ascii="Helvetica" w:hAnsi="Helvetica" w:cs="Helvetica"/>
          <w:kern w:val="0"/>
          <w:sz w:val="24"/>
          <w:szCs w:val="24"/>
          <w14:ligatures w14:val="none"/>
        </w:rPr>
        <w:t xml:space="preserve">Auto </w:t>
      </w:r>
      <w:r w:rsidR="00A173B7">
        <w:rPr>
          <w:rFonts w:ascii="Helvetica" w:hAnsi="Helvetica" w:cs="Helvetica"/>
          <w:kern w:val="0"/>
          <w:sz w:val="24"/>
          <w:szCs w:val="24"/>
          <w14:ligatures w14:val="none"/>
        </w:rPr>
        <w:t xml:space="preserve">del 22 de agosto de 2024, </w:t>
      </w:r>
      <w:r w:rsidR="00A173B7" w:rsidRPr="002C58C8">
        <w:rPr>
          <w:rFonts w:ascii="Helvetica" w:hAnsi="Helvetica" w:cs="Helvetica"/>
          <w:kern w:val="0"/>
          <w:sz w:val="24"/>
          <w:szCs w:val="24"/>
          <w14:ligatures w14:val="none"/>
        </w:rPr>
        <w:t>dentro del medio de control acción popular</w:t>
      </w:r>
      <w:r w:rsidR="00A173B7">
        <w:rPr>
          <w:rFonts w:ascii="Helvetica" w:hAnsi="Helvetica" w:cs="Helvetica"/>
          <w:kern w:val="0"/>
          <w:sz w:val="24"/>
          <w:szCs w:val="24"/>
          <w14:ligatures w14:val="none"/>
        </w:rPr>
        <w:t xml:space="preserve"> con</w:t>
      </w:r>
      <w:r w:rsidR="00A173B7" w:rsidRPr="002C58C8">
        <w:rPr>
          <w:rFonts w:ascii="Helvetica" w:hAnsi="Helvetica" w:cs="Helvetica"/>
          <w:kern w:val="0"/>
          <w:sz w:val="24"/>
          <w:szCs w:val="24"/>
          <w14:ligatures w14:val="none"/>
        </w:rPr>
        <w:t xml:space="preserve"> radicado 08-001-23-3</w:t>
      </w:r>
      <w:r w:rsidR="00A173B7">
        <w:rPr>
          <w:rFonts w:ascii="Helvetica" w:hAnsi="Helvetica" w:cs="Helvetica"/>
          <w:kern w:val="0"/>
          <w:sz w:val="24"/>
          <w:szCs w:val="24"/>
          <w14:ligatures w14:val="none"/>
        </w:rPr>
        <w:t>3</w:t>
      </w:r>
      <w:r w:rsidR="00A173B7" w:rsidRPr="002C58C8">
        <w:rPr>
          <w:rFonts w:ascii="Helvetica" w:hAnsi="Helvetica" w:cs="Helvetica"/>
          <w:kern w:val="0"/>
          <w:sz w:val="24"/>
          <w:szCs w:val="24"/>
          <w14:ligatures w14:val="none"/>
        </w:rPr>
        <w:t>-000-2022-00397-00</w:t>
      </w:r>
      <w:r w:rsidR="00A173B7">
        <w:rPr>
          <w:rFonts w:ascii="Helvetica" w:hAnsi="Helvetica" w:cs="Helvetica"/>
          <w:kern w:val="0"/>
          <w:sz w:val="24"/>
          <w:szCs w:val="24"/>
          <w14:ligatures w14:val="none"/>
        </w:rPr>
        <w:t>-ACUMULADO,</w:t>
      </w:r>
      <w:r w:rsidRPr="00567ED3">
        <w:rPr>
          <w:rFonts w:ascii="Helvetica" w:hAnsi="Helvetica" w:cs="Helvetica"/>
          <w:bCs/>
          <w:kern w:val="0"/>
          <w:sz w:val="24"/>
          <w:szCs w:val="24"/>
          <w:lang w:val="es-ES"/>
          <w14:ligatures w14:val="none"/>
        </w:rPr>
        <w:t xml:space="preserve"> con el objeto de </w:t>
      </w:r>
      <w:r w:rsidR="008A6BB9">
        <w:rPr>
          <w:rFonts w:ascii="Helvetica" w:hAnsi="Helvetica" w:cs="Helvetica"/>
          <w:kern w:val="0"/>
          <w:sz w:val="24"/>
          <w:szCs w:val="24"/>
          <w:lang w:val="es-ES"/>
          <w14:ligatures w14:val="none"/>
        </w:rPr>
        <w:t>determina</w:t>
      </w:r>
      <w:r w:rsidR="00B5229B" w:rsidRPr="00B5229B">
        <w:rPr>
          <w:rFonts w:ascii="Helvetica" w:hAnsi="Helvetica" w:cs="Helvetica"/>
          <w:kern w:val="0"/>
          <w:sz w:val="24"/>
          <w:szCs w:val="24"/>
          <w:lang w:val="es-ES"/>
          <w14:ligatures w14:val="none"/>
        </w:rPr>
        <w:t>r</w:t>
      </w:r>
      <w:r w:rsidR="008A6BB9">
        <w:rPr>
          <w:rFonts w:ascii="Helvetica" w:hAnsi="Helvetica" w:cs="Helvetica"/>
          <w:kern w:val="0"/>
          <w:sz w:val="24"/>
          <w:szCs w:val="24"/>
          <w:lang w:val="es-ES"/>
          <w14:ligatures w14:val="none"/>
        </w:rPr>
        <w:t xml:space="preserve"> </w:t>
      </w:r>
      <w:r w:rsidR="00B03E42">
        <w:rPr>
          <w:rFonts w:ascii="Helvetica" w:hAnsi="Helvetica" w:cs="Helvetica"/>
          <w:kern w:val="0"/>
          <w:sz w:val="24"/>
          <w:szCs w:val="24"/>
          <w:lang w:val="es-ES"/>
          <w14:ligatures w14:val="none"/>
        </w:rPr>
        <w:t xml:space="preserve">las </w:t>
      </w:r>
      <w:r w:rsidR="00B5229B" w:rsidRPr="00B5229B">
        <w:rPr>
          <w:rFonts w:ascii="Helvetica" w:hAnsi="Helvetica" w:cs="Helvetica"/>
          <w:kern w:val="0"/>
          <w:sz w:val="24"/>
          <w:szCs w:val="24"/>
          <w:lang w:val="es-ES"/>
          <w14:ligatures w14:val="none"/>
        </w:rPr>
        <w:t xml:space="preserve">modificaciones </w:t>
      </w:r>
      <w:r w:rsidR="008A6BB9">
        <w:rPr>
          <w:rFonts w:ascii="Helvetica" w:hAnsi="Helvetica" w:cs="Helvetica"/>
          <w:kern w:val="0"/>
          <w:sz w:val="24"/>
          <w:szCs w:val="24"/>
          <w:lang w:val="es-ES"/>
          <w14:ligatures w14:val="none"/>
        </w:rPr>
        <w:t>pertinentes a</w:t>
      </w:r>
      <w:r w:rsidR="00B5229B" w:rsidRPr="00B5229B">
        <w:rPr>
          <w:rFonts w:ascii="Helvetica" w:hAnsi="Helvetica" w:cs="Helvetica"/>
          <w:kern w:val="0"/>
          <w:sz w:val="24"/>
          <w:szCs w:val="24"/>
          <w:lang w:val="es-ES"/>
          <w14:ligatures w14:val="none"/>
        </w:rPr>
        <w:t xml:space="preserve"> la </w:t>
      </w:r>
      <w:r w:rsidR="00560859">
        <w:rPr>
          <w:rFonts w:ascii="Helvetica" w:hAnsi="Helvetica" w:cs="Helvetica"/>
          <w:kern w:val="0"/>
          <w:sz w:val="24"/>
          <w:szCs w:val="24"/>
          <w:lang w:val="es-ES"/>
          <w14:ligatures w14:val="none"/>
        </w:rPr>
        <w:t>R</w:t>
      </w:r>
      <w:r w:rsidR="00B5229B" w:rsidRPr="00B5229B">
        <w:rPr>
          <w:rFonts w:ascii="Helvetica" w:hAnsi="Helvetica" w:cs="Helvetica"/>
          <w:kern w:val="0"/>
          <w:sz w:val="24"/>
          <w:szCs w:val="24"/>
          <w:lang w:val="es-ES"/>
          <w14:ligatures w14:val="none"/>
        </w:rPr>
        <w:t>esolución CREG 024 de 2021</w:t>
      </w:r>
      <w:r w:rsidR="00C03417">
        <w:rPr>
          <w:rFonts w:ascii="Helvetica" w:hAnsi="Helvetica" w:cs="Helvetica"/>
          <w:kern w:val="0"/>
          <w:sz w:val="24"/>
          <w:szCs w:val="24"/>
          <w:lang w:val="es-ES"/>
          <w14:ligatures w14:val="none"/>
        </w:rPr>
        <w:t>, modificada por la Resolución CREG 078 de 2021</w:t>
      </w:r>
      <w:r w:rsidR="00B5229B" w:rsidRPr="00B5229B">
        <w:rPr>
          <w:rFonts w:ascii="Helvetica" w:hAnsi="Helvetica" w:cs="Helvetica"/>
          <w:kern w:val="0"/>
          <w:sz w:val="24"/>
          <w:szCs w:val="24"/>
          <w:lang w:val="es-ES"/>
          <w14:ligatures w14:val="none"/>
        </w:rPr>
        <w:t>.</w:t>
      </w:r>
    </w:p>
    <w:p w14:paraId="2BBF4171" w14:textId="71FE0DA1" w:rsidR="00407B38" w:rsidRPr="00567ED3" w:rsidRDefault="00F849B3" w:rsidP="002C7D54">
      <w:pPr>
        <w:jc w:val="both"/>
        <w:rPr>
          <w:rFonts w:ascii="Helvetica" w:hAnsi="Helvetica" w:cs="Helvetica"/>
          <w:bCs/>
          <w:kern w:val="0"/>
          <w:sz w:val="24"/>
          <w:szCs w:val="24"/>
          <w:lang w:val="es-ES"/>
          <w14:ligatures w14:val="none"/>
        </w:rPr>
      </w:pPr>
      <w:r>
        <w:rPr>
          <w:rFonts w:ascii="Helvetica" w:hAnsi="Helvetica" w:cs="Helvetica"/>
          <w:kern w:val="0"/>
          <w:sz w:val="24"/>
          <w:szCs w:val="24"/>
          <w:lang w:val="es-ES"/>
          <w14:ligatures w14:val="none"/>
        </w:rPr>
        <w:t>El alcance de esta actuación administrativa comprende todas las variables mencionadas en la parte considerativa del presente auto.</w:t>
      </w:r>
    </w:p>
    <w:p w14:paraId="14994083" w14:textId="6191A3C4" w:rsidR="002953DC" w:rsidRPr="00567ED3" w:rsidRDefault="002953DC" w:rsidP="002C7D54">
      <w:pPr>
        <w:jc w:val="both"/>
        <w:rPr>
          <w:rFonts w:ascii="Helvetica" w:hAnsi="Helvetica" w:cs="Helvetica"/>
          <w:bCs/>
          <w:kern w:val="0"/>
          <w:sz w:val="24"/>
          <w:szCs w:val="24"/>
          <w:lang w:val="es-ES"/>
          <w14:ligatures w14:val="none"/>
        </w:rPr>
      </w:pPr>
      <w:r w:rsidRPr="00567ED3">
        <w:rPr>
          <w:rFonts w:ascii="Helvetica" w:hAnsi="Helvetica" w:cs="Helvetica"/>
          <w:b/>
          <w:bCs/>
          <w:kern w:val="0"/>
          <w:sz w:val="24"/>
          <w:szCs w:val="24"/>
          <w:lang w:val="es-ES"/>
          <w14:ligatures w14:val="none"/>
        </w:rPr>
        <w:t>SEGUNDO.</w:t>
      </w:r>
      <w:r w:rsidRPr="00567ED3">
        <w:rPr>
          <w:rFonts w:ascii="Helvetica" w:hAnsi="Helvetica" w:cs="Helvetica"/>
          <w:bCs/>
          <w:kern w:val="0"/>
          <w:sz w:val="24"/>
          <w:szCs w:val="24"/>
          <w:lang w:val="es-ES"/>
          <w14:ligatures w14:val="none"/>
        </w:rPr>
        <w:t xml:space="preserve"> </w:t>
      </w:r>
      <w:r w:rsidR="00761C2A">
        <w:rPr>
          <w:rFonts w:ascii="Helvetica" w:hAnsi="Helvetica" w:cs="Helvetica"/>
          <w:bCs/>
          <w:kern w:val="0"/>
          <w:sz w:val="24"/>
          <w:szCs w:val="24"/>
          <w:lang w:val="es-ES"/>
          <w14:ligatures w14:val="none"/>
        </w:rPr>
        <w:t>Ordenar la apertura del expediente</w:t>
      </w:r>
      <w:r w:rsidR="00761C2A" w:rsidRPr="00567ED3">
        <w:rPr>
          <w:rFonts w:ascii="Helvetica" w:hAnsi="Helvetica" w:cs="Helvetica"/>
          <w:bCs/>
          <w:kern w:val="0"/>
          <w:sz w:val="24"/>
          <w:szCs w:val="24"/>
          <w:lang w:val="es-ES"/>
          <w14:ligatures w14:val="none"/>
        </w:rPr>
        <w:t>.</w:t>
      </w:r>
    </w:p>
    <w:p w14:paraId="564CA15A" w14:textId="77777777" w:rsidR="002953DC" w:rsidRPr="00567ED3" w:rsidRDefault="002953DC" w:rsidP="002C7D54">
      <w:pPr>
        <w:jc w:val="both"/>
        <w:rPr>
          <w:rFonts w:ascii="Helvetica" w:hAnsi="Helvetica" w:cs="Helvetica"/>
          <w:bCs/>
          <w:kern w:val="0"/>
          <w:sz w:val="24"/>
          <w:szCs w:val="24"/>
          <w:lang w:val="es-ES"/>
          <w14:ligatures w14:val="none"/>
        </w:rPr>
      </w:pPr>
      <w:r w:rsidRPr="00567ED3">
        <w:rPr>
          <w:rFonts w:ascii="Helvetica" w:hAnsi="Helvetica" w:cs="Helvetica"/>
          <w:b/>
          <w:bCs/>
          <w:kern w:val="0"/>
          <w:sz w:val="24"/>
          <w:szCs w:val="24"/>
          <w:lang w:val="es-ES"/>
          <w14:ligatures w14:val="none"/>
        </w:rPr>
        <w:t>TERCERO.</w:t>
      </w:r>
      <w:r w:rsidRPr="00567ED3">
        <w:rPr>
          <w:rFonts w:ascii="Helvetica" w:hAnsi="Helvetica" w:cs="Helvetica"/>
          <w:bCs/>
          <w:kern w:val="0"/>
          <w:sz w:val="24"/>
          <w:szCs w:val="24"/>
          <w:lang w:val="es-ES"/>
          <w14:ligatures w14:val="none"/>
        </w:rPr>
        <w:t xml:space="preserve"> Publicar en la página Web de la CREG y en el Diario Oficial, el extracto que para los efectos del artículo 37 del Código de Procedimiento Administrativo y de lo Contencioso Administrativo se anexa al presente auto.  </w:t>
      </w:r>
    </w:p>
    <w:p w14:paraId="54D6E9A3" w14:textId="6B1FB028" w:rsidR="002953DC" w:rsidRPr="00567ED3" w:rsidRDefault="002953DC" w:rsidP="002C7D54">
      <w:pPr>
        <w:jc w:val="both"/>
        <w:rPr>
          <w:rFonts w:ascii="Helvetica" w:hAnsi="Helvetica" w:cs="Helvetica"/>
          <w:bCs/>
          <w:kern w:val="0"/>
          <w:sz w:val="24"/>
          <w:szCs w:val="24"/>
          <w:lang w:val="es-ES"/>
          <w14:ligatures w14:val="none"/>
        </w:rPr>
      </w:pPr>
      <w:r w:rsidRPr="00567ED3">
        <w:rPr>
          <w:rFonts w:ascii="Helvetica" w:hAnsi="Helvetica" w:cs="Helvetica"/>
          <w:b/>
          <w:bCs/>
          <w:kern w:val="0"/>
          <w:sz w:val="24"/>
          <w:szCs w:val="24"/>
          <w:lang w:val="es-ES"/>
          <w14:ligatures w14:val="none"/>
        </w:rPr>
        <w:t>CUARTO.</w:t>
      </w:r>
      <w:r w:rsidRPr="00567ED3">
        <w:rPr>
          <w:rFonts w:ascii="Helvetica" w:hAnsi="Helvetica" w:cs="Helvetica"/>
          <w:bCs/>
          <w:kern w:val="0"/>
          <w:sz w:val="24"/>
          <w:szCs w:val="24"/>
          <w:lang w:val="es-ES"/>
          <w14:ligatures w14:val="none"/>
        </w:rPr>
        <w:t xml:space="preserve"> Comunicar a </w:t>
      </w:r>
      <w:r w:rsidRPr="00567ED3">
        <w:rPr>
          <w:rFonts w:ascii="Helvetica" w:hAnsi="Helvetica" w:cs="Helvetica"/>
          <w:bCs/>
          <w:noProof/>
          <w:kern w:val="0"/>
          <w:sz w:val="24"/>
          <w:szCs w:val="24"/>
          <w:lang w:val="es-ES"/>
          <w14:ligatures w14:val="none"/>
        </w:rPr>
        <w:t xml:space="preserve">la </w:t>
      </w:r>
      <w:r w:rsidR="00B5229B">
        <w:rPr>
          <w:rFonts w:ascii="Helvetica" w:hAnsi="Helvetica" w:cs="Helvetica"/>
          <w:bCs/>
          <w:noProof/>
          <w:kern w:val="0"/>
          <w:sz w:val="24"/>
          <w:szCs w:val="24"/>
          <w:lang w:val="es-ES"/>
          <w14:ligatures w14:val="none"/>
        </w:rPr>
        <w:t xml:space="preserve">Air-e </w:t>
      </w:r>
      <w:r w:rsidRPr="00567ED3">
        <w:rPr>
          <w:rFonts w:ascii="Helvetica" w:hAnsi="Helvetica" w:cs="Helvetica"/>
          <w:bCs/>
          <w:noProof/>
          <w:kern w:val="0"/>
          <w:sz w:val="24"/>
          <w:szCs w:val="24"/>
          <w:lang w:val="es-ES"/>
          <w14:ligatures w14:val="none"/>
        </w:rPr>
        <w:t>S.A.</w:t>
      </w:r>
      <w:r w:rsidR="00B5229B">
        <w:rPr>
          <w:rFonts w:ascii="Helvetica" w:hAnsi="Helvetica" w:cs="Helvetica"/>
          <w:bCs/>
          <w:noProof/>
          <w:kern w:val="0"/>
          <w:sz w:val="24"/>
          <w:szCs w:val="24"/>
          <w:lang w:val="es-ES"/>
          <w14:ligatures w14:val="none"/>
        </w:rPr>
        <w:t>S.</w:t>
      </w:r>
      <w:r w:rsidRPr="00567ED3">
        <w:rPr>
          <w:rFonts w:ascii="Helvetica" w:hAnsi="Helvetica" w:cs="Helvetica"/>
          <w:bCs/>
          <w:noProof/>
          <w:kern w:val="0"/>
          <w:sz w:val="24"/>
          <w:szCs w:val="24"/>
          <w:lang w:val="es-ES"/>
          <w14:ligatures w14:val="none"/>
        </w:rPr>
        <w:t xml:space="preserve"> E.S.P.</w:t>
      </w:r>
      <w:r w:rsidR="006053FE">
        <w:rPr>
          <w:rFonts w:ascii="Helvetica" w:hAnsi="Helvetica" w:cs="Helvetica"/>
          <w:bCs/>
          <w:kern w:val="0"/>
          <w:sz w:val="24"/>
          <w:szCs w:val="24"/>
          <w:lang w:val="es-ES"/>
          <w14:ligatures w14:val="none"/>
        </w:rPr>
        <w:t xml:space="preserve"> y al </w:t>
      </w:r>
      <w:r w:rsidR="002C7313">
        <w:rPr>
          <w:rFonts w:ascii="Helvetica" w:hAnsi="Helvetica" w:cs="Helvetica"/>
          <w:bCs/>
          <w:kern w:val="0"/>
          <w:sz w:val="24"/>
          <w:szCs w:val="24"/>
          <w:lang w:val="es-ES"/>
          <w14:ligatures w14:val="none"/>
        </w:rPr>
        <w:t xml:space="preserve">Tribunal Administrativo del </w:t>
      </w:r>
      <w:r w:rsidR="006053FE">
        <w:rPr>
          <w:rFonts w:ascii="Helvetica" w:hAnsi="Helvetica" w:cs="Helvetica"/>
          <w:bCs/>
          <w:kern w:val="0"/>
          <w:sz w:val="24"/>
          <w:szCs w:val="24"/>
          <w:lang w:val="es-ES"/>
          <w14:ligatures w14:val="none"/>
        </w:rPr>
        <w:t>Atlántico</w:t>
      </w:r>
      <w:r w:rsidR="002C7313">
        <w:rPr>
          <w:rFonts w:ascii="Helvetica" w:hAnsi="Helvetica" w:cs="Helvetica"/>
          <w:bCs/>
          <w:kern w:val="0"/>
          <w:sz w:val="24"/>
          <w:szCs w:val="24"/>
          <w:lang w:val="es-ES"/>
          <w14:ligatures w14:val="none"/>
        </w:rPr>
        <w:t xml:space="preserve"> </w:t>
      </w:r>
      <w:r w:rsidRPr="00567ED3">
        <w:rPr>
          <w:rFonts w:ascii="Helvetica" w:hAnsi="Helvetica" w:cs="Helvetica"/>
          <w:bCs/>
          <w:kern w:val="0"/>
          <w:sz w:val="24"/>
          <w:szCs w:val="24"/>
          <w:lang w:val="es-ES"/>
          <w14:ligatures w14:val="none"/>
        </w:rPr>
        <w:t xml:space="preserve">el contenido del presente auto.  </w:t>
      </w:r>
    </w:p>
    <w:p w14:paraId="53CDFA4A" w14:textId="77777777" w:rsidR="002953DC" w:rsidRPr="00567ED3" w:rsidRDefault="002953DC" w:rsidP="002C7D54">
      <w:pPr>
        <w:jc w:val="both"/>
        <w:rPr>
          <w:rFonts w:ascii="Helvetica" w:hAnsi="Helvetica" w:cs="Helvetica"/>
          <w:bCs/>
          <w:kern w:val="0"/>
          <w:sz w:val="24"/>
          <w:szCs w:val="24"/>
          <w:lang w:val="es-ES"/>
          <w14:ligatures w14:val="none"/>
        </w:rPr>
      </w:pPr>
    </w:p>
    <w:p w14:paraId="2007CE30" w14:textId="77777777" w:rsidR="002953DC" w:rsidRPr="00567ED3" w:rsidRDefault="002953DC" w:rsidP="00C30526">
      <w:pPr>
        <w:jc w:val="center"/>
        <w:rPr>
          <w:rFonts w:ascii="Helvetica" w:hAnsi="Helvetica" w:cs="Helvetica"/>
          <w:b/>
          <w:bCs/>
          <w:kern w:val="0"/>
          <w:sz w:val="24"/>
          <w:szCs w:val="24"/>
          <w14:ligatures w14:val="none"/>
        </w:rPr>
      </w:pPr>
      <w:r w:rsidRPr="00567ED3">
        <w:rPr>
          <w:rFonts w:ascii="Helvetica" w:hAnsi="Helvetica" w:cs="Helvetica"/>
          <w:b/>
          <w:bCs/>
          <w:kern w:val="0"/>
          <w:sz w:val="24"/>
          <w:szCs w:val="24"/>
          <w14:ligatures w14:val="none"/>
        </w:rPr>
        <w:t>COMUNÍQUESE, PUBLÍQUESE Y CÚMPLASE</w:t>
      </w:r>
    </w:p>
    <w:p w14:paraId="667DD117" w14:textId="77777777" w:rsidR="002953DC" w:rsidRPr="00567ED3" w:rsidRDefault="002953DC" w:rsidP="00C30526">
      <w:pPr>
        <w:jc w:val="center"/>
        <w:rPr>
          <w:rFonts w:ascii="Helvetica" w:hAnsi="Helvetica" w:cs="Helvetica"/>
          <w:b/>
          <w:bCs/>
          <w:kern w:val="0"/>
          <w:sz w:val="24"/>
          <w:szCs w:val="24"/>
          <w14:ligatures w14:val="none"/>
        </w:rPr>
      </w:pPr>
    </w:p>
    <w:p w14:paraId="298B803D" w14:textId="77777777" w:rsidR="002953DC" w:rsidRPr="00567ED3" w:rsidRDefault="002953DC" w:rsidP="00C30526">
      <w:pPr>
        <w:jc w:val="center"/>
        <w:rPr>
          <w:rFonts w:ascii="Helvetica" w:hAnsi="Helvetica" w:cs="Helvetica"/>
          <w:b/>
          <w:bCs/>
          <w:kern w:val="0"/>
          <w:sz w:val="24"/>
          <w:szCs w:val="24"/>
          <w14:ligatures w14:val="none"/>
        </w:rPr>
      </w:pPr>
      <w:r w:rsidRPr="00567ED3">
        <w:rPr>
          <w:rFonts w:ascii="Helvetica" w:hAnsi="Helvetica" w:cs="Helvetica"/>
          <w:b/>
          <w:bCs/>
          <w:kern w:val="0"/>
          <w:sz w:val="24"/>
          <w:szCs w:val="24"/>
          <w14:ligatures w14:val="none"/>
        </w:rPr>
        <w:t>ANTONIO JIMÉNEZ RIVERA</w:t>
      </w:r>
    </w:p>
    <w:p w14:paraId="00B9F179" w14:textId="051E3A7B" w:rsidR="00FC46BC" w:rsidRPr="00FC46BC" w:rsidRDefault="002953DC" w:rsidP="00FC46BC">
      <w:pPr>
        <w:jc w:val="center"/>
        <w:rPr>
          <w:rFonts w:ascii="Helvetica" w:hAnsi="Helvetica" w:cs="Helvetica"/>
          <w:kern w:val="0"/>
          <w:sz w:val="24"/>
          <w:szCs w:val="24"/>
          <w14:ligatures w14:val="none"/>
        </w:rPr>
      </w:pPr>
      <w:r w:rsidRPr="00567ED3">
        <w:rPr>
          <w:rFonts w:ascii="Helvetica" w:hAnsi="Helvetica" w:cs="Helvetica"/>
          <w:kern w:val="0"/>
          <w:sz w:val="24"/>
          <w:szCs w:val="24"/>
          <w14:ligatures w14:val="none"/>
        </w:rPr>
        <w:t>Director Ejecutivo</w:t>
      </w:r>
    </w:p>
    <w:sectPr w:rsidR="00FC46BC" w:rsidRPr="00FC46BC" w:rsidSect="00714A94">
      <w:headerReference w:type="default" r:id="rId10"/>
      <w:footerReference w:type="default" r:id="rId11"/>
      <w:pgSz w:w="12240" w:h="15840"/>
      <w:pgMar w:top="1417" w:right="1701" w:bottom="1417" w:left="1701"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DF3C2" w14:textId="77777777" w:rsidR="008D4912" w:rsidRDefault="008D4912" w:rsidP="00142756">
      <w:pPr>
        <w:spacing w:after="0" w:line="240" w:lineRule="auto"/>
      </w:pPr>
      <w:r>
        <w:separator/>
      </w:r>
    </w:p>
  </w:endnote>
  <w:endnote w:type="continuationSeparator" w:id="0">
    <w:p w14:paraId="698258C0" w14:textId="77777777" w:rsidR="008D4912" w:rsidRDefault="008D4912" w:rsidP="00142756">
      <w:pPr>
        <w:spacing w:after="0" w:line="240" w:lineRule="auto"/>
      </w:pPr>
      <w:r>
        <w:continuationSeparator/>
      </w:r>
    </w:p>
  </w:endnote>
  <w:endnote w:type="continuationNotice" w:id="1">
    <w:p w14:paraId="634A9515" w14:textId="77777777" w:rsidR="008D4912" w:rsidRDefault="008D4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B37" w14:textId="77777777"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6C83B537" w14:textId="7997A39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w:t>
    </w:r>
    <w:r w:rsidR="003F5F47">
      <w:rPr>
        <w:rFonts w:ascii="Helvetica" w:hAnsi="Helvetica"/>
        <w:b/>
        <w:bCs/>
        <w:sz w:val="20"/>
        <w:szCs w:val="20"/>
      </w:rPr>
      <w:t xml:space="preserve"> </w:t>
    </w:r>
    <w:r w:rsidRPr="000774A9">
      <w:rPr>
        <w:rFonts w:ascii="Helvetica" w:hAnsi="Helvetica"/>
        <w:b/>
        <w:bCs/>
        <w:sz w:val="20"/>
        <w:szCs w:val="20"/>
      </w:rPr>
      <w:t>7 - 15, Bogotá D.C., Colombia</w:t>
    </w:r>
  </w:p>
  <w:p w14:paraId="13CBED94"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165FE24"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10D36779" w14:textId="77777777" w:rsidR="00142756" w:rsidRDefault="00142756">
    <w:pPr>
      <w:pStyle w:val="Piedepgina"/>
    </w:pPr>
  </w:p>
  <w:p w14:paraId="19354FDF"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BDE07" w14:textId="77777777" w:rsidR="008D4912" w:rsidRDefault="008D4912" w:rsidP="00142756">
      <w:pPr>
        <w:spacing w:after="0" w:line="240" w:lineRule="auto"/>
      </w:pPr>
      <w:r>
        <w:separator/>
      </w:r>
    </w:p>
  </w:footnote>
  <w:footnote w:type="continuationSeparator" w:id="0">
    <w:p w14:paraId="4E133E11" w14:textId="77777777" w:rsidR="008D4912" w:rsidRDefault="008D4912" w:rsidP="00142756">
      <w:pPr>
        <w:spacing w:after="0" w:line="240" w:lineRule="auto"/>
      </w:pPr>
      <w:r>
        <w:continuationSeparator/>
      </w:r>
    </w:p>
  </w:footnote>
  <w:footnote w:type="continuationNotice" w:id="1">
    <w:p w14:paraId="7B8E93ED" w14:textId="77777777" w:rsidR="008D4912" w:rsidRDefault="008D4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A40A5" w14:textId="77777777" w:rsidR="00142756" w:rsidRDefault="00142756">
    <w:pPr>
      <w:pStyle w:val="Encabezado"/>
    </w:pPr>
    <w:r>
      <w:rPr>
        <w:noProof/>
      </w:rPr>
      <w:drawing>
        <wp:anchor distT="0" distB="0" distL="114300" distR="114300" simplePos="0" relativeHeight="251658241" behindDoc="0" locked="0" layoutInCell="1" allowOverlap="1" wp14:anchorId="12779416" wp14:editId="1078D228">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06230AEC" wp14:editId="0966B0AB">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A5EC480" w14:textId="77777777" w:rsidR="00142756" w:rsidRDefault="001427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2423"/>
    <w:rsid w:val="00003ECC"/>
    <w:rsid w:val="00011A3D"/>
    <w:rsid w:val="00014C45"/>
    <w:rsid w:val="00031634"/>
    <w:rsid w:val="00034CEB"/>
    <w:rsid w:val="00063FE1"/>
    <w:rsid w:val="00066F92"/>
    <w:rsid w:val="00074497"/>
    <w:rsid w:val="00076BA1"/>
    <w:rsid w:val="0008208B"/>
    <w:rsid w:val="00090554"/>
    <w:rsid w:val="00097660"/>
    <w:rsid w:val="000A0DCB"/>
    <w:rsid w:val="000A2CA3"/>
    <w:rsid w:val="000A47C1"/>
    <w:rsid w:val="000C7FE8"/>
    <w:rsid w:val="000D16E8"/>
    <w:rsid w:val="000D3595"/>
    <w:rsid w:val="000E62E3"/>
    <w:rsid w:val="000F3027"/>
    <w:rsid w:val="000F6AB6"/>
    <w:rsid w:val="00101657"/>
    <w:rsid w:val="00102490"/>
    <w:rsid w:val="001035BD"/>
    <w:rsid w:val="0011042E"/>
    <w:rsid w:val="00117E81"/>
    <w:rsid w:val="00123E2C"/>
    <w:rsid w:val="00127257"/>
    <w:rsid w:val="00132D12"/>
    <w:rsid w:val="00135AE9"/>
    <w:rsid w:val="00137DE4"/>
    <w:rsid w:val="001407D2"/>
    <w:rsid w:val="00142756"/>
    <w:rsid w:val="00154BA7"/>
    <w:rsid w:val="001653F2"/>
    <w:rsid w:val="00176CF3"/>
    <w:rsid w:val="00183637"/>
    <w:rsid w:val="00190E6A"/>
    <w:rsid w:val="0019433B"/>
    <w:rsid w:val="0019761F"/>
    <w:rsid w:val="001B0593"/>
    <w:rsid w:val="001B37EF"/>
    <w:rsid w:val="001B650C"/>
    <w:rsid w:val="001C3EFA"/>
    <w:rsid w:val="001D2895"/>
    <w:rsid w:val="001D5CC3"/>
    <w:rsid w:val="001E088A"/>
    <w:rsid w:val="0020793D"/>
    <w:rsid w:val="00214DBB"/>
    <w:rsid w:val="00214FF8"/>
    <w:rsid w:val="00226472"/>
    <w:rsid w:val="00227DAD"/>
    <w:rsid w:val="0023372C"/>
    <w:rsid w:val="00233D59"/>
    <w:rsid w:val="0024264E"/>
    <w:rsid w:val="00263693"/>
    <w:rsid w:val="002723B2"/>
    <w:rsid w:val="0027769A"/>
    <w:rsid w:val="00280A99"/>
    <w:rsid w:val="00287240"/>
    <w:rsid w:val="002942CF"/>
    <w:rsid w:val="002953DC"/>
    <w:rsid w:val="00295D95"/>
    <w:rsid w:val="002A2BFD"/>
    <w:rsid w:val="002B5AC9"/>
    <w:rsid w:val="002C1C49"/>
    <w:rsid w:val="002C58C8"/>
    <w:rsid w:val="002C7313"/>
    <w:rsid w:val="002C7D54"/>
    <w:rsid w:val="002D0039"/>
    <w:rsid w:val="002E16D1"/>
    <w:rsid w:val="002E34EA"/>
    <w:rsid w:val="002E4BD2"/>
    <w:rsid w:val="002F2230"/>
    <w:rsid w:val="002F389F"/>
    <w:rsid w:val="00305C4B"/>
    <w:rsid w:val="003131A0"/>
    <w:rsid w:val="0031336F"/>
    <w:rsid w:val="00313784"/>
    <w:rsid w:val="00320A87"/>
    <w:rsid w:val="00320DEF"/>
    <w:rsid w:val="00324E0C"/>
    <w:rsid w:val="00327625"/>
    <w:rsid w:val="00332D78"/>
    <w:rsid w:val="0033700B"/>
    <w:rsid w:val="0035002B"/>
    <w:rsid w:val="00352640"/>
    <w:rsid w:val="00372EB3"/>
    <w:rsid w:val="003731C7"/>
    <w:rsid w:val="003735DE"/>
    <w:rsid w:val="0037713E"/>
    <w:rsid w:val="003822A0"/>
    <w:rsid w:val="003B5515"/>
    <w:rsid w:val="003C7C30"/>
    <w:rsid w:val="003D1853"/>
    <w:rsid w:val="003D2261"/>
    <w:rsid w:val="003D3988"/>
    <w:rsid w:val="003D39BA"/>
    <w:rsid w:val="003E58CD"/>
    <w:rsid w:val="003E77FD"/>
    <w:rsid w:val="003F5F47"/>
    <w:rsid w:val="003F6B1D"/>
    <w:rsid w:val="004037F7"/>
    <w:rsid w:val="00407B38"/>
    <w:rsid w:val="00424472"/>
    <w:rsid w:val="0043248C"/>
    <w:rsid w:val="00433401"/>
    <w:rsid w:val="00434DDA"/>
    <w:rsid w:val="004544AE"/>
    <w:rsid w:val="00472835"/>
    <w:rsid w:val="00491062"/>
    <w:rsid w:val="00491327"/>
    <w:rsid w:val="0049201C"/>
    <w:rsid w:val="004A452A"/>
    <w:rsid w:val="004B0C6B"/>
    <w:rsid w:val="004B6CF2"/>
    <w:rsid w:val="004F0B27"/>
    <w:rsid w:val="004F5D96"/>
    <w:rsid w:val="005044AE"/>
    <w:rsid w:val="00505125"/>
    <w:rsid w:val="005170E9"/>
    <w:rsid w:val="00520E9B"/>
    <w:rsid w:val="00523DE8"/>
    <w:rsid w:val="005256D5"/>
    <w:rsid w:val="00533F8A"/>
    <w:rsid w:val="00541A46"/>
    <w:rsid w:val="0054425C"/>
    <w:rsid w:val="00556FC2"/>
    <w:rsid w:val="00560859"/>
    <w:rsid w:val="00565438"/>
    <w:rsid w:val="00567ED3"/>
    <w:rsid w:val="005733CC"/>
    <w:rsid w:val="005809C3"/>
    <w:rsid w:val="005879CA"/>
    <w:rsid w:val="00597844"/>
    <w:rsid w:val="005A2E99"/>
    <w:rsid w:val="005B6650"/>
    <w:rsid w:val="005D6CEC"/>
    <w:rsid w:val="005D7474"/>
    <w:rsid w:val="005E33D8"/>
    <w:rsid w:val="005E7F0B"/>
    <w:rsid w:val="005F0C80"/>
    <w:rsid w:val="005F41B0"/>
    <w:rsid w:val="005F5119"/>
    <w:rsid w:val="005F5DB5"/>
    <w:rsid w:val="006053FE"/>
    <w:rsid w:val="006065F0"/>
    <w:rsid w:val="00626D0F"/>
    <w:rsid w:val="00635F22"/>
    <w:rsid w:val="0064055C"/>
    <w:rsid w:val="006473A4"/>
    <w:rsid w:val="006534F9"/>
    <w:rsid w:val="006640CE"/>
    <w:rsid w:val="0066576A"/>
    <w:rsid w:val="006667DD"/>
    <w:rsid w:val="00673A7C"/>
    <w:rsid w:val="00687365"/>
    <w:rsid w:val="006A08EF"/>
    <w:rsid w:val="006B2BA2"/>
    <w:rsid w:val="006B534A"/>
    <w:rsid w:val="006B54B2"/>
    <w:rsid w:val="006B644B"/>
    <w:rsid w:val="006C4EC6"/>
    <w:rsid w:val="006C7EC2"/>
    <w:rsid w:val="006D11ED"/>
    <w:rsid w:val="006D3362"/>
    <w:rsid w:val="006E4FD7"/>
    <w:rsid w:val="006E6C54"/>
    <w:rsid w:val="007060CC"/>
    <w:rsid w:val="007142E5"/>
    <w:rsid w:val="00714A94"/>
    <w:rsid w:val="00721BE3"/>
    <w:rsid w:val="007313ED"/>
    <w:rsid w:val="0073670D"/>
    <w:rsid w:val="007462B6"/>
    <w:rsid w:val="007462C6"/>
    <w:rsid w:val="00761C2A"/>
    <w:rsid w:val="00783151"/>
    <w:rsid w:val="007C44A8"/>
    <w:rsid w:val="007C44D6"/>
    <w:rsid w:val="007C70CF"/>
    <w:rsid w:val="007D3EA2"/>
    <w:rsid w:val="007E28C9"/>
    <w:rsid w:val="007F60F4"/>
    <w:rsid w:val="00800F2D"/>
    <w:rsid w:val="008035DF"/>
    <w:rsid w:val="0080426B"/>
    <w:rsid w:val="0082386E"/>
    <w:rsid w:val="008275C2"/>
    <w:rsid w:val="00833DF8"/>
    <w:rsid w:val="00834045"/>
    <w:rsid w:val="00843D5F"/>
    <w:rsid w:val="00844CF5"/>
    <w:rsid w:val="00855790"/>
    <w:rsid w:val="00876311"/>
    <w:rsid w:val="008A6BB9"/>
    <w:rsid w:val="008B1E20"/>
    <w:rsid w:val="008C00CB"/>
    <w:rsid w:val="008D4912"/>
    <w:rsid w:val="008E70F1"/>
    <w:rsid w:val="008F0338"/>
    <w:rsid w:val="00912D95"/>
    <w:rsid w:val="00915047"/>
    <w:rsid w:val="00943025"/>
    <w:rsid w:val="00975390"/>
    <w:rsid w:val="00981FDC"/>
    <w:rsid w:val="00983979"/>
    <w:rsid w:val="0098528F"/>
    <w:rsid w:val="00991638"/>
    <w:rsid w:val="00993833"/>
    <w:rsid w:val="009A5620"/>
    <w:rsid w:val="009A607E"/>
    <w:rsid w:val="009A610F"/>
    <w:rsid w:val="009B2266"/>
    <w:rsid w:val="009B5A35"/>
    <w:rsid w:val="009C0F03"/>
    <w:rsid w:val="009C1400"/>
    <w:rsid w:val="009C1D5D"/>
    <w:rsid w:val="009E185D"/>
    <w:rsid w:val="009E507B"/>
    <w:rsid w:val="009F068E"/>
    <w:rsid w:val="00A03F11"/>
    <w:rsid w:val="00A15B07"/>
    <w:rsid w:val="00A173B7"/>
    <w:rsid w:val="00A27DF4"/>
    <w:rsid w:val="00A34112"/>
    <w:rsid w:val="00A37A91"/>
    <w:rsid w:val="00A37D12"/>
    <w:rsid w:val="00A4279D"/>
    <w:rsid w:val="00A45855"/>
    <w:rsid w:val="00A54E25"/>
    <w:rsid w:val="00A70D4D"/>
    <w:rsid w:val="00A74B2A"/>
    <w:rsid w:val="00A86A58"/>
    <w:rsid w:val="00A96F37"/>
    <w:rsid w:val="00AA29CC"/>
    <w:rsid w:val="00AA3F8D"/>
    <w:rsid w:val="00AB1BFB"/>
    <w:rsid w:val="00AB4003"/>
    <w:rsid w:val="00AB52F6"/>
    <w:rsid w:val="00AD0EDD"/>
    <w:rsid w:val="00AE1694"/>
    <w:rsid w:val="00AE2541"/>
    <w:rsid w:val="00AE462B"/>
    <w:rsid w:val="00AF66F2"/>
    <w:rsid w:val="00B02687"/>
    <w:rsid w:val="00B03E42"/>
    <w:rsid w:val="00B06A97"/>
    <w:rsid w:val="00B06D8D"/>
    <w:rsid w:val="00B075DE"/>
    <w:rsid w:val="00B1192E"/>
    <w:rsid w:val="00B267BB"/>
    <w:rsid w:val="00B36BDD"/>
    <w:rsid w:val="00B474D8"/>
    <w:rsid w:val="00B5229B"/>
    <w:rsid w:val="00B546D4"/>
    <w:rsid w:val="00B71B39"/>
    <w:rsid w:val="00B8513A"/>
    <w:rsid w:val="00B85CF6"/>
    <w:rsid w:val="00B9292C"/>
    <w:rsid w:val="00B966B6"/>
    <w:rsid w:val="00B972B3"/>
    <w:rsid w:val="00BC4835"/>
    <w:rsid w:val="00BD28C8"/>
    <w:rsid w:val="00BD38BA"/>
    <w:rsid w:val="00BD6BA5"/>
    <w:rsid w:val="00C03417"/>
    <w:rsid w:val="00C14EEF"/>
    <w:rsid w:val="00C30526"/>
    <w:rsid w:val="00C353C6"/>
    <w:rsid w:val="00C41111"/>
    <w:rsid w:val="00C83DC2"/>
    <w:rsid w:val="00CB0C40"/>
    <w:rsid w:val="00CB503D"/>
    <w:rsid w:val="00CC461B"/>
    <w:rsid w:val="00CC5431"/>
    <w:rsid w:val="00D02097"/>
    <w:rsid w:val="00D04385"/>
    <w:rsid w:val="00D11229"/>
    <w:rsid w:val="00D14BC8"/>
    <w:rsid w:val="00D20D50"/>
    <w:rsid w:val="00D36CA0"/>
    <w:rsid w:val="00D43F29"/>
    <w:rsid w:val="00D9001B"/>
    <w:rsid w:val="00D9361E"/>
    <w:rsid w:val="00DA7138"/>
    <w:rsid w:val="00DA7996"/>
    <w:rsid w:val="00DB1842"/>
    <w:rsid w:val="00DC0E8E"/>
    <w:rsid w:val="00DD6073"/>
    <w:rsid w:val="00DE1550"/>
    <w:rsid w:val="00DE1D44"/>
    <w:rsid w:val="00DE5D6A"/>
    <w:rsid w:val="00DE6665"/>
    <w:rsid w:val="00DF35C3"/>
    <w:rsid w:val="00E0524A"/>
    <w:rsid w:val="00E40DDE"/>
    <w:rsid w:val="00E51690"/>
    <w:rsid w:val="00E90DB1"/>
    <w:rsid w:val="00E92A23"/>
    <w:rsid w:val="00E92C78"/>
    <w:rsid w:val="00EA40CA"/>
    <w:rsid w:val="00EB2DFD"/>
    <w:rsid w:val="00EB4F46"/>
    <w:rsid w:val="00EB7C61"/>
    <w:rsid w:val="00EC1E33"/>
    <w:rsid w:val="00EE6D1C"/>
    <w:rsid w:val="00EF259E"/>
    <w:rsid w:val="00F10237"/>
    <w:rsid w:val="00F2005E"/>
    <w:rsid w:val="00F22765"/>
    <w:rsid w:val="00F23BCC"/>
    <w:rsid w:val="00F269E7"/>
    <w:rsid w:val="00F27E69"/>
    <w:rsid w:val="00F50851"/>
    <w:rsid w:val="00F7244B"/>
    <w:rsid w:val="00F750B0"/>
    <w:rsid w:val="00F77CE7"/>
    <w:rsid w:val="00F849B3"/>
    <w:rsid w:val="00F93EF5"/>
    <w:rsid w:val="00F942A2"/>
    <w:rsid w:val="00F961EC"/>
    <w:rsid w:val="00FA0300"/>
    <w:rsid w:val="00FB53E7"/>
    <w:rsid w:val="00FB66BC"/>
    <w:rsid w:val="00FC46BC"/>
    <w:rsid w:val="00FC6C0D"/>
    <w:rsid w:val="00FF59C8"/>
    <w:rsid w:val="043C6048"/>
    <w:rsid w:val="05E999B6"/>
    <w:rsid w:val="07F33817"/>
    <w:rsid w:val="0BC9F629"/>
    <w:rsid w:val="0C9F4A57"/>
    <w:rsid w:val="13318D2C"/>
    <w:rsid w:val="1E9C77F8"/>
    <w:rsid w:val="243A9FAE"/>
    <w:rsid w:val="2A6E7552"/>
    <w:rsid w:val="39EBCE47"/>
    <w:rsid w:val="4A606B66"/>
    <w:rsid w:val="5328F545"/>
    <w:rsid w:val="533256F7"/>
    <w:rsid w:val="5AF96E0C"/>
    <w:rsid w:val="5CEDD8AB"/>
    <w:rsid w:val="6C9976FA"/>
    <w:rsid w:val="712312E9"/>
    <w:rsid w:val="722DF1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0FFE"/>
  <w15:chartTrackingRefBased/>
  <w15:docId w15:val="{608A7658-5E68-48A6-8B96-3211BB5B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F750B0"/>
    <w:pPr>
      <w:spacing w:before="240" w:after="360" w:line="360" w:lineRule="auto"/>
    </w:pPr>
    <w:rPr>
      <w:kern w:val="0"/>
      <w:sz w:val="24"/>
      <w:szCs w:val="24"/>
      <w14:ligatures w14:val="none"/>
    </w:rPr>
  </w:style>
  <w:style w:type="paragraph" w:customStyle="1" w:styleId="Asunto">
    <w:name w:val="Asunto"/>
    <w:basedOn w:val="Normal"/>
    <w:qFormat/>
    <w:rsid w:val="00F750B0"/>
    <w:pPr>
      <w:spacing w:before="360" w:after="360" w:line="360" w:lineRule="auto"/>
      <w:contextualSpacing/>
    </w:pPr>
    <w:rPr>
      <w:kern w:val="0"/>
      <w:sz w:val="24"/>
      <w:szCs w:val="24"/>
      <w14:ligatures w14:val="none"/>
    </w:rPr>
  </w:style>
  <w:style w:type="paragraph" w:customStyle="1" w:styleId="Expediente">
    <w:name w:val="Expediente"/>
    <w:basedOn w:val="Asunto"/>
    <w:qFormat/>
    <w:rsid w:val="00F750B0"/>
    <w:pPr>
      <w:spacing w:before="0"/>
    </w:pPr>
  </w:style>
  <w:style w:type="character" w:customStyle="1" w:styleId="DestinarioCar">
    <w:name w:val="Destinario Car"/>
    <w:basedOn w:val="Fuentedeprrafopredeter"/>
    <w:link w:val="Destinario"/>
    <w:locked/>
    <w:rsid w:val="00F750B0"/>
  </w:style>
  <w:style w:type="paragraph" w:customStyle="1" w:styleId="Destinario">
    <w:name w:val="Destinario"/>
    <w:basedOn w:val="Normal"/>
    <w:link w:val="DestinarioCar"/>
    <w:qFormat/>
    <w:rsid w:val="00F750B0"/>
    <w:pPr>
      <w:spacing w:before="120" w:after="120" w:line="360" w:lineRule="auto"/>
      <w:contextualSpacing/>
    </w:pPr>
  </w:style>
  <w:style w:type="paragraph" w:customStyle="1" w:styleId="Cordialmente">
    <w:name w:val="Cordialmente"/>
    <w:basedOn w:val="Normal"/>
    <w:qFormat/>
    <w:rsid w:val="00F750B0"/>
    <w:pPr>
      <w:spacing w:before="120" w:after="480" w:line="360" w:lineRule="auto"/>
    </w:pPr>
    <w:rPr>
      <w:kern w:val="0"/>
      <w:sz w:val="24"/>
      <w:szCs w:val="24"/>
      <w14:ligatures w14:val="none"/>
    </w:rPr>
  </w:style>
  <w:style w:type="paragraph" w:customStyle="1" w:styleId="Director">
    <w:name w:val="Director"/>
    <w:basedOn w:val="Normal"/>
    <w:qFormat/>
    <w:rsid w:val="00F750B0"/>
    <w:pPr>
      <w:spacing w:before="120" w:after="360" w:line="360" w:lineRule="auto"/>
      <w:contextualSpacing/>
    </w:pPr>
    <w:rPr>
      <w:kern w:val="0"/>
      <w:sz w:val="24"/>
      <w:szCs w:val="24"/>
      <w14:ligatures w14:val="none"/>
    </w:rPr>
  </w:style>
  <w:style w:type="paragraph" w:styleId="Revisin">
    <w:name w:val="Revision"/>
    <w:hidden/>
    <w:uiPriority w:val="99"/>
    <w:semiHidden/>
    <w:rsid w:val="00C14EEF"/>
    <w:pPr>
      <w:spacing w:after="0" w:line="240" w:lineRule="auto"/>
    </w:pPr>
  </w:style>
  <w:style w:type="character" w:styleId="Hipervnculo">
    <w:name w:val="Hyperlink"/>
    <w:basedOn w:val="Fuentedeprrafopredeter"/>
    <w:uiPriority w:val="99"/>
    <w:unhideWhenUsed/>
    <w:rsid w:val="001035BD"/>
    <w:rPr>
      <w:color w:val="0563C1" w:themeColor="hyperlink"/>
      <w:u w:val="single"/>
    </w:rPr>
  </w:style>
  <w:style w:type="character" w:styleId="Mencinsinresolver">
    <w:name w:val="Unresolved Mention"/>
    <w:basedOn w:val="Fuentedeprrafopredeter"/>
    <w:uiPriority w:val="99"/>
    <w:semiHidden/>
    <w:unhideWhenUsed/>
    <w:rsid w:val="001035BD"/>
    <w:rPr>
      <w:color w:val="605E5C"/>
      <w:shd w:val="clear" w:color="auto" w:fill="E1DFDD"/>
    </w:rPr>
  </w:style>
  <w:style w:type="table" w:styleId="Tablaconcuadrcula">
    <w:name w:val="Table Grid"/>
    <w:basedOn w:val="Tablanormal"/>
    <w:uiPriority w:val="39"/>
    <w:rsid w:val="005F41B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466777">
      <w:bodyDiv w:val="1"/>
      <w:marLeft w:val="0"/>
      <w:marRight w:val="0"/>
      <w:marTop w:val="0"/>
      <w:marBottom w:val="0"/>
      <w:divBdr>
        <w:top w:val="none" w:sz="0" w:space="0" w:color="auto"/>
        <w:left w:val="none" w:sz="0" w:space="0" w:color="auto"/>
        <w:bottom w:val="none" w:sz="0" w:space="0" w:color="auto"/>
        <w:right w:val="none" w:sz="0" w:space="0" w:color="auto"/>
      </w:divBdr>
    </w:div>
    <w:div w:id="1947158213">
      <w:bodyDiv w:val="1"/>
      <w:marLeft w:val="0"/>
      <w:marRight w:val="0"/>
      <w:marTop w:val="0"/>
      <w:marBottom w:val="0"/>
      <w:divBdr>
        <w:top w:val="none" w:sz="0" w:space="0" w:color="auto"/>
        <w:left w:val="none" w:sz="0" w:space="0" w:color="auto"/>
        <w:bottom w:val="none" w:sz="0" w:space="0" w:color="auto"/>
        <w:right w:val="none" w:sz="0" w:space="0" w:color="auto"/>
      </w:divBdr>
    </w:div>
    <w:div w:id="214345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5C9467655B364DB1409EA5590C6EC3" ma:contentTypeVersion="18" ma:contentTypeDescription="Crear nuevo documento." ma:contentTypeScope="" ma:versionID="d812eaf17052106d4424accc82d82467">
  <xsd:schema xmlns:xsd="http://www.w3.org/2001/XMLSchema" xmlns:xs="http://www.w3.org/2001/XMLSchema" xmlns:p="http://schemas.microsoft.com/office/2006/metadata/properties" xmlns:ns2="ea559356-b7d8-492d-9298-14d0ebe6e63f" xmlns:ns3="70751286-a4e8-4d8a-ac9c-f8504c42fcfb" targetNamespace="http://schemas.microsoft.com/office/2006/metadata/properties" ma:root="true" ma:fieldsID="adf00c18ee2f72a72fc88c190fca1e6a" ns2:_="" ns3:_="">
    <xsd:import namespace="ea559356-b7d8-492d-9298-14d0ebe6e63f"/>
    <xsd:import namespace="70751286-a4e8-4d8a-ac9c-f8504c42f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59356-b7d8-492d-9298-14d0ebe6e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51286-a4e8-4d8a-ac9c-f8504c42fcf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dcbfe68-259a-44b1-ad9e-2c1f59d7cbd9}" ma:internalName="TaxCatchAll" ma:showField="CatchAllData" ma:web="70751286-a4e8-4d8a-ac9c-f8504c42f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751286-a4e8-4d8a-ac9c-f8504c42fcfb" xsi:nil="true"/>
    <lcf76f155ced4ddcb4097134ff3c332f xmlns="ea559356-b7d8-492d-9298-14d0ebe6e63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FC79E-46BE-4CF3-964D-0A94D0D65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59356-b7d8-492d-9298-14d0ebe6e63f"/>
    <ds:schemaRef ds:uri="70751286-a4e8-4d8a-ac9c-f8504c42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D7ACB-70B8-4197-BC6F-F331A8716387}">
  <ds:schemaRefs>
    <ds:schemaRef ds:uri="http://schemas.microsoft.com/office/2006/metadata/properties"/>
    <ds:schemaRef ds:uri="http://schemas.microsoft.com/office/infopath/2007/PartnerControls"/>
    <ds:schemaRef ds:uri="70751286-a4e8-4d8a-ac9c-f8504c42fcfb"/>
    <ds:schemaRef ds:uri="ea559356-b7d8-492d-9298-14d0ebe6e63f"/>
  </ds:schemaRefs>
</ds:datastoreItem>
</file>

<file path=customXml/itemProps3.xml><?xml version="1.0" encoding="utf-8"?>
<ds:datastoreItem xmlns:ds="http://schemas.openxmlformats.org/officeDocument/2006/customXml" ds:itemID="{A9047B87-0E88-43A0-A272-0D0085BA29C0}">
  <ds:schemaRefs>
    <ds:schemaRef ds:uri="http://schemas.openxmlformats.org/officeDocument/2006/bibliography"/>
  </ds:schemaRefs>
</ds:datastoreItem>
</file>

<file path=customXml/itemProps4.xml><?xml version="1.0" encoding="utf-8"?>
<ds:datastoreItem xmlns:ds="http://schemas.openxmlformats.org/officeDocument/2006/customXml" ds:itemID="{124CF896-8491-4F19-AC84-5209D9FAC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1249</Words>
  <Characters>6872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Wilson Sanchez Sanchez</cp:lastModifiedBy>
  <cp:revision>3</cp:revision>
  <cp:lastPrinted>2024-09-27T16:25:00Z</cp:lastPrinted>
  <dcterms:created xsi:type="dcterms:W3CDTF">2024-09-26T18:52:00Z</dcterms:created>
  <dcterms:modified xsi:type="dcterms:W3CDTF">2024-09-27T16:26:00Z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0x010100B75C9467655B364DB1409EA5590C6EC3</vt:lpwstr>
  </property>
</Properties>
</file>