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4010" w14:textId="39C5DEFC" w:rsidR="00567ED3" w:rsidRPr="00567ED3" w:rsidRDefault="00567ED3" w:rsidP="00950325">
      <w:pPr>
        <w:rPr>
          <w:rFonts w:ascii="Helvetica" w:hAnsi="Helvetica" w:cs="Helvetica"/>
          <w:lang w:val="es-MX"/>
        </w:rPr>
      </w:pPr>
      <w:r w:rsidRPr="00567ED3">
        <w:rPr>
          <w:rFonts w:ascii="Helvetica" w:hAnsi="Helvetica" w:cs="Helvetica"/>
          <w:lang w:val="es-MX"/>
        </w:rPr>
        <w:t xml:space="preserve">Bogotá, D. C.,  </w:t>
      </w:r>
      <w:r w:rsidR="00950325">
        <w:rPr>
          <w:rFonts w:ascii="Helvetica" w:hAnsi="Helvetica" w:cs="Helvetica"/>
          <w:lang w:val="es-MX"/>
        </w:rPr>
        <w:t>27 de septiembre de 2024</w:t>
      </w:r>
    </w:p>
    <w:p w14:paraId="33278400" w14:textId="77777777" w:rsidR="00567ED3" w:rsidRPr="00567ED3" w:rsidRDefault="00567ED3" w:rsidP="00567ED3">
      <w:pPr>
        <w:rPr>
          <w:rFonts w:ascii="Helvetica" w:hAnsi="Helvetica" w:cs="Helvetica"/>
          <w:lang w:val="es-MX"/>
        </w:rPr>
      </w:pPr>
    </w:p>
    <w:p w14:paraId="0DFFB3D8" w14:textId="3CCABBFF" w:rsidR="00567ED3" w:rsidRPr="00567ED3" w:rsidRDefault="00567ED3" w:rsidP="00567ED3">
      <w:pPr>
        <w:jc w:val="center"/>
        <w:rPr>
          <w:rFonts w:ascii="Helvetica" w:hAnsi="Helvetica" w:cs="Helvetica"/>
          <w:b/>
          <w:bCs/>
          <w:lang w:val="es-MX"/>
        </w:rPr>
      </w:pPr>
      <w:r w:rsidRPr="00567ED3">
        <w:rPr>
          <w:rFonts w:ascii="Helvetica" w:hAnsi="Helvetica" w:cs="Helvetica"/>
          <w:b/>
          <w:bCs/>
          <w:lang w:val="es-MX"/>
        </w:rPr>
        <w:t xml:space="preserve">AUTO </w:t>
      </w:r>
      <w:r w:rsidRPr="00567ED3">
        <w:rPr>
          <w:rFonts w:ascii="Helvetica" w:hAnsi="Helvetica" w:cs="Helvetica"/>
          <w:b/>
          <w:bCs/>
          <w:lang w:val="es-MX"/>
        </w:rPr>
        <w:fldChar w:fldCharType="begin"/>
      </w:r>
      <w:r w:rsidRPr="00567ED3">
        <w:rPr>
          <w:rFonts w:ascii="Helvetica" w:hAnsi="Helvetica" w:cs="Helvetica"/>
          <w:b/>
          <w:bCs/>
          <w:lang w:val="es-MX"/>
        </w:rPr>
        <w:instrText xml:space="preserve"> MERGEFIELD  Fecha  \* MERGEFORMAT </w:instrText>
      </w:r>
      <w:r w:rsidRPr="00567ED3">
        <w:rPr>
          <w:rFonts w:ascii="Helvetica" w:hAnsi="Helvetica" w:cs="Helvetica"/>
          <w:b/>
          <w:bCs/>
          <w:lang w:val="es-MX"/>
        </w:rPr>
        <w:fldChar w:fldCharType="separate"/>
      </w:r>
      <w:r w:rsidR="00950325" w:rsidRPr="00950325">
        <w:t xml:space="preserve"> </w:t>
      </w:r>
      <w:r w:rsidR="00950325" w:rsidRPr="00950325">
        <w:rPr>
          <w:rFonts w:ascii="Helvetica" w:hAnsi="Helvetica" w:cs="Helvetica"/>
          <w:b/>
          <w:bCs/>
          <w:noProof/>
          <w:lang w:val="es-MX"/>
        </w:rPr>
        <w:t>0000355</w:t>
      </w:r>
      <w:r w:rsidRPr="00567ED3">
        <w:rPr>
          <w:rFonts w:ascii="Helvetica" w:hAnsi="Helvetica" w:cs="Helvetica"/>
          <w:b/>
          <w:bCs/>
          <w:noProof/>
          <w:lang w:val="es-MX"/>
        </w:rPr>
        <w:t xml:space="preserve"> de 2024</w:t>
      </w:r>
      <w:r w:rsidRPr="00567ED3">
        <w:rPr>
          <w:rFonts w:ascii="Helvetica" w:hAnsi="Helvetica" w:cs="Helvetica"/>
          <w:b/>
          <w:bCs/>
          <w:lang w:val="es-MX"/>
        </w:rPr>
        <w:fldChar w:fldCharType="end"/>
      </w:r>
    </w:p>
    <w:p w14:paraId="5F35FDAD" w14:textId="77777777" w:rsidR="002953DC" w:rsidRPr="00567ED3" w:rsidRDefault="002953DC" w:rsidP="006E4FD7">
      <w:pPr>
        <w:jc w:val="center"/>
        <w:rPr>
          <w:rFonts w:ascii="Helvetica" w:hAnsi="Helvetica" w:cs="Helvetica"/>
          <w:b/>
          <w:bCs/>
          <w:kern w:val="0"/>
          <w:sz w:val="24"/>
          <w:szCs w:val="24"/>
          <w:lang w:val="es-ES"/>
          <w14:ligatures w14:val="none"/>
        </w:rPr>
      </w:pPr>
      <w:r w:rsidRPr="00567ED3">
        <w:rPr>
          <w:rFonts w:ascii="Helvetica" w:hAnsi="Helvetica" w:cs="Helvetica"/>
          <w:b/>
          <w:bCs/>
          <w:kern w:val="0"/>
          <w:sz w:val="24"/>
          <w:szCs w:val="24"/>
          <w:lang w:val="es-ES"/>
          <w14:ligatures w14:val="none"/>
        </w:rPr>
        <w:t>LA COMISIÓN DE REGULACIÓN DE ENERGÍA Y GAS</w:t>
      </w:r>
    </w:p>
    <w:p w14:paraId="3551BF0C" w14:textId="77777777" w:rsidR="002953DC" w:rsidRPr="00567ED3" w:rsidRDefault="002953DC" w:rsidP="007C70CF">
      <w:pPr>
        <w:jc w:val="center"/>
        <w:rPr>
          <w:rFonts w:ascii="Helvetica" w:hAnsi="Helvetica" w:cs="Helvetica"/>
          <w:b/>
          <w:bCs/>
          <w:kern w:val="0"/>
          <w:sz w:val="24"/>
          <w:szCs w:val="24"/>
          <w:lang w:val="es-ES"/>
          <w14:ligatures w14:val="none"/>
        </w:rPr>
      </w:pPr>
      <w:r w:rsidRPr="00567ED3">
        <w:rPr>
          <w:rFonts w:ascii="Helvetica" w:hAnsi="Helvetica" w:cs="Helvetica"/>
          <w:b/>
          <w:bCs/>
          <w:kern w:val="0"/>
          <w:sz w:val="24"/>
          <w:szCs w:val="24"/>
          <w:lang w:val="es-ES"/>
          <w14:ligatures w14:val="none"/>
        </w:rPr>
        <w:t>DIRECCIÓN EJECUTIVA</w:t>
      </w:r>
    </w:p>
    <w:p w14:paraId="1C1B0A1A" w14:textId="77777777" w:rsidR="002953DC" w:rsidRPr="00567ED3" w:rsidRDefault="002953DC" w:rsidP="007C70CF">
      <w:pPr>
        <w:jc w:val="center"/>
        <w:rPr>
          <w:rFonts w:ascii="Helvetica" w:hAnsi="Helvetica" w:cs="Helvetica"/>
          <w:b/>
          <w:bCs/>
          <w:kern w:val="0"/>
          <w:sz w:val="24"/>
          <w:szCs w:val="24"/>
          <w:lang w:val="es-ES"/>
          <w14:ligatures w14:val="none"/>
        </w:rPr>
      </w:pPr>
    </w:p>
    <w:p w14:paraId="322416F0" w14:textId="13C25A6B" w:rsidR="00843D5F" w:rsidRDefault="002953DC" w:rsidP="003E77FD">
      <w:pPr>
        <w:ind w:left="1410" w:hanging="1410"/>
        <w:jc w:val="both"/>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Asunto:</w:t>
      </w:r>
      <w:r w:rsidRPr="00567ED3">
        <w:rPr>
          <w:rFonts w:ascii="Helvetica" w:hAnsi="Helvetica" w:cs="Helvetica"/>
          <w:b/>
          <w:bCs/>
          <w:kern w:val="0"/>
          <w:sz w:val="24"/>
          <w:szCs w:val="24"/>
          <w:lang w:val="es-ES"/>
          <w14:ligatures w14:val="none"/>
        </w:rPr>
        <w:tab/>
      </w:r>
      <w:r w:rsidRPr="00567ED3">
        <w:rPr>
          <w:rFonts w:ascii="Helvetica" w:hAnsi="Helvetica" w:cs="Helvetica"/>
          <w:bCs/>
          <w:kern w:val="0"/>
          <w:sz w:val="24"/>
          <w:szCs w:val="24"/>
          <w:lang w:val="es-ES"/>
          <w14:ligatures w14:val="none"/>
        </w:rPr>
        <w:t xml:space="preserve">Actuación administrativa iniciada para </w:t>
      </w:r>
      <w:r w:rsidR="007165F2">
        <w:rPr>
          <w:rFonts w:ascii="Helvetica" w:hAnsi="Helvetica" w:cs="Helvetica"/>
          <w:bCs/>
          <w:kern w:val="0"/>
          <w:sz w:val="24"/>
          <w:szCs w:val="24"/>
          <w:lang w:val="es-ES"/>
          <w14:ligatures w14:val="none"/>
        </w:rPr>
        <w:t>ajustar</w:t>
      </w:r>
      <w:r w:rsidR="00DA7D6E">
        <w:rPr>
          <w:rFonts w:ascii="Helvetica" w:hAnsi="Helvetica" w:cs="Helvetica"/>
          <w:bCs/>
          <w:kern w:val="0"/>
          <w:sz w:val="24"/>
          <w:szCs w:val="24"/>
          <w:lang w:val="es-ES"/>
          <w14:ligatures w14:val="none"/>
        </w:rPr>
        <w:t xml:space="preserve"> </w:t>
      </w:r>
      <w:r w:rsidR="007165F2">
        <w:rPr>
          <w:rFonts w:ascii="Helvetica" w:hAnsi="Helvetica" w:cs="Helvetica"/>
          <w:bCs/>
          <w:kern w:val="0"/>
          <w:sz w:val="24"/>
          <w:szCs w:val="24"/>
          <w:lang w:val="es-ES"/>
          <w14:ligatures w14:val="none"/>
        </w:rPr>
        <w:t>y/</w:t>
      </w:r>
      <w:r w:rsidR="00DA7D6E">
        <w:rPr>
          <w:rFonts w:ascii="Helvetica" w:hAnsi="Helvetica" w:cs="Helvetica"/>
          <w:bCs/>
          <w:kern w:val="0"/>
          <w:sz w:val="24"/>
          <w:szCs w:val="24"/>
          <w:lang w:val="es-ES"/>
          <w14:ligatures w14:val="none"/>
        </w:rPr>
        <w:t xml:space="preserve">o </w:t>
      </w:r>
      <w:r w:rsidR="00843D5F">
        <w:rPr>
          <w:rFonts w:ascii="Helvetica" w:hAnsi="Helvetica" w:cs="Helvetica"/>
          <w:bCs/>
          <w:kern w:val="0"/>
          <w:sz w:val="24"/>
          <w:szCs w:val="24"/>
          <w:lang w:val="es-ES"/>
          <w14:ligatures w14:val="none"/>
        </w:rPr>
        <w:t>modifica</w:t>
      </w:r>
      <w:r w:rsidR="00DA7D6E">
        <w:rPr>
          <w:rFonts w:ascii="Helvetica" w:hAnsi="Helvetica" w:cs="Helvetica"/>
          <w:bCs/>
          <w:kern w:val="0"/>
          <w:sz w:val="24"/>
          <w:szCs w:val="24"/>
          <w:lang w:val="es-ES"/>
          <w14:ligatures w14:val="none"/>
        </w:rPr>
        <w:t>r</w:t>
      </w:r>
      <w:r w:rsidR="00843D5F">
        <w:rPr>
          <w:rFonts w:ascii="Helvetica" w:hAnsi="Helvetica" w:cs="Helvetica"/>
          <w:bCs/>
          <w:kern w:val="0"/>
          <w:sz w:val="24"/>
          <w:szCs w:val="24"/>
          <w:lang w:val="es-ES"/>
          <w14:ligatures w14:val="none"/>
        </w:rPr>
        <w:t xml:space="preserve"> la </w:t>
      </w:r>
      <w:r w:rsidR="00DA7D6E">
        <w:rPr>
          <w:rFonts w:ascii="Helvetica" w:hAnsi="Helvetica" w:cs="Helvetica"/>
          <w:bCs/>
          <w:kern w:val="0"/>
          <w:sz w:val="24"/>
          <w:szCs w:val="24"/>
          <w:lang w:val="es-ES"/>
          <w14:ligatures w14:val="none"/>
        </w:rPr>
        <w:t>R</w:t>
      </w:r>
      <w:r w:rsidR="00843D5F">
        <w:rPr>
          <w:rFonts w:ascii="Helvetica" w:hAnsi="Helvetica" w:cs="Helvetica"/>
          <w:bCs/>
          <w:kern w:val="0"/>
          <w:sz w:val="24"/>
          <w:szCs w:val="24"/>
          <w:lang w:val="es-ES"/>
          <w14:ligatures w14:val="none"/>
        </w:rPr>
        <w:t>esolución</w:t>
      </w:r>
      <w:r w:rsidR="00DA7D6E">
        <w:rPr>
          <w:rFonts w:ascii="Helvetica" w:hAnsi="Helvetica" w:cs="Helvetica"/>
          <w:bCs/>
          <w:kern w:val="0"/>
          <w:sz w:val="24"/>
          <w:szCs w:val="24"/>
          <w:lang w:val="es-ES"/>
          <w14:ligatures w14:val="none"/>
        </w:rPr>
        <w:t xml:space="preserve"> CREG 010</w:t>
      </w:r>
      <w:r w:rsidR="00843D5F">
        <w:rPr>
          <w:rFonts w:ascii="Helvetica" w:hAnsi="Helvetica" w:cs="Helvetica"/>
          <w:bCs/>
          <w:kern w:val="0"/>
          <w:sz w:val="24"/>
          <w:szCs w:val="24"/>
          <w:lang w:val="es-ES"/>
          <w14:ligatures w14:val="none"/>
        </w:rPr>
        <w:t xml:space="preserve"> de 202</w:t>
      </w:r>
      <w:r w:rsidR="00DA7D6E">
        <w:rPr>
          <w:rFonts w:ascii="Helvetica" w:hAnsi="Helvetica" w:cs="Helvetica"/>
          <w:bCs/>
          <w:kern w:val="0"/>
          <w:sz w:val="24"/>
          <w:szCs w:val="24"/>
          <w:lang w:val="es-ES"/>
          <w14:ligatures w14:val="none"/>
        </w:rPr>
        <w:t>0</w:t>
      </w:r>
      <w:r w:rsidR="006D3362">
        <w:rPr>
          <w:rFonts w:ascii="Helvetica" w:hAnsi="Helvetica" w:cs="Helvetica"/>
          <w:bCs/>
          <w:kern w:val="0"/>
          <w:sz w:val="24"/>
          <w:szCs w:val="24"/>
          <w:lang w:val="es-ES"/>
          <w14:ligatures w14:val="none"/>
        </w:rPr>
        <w:t xml:space="preserve"> </w:t>
      </w:r>
      <w:r w:rsidR="003E77FD">
        <w:rPr>
          <w:rFonts w:ascii="Helvetica" w:hAnsi="Helvetica" w:cs="Helvetica"/>
          <w:bCs/>
          <w:kern w:val="0"/>
          <w:sz w:val="24"/>
          <w:szCs w:val="24"/>
          <w:lang w:val="es-ES"/>
          <w14:ligatures w14:val="none"/>
        </w:rPr>
        <w:t xml:space="preserve">de acuerdo con lo ordenado por el Tribunal Administrativo del Atlántico en el </w:t>
      </w:r>
      <w:r w:rsidR="003E77FD" w:rsidRPr="003E77FD">
        <w:rPr>
          <w:rFonts w:ascii="Helvetica" w:hAnsi="Helvetica" w:cs="Helvetica"/>
          <w:bCs/>
          <w:kern w:val="0"/>
          <w:sz w:val="24"/>
          <w:szCs w:val="24"/>
          <w14:ligatures w14:val="none"/>
        </w:rPr>
        <w:t xml:space="preserve">Auto </w:t>
      </w:r>
      <w:r w:rsidR="007165F2">
        <w:rPr>
          <w:rFonts w:ascii="Helvetica" w:hAnsi="Helvetica" w:cs="Helvetica"/>
          <w:bCs/>
          <w:kern w:val="0"/>
          <w:sz w:val="24"/>
          <w:szCs w:val="24"/>
          <w14:ligatures w14:val="none"/>
        </w:rPr>
        <w:t xml:space="preserve">dictado </w:t>
      </w:r>
      <w:r w:rsidR="003E77FD" w:rsidRPr="003E77FD">
        <w:rPr>
          <w:rFonts w:ascii="Helvetica" w:hAnsi="Helvetica" w:cs="Helvetica"/>
          <w:bCs/>
          <w:kern w:val="0"/>
          <w:sz w:val="24"/>
          <w:szCs w:val="24"/>
          <w14:ligatures w14:val="none"/>
        </w:rPr>
        <w:t xml:space="preserve">dentro del medio de control </w:t>
      </w:r>
      <w:r w:rsidR="007165F2">
        <w:rPr>
          <w:rFonts w:ascii="Helvetica" w:hAnsi="Helvetica" w:cs="Helvetica"/>
          <w:bCs/>
          <w:kern w:val="0"/>
          <w:sz w:val="24"/>
          <w:szCs w:val="24"/>
          <w14:ligatures w14:val="none"/>
        </w:rPr>
        <w:t>A</w:t>
      </w:r>
      <w:r w:rsidR="003E77FD" w:rsidRPr="003E77FD">
        <w:rPr>
          <w:rFonts w:ascii="Helvetica" w:hAnsi="Helvetica" w:cs="Helvetica"/>
          <w:bCs/>
          <w:kern w:val="0"/>
          <w:sz w:val="24"/>
          <w:szCs w:val="24"/>
          <w14:ligatures w14:val="none"/>
        </w:rPr>
        <w:t xml:space="preserve">cción </w:t>
      </w:r>
      <w:r w:rsidR="007165F2">
        <w:rPr>
          <w:rFonts w:ascii="Helvetica" w:hAnsi="Helvetica" w:cs="Helvetica"/>
          <w:bCs/>
          <w:kern w:val="0"/>
          <w:sz w:val="24"/>
          <w:szCs w:val="24"/>
          <w14:ligatures w14:val="none"/>
        </w:rPr>
        <w:t>P</w:t>
      </w:r>
      <w:r w:rsidR="003E77FD" w:rsidRPr="003E77FD">
        <w:rPr>
          <w:rFonts w:ascii="Helvetica" w:hAnsi="Helvetica" w:cs="Helvetica"/>
          <w:bCs/>
          <w:kern w:val="0"/>
          <w:sz w:val="24"/>
          <w:szCs w:val="24"/>
          <w14:ligatures w14:val="none"/>
        </w:rPr>
        <w:t xml:space="preserve">opular radicado </w:t>
      </w:r>
      <w:r w:rsidR="008709AD" w:rsidRPr="002C58C8">
        <w:rPr>
          <w:rFonts w:ascii="Helvetica" w:hAnsi="Helvetica" w:cs="Helvetica"/>
          <w:kern w:val="0"/>
          <w:sz w:val="24"/>
          <w:szCs w:val="24"/>
          <w14:ligatures w14:val="none"/>
        </w:rPr>
        <w:t>08-001-23-3</w:t>
      </w:r>
      <w:r w:rsidR="008709AD">
        <w:rPr>
          <w:rFonts w:ascii="Helvetica" w:hAnsi="Helvetica" w:cs="Helvetica"/>
          <w:kern w:val="0"/>
          <w:sz w:val="24"/>
          <w:szCs w:val="24"/>
          <w14:ligatures w14:val="none"/>
        </w:rPr>
        <w:t>3</w:t>
      </w:r>
      <w:r w:rsidR="008709AD" w:rsidRPr="002C58C8">
        <w:rPr>
          <w:rFonts w:ascii="Helvetica" w:hAnsi="Helvetica" w:cs="Helvetica"/>
          <w:kern w:val="0"/>
          <w:sz w:val="24"/>
          <w:szCs w:val="24"/>
          <w14:ligatures w14:val="none"/>
        </w:rPr>
        <w:t>-000-2022-00397-00</w:t>
      </w:r>
      <w:r w:rsidR="008709AD">
        <w:rPr>
          <w:rFonts w:ascii="Helvetica" w:hAnsi="Helvetica" w:cs="Helvetica"/>
          <w:kern w:val="0"/>
          <w:sz w:val="24"/>
          <w:szCs w:val="24"/>
          <w14:ligatures w14:val="none"/>
        </w:rPr>
        <w:t>-ACUMULADO</w:t>
      </w:r>
      <w:r w:rsidR="008709AD">
        <w:rPr>
          <w:rFonts w:ascii="Helvetica" w:hAnsi="Helvetica" w:cs="Helvetica"/>
          <w:bCs/>
          <w:kern w:val="0"/>
          <w:sz w:val="24"/>
          <w:szCs w:val="24"/>
          <w:lang w:val="es-ES"/>
          <w14:ligatures w14:val="none"/>
        </w:rPr>
        <w:t>.</w:t>
      </w:r>
    </w:p>
    <w:p w14:paraId="22810408" w14:textId="77777777" w:rsidR="002953DC" w:rsidRPr="00567ED3" w:rsidRDefault="002953DC" w:rsidP="002C7D54">
      <w:pPr>
        <w:jc w:val="center"/>
        <w:rPr>
          <w:rFonts w:ascii="Helvetica" w:hAnsi="Helvetica" w:cs="Helvetica"/>
          <w:b/>
          <w:bCs/>
          <w:kern w:val="0"/>
          <w:sz w:val="24"/>
          <w:szCs w:val="24"/>
          <w:lang w:val="es-ES"/>
          <w14:ligatures w14:val="none"/>
        </w:rPr>
      </w:pPr>
      <w:r w:rsidRPr="00567ED3">
        <w:rPr>
          <w:rFonts w:ascii="Helvetica" w:hAnsi="Helvetica" w:cs="Helvetica"/>
          <w:b/>
          <w:bCs/>
          <w:kern w:val="0"/>
          <w:sz w:val="24"/>
          <w:szCs w:val="24"/>
          <w:lang w:val="es-ES"/>
          <w14:ligatures w14:val="none"/>
        </w:rPr>
        <w:t>SE CONSIDERA QUE:</w:t>
      </w:r>
    </w:p>
    <w:p w14:paraId="4A846EC3" w14:textId="59B88C89"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Cs/>
          <w:kern w:val="0"/>
          <w:sz w:val="24"/>
          <w:szCs w:val="24"/>
          <w:lang w:val="es-ES"/>
          <w14:ligatures w14:val="none"/>
        </w:rPr>
        <w:t>De acuerdo con lo previsto en el literal d) del artículo 23, y el artículo 41, ambos de la Ley 143 de 1994, es función de la Comisión de Regulación de Energía y Gas fijar las tarifas por el acceso y uso de las redes eléctricas.</w:t>
      </w:r>
    </w:p>
    <w:p w14:paraId="03337665" w14:textId="6933FBA4" w:rsidR="00373817" w:rsidRPr="00567ED3" w:rsidRDefault="002B55C3" w:rsidP="002C7D54">
      <w:pPr>
        <w:jc w:val="both"/>
        <w:rPr>
          <w:rFonts w:ascii="Helvetica" w:hAnsi="Helvetica" w:cs="Helvetica"/>
          <w:bCs/>
          <w:kern w:val="0"/>
          <w:sz w:val="24"/>
          <w:szCs w:val="24"/>
          <w:lang w:val="es-ES"/>
          <w14:ligatures w14:val="none"/>
        </w:rPr>
      </w:pPr>
      <w:r w:rsidRPr="002B55C3">
        <w:rPr>
          <w:rFonts w:ascii="Helvetica" w:hAnsi="Helvetica" w:cs="Helvetica"/>
          <w:bCs/>
          <w:kern w:val="0"/>
          <w:sz w:val="24"/>
          <w:szCs w:val="24"/>
          <w:lang w:val="es-ES"/>
          <w14:ligatures w14:val="none"/>
        </w:rPr>
        <w:t>En el Sistema interconectado nacional, el Costo Unitario de Prestación del Servicio, (CU), es un costo económico eficiente que resulta de agregar los costos de las actividades de Generación, Transmisión, Distribución y Comercialización, definido por la Resolución CREG 119 de 2007.</w:t>
      </w:r>
    </w:p>
    <w:p w14:paraId="559A1019" w14:textId="20FB0780" w:rsidR="002953DC"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Cs/>
          <w:kern w:val="0"/>
          <w:sz w:val="24"/>
          <w:szCs w:val="24"/>
          <w:lang w:val="es-ES"/>
          <w14:ligatures w14:val="none"/>
        </w:rPr>
        <w:t>Mediante la Resolución CREG 015 de 2018, modificada por las Resoluciones CREG 085 de 2018, 036 y 199 de 2019, 167 y 195 de 2020, 222 de 2021, 101 009, 101 012, 101 022, 101 027 de 2022, 101 032 de 2022 y 101 019 de 2023, la Comisión estableció la metodología para la remuneración de la actividad de distribución de energía eléctrica en el Sistema Interconectado Nacional.</w:t>
      </w:r>
    </w:p>
    <w:p w14:paraId="78190EB4" w14:textId="77777777" w:rsidR="00206E70" w:rsidRPr="00206E70" w:rsidRDefault="00206E70" w:rsidP="00206E70">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El Plan Nacional de Desarrollo, Ley 1955 de 2019, en su artículo 318, autorizó al Gobierno Nacional para establecer un régimen transitorio especial en materia tarifaria para las actividades de distribución y comercialización de energía eléctrica en el mercado que atendía la Electrificadora del Caribe S. A. E.S.P. en ese momento.</w:t>
      </w:r>
    </w:p>
    <w:p w14:paraId="745610CA" w14:textId="77777777" w:rsidR="00206E70" w:rsidRPr="00206E70" w:rsidRDefault="00206E70" w:rsidP="00206E70">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Con base en esto, mediante el Decreto 1645 de 2019, expedido por el Gobierno Nacional, se reglamentó el mencionado artículo 318 de la Ley 1955 de 2019 y se delegó en la Comisión de Regulación de Energía y Gas la función de establecer el régimen transitorio especial en materia tarifaria para asegurar la sostenibilidad de la prestación eficiente del servicio público domiciliario de energía eléctrica en la región Caribe, conforme a los lineamientos allí dispuestos.</w:t>
      </w:r>
    </w:p>
    <w:p w14:paraId="24CF09E6" w14:textId="4484D7EF" w:rsidR="00206E70" w:rsidRPr="00206E70" w:rsidRDefault="00206E70" w:rsidP="00206E70">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lastRenderedPageBreak/>
        <w:t xml:space="preserve">En </w:t>
      </w:r>
      <w:r w:rsidR="007A3715">
        <w:rPr>
          <w:rFonts w:ascii="Helvetica" w:hAnsi="Helvetica" w:cs="Helvetica"/>
          <w:bCs/>
          <w:kern w:val="0"/>
          <w:sz w:val="24"/>
          <w:szCs w:val="24"/>
          <w:lang w:val="es-ES"/>
          <w14:ligatures w14:val="none"/>
        </w:rPr>
        <w:t xml:space="preserve">el </w:t>
      </w:r>
      <w:r w:rsidRPr="00206E70">
        <w:rPr>
          <w:rFonts w:ascii="Helvetica" w:hAnsi="Helvetica" w:cs="Helvetica"/>
          <w:bCs/>
          <w:kern w:val="0"/>
          <w:sz w:val="24"/>
          <w:szCs w:val="24"/>
          <w:lang w:val="es-ES"/>
          <w14:ligatures w14:val="none"/>
        </w:rPr>
        <w:t>decret</w:t>
      </w:r>
      <w:r w:rsidR="00C1262C">
        <w:rPr>
          <w:rFonts w:ascii="Helvetica" w:hAnsi="Helvetica" w:cs="Helvetica"/>
          <w:bCs/>
          <w:kern w:val="0"/>
          <w:sz w:val="24"/>
          <w:szCs w:val="24"/>
          <w:lang w:val="es-ES"/>
          <w14:ligatures w14:val="none"/>
        </w:rPr>
        <w:t>o</w:t>
      </w:r>
      <w:r w:rsidR="007A3715">
        <w:rPr>
          <w:rFonts w:ascii="Helvetica" w:hAnsi="Helvetica" w:cs="Helvetica"/>
          <w:bCs/>
          <w:kern w:val="0"/>
          <w:sz w:val="24"/>
          <w:szCs w:val="24"/>
          <w:lang w:val="es-ES"/>
          <w14:ligatures w14:val="none"/>
        </w:rPr>
        <w:t xml:space="preserve"> citado</w:t>
      </w:r>
      <w:r w:rsidR="004C1D7C">
        <w:rPr>
          <w:rFonts w:ascii="Helvetica" w:hAnsi="Helvetica" w:cs="Helvetica"/>
          <w:bCs/>
          <w:kern w:val="0"/>
          <w:sz w:val="24"/>
          <w:szCs w:val="24"/>
          <w:lang w:val="es-ES"/>
          <w14:ligatures w14:val="none"/>
        </w:rPr>
        <w:t>,</w:t>
      </w:r>
      <w:r w:rsidRPr="00206E70">
        <w:rPr>
          <w:rFonts w:ascii="Helvetica" w:hAnsi="Helvetica" w:cs="Helvetica"/>
          <w:bCs/>
          <w:kern w:val="0"/>
          <w:sz w:val="24"/>
          <w:szCs w:val="24"/>
          <w:lang w:val="es-ES"/>
          <w14:ligatures w14:val="none"/>
        </w:rPr>
        <w:t xml:space="preserve"> se estableció un procedimiento especial para la adopción del régimen transitorio especial, estableciendo términos de consulta, expedición de la resolución definitiva y vigencia de las resoluciones particulares.</w:t>
      </w:r>
    </w:p>
    <w:p w14:paraId="35BB816A" w14:textId="77777777" w:rsidR="00206E70" w:rsidRPr="00206E70" w:rsidRDefault="00206E70" w:rsidP="00206E70">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Por su parte, el Ministerio de Minas y Energía, mediante comunicación 2019090413 del 20 de diciembre de 2019 expresó que la facultad delegada a la CREG (...) puede reconocer o incluir las particularidades que se deriven y/o que resulten procedentes para asegurar la sostenibilidad de la prestación eficiente del servicio público domiciliario de energía eléctrica, en concordancia con artículo 18 de la Ley 1955 de 2019.</w:t>
      </w:r>
    </w:p>
    <w:p w14:paraId="75609692" w14:textId="77777777" w:rsidR="00206E70" w:rsidRPr="00206E70" w:rsidRDefault="00206E70" w:rsidP="00206E70">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En cumplimiento de lo anterior, la CREG expidió la Resolución CREG 109 de 2019 publicando un proyecto de resolución a consulta.</w:t>
      </w:r>
    </w:p>
    <w:p w14:paraId="157D61CB" w14:textId="73AA6ADB" w:rsidR="00206E70" w:rsidRPr="00206E70" w:rsidRDefault="00206E70" w:rsidP="00206E70">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 xml:space="preserve">Una vez revisados y analizados los comentarios recibidos, se elaboró la resolución definitiva contenida en la Resolución CREG 010 de 2020, con consideraciones adicionales a las establecidas en la Resolución CREG 015 de 2018 aplicables exclusivamente al mercado </w:t>
      </w:r>
      <w:r w:rsidR="007165F2">
        <w:rPr>
          <w:rFonts w:ascii="Helvetica" w:hAnsi="Helvetica" w:cs="Helvetica"/>
          <w:bCs/>
          <w:kern w:val="0"/>
          <w:sz w:val="24"/>
          <w:szCs w:val="24"/>
          <w:lang w:val="es-ES"/>
          <w14:ligatures w14:val="none"/>
        </w:rPr>
        <w:t xml:space="preserve">de la Región </w:t>
      </w:r>
      <w:r w:rsidRPr="00206E70">
        <w:rPr>
          <w:rFonts w:ascii="Helvetica" w:hAnsi="Helvetica" w:cs="Helvetica"/>
          <w:bCs/>
          <w:kern w:val="0"/>
          <w:sz w:val="24"/>
          <w:szCs w:val="24"/>
          <w:lang w:val="es-ES"/>
          <w14:ligatures w14:val="none"/>
        </w:rPr>
        <w:t>Caribe.</w:t>
      </w:r>
    </w:p>
    <w:p w14:paraId="2DE48F68" w14:textId="72F6B97F" w:rsidR="00206E70" w:rsidRDefault="00206E70" w:rsidP="002C7D54">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Posteriormente, se aprobó la Resolución CREG 188 de 2020, con el ajuste al costo base de comercialización ordenado por los decretos y resoluciones del MME mencionados anteriormente.</w:t>
      </w:r>
    </w:p>
    <w:p w14:paraId="27EB70E5" w14:textId="2BD203F1" w:rsidR="001035BD" w:rsidRPr="00567ED3" w:rsidRDefault="001035BD" w:rsidP="002C7D54">
      <w:pPr>
        <w:jc w:val="both"/>
        <w:rPr>
          <w:rFonts w:ascii="Helvetica" w:hAnsi="Helvetica" w:cs="Helvetica"/>
        </w:rPr>
      </w:pPr>
      <w:r>
        <w:rPr>
          <w:rFonts w:ascii="Helvetica" w:hAnsi="Helvetica" w:cs="Helvetica"/>
          <w:bCs/>
          <w:kern w:val="0"/>
          <w:sz w:val="24"/>
          <w:szCs w:val="24"/>
          <w:lang w:val="es-ES"/>
          <w14:ligatures w14:val="none"/>
        </w:rPr>
        <w:t xml:space="preserve">Mediante la </w:t>
      </w:r>
      <w:r w:rsidRPr="001035BD">
        <w:rPr>
          <w:rFonts w:ascii="Helvetica" w:hAnsi="Helvetica" w:cs="Helvetica"/>
          <w:bCs/>
          <w:kern w:val="0"/>
          <w:sz w:val="24"/>
          <w:szCs w:val="24"/>
          <w:lang w:val="es-ES"/>
          <w14:ligatures w14:val="none"/>
        </w:rPr>
        <w:t>Resolución CREG 010 de 2020, se estableció el régimen</w:t>
      </w:r>
      <w:r w:rsidR="007165F2">
        <w:rPr>
          <w:rFonts w:ascii="Helvetica" w:hAnsi="Helvetica" w:cs="Helvetica"/>
          <w:bCs/>
          <w:kern w:val="0"/>
          <w:sz w:val="24"/>
          <w:szCs w:val="24"/>
          <w:lang w:val="es-ES"/>
          <w14:ligatures w14:val="none"/>
        </w:rPr>
        <w:t xml:space="preserve"> </w:t>
      </w:r>
      <w:r w:rsidRPr="001035BD">
        <w:rPr>
          <w:rFonts w:ascii="Helvetica" w:hAnsi="Helvetica" w:cs="Helvetica"/>
          <w:bCs/>
          <w:kern w:val="0"/>
          <w:sz w:val="24"/>
          <w:szCs w:val="24"/>
          <w:lang w:val="es-ES"/>
          <w14:ligatures w14:val="none"/>
        </w:rPr>
        <w:t xml:space="preserve">transitorio especial en materia tarifaria para la </w:t>
      </w:r>
      <w:r w:rsidR="007165F2">
        <w:rPr>
          <w:rFonts w:ascii="Helvetica" w:hAnsi="Helvetica" w:cs="Helvetica"/>
          <w:bCs/>
          <w:kern w:val="0"/>
          <w:sz w:val="24"/>
          <w:szCs w:val="24"/>
          <w:lang w:val="es-ES"/>
          <w14:ligatures w14:val="none"/>
        </w:rPr>
        <w:t>R</w:t>
      </w:r>
      <w:r w:rsidRPr="001035BD">
        <w:rPr>
          <w:rFonts w:ascii="Helvetica" w:hAnsi="Helvetica" w:cs="Helvetica"/>
          <w:bCs/>
          <w:kern w:val="0"/>
          <w:sz w:val="24"/>
          <w:szCs w:val="24"/>
          <w:lang w:val="es-ES"/>
          <w14:ligatures w14:val="none"/>
        </w:rPr>
        <w:t>egión Caribe</w:t>
      </w:r>
      <w:r>
        <w:rPr>
          <w:rFonts w:ascii="Helvetica" w:hAnsi="Helvetica" w:cs="Helvetica"/>
          <w:bCs/>
          <w:kern w:val="0"/>
          <w:sz w:val="24"/>
          <w:szCs w:val="24"/>
          <w:lang w:val="es-ES"/>
          <w14:ligatures w14:val="none"/>
        </w:rPr>
        <w:t xml:space="preserve">, en cumplimiento de lo establecido en </w:t>
      </w:r>
      <w:r w:rsidRPr="001035BD">
        <w:rPr>
          <w:rFonts w:ascii="Helvetica" w:hAnsi="Helvetica" w:cs="Helvetica"/>
          <w:bCs/>
          <w:kern w:val="0"/>
          <w:sz w:val="24"/>
          <w:szCs w:val="24"/>
          <w:lang w:val="es-ES"/>
          <w14:ligatures w14:val="none"/>
        </w:rPr>
        <w:t>artículo 318 de la Ley 1955 de 2019</w:t>
      </w:r>
      <w:r>
        <w:rPr>
          <w:rFonts w:ascii="Helvetica" w:hAnsi="Helvetica" w:cs="Helvetica"/>
          <w:bCs/>
          <w:kern w:val="0"/>
          <w:sz w:val="24"/>
          <w:szCs w:val="24"/>
          <w:lang w:val="es-ES"/>
          <w14:ligatures w14:val="none"/>
        </w:rPr>
        <w:t xml:space="preserve">, </w:t>
      </w:r>
      <w:r w:rsidR="00597844">
        <w:rPr>
          <w:rFonts w:ascii="Helvetica" w:hAnsi="Helvetica" w:cs="Helvetica"/>
          <w:bCs/>
          <w:kern w:val="0"/>
          <w:sz w:val="24"/>
          <w:szCs w:val="24"/>
          <w:lang w:val="es-ES"/>
          <w14:ligatures w14:val="none"/>
        </w:rPr>
        <w:t>reglamentado por el</w:t>
      </w:r>
      <w:r w:rsidR="00597844" w:rsidRPr="00597844">
        <w:rPr>
          <w:rFonts w:ascii="Helvetica" w:hAnsi="Helvetica" w:cs="Helvetica"/>
          <w:bCs/>
          <w:kern w:val="0"/>
          <w:sz w:val="24"/>
          <w:szCs w:val="24"/>
          <w:lang w:val="es-ES"/>
          <w14:ligatures w14:val="none"/>
        </w:rPr>
        <w:t xml:space="preserve"> Decreto 1645 de 2019</w:t>
      </w:r>
      <w:r w:rsidRPr="001035BD">
        <w:rPr>
          <w:rFonts w:ascii="Helvetica" w:hAnsi="Helvetica" w:cs="Helvetica"/>
          <w:bCs/>
          <w:kern w:val="0"/>
          <w:sz w:val="24"/>
          <w:szCs w:val="24"/>
          <w:lang w:val="es-ES"/>
          <w14:ligatures w14:val="none"/>
        </w:rPr>
        <w:t>.</w:t>
      </w:r>
    </w:p>
    <w:p w14:paraId="2F4956E1" w14:textId="39ED2360" w:rsidR="00876311" w:rsidRDefault="002C58C8" w:rsidP="002C58C8">
      <w:pPr>
        <w:jc w:val="both"/>
        <w:rPr>
          <w:rFonts w:ascii="Helvetica" w:hAnsi="Helvetica" w:cs="Helvetica"/>
          <w:kern w:val="0"/>
          <w:sz w:val="24"/>
          <w:szCs w:val="24"/>
          <w14:ligatures w14:val="none"/>
        </w:rPr>
      </w:pPr>
      <w:r>
        <w:rPr>
          <w:rFonts w:ascii="Helvetica" w:hAnsi="Helvetica" w:cs="Helvetica"/>
          <w:kern w:val="0"/>
          <w:sz w:val="24"/>
          <w:szCs w:val="24"/>
          <w:lang w:val="es-ES"/>
          <w14:ligatures w14:val="none"/>
        </w:rPr>
        <w:t xml:space="preserve">Mediante </w:t>
      </w:r>
      <w:r w:rsidR="007165F2">
        <w:rPr>
          <w:rFonts w:ascii="Helvetica" w:hAnsi="Helvetica" w:cs="Helvetica"/>
          <w:kern w:val="0"/>
          <w:sz w:val="24"/>
          <w:szCs w:val="24"/>
          <w:lang w:val="es-ES"/>
          <w14:ligatures w14:val="none"/>
        </w:rPr>
        <w:t xml:space="preserve">providencia calendada </w:t>
      </w:r>
      <w:r w:rsidR="00533F8A">
        <w:rPr>
          <w:rFonts w:ascii="Helvetica" w:hAnsi="Helvetica" w:cs="Helvetica"/>
          <w:kern w:val="0"/>
          <w:sz w:val="24"/>
          <w:szCs w:val="24"/>
          <w14:ligatures w14:val="none"/>
        </w:rPr>
        <w:t xml:space="preserve">22 de agosto de 2024, </w:t>
      </w:r>
      <w:r w:rsidRPr="002C58C8">
        <w:rPr>
          <w:rFonts w:ascii="Helvetica" w:hAnsi="Helvetica" w:cs="Helvetica"/>
          <w:kern w:val="0"/>
          <w:sz w:val="24"/>
          <w:szCs w:val="24"/>
          <w14:ligatures w14:val="none"/>
        </w:rPr>
        <w:t xml:space="preserve">dentro del medio de control </w:t>
      </w:r>
      <w:r w:rsidR="007165F2">
        <w:rPr>
          <w:rFonts w:ascii="Helvetica" w:hAnsi="Helvetica" w:cs="Helvetica"/>
          <w:kern w:val="0"/>
          <w:sz w:val="24"/>
          <w:szCs w:val="24"/>
          <w14:ligatures w14:val="none"/>
        </w:rPr>
        <w:t>de A</w:t>
      </w:r>
      <w:r w:rsidRPr="002C58C8">
        <w:rPr>
          <w:rFonts w:ascii="Helvetica" w:hAnsi="Helvetica" w:cs="Helvetica"/>
          <w:kern w:val="0"/>
          <w:sz w:val="24"/>
          <w:szCs w:val="24"/>
          <w14:ligatures w14:val="none"/>
        </w:rPr>
        <w:t xml:space="preserve">cción </w:t>
      </w:r>
      <w:r w:rsidR="007165F2">
        <w:rPr>
          <w:rFonts w:ascii="Helvetica" w:hAnsi="Helvetica" w:cs="Helvetica"/>
          <w:kern w:val="0"/>
          <w:sz w:val="24"/>
          <w:szCs w:val="24"/>
          <w14:ligatures w14:val="none"/>
        </w:rPr>
        <w:t>P</w:t>
      </w:r>
      <w:r w:rsidRPr="002C58C8">
        <w:rPr>
          <w:rFonts w:ascii="Helvetica" w:hAnsi="Helvetica" w:cs="Helvetica"/>
          <w:kern w:val="0"/>
          <w:sz w:val="24"/>
          <w:szCs w:val="24"/>
          <w14:ligatures w14:val="none"/>
        </w:rPr>
        <w:t>opular</w:t>
      </w:r>
      <w:r w:rsidR="006B2BA2">
        <w:rPr>
          <w:rFonts w:ascii="Helvetica" w:hAnsi="Helvetica" w:cs="Helvetica"/>
          <w:kern w:val="0"/>
          <w:sz w:val="24"/>
          <w:szCs w:val="24"/>
          <w14:ligatures w14:val="none"/>
        </w:rPr>
        <w:t xml:space="preserve"> con</w:t>
      </w:r>
      <w:r w:rsidRPr="002C58C8">
        <w:rPr>
          <w:rFonts w:ascii="Helvetica" w:hAnsi="Helvetica" w:cs="Helvetica"/>
          <w:kern w:val="0"/>
          <w:sz w:val="24"/>
          <w:szCs w:val="24"/>
          <w14:ligatures w14:val="none"/>
        </w:rPr>
        <w:t xml:space="preserve"> radicado 08-001-23-3</w:t>
      </w:r>
      <w:r w:rsidR="006B2BA2">
        <w:rPr>
          <w:rFonts w:ascii="Helvetica" w:hAnsi="Helvetica" w:cs="Helvetica"/>
          <w:kern w:val="0"/>
          <w:sz w:val="24"/>
          <w:szCs w:val="24"/>
          <w14:ligatures w14:val="none"/>
        </w:rPr>
        <w:t>3</w:t>
      </w:r>
      <w:r w:rsidRPr="002C58C8">
        <w:rPr>
          <w:rFonts w:ascii="Helvetica" w:hAnsi="Helvetica" w:cs="Helvetica"/>
          <w:kern w:val="0"/>
          <w:sz w:val="24"/>
          <w:szCs w:val="24"/>
          <w14:ligatures w14:val="none"/>
        </w:rPr>
        <w:t>-000-2022-00397-00</w:t>
      </w:r>
      <w:r w:rsidR="006B2BA2">
        <w:rPr>
          <w:rFonts w:ascii="Helvetica" w:hAnsi="Helvetica" w:cs="Helvetica"/>
          <w:kern w:val="0"/>
          <w:sz w:val="24"/>
          <w:szCs w:val="24"/>
          <w14:ligatures w14:val="none"/>
        </w:rPr>
        <w:t>-ACUMULADO</w:t>
      </w:r>
      <w:r w:rsidR="00876311">
        <w:rPr>
          <w:rFonts w:ascii="Helvetica" w:hAnsi="Helvetica" w:cs="Helvetica"/>
          <w:kern w:val="0"/>
          <w:sz w:val="24"/>
          <w:szCs w:val="24"/>
          <w14:ligatures w14:val="none"/>
        </w:rPr>
        <w:t>,</w:t>
      </w:r>
      <w:r>
        <w:rPr>
          <w:rFonts w:ascii="Helvetica" w:hAnsi="Helvetica" w:cs="Helvetica"/>
          <w:kern w:val="0"/>
          <w:sz w:val="24"/>
          <w:szCs w:val="24"/>
          <w14:ligatures w14:val="none"/>
        </w:rPr>
        <w:t xml:space="preserve"> el </w:t>
      </w:r>
      <w:r w:rsidRPr="002C58C8">
        <w:rPr>
          <w:rFonts w:ascii="Helvetica" w:hAnsi="Helvetica" w:cs="Helvetica"/>
          <w:kern w:val="0"/>
          <w:sz w:val="24"/>
          <w:szCs w:val="24"/>
          <w14:ligatures w14:val="none"/>
        </w:rPr>
        <w:t>Tribunal Administrativo del Atlántico</w:t>
      </w:r>
      <w:r>
        <w:rPr>
          <w:rFonts w:ascii="Helvetica" w:hAnsi="Helvetica" w:cs="Helvetica"/>
          <w:kern w:val="0"/>
          <w:sz w:val="24"/>
          <w:szCs w:val="24"/>
          <w14:ligatures w14:val="none"/>
        </w:rPr>
        <w:t xml:space="preserve"> orden</w:t>
      </w:r>
      <w:r w:rsidR="00876311">
        <w:rPr>
          <w:rFonts w:ascii="Helvetica" w:hAnsi="Helvetica" w:cs="Helvetica"/>
          <w:kern w:val="0"/>
          <w:sz w:val="24"/>
          <w:szCs w:val="24"/>
          <w14:ligatures w14:val="none"/>
        </w:rPr>
        <w:t>ó</w:t>
      </w:r>
      <w:r>
        <w:rPr>
          <w:rFonts w:ascii="Helvetica" w:hAnsi="Helvetica" w:cs="Helvetica"/>
          <w:kern w:val="0"/>
          <w:sz w:val="24"/>
          <w:szCs w:val="24"/>
          <w14:ligatures w14:val="none"/>
        </w:rPr>
        <w:t xml:space="preserve"> a la CREG iniciar la actuación administrativa </w:t>
      </w:r>
      <w:r w:rsidR="007165F2">
        <w:rPr>
          <w:rFonts w:ascii="Helvetica" w:hAnsi="Helvetica" w:cs="Helvetica"/>
          <w:kern w:val="0"/>
          <w:sz w:val="24"/>
          <w:szCs w:val="24"/>
          <w14:ligatures w14:val="none"/>
        </w:rPr>
        <w:t>orientada a</w:t>
      </w:r>
      <w:r>
        <w:rPr>
          <w:rFonts w:ascii="Helvetica" w:hAnsi="Helvetica" w:cs="Helvetica"/>
          <w:kern w:val="0"/>
          <w:sz w:val="24"/>
          <w:szCs w:val="24"/>
          <w14:ligatures w14:val="none"/>
        </w:rPr>
        <w:t xml:space="preserve"> modifi</w:t>
      </w:r>
      <w:r w:rsidR="007165F2">
        <w:rPr>
          <w:rFonts w:ascii="Helvetica" w:hAnsi="Helvetica" w:cs="Helvetica"/>
          <w:kern w:val="0"/>
          <w:sz w:val="24"/>
          <w:szCs w:val="24"/>
          <w14:ligatures w14:val="none"/>
        </w:rPr>
        <w:t>car</w:t>
      </w:r>
      <w:r>
        <w:rPr>
          <w:rFonts w:ascii="Helvetica" w:hAnsi="Helvetica" w:cs="Helvetica"/>
          <w:kern w:val="0"/>
          <w:sz w:val="24"/>
          <w:szCs w:val="24"/>
          <w14:ligatures w14:val="none"/>
        </w:rPr>
        <w:t xml:space="preserve"> las </w:t>
      </w:r>
      <w:r w:rsidR="00F27E69">
        <w:rPr>
          <w:rFonts w:ascii="Helvetica" w:hAnsi="Helvetica" w:cs="Helvetica"/>
          <w:kern w:val="0"/>
          <w:sz w:val="24"/>
          <w:szCs w:val="24"/>
          <w14:ligatures w14:val="none"/>
        </w:rPr>
        <w:t xml:space="preserve">Resoluciones </w:t>
      </w:r>
      <w:r w:rsidR="00AB1BFB">
        <w:rPr>
          <w:rFonts w:ascii="Helvetica" w:hAnsi="Helvetica" w:cs="Helvetica"/>
          <w:kern w:val="0"/>
          <w:sz w:val="24"/>
          <w:szCs w:val="24"/>
          <w14:ligatures w14:val="none"/>
        </w:rPr>
        <w:t xml:space="preserve">CREG 010 de 2020 y </w:t>
      </w:r>
      <w:r w:rsidR="007165F2">
        <w:rPr>
          <w:rFonts w:ascii="Helvetica" w:hAnsi="Helvetica" w:cs="Helvetica"/>
          <w:kern w:val="0"/>
          <w:sz w:val="24"/>
          <w:szCs w:val="24"/>
          <w14:ligatures w14:val="none"/>
        </w:rPr>
        <w:t xml:space="preserve">la </w:t>
      </w:r>
      <w:r w:rsidR="00AB1BFB">
        <w:rPr>
          <w:rFonts w:ascii="Helvetica" w:hAnsi="Helvetica" w:cs="Helvetica"/>
          <w:kern w:val="0"/>
          <w:sz w:val="24"/>
          <w:szCs w:val="24"/>
          <w14:ligatures w14:val="none"/>
        </w:rPr>
        <w:t>CREG 078 de 2021</w:t>
      </w:r>
      <w:r w:rsidR="00876311">
        <w:rPr>
          <w:rFonts w:ascii="Helvetica" w:hAnsi="Helvetica" w:cs="Helvetica"/>
          <w:kern w:val="0"/>
          <w:sz w:val="24"/>
          <w:szCs w:val="24"/>
          <w14:ligatures w14:val="none"/>
        </w:rPr>
        <w:t>, en los siguientes términos:</w:t>
      </w:r>
    </w:p>
    <w:p w14:paraId="17F31373" w14:textId="5CBF035E" w:rsidR="002C58C8" w:rsidRPr="00876311" w:rsidRDefault="00876311" w:rsidP="00876311">
      <w:pPr>
        <w:ind w:left="708"/>
        <w:jc w:val="both"/>
        <w:rPr>
          <w:rFonts w:ascii="Helvetica" w:hAnsi="Helvetica" w:cs="Helvetica"/>
          <w:i/>
          <w:iCs/>
          <w:kern w:val="0"/>
          <w:sz w:val="24"/>
          <w:szCs w:val="24"/>
          <w14:ligatures w14:val="none"/>
        </w:rPr>
      </w:pPr>
      <w:r w:rsidRPr="00876311">
        <w:rPr>
          <w:rFonts w:ascii="Helvetica" w:hAnsi="Helvetica" w:cs="Helvetica"/>
          <w:i/>
          <w:iCs/>
          <w:kern w:val="0"/>
          <w:sz w:val="24"/>
          <w:szCs w:val="24"/>
          <w14:ligatures w14:val="none"/>
        </w:rPr>
        <w:t>“3. ORDENAR al Ministerio de Minas y Energía y a la CREG que dentro de los diez días (10) siguientes a la culminación de la sesión y/o audiencia pública inicien la actuación administrativa correspondiente acorde a la normatividad vigente, a fin de expedir el acto administrativo que modifique las Resoluciones 010 de 2020 y 78 de 2021 y/o cualquier acto administrativo, que tenga por objeto reducir las tarifas del servicio de energía eléctrica para la Región Caribe sin que sobrepase el plazo fijado en la ley para definir tal actuación”</w:t>
      </w:r>
      <w:r w:rsidR="00F269E7">
        <w:rPr>
          <w:rFonts w:ascii="Helvetica" w:hAnsi="Helvetica" w:cs="Helvetica"/>
          <w:i/>
          <w:iCs/>
          <w:kern w:val="0"/>
          <w:sz w:val="24"/>
          <w:szCs w:val="24"/>
          <w14:ligatures w14:val="none"/>
        </w:rPr>
        <w:t>.</w:t>
      </w:r>
    </w:p>
    <w:p w14:paraId="16093862" w14:textId="25590DB0" w:rsidR="00253E19" w:rsidRDefault="00AE7620" w:rsidP="00AE7620">
      <w:pPr>
        <w:jc w:val="both"/>
        <w:rPr>
          <w:rFonts w:ascii="Helvetica" w:hAnsi="Helvetica" w:cs="Helvetica"/>
          <w:kern w:val="0"/>
          <w:sz w:val="24"/>
          <w:szCs w:val="24"/>
          <w:lang w:val="es-ES"/>
          <w14:ligatures w14:val="none"/>
        </w:rPr>
      </w:pPr>
      <w:r w:rsidRPr="008A760B">
        <w:rPr>
          <w:rFonts w:ascii="Helvetica" w:hAnsi="Helvetica" w:cs="Helvetica"/>
          <w:kern w:val="0"/>
          <w:sz w:val="24"/>
          <w:szCs w:val="24"/>
          <w:lang w:val="es-ES"/>
          <w14:ligatures w14:val="none"/>
        </w:rPr>
        <w:t>La</w:t>
      </w:r>
      <w:r w:rsidR="0096253C">
        <w:rPr>
          <w:rFonts w:ascii="Helvetica" w:hAnsi="Helvetica" w:cs="Helvetica"/>
          <w:kern w:val="0"/>
          <w:sz w:val="24"/>
          <w:szCs w:val="24"/>
          <w:lang w:val="es-ES"/>
          <w14:ligatures w14:val="none"/>
        </w:rPr>
        <w:t xml:space="preserve"> Comisión de Regulación de Energía y Gas desarrolló </w:t>
      </w:r>
      <w:r w:rsidR="007165F2">
        <w:rPr>
          <w:rFonts w:ascii="Helvetica" w:hAnsi="Helvetica" w:cs="Helvetica"/>
          <w:kern w:val="0"/>
          <w:sz w:val="24"/>
          <w:szCs w:val="24"/>
          <w:lang w:val="es-ES"/>
          <w14:ligatures w14:val="none"/>
        </w:rPr>
        <w:t xml:space="preserve">el día 16 de septiembre de 2.024 en la ciudad de Barranquilla, la </w:t>
      </w:r>
      <w:r w:rsidRPr="008A760B">
        <w:rPr>
          <w:rFonts w:ascii="Helvetica" w:hAnsi="Helvetica" w:cs="Helvetica"/>
          <w:kern w:val="0"/>
          <w:sz w:val="24"/>
          <w:szCs w:val="24"/>
          <w:lang w:val="es-ES"/>
          <w14:ligatures w14:val="none"/>
        </w:rPr>
        <w:t>audiencia pública</w:t>
      </w:r>
      <w:r w:rsidR="008A0BDE">
        <w:rPr>
          <w:rFonts w:ascii="Helvetica" w:hAnsi="Helvetica" w:cs="Helvetica"/>
          <w:kern w:val="0"/>
          <w:sz w:val="24"/>
          <w:szCs w:val="24"/>
          <w:lang w:val="es-ES"/>
          <w14:ligatures w14:val="none"/>
        </w:rPr>
        <w:t xml:space="preserve"> ordenada </w:t>
      </w:r>
      <w:r w:rsidR="007165F2">
        <w:rPr>
          <w:rFonts w:ascii="Helvetica" w:hAnsi="Helvetica" w:cs="Helvetica"/>
          <w:kern w:val="0"/>
          <w:sz w:val="24"/>
          <w:szCs w:val="24"/>
          <w:lang w:val="es-ES"/>
          <w14:ligatures w14:val="none"/>
        </w:rPr>
        <w:t xml:space="preserve">por el Tribunal Administrativo del Atlántico en su providencia del 22 de agosto de 2.024, otorgando a la CREG el término de Diez (10) días posteriores a la celebración de la audiencia </w:t>
      </w:r>
      <w:r w:rsidR="00CF54A8">
        <w:rPr>
          <w:rFonts w:ascii="Helvetica" w:hAnsi="Helvetica" w:cs="Helvetica"/>
          <w:kern w:val="0"/>
          <w:sz w:val="24"/>
          <w:szCs w:val="24"/>
          <w:lang w:val="es-ES"/>
          <w14:ligatures w14:val="none"/>
        </w:rPr>
        <w:lastRenderedPageBreak/>
        <w:t xml:space="preserve">para </w:t>
      </w:r>
      <w:r w:rsidR="007165F2">
        <w:rPr>
          <w:rFonts w:ascii="Helvetica" w:hAnsi="Helvetica" w:cs="Helvetica"/>
          <w:kern w:val="0"/>
          <w:sz w:val="24"/>
          <w:szCs w:val="24"/>
          <w:lang w:val="es-ES"/>
          <w14:ligatures w14:val="none"/>
        </w:rPr>
        <w:t xml:space="preserve">que </w:t>
      </w:r>
      <w:r w:rsidR="00CF54A8">
        <w:rPr>
          <w:rFonts w:ascii="Helvetica" w:hAnsi="Helvetica" w:cs="Helvetica"/>
          <w:kern w:val="0"/>
          <w:sz w:val="24"/>
          <w:szCs w:val="24"/>
          <w:lang w:val="es-ES"/>
          <w14:ligatures w14:val="none"/>
        </w:rPr>
        <w:t>inic</w:t>
      </w:r>
      <w:r w:rsidR="007165F2">
        <w:rPr>
          <w:rFonts w:ascii="Helvetica" w:hAnsi="Helvetica" w:cs="Helvetica"/>
          <w:kern w:val="0"/>
          <w:sz w:val="24"/>
          <w:szCs w:val="24"/>
          <w:lang w:val="es-ES"/>
          <w14:ligatures w14:val="none"/>
        </w:rPr>
        <w:t>iar</w:t>
      </w:r>
      <w:r w:rsidR="00CF54A8">
        <w:rPr>
          <w:rFonts w:ascii="Helvetica" w:hAnsi="Helvetica" w:cs="Helvetica"/>
          <w:kern w:val="0"/>
          <w:sz w:val="24"/>
          <w:szCs w:val="24"/>
          <w:lang w:val="es-ES"/>
          <w14:ligatures w14:val="none"/>
        </w:rPr>
        <w:t xml:space="preserve"> las actuaciones administrativas </w:t>
      </w:r>
      <w:r w:rsidR="007165F2">
        <w:rPr>
          <w:rFonts w:ascii="Helvetica" w:hAnsi="Helvetica" w:cs="Helvetica"/>
          <w:kern w:val="0"/>
          <w:sz w:val="24"/>
          <w:szCs w:val="24"/>
          <w:lang w:val="es-ES"/>
          <w14:ligatures w14:val="none"/>
        </w:rPr>
        <w:t>que posibiliten las modificaciones de la Resoluciones 010 de 2.020 y 078 de 2.021; este término de los diez (10) días, vencen el próximo</w:t>
      </w:r>
      <w:r w:rsidR="00CF54A8">
        <w:rPr>
          <w:rFonts w:ascii="Helvetica" w:hAnsi="Helvetica" w:cs="Helvetica"/>
          <w:kern w:val="0"/>
          <w:sz w:val="24"/>
          <w:szCs w:val="24"/>
          <w:lang w:val="es-ES"/>
          <w14:ligatures w14:val="none"/>
        </w:rPr>
        <w:t xml:space="preserve"> </w:t>
      </w:r>
      <w:r w:rsidR="00D71E88">
        <w:rPr>
          <w:rFonts w:ascii="Helvetica" w:hAnsi="Helvetica" w:cs="Helvetica"/>
          <w:kern w:val="0"/>
          <w:sz w:val="24"/>
          <w:szCs w:val="24"/>
          <w:lang w:val="es-ES"/>
          <w14:ligatures w14:val="none"/>
        </w:rPr>
        <w:t>30 de septiembre de 2024</w:t>
      </w:r>
      <w:r w:rsidR="008366E1">
        <w:rPr>
          <w:rFonts w:ascii="Helvetica" w:hAnsi="Helvetica" w:cs="Helvetica"/>
          <w:kern w:val="0"/>
          <w:sz w:val="24"/>
          <w:szCs w:val="24"/>
          <w:lang w:val="es-ES"/>
          <w14:ligatures w14:val="none"/>
        </w:rPr>
        <w:t xml:space="preserve">. </w:t>
      </w:r>
    </w:p>
    <w:p w14:paraId="2DAE4A67" w14:textId="77777777" w:rsidR="007165F2" w:rsidRDefault="00326CC9" w:rsidP="00326CC9">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En cumplimiento de</w:t>
      </w:r>
      <w:r w:rsidR="007165F2">
        <w:rPr>
          <w:rFonts w:ascii="Helvetica" w:hAnsi="Helvetica" w:cs="Helvetica"/>
          <w:kern w:val="0"/>
          <w:sz w:val="24"/>
          <w:szCs w:val="24"/>
          <w:lang w:val="es-ES"/>
          <w14:ligatures w14:val="none"/>
        </w:rPr>
        <w:t xml:space="preserve"> la </w:t>
      </w:r>
      <w:r>
        <w:rPr>
          <w:rFonts w:ascii="Helvetica" w:hAnsi="Helvetica" w:cs="Helvetica"/>
          <w:kern w:val="0"/>
          <w:sz w:val="24"/>
          <w:szCs w:val="24"/>
          <w:lang w:val="es-ES"/>
          <w14:ligatures w14:val="none"/>
        </w:rPr>
        <w:t>citad</w:t>
      </w:r>
      <w:r w:rsidR="007165F2">
        <w:rPr>
          <w:rFonts w:ascii="Helvetica" w:hAnsi="Helvetica" w:cs="Helvetica"/>
          <w:kern w:val="0"/>
          <w:sz w:val="24"/>
          <w:szCs w:val="24"/>
          <w:lang w:val="es-ES"/>
          <w14:ligatures w14:val="none"/>
        </w:rPr>
        <w:t>a providencia judicial</w:t>
      </w:r>
      <w:r>
        <w:rPr>
          <w:rFonts w:ascii="Helvetica" w:hAnsi="Helvetica" w:cs="Helvetica"/>
          <w:kern w:val="0"/>
          <w:sz w:val="24"/>
          <w:szCs w:val="24"/>
          <w:lang w:val="es-ES"/>
          <w14:ligatures w14:val="none"/>
        </w:rPr>
        <w:t xml:space="preserve">, </w:t>
      </w:r>
      <w:r w:rsidR="007165F2">
        <w:rPr>
          <w:rFonts w:ascii="Helvetica" w:hAnsi="Helvetica" w:cs="Helvetica"/>
          <w:kern w:val="0"/>
          <w:sz w:val="24"/>
          <w:szCs w:val="24"/>
          <w:lang w:val="es-ES"/>
          <w14:ligatures w14:val="none"/>
        </w:rPr>
        <w:t xml:space="preserve">los señores comisionados de la CREG </w:t>
      </w:r>
      <w:r w:rsidR="00B639B0">
        <w:rPr>
          <w:rFonts w:ascii="Helvetica" w:hAnsi="Helvetica" w:cs="Helvetica"/>
          <w:kern w:val="0"/>
          <w:sz w:val="24"/>
          <w:szCs w:val="24"/>
          <w:lang w:val="es-ES"/>
          <w14:ligatures w14:val="none"/>
        </w:rPr>
        <w:t>considera</w:t>
      </w:r>
      <w:r w:rsidR="007165F2">
        <w:rPr>
          <w:rFonts w:ascii="Helvetica" w:hAnsi="Helvetica" w:cs="Helvetica"/>
          <w:kern w:val="0"/>
          <w:sz w:val="24"/>
          <w:szCs w:val="24"/>
          <w:lang w:val="es-ES"/>
          <w14:ligatures w14:val="none"/>
        </w:rPr>
        <w:t>n</w:t>
      </w:r>
      <w:r w:rsidR="00B639B0" w:rsidRPr="00B639B0">
        <w:rPr>
          <w:rFonts w:ascii="Helvetica" w:hAnsi="Helvetica" w:cs="Helvetica"/>
          <w:kern w:val="0"/>
          <w:sz w:val="24"/>
          <w:szCs w:val="24"/>
          <w:lang w:val="es-ES"/>
          <w14:ligatures w14:val="none"/>
        </w:rPr>
        <w:t xml:space="preserve"> necesario </w:t>
      </w:r>
      <w:r w:rsidR="007165F2">
        <w:rPr>
          <w:rFonts w:ascii="Helvetica" w:hAnsi="Helvetica" w:cs="Helvetica"/>
          <w:kern w:val="0"/>
          <w:sz w:val="24"/>
          <w:szCs w:val="24"/>
          <w:lang w:val="es-ES"/>
          <w14:ligatures w14:val="none"/>
        </w:rPr>
        <w:t xml:space="preserve">entrar a evaluar en el trámite de la presente actuación administrativa, las modificaciones regulatorias ordenadas por el Tribunal Administrativo del Atlántico, </w:t>
      </w:r>
      <w:r w:rsidR="00D81303">
        <w:rPr>
          <w:rFonts w:ascii="Helvetica" w:hAnsi="Helvetica" w:cs="Helvetica"/>
          <w:kern w:val="0"/>
          <w:sz w:val="24"/>
          <w:szCs w:val="24"/>
          <w:lang w:val="es-ES"/>
          <w14:ligatures w14:val="none"/>
        </w:rPr>
        <w:t>y</w:t>
      </w:r>
      <w:r w:rsidR="00D82EC8">
        <w:rPr>
          <w:rFonts w:ascii="Helvetica" w:hAnsi="Helvetica" w:cs="Helvetica"/>
          <w:kern w:val="0"/>
          <w:sz w:val="24"/>
          <w:szCs w:val="24"/>
          <w:lang w:val="es-ES"/>
          <w14:ligatures w14:val="none"/>
        </w:rPr>
        <w:t>/</w:t>
      </w:r>
      <w:r w:rsidR="00D81303">
        <w:rPr>
          <w:rFonts w:ascii="Helvetica" w:hAnsi="Helvetica" w:cs="Helvetica"/>
          <w:kern w:val="0"/>
          <w:sz w:val="24"/>
          <w:szCs w:val="24"/>
          <w:lang w:val="es-ES"/>
          <w14:ligatures w14:val="none"/>
        </w:rPr>
        <w:t xml:space="preserve">o </w:t>
      </w:r>
      <w:r w:rsidR="007165F2">
        <w:rPr>
          <w:rFonts w:ascii="Helvetica" w:hAnsi="Helvetica" w:cs="Helvetica"/>
          <w:kern w:val="0"/>
          <w:sz w:val="24"/>
          <w:szCs w:val="24"/>
          <w:lang w:val="es-ES"/>
          <w14:ligatures w14:val="none"/>
        </w:rPr>
        <w:t xml:space="preserve">en la </w:t>
      </w:r>
      <w:r w:rsidR="00D81303">
        <w:rPr>
          <w:rFonts w:ascii="Helvetica" w:hAnsi="Helvetica" w:cs="Helvetica"/>
          <w:kern w:val="0"/>
          <w:sz w:val="24"/>
          <w:szCs w:val="24"/>
          <w:lang w:val="es-ES"/>
          <w14:ligatures w14:val="none"/>
        </w:rPr>
        <w:t>vigencia</w:t>
      </w:r>
      <w:r w:rsidR="00B639B0" w:rsidRPr="00B639B0">
        <w:rPr>
          <w:rFonts w:ascii="Helvetica" w:hAnsi="Helvetica" w:cs="Helvetica"/>
          <w:kern w:val="0"/>
          <w:sz w:val="24"/>
          <w:szCs w:val="24"/>
          <w:lang w:val="es-ES"/>
          <w14:ligatures w14:val="none"/>
        </w:rPr>
        <w:t xml:space="preserve"> de la metodología general establecida </w:t>
      </w:r>
      <w:r w:rsidR="007165F2">
        <w:rPr>
          <w:rFonts w:ascii="Helvetica" w:hAnsi="Helvetica" w:cs="Helvetica"/>
          <w:kern w:val="0"/>
          <w:sz w:val="24"/>
          <w:szCs w:val="24"/>
          <w:lang w:val="es-ES"/>
          <w14:ligatures w14:val="none"/>
        </w:rPr>
        <w:t>en la</w:t>
      </w:r>
      <w:r w:rsidR="00B639B0" w:rsidRPr="00B639B0">
        <w:rPr>
          <w:rFonts w:ascii="Helvetica" w:hAnsi="Helvetica" w:cs="Helvetica"/>
          <w:kern w:val="0"/>
          <w:sz w:val="24"/>
          <w:szCs w:val="24"/>
          <w:lang w:val="es-ES"/>
          <w14:ligatures w14:val="none"/>
        </w:rPr>
        <w:t xml:space="preserve"> Resolución CREG 010 de 2020, </w:t>
      </w:r>
      <w:r w:rsidR="007165F2">
        <w:rPr>
          <w:rFonts w:ascii="Helvetica" w:hAnsi="Helvetica" w:cs="Helvetica"/>
          <w:kern w:val="0"/>
          <w:sz w:val="24"/>
          <w:szCs w:val="24"/>
          <w:lang w:val="es-ES"/>
          <w14:ligatures w14:val="none"/>
        </w:rPr>
        <w:t xml:space="preserve">con </w:t>
      </w:r>
      <w:r w:rsidR="00B639B0" w:rsidRPr="00B639B0">
        <w:rPr>
          <w:rFonts w:ascii="Helvetica" w:hAnsi="Helvetica" w:cs="Helvetica"/>
          <w:kern w:val="0"/>
          <w:sz w:val="24"/>
          <w:szCs w:val="24"/>
          <w:lang w:val="es-ES"/>
          <w14:ligatures w14:val="none"/>
        </w:rPr>
        <w:t>la cual se establec</w:t>
      </w:r>
      <w:r w:rsidR="007165F2">
        <w:rPr>
          <w:rFonts w:ascii="Helvetica" w:hAnsi="Helvetica" w:cs="Helvetica"/>
          <w:kern w:val="0"/>
          <w:sz w:val="24"/>
          <w:szCs w:val="24"/>
          <w:lang w:val="es-ES"/>
          <w14:ligatures w14:val="none"/>
        </w:rPr>
        <w:t>ió</w:t>
      </w:r>
      <w:r w:rsidR="00B639B0" w:rsidRPr="00B639B0">
        <w:rPr>
          <w:rFonts w:ascii="Helvetica" w:hAnsi="Helvetica" w:cs="Helvetica"/>
          <w:kern w:val="0"/>
          <w:sz w:val="24"/>
          <w:szCs w:val="24"/>
          <w:lang w:val="es-ES"/>
          <w14:ligatures w14:val="none"/>
        </w:rPr>
        <w:t xml:space="preserve"> el régimen transitorio especial en materia tarifaria para la </w:t>
      </w:r>
      <w:r w:rsidR="007165F2">
        <w:rPr>
          <w:rFonts w:ascii="Helvetica" w:hAnsi="Helvetica" w:cs="Helvetica"/>
          <w:kern w:val="0"/>
          <w:sz w:val="24"/>
          <w:szCs w:val="24"/>
          <w:lang w:val="es-ES"/>
          <w14:ligatures w14:val="none"/>
        </w:rPr>
        <w:t>R</w:t>
      </w:r>
      <w:r w:rsidR="00B639B0" w:rsidRPr="00B639B0">
        <w:rPr>
          <w:rFonts w:ascii="Helvetica" w:hAnsi="Helvetica" w:cs="Helvetica"/>
          <w:kern w:val="0"/>
          <w:sz w:val="24"/>
          <w:szCs w:val="24"/>
          <w:lang w:val="es-ES"/>
          <w14:ligatures w14:val="none"/>
        </w:rPr>
        <w:t xml:space="preserve">egión Caribe, </w:t>
      </w:r>
      <w:r w:rsidR="007165F2">
        <w:rPr>
          <w:rFonts w:ascii="Helvetica" w:hAnsi="Helvetica" w:cs="Helvetica"/>
          <w:kern w:val="0"/>
          <w:sz w:val="24"/>
          <w:szCs w:val="24"/>
          <w:lang w:val="es-ES"/>
          <w14:ligatures w14:val="none"/>
        </w:rPr>
        <w:t xml:space="preserve">trámite administrativo este que se adelantará </w:t>
      </w:r>
      <w:r w:rsidR="00B639B0" w:rsidRPr="00B639B0">
        <w:rPr>
          <w:rFonts w:ascii="Helvetica" w:hAnsi="Helvetica" w:cs="Helvetica"/>
          <w:kern w:val="0"/>
          <w:sz w:val="24"/>
          <w:szCs w:val="24"/>
          <w:lang w:val="es-ES"/>
          <w14:ligatures w14:val="none"/>
        </w:rPr>
        <w:t>con</w:t>
      </w:r>
      <w:r w:rsidR="007165F2">
        <w:rPr>
          <w:rFonts w:ascii="Helvetica" w:hAnsi="Helvetica" w:cs="Helvetica"/>
          <w:kern w:val="0"/>
          <w:sz w:val="24"/>
          <w:szCs w:val="24"/>
          <w:lang w:val="es-ES"/>
          <w14:ligatures w14:val="none"/>
        </w:rPr>
        <w:t xml:space="preserve"> fundamento</w:t>
      </w:r>
      <w:r w:rsidR="00B639B0" w:rsidRPr="00B639B0">
        <w:rPr>
          <w:rFonts w:ascii="Helvetica" w:hAnsi="Helvetica" w:cs="Helvetica"/>
          <w:kern w:val="0"/>
          <w:sz w:val="24"/>
          <w:szCs w:val="24"/>
          <w:lang w:val="es-ES"/>
          <w14:ligatures w14:val="none"/>
        </w:rPr>
        <w:t xml:space="preserve"> </w:t>
      </w:r>
      <w:r w:rsidR="007165F2">
        <w:rPr>
          <w:rFonts w:ascii="Helvetica" w:hAnsi="Helvetica" w:cs="Helvetica"/>
          <w:kern w:val="0"/>
          <w:sz w:val="24"/>
          <w:szCs w:val="24"/>
          <w:lang w:val="es-ES"/>
          <w14:ligatures w14:val="none"/>
        </w:rPr>
        <w:t>a</w:t>
      </w:r>
      <w:r w:rsidR="00B639B0" w:rsidRPr="00B639B0">
        <w:rPr>
          <w:rFonts w:ascii="Helvetica" w:hAnsi="Helvetica" w:cs="Helvetica"/>
          <w:kern w:val="0"/>
          <w:sz w:val="24"/>
          <w:szCs w:val="24"/>
          <w:lang w:val="es-ES"/>
          <w14:ligatures w14:val="none"/>
        </w:rPr>
        <w:t xml:space="preserve"> lo establecido en los artículos 124 al 126 de la ley 142 </w:t>
      </w:r>
      <w:r w:rsidR="007165F2">
        <w:rPr>
          <w:rFonts w:ascii="Helvetica" w:hAnsi="Helvetica" w:cs="Helvetica"/>
          <w:kern w:val="0"/>
          <w:sz w:val="24"/>
          <w:szCs w:val="24"/>
          <w:lang w:val="es-ES"/>
          <w14:ligatures w14:val="none"/>
        </w:rPr>
        <w:t>de 1.994.</w:t>
      </w:r>
    </w:p>
    <w:p w14:paraId="3A57C910" w14:textId="5EB0F60A" w:rsidR="00326CC9" w:rsidRDefault="007165F2" w:rsidP="00326CC9">
      <w:pPr>
        <w:jc w:val="both"/>
        <w:rPr>
          <w:rFonts w:ascii="Helvetica" w:hAnsi="Helvetica" w:cs="Helvetica"/>
          <w:kern w:val="0"/>
          <w:sz w:val="24"/>
          <w:szCs w:val="24"/>
          <w:highlight w:val="yellow"/>
          <w:lang w:val="es-ES"/>
          <w14:ligatures w14:val="none"/>
        </w:rPr>
      </w:pPr>
      <w:r>
        <w:rPr>
          <w:rFonts w:ascii="Helvetica" w:hAnsi="Helvetica" w:cs="Helvetica"/>
          <w:kern w:val="0"/>
          <w:sz w:val="24"/>
          <w:szCs w:val="24"/>
          <w:lang w:val="es-ES"/>
          <w14:ligatures w14:val="none"/>
        </w:rPr>
        <w:t>La presente actuación administrativa,</w:t>
      </w:r>
      <w:r w:rsidR="00326CC9" w:rsidRPr="008A760B">
        <w:rPr>
          <w:rFonts w:ascii="Helvetica" w:hAnsi="Helvetica" w:cs="Helvetica"/>
          <w:kern w:val="0"/>
          <w:sz w:val="24"/>
          <w:szCs w:val="24"/>
          <w:lang w:val="es-ES"/>
          <w14:ligatures w14:val="none"/>
        </w:rPr>
        <w:t xml:space="preserve"> se entiende como el impulso de que trata el artículo 124 de la Ley 142 de 1994.</w:t>
      </w:r>
    </w:p>
    <w:p w14:paraId="41AE21BB" w14:textId="23F95E82" w:rsidR="00D70B50" w:rsidRPr="00D70B50" w:rsidRDefault="007165F2" w:rsidP="00D70B50">
      <w:pPr>
        <w:jc w:val="both"/>
        <w:rPr>
          <w:rFonts w:ascii="Helvetica" w:hAnsi="Helvetica" w:cs="Helvetica"/>
          <w:bCs/>
          <w:kern w:val="0"/>
          <w:sz w:val="24"/>
          <w:szCs w:val="24"/>
          <w:lang w:val="es-ES"/>
          <w14:ligatures w14:val="none"/>
        </w:rPr>
      </w:pPr>
      <w:r>
        <w:rPr>
          <w:rFonts w:ascii="Helvetica" w:hAnsi="Helvetica" w:cs="Helvetica"/>
          <w:bCs/>
          <w:kern w:val="0"/>
          <w:sz w:val="24"/>
          <w:szCs w:val="24"/>
          <w:lang w:val="es-ES"/>
          <w14:ligatures w14:val="none"/>
        </w:rPr>
        <w:t>Se debe atender</w:t>
      </w:r>
      <w:r w:rsidR="00D70B50" w:rsidRPr="00D70B50">
        <w:rPr>
          <w:rFonts w:ascii="Helvetica" w:hAnsi="Helvetica" w:cs="Helvetica"/>
          <w:bCs/>
          <w:kern w:val="0"/>
          <w:sz w:val="24"/>
          <w:szCs w:val="24"/>
          <w:lang w:val="es-ES"/>
          <w14:ligatures w14:val="none"/>
        </w:rPr>
        <w:t xml:space="preserve">, </w:t>
      </w:r>
      <w:r>
        <w:rPr>
          <w:rFonts w:ascii="Helvetica" w:hAnsi="Helvetica" w:cs="Helvetica"/>
          <w:bCs/>
          <w:kern w:val="0"/>
          <w:sz w:val="24"/>
          <w:szCs w:val="24"/>
          <w:lang w:val="es-ES"/>
          <w14:ligatures w14:val="none"/>
        </w:rPr>
        <w:t xml:space="preserve">que </w:t>
      </w:r>
      <w:r w:rsidR="00D70B50" w:rsidRPr="00D70B50">
        <w:rPr>
          <w:rFonts w:ascii="Helvetica" w:hAnsi="Helvetica" w:cs="Helvetica"/>
          <w:bCs/>
          <w:kern w:val="0"/>
          <w:sz w:val="24"/>
          <w:szCs w:val="24"/>
          <w:lang w:val="es-ES"/>
          <w14:ligatures w14:val="none"/>
        </w:rPr>
        <w:t>para poder revisar un esquema tarifario, el artículo 126 de la Ley 142 de 1994 consagra lo siguiente:</w:t>
      </w:r>
    </w:p>
    <w:p w14:paraId="467DA8C5" w14:textId="77777777" w:rsidR="00D70B50" w:rsidRPr="005F6D16" w:rsidRDefault="00D70B50" w:rsidP="005F6D16">
      <w:pPr>
        <w:ind w:left="567" w:right="474"/>
        <w:jc w:val="both"/>
        <w:rPr>
          <w:rFonts w:ascii="Helvetica" w:hAnsi="Helvetica" w:cs="Helvetica"/>
          <w:bCs/>
          <w:i/>
          <w:iCs/>
          <w:kern w:val="0"/>
          <w:sz w:val="24"/>
          <w:szCs w:val="24"/>
          <w:lang w:val="es-ES"/>
          <w14:ligatures w14:val="none"/>
        </w:rPr>
      </w:pPr>
      <w:r w:rsidRPr="005F6D16">
        <w:rPr>
          <w:rFonts w:ascii="Helvetica" w:hAnsi="Helvetica" w:cs="Helvetica"/>
          <w:bCs/>
          <w:i/>
          <w:iCs/>
          <w:kern w:val="0"/>
          <w:sz w:val="24"/>
          <w:szCs w:val="24"/>
          <w:lang w:val="es-ES"/>
          <w14:ligatures w14:val="none"/>
        </w:rPr>
        <w:t>ARTÍCULO 126. Vigencia de las fórmulas de tarifas. Las fórmulas tarifarias tendrán una vigencia de cinco años, salvo que antes haya acuerdo entre la empresa de servicios públicas y la comisión para modificarlas o prorrogarlas por un periodo igual. Excepcionalmente podrán modificarse en cualquier tiempo, de oficio o a petición de parte, cuando sea evidente que se cometieron graves errores en su cálculo, se lesionan injustamente los intereses de los usuarios o de la empresa; o que ha habido razones de caso fortuito o fuerza mayor que comprometen en forma grave la capacidad financiera de la empresa para continuar prestando el servicio en las condiciones tarifarias previstas.</w:t>
      </w:r>
    </w:p>
    <w:p w14:paraId="5DC062AF" w14:textId="77777777" w:rsidR="00D70B50" w:rsidRPr="00665316" w:rsidRDefault="00D70B50" w:rsidP="00665316">
      <w:pPr>
        <w:ind w:left="567" w:right="567"/>
        <w:jc w:val="both"/>
        <w:rPr>
          <w:rFonts w:ascii="Helvetica" w:hAnsi="Helvetica" w:cs="Helvetica"/>
          <w:bCs/>
          <w:i/>
          <w:iCs/>
          <w:kern w:val="0"/>
          <w:sz w:val="24"/>
          <w:szCs w:val="24"/>
          <w:lang w:val="es-ES"/>
          <w14:ligatures w14:val="none"/>
        </w:rPr>
      </w:pPr>
      <w:r w:rsidRPr="00665316">
        <w:rPr>
          <w:rFonts w:ascii="Helvetica" w:hAnsi="Helvetica" w:cs="Helvetica"/>
          <w:bCs/>
          <w:i/>
          <w:iCs/>
          <w:kern w:val="0"/>
          <w:sz w:val="24"/>
          <w:szCs w:val="24"/>
          <w:lang w:val="es-ES"/>
          <w14:ligatures w14:val="none"/>
        </w:rPr>
        <w:t>Vencido el periodo de vigencia de las fórmulas tarifarias, continuarán rigiendo mientras la comisión no fije las nuevas.</w:t>
      </w:r>
    </w:p>
    <w:p w14:paraId="3896BA9A" w14:textId="77777777" w:rsidR="00D70B50" w:rsidRPr="00D70B50" w:rsidRDefault="00D70B50" w:rsidP="00D70B50">
      <w:pPr>
        <w:jc w:val="both"/>
        <w:rPr>
          <w:rFonts w:ascii="Helvetica" w:hAnsi="Helvetica" w:cs="Helvetica"/>
          <w:bCs/>
          <w:kern w:val="0"/>
          <w:sz w:val="24"/>
          <w:szCs w:val="24"/>
          <w:lang w:val="es-ES"/>
          <w14:ligatures w14:val="none"/>
        </w:rPr>
      </w:pPr>
      <w:r w:rsidRPr="00D70B50">
        <w:rPr>
          <w:rFonts w:ascii="Helvetica" w:hAnsi="Helvetica" w:cs="Helvetica"/>
          <w:bCs/>
          <w:kern w:val="0"/>
          <w:sz w:val="24"/>
          <w:szCs w:val="24"/>
          <w:lang w:val="es-ES"/>
          <w14:ligatures w14:val="none"/>
        </w:rPr>
        <w:t xml:space="preserve">Por su parte, el artículo 127 de la Ley 142 de 1994 establece: </w:t>
      </w:r>
    </w:p>
    <w:p w14:paraId="46A8C3DB" w14:textId="77777777" w:rsidR="00D70B50" w:rsidRPr="005F6D16" w:rsidRDefault="00D70B50" w:rsidP="005F6D16">
      <w:pPr>
        <w:ind w:left="567" w:right="474"/>
        <w:jc w:val="both"/>
        <w:rPr>
          <w:rFonts w:ascii="Helvetica" w:hAnsi="Helvetica" w:cs="Helvetica"/>
          <w:bCs/>
          <w:i/>
          <w:iCs/>
          <w:kern w:val="0"/>
          <w:sz w:val="24"/>
          <w:szCs w:val="24"/>
          <w:lang w:val="es-ES"/>
          <w14:ligatures w14:val="none"/>
        </w:rPr>
      </w:pPr>
      <w:r w:rsidRPr="005F6D16">
        <w:rPr>
          <w:rFonts w:ascii="Helvetica" w:hAnsi="Helvetica" w:cs="Helvetica"/>
          <w:bCs/>
          <w:i/>
          <w:iCs/>
          <w:kern w:val="0"/>
          <w:sz w:val="24"/>
          <w:szCs w:val="24"/>
          <w:lang w:val="es-ES"/>
          <w14:ligatures w14:val="none"/>
        </w:rPr>
        <w:t>ARTÍCULO 127. Inicio de la actuación administrativa para fijar nuevas tarifas. Antes de doce meses de la fecha prevista para que termine la vigencia de las fórmulas tarifarias, la comisión deberá poner en conocimiento de las empresas de servicios públicos las bases sobre las cuales efectuará el estudio para determinar las fórmulas del período siguiente. Después, se aplicará lo previsto en el artículo 124.</w:t>
      </w:r>
    </w:p>
    <w:p w14:paraId="76144CB8" w14:textId="0B5C8518" w:rsidR="00FA2852" w:rsidRDefault="007165F2" w:rsidP="004C52B1">
      <w:pPr>
        <w:jc w:val="both"/>
        <w:rPr>
          <w:rFonts w:ascii="Helvetica" w:hAnsi="Helvetica" w:cs="Helvetica"/>
          <w:bCs/>
          <w:kern w:val="0"/>
          <w:sz w:val="24"/>
          <w:szCs w:val="24"/>
          <w:lang w:val="es-ES"/>
          <w14:ligatures w14:val="none"/>
        </w:rPr>
      </w:pPr>
      <w:r>
        <w:rPr>
          <w:rFonts w:ascii="Helvetica" w:hAnsi="Helvetica" w:cs="Helvetica"/>
          <w:bCs/>
          <w:kern w:val="0"/>
          <w:sz w:val="24"/>
          <w:szCs w:val="24"/>
          <w:lang w:val="es-ES"/>
          <w14:ligatures w14:val="none"/>
        </w:rPr>
        <w:t>Precisamos que l</w:t>
      </w:r>
      <w:r w:rsidR="00D70B50" w:rsidRPr="00D70B50">
        <w:rPr>
          <w:rFonts w:ascii="Helvetica" w:hAnsi="Helvetica" w:cs="Helvetica"/>
          <w:bCs/>
          <w:kern w:val="0"/>
          <w:sz w:val="24"/>
          <w:szCs w:val="24"/>
          <w:lang w:val="es-ES"/>
          <w14:ligatures w14:val="none"/>
        </w:rPr>
        <w:t xml:space="preserve">a modificación de las fórmulas </w:t>
      </w:r>
      <w:r w:rsidR="00204C89">
        <w:rPr>
          <w:rFonts w:ascii="Helvetica" w:hAnsi="Helvetica" w:cs="Helvetica"/>
          <w:bCs/>
          <w:kern w:val="0"/>
          <w:sz w:val="24"/>
          <w:szCs w:val="24"/>
          <w:lang w:val="es-ES"/>
          <w14:ligatures w14:val="none"/>
        </w:rPr>
        <w:t>durante el período tarifario con base en las causales establecidas en e</w:t>
      </w:r>
      <w:r w:rsidR="00D70B50" w:rsidRPr="00D70B50">
        <w:rPr>
          <w:rFonts w:ascii="Helvetica" w:hAnsi="Helvetica" w:cs="Helvetica"/>
          <w:bCs/>
          <w:kern w:val="0"/>
          <w:sz w:val="24"/>
          <w:szCs w:val="24"/>
          <w:lang w:val="es-ES"/>
          <w14:ligatures w14:val="none"/>
        </w:rPr>
        <w:t>l artículo 126 de la Ley 142</w:t>
      </w:r>
      <w:r w:rsidR="00E3104C">
        <w:rPr>
          <w:rFonts w:ascii="Helvetica" w:hAnsi="Helvetica" w:cs="Helvetica"/>
          <w:bCs/>
          <w:kern w:val="0"/>
          <w:sz w:val="24"/>
          <w:szCs w:val="24"/>
          <w:lang w:val="es-ES"/>
          <w14:ligatures w14:val="none"/>
        </w:rPr>
        <w:t xml:space="preserve"> se debe cumplir con el procedimiento descrito en el Decreto </w:t>
      </w:r>
      <w:r w:rsidR="00C5206F">
        <w:rPr>
          <w:rFonts w:ascii="Helvetica" w:hAnsi="Helvetica" w:cs="Helvetica"/>
          <w:bCs/>
          <w:kern w:val="0"/>
          <w:sz w:val="24"/>
          <w:szCs w:val="24"/>
          <w:lang w:val="es-ES"/>
          <w14:ligatures w14:val="none"/>
        </w:rPr>
        <w:t>2696 de 2004</w:t>
      </w:r>
      <w:r w:rsidR="001012F0">
        <w:rPr>
          <w:rFonts w:ascii="Helvetica" w:hAnsi="Helvetica" w:cs="Helvetica"/>
          <w:bCs/>
          <w:kern w:val="0"/>
          <w:sz w:val="24"/>
          <w:szCs w:val="24"/>
          <w:lang w:val="es-ES"/>
          <w14:ligatures w14:val="none"/>
        </w:rPr>
        <w:t>,</w:t>
      </w:r>
      <w:r w:rsidR="00C5206F">
        <w:rPr>
          <w:rFonts w:ascii="Helvetica" w:hAnsi="Helvetica" w:cs="Helvetica"/>
          <w:bCs/>
          <w:kern w:val="0"/>
          <w:sz w:val="24"/>
          <w:szCs w:val="24"/>
          <w:lang w:val="es-ES"/>
          <w14:ligatures w14:val="none"/>
        </w:rPr>
        <w:t xml:space="preserve"> incorporado en </w:t>
      </w:r>
      <w:r w:rsidR="0001074E">
        <w:rPr>
          <w:rFonts w:ascii="Helvetica" w:hAnsi="Helvetica" w:cs="Helvetica"/>
          <w:bCs/>
          <w:kern w:val="0"/>
          <w:sz w:val="24"/>
          <w:szCs w:val="24"/>
          <w:lang w:val="es-ES"/>
          <w14:ligatures w14:val="none"/>
        </w:rPr>
        <w:t xml:space="preserve">los </w:t>
      </w:r>
      <w:r>
        <w:rPr>
          <w:rFonts w:ascii="Helvetica" w:hAnsi="Helvetica" w:cs="Helvetica"/>
          <w:bCs/>
          <w:kern w:val="0"/>
          <w:sz w:val="24"/>
          <w:szCs w:val="24"/>
          <w:lang w:val="es-ES"/>
          <w14:ligatures w14:val="none"/>
        </w:rPr>
        <w:t>De</w:t>
      </w:r>
      <w:r w:rsidR="00C5206F">
        <w:rPr>
          <w:rFonts w:ascii="Helvetica" w:hAnsi="Helvetica" w:cs="Helvetica"/>
          <w:bCs/>
          <w:kern w:val="0"/>
          <w:sz w:val="24"/>
          <w:szCs w:val="24"/>
          <w:lang w:val="es-ES"/>
          <w14:ligatures w14:val="none"/>
        </w:rPr>
        <w:t>creto</w:t>
      </w:r>
      <w:r w:rsidR="0001074E">
        <w:rPr>
          <w:rFonts w:ascii="Helvetica" w:hAnsi="Helvetica" w:cs="Helvetica"/>
          <w:bCs/>
          <w:kern w:val="0"/>
          <w:sz w:val="24"/>
          <w:szCs w:val="24"/>
          <w:lang w:val="es-ES"/>
          <w14:ligatures w14:val="none"/>
        </w:rPr>
        <w:t>s</w:t>
      </w:r>
      <w:r w:rsidR="00C5206F">
        <w:rPr>
          <w:rFonts w:ascii="Helvetica" w:hAnsi="Helvetica" w:cs="Helvetica"/>
          <w:bCs/>
          <w:kern w:val="0"/>
          <w:sz w:val="24"/>
          <w:szCs w:val="24"/>
          <w:lang w:val="es-ES"/>
          <w14:ligatures w14:val="none"/>
        </w:rPr>
        <w:t xml:space="preserve"> </w:t>
      </w:r>
      <w:r w:rsidR="00C5206F">
        <w:rPr>
          <w:rFonts w:ascii="Helvetica" w:hAnsi="Helvetica" w:cs="Helvetica"/>
          <w:bCs/>
          <w:kern w:val="0"/>
          <w:sz w:val="24"/>
          <w:szCs w:val="24"/>
          <w:lang w:val="es-ES"/>
          <w14:ligatures w14:val="none"/>
        </w:rPr>
        <w:lastRenderedPageBreak/>
        <w:t>únicos reglamentarios 1077 y 1078 de 2015</w:t>
      </w:r>
      <w:r w:rsidR="001012F0">
        <w:rPr>
          <w:rFonts w:ascii="Helvetica" w:hAnsi="Helvetica" w:cs="Helvetica"/>
          <w:bCs/>
          <w:kern w:val="0"/>
          <w:sz w:val="24"/>
          <w:szCs w:val="24"/>
          <w:lang w:val="es-ES"/>
          <w14:ligatures w14:val="none"/>
        </w:rPr>
        <w:t>,</w:t>
      </w:r>
      <w:r w:rsidR="0001074E">
        <w:rPr>
          <w:rFonts w:ascii="Helvetica" w:hAnsi="Helvetica" w:cs="Helvetica"/>
          <w:bCs/>
          <w:kern w:val="0"/>
          <w:sz w:val="24"/>
          <w:szCs w:val="24"/>
          <w:lang w:val="es-ES"/>
          <w14:ligatures w14:val="none"/>
        </w:rPr>
        <w:t xml:space="preserve"> </w:t>
      </w:r>
      <w:r w:rsidR="001012F0">
        <w:rPr>
          <w:rFonts w:ascii="Helvetica" w:hAnsi="Helvetica" w:cs="Helvetica"/>
          <w:bCs/>
          <w:kern w:val="0"/>
          <w:sz w:val="24"/>
          <w:szCs w:val="24"/>
          <w:lang w:val="es-ES"/>
          <w14:ligatures w14:val="none"/>
        </w:rPr>
        <w:t>donde</w:t>
      </w:r>
      <w:r w:rsidR="0001074E">
        <w:rPr>
          <w:rFonts w:ascii="Helvetica" w:hAnsi="Helvetica" w:cs="Helvetica"/>
          <w:bCs/>
          <w:kern w:val="0"/>
          <w:sz w:val="24"/>
          <w:szCs w:val="24"/>
          <w:lang w:val="es-ES"/>
          <w14:ligatures w14:val="none"/>
        </w:rPr>
        <w:t xml:space="preserve"> se establece que para la expedición </w:t>
      </w:r>
      <w:r w:rsidR="004C52B1">
        <w:rPr>
          <w:rFonts w:ascii="Helvetica" w:hAnsi="Helvetica" w:cs="Helvetica"/>
          <w:bCs/>
          <w:kern w:val="0"/>
          <w:sz w:val="24"/>
          <w:szCs w:val="24"/>
          <w:lang w:val="es-ES"/>
          <w14:ligatures w14:val="none"/>
        </w:rPr>
        <w:t>de un nuev</w:t>
      </w:r>
      <w:r>
        <w:rPr>
          <w:rFonts w:ascii="Helvetica" w:hAnsi="Helvetica" w:cs="Helvetica"/>
          <w:bCs/>
          <w:kern w:val="0"/>
          <w:sz w:val="24"/>
          <w:szCs w:val="24"/>
          <w:lang w:val="es-ES"/>
          <w14:ligatures w14:val="none"/>
        </w:rPr>
        <w:t>o marco regulatorio,</w:t>
      </w:r>
      <w:r w:rsidR="004C52B1">
        <w:rPr>
          <w:rFonts w:ascii="Helvetica" w:hAnsi="Helvetica" w:cs="Helvetica"/>
          <w:bCs/>
          <w:kern w:val="0"/>
          <w:sz w:val="24"/>
          <w:szCs w:val="24"/>
          <w:lang w:val="es-ES"/>
          <w14:ligatures w14:val="none"/>
        </w:rPr>
        <w:t xml:space="preserve"> se debe cumplir </w:t>
      </w:r>
      <w:r>
        <w:rPr>
          <w:rFonts w:ascii="Helvetica" w:hAnsi="Helvetica" w:cs="Helvetica"/>
          <w:bCs/>
          <w:kern w:val="0"/>
          <w:sz w:val="24"/>
          <w:szCs w:val="24"/>
          <w:lang w:val="es-ES"/>
          <w14:ligatures w14:val="none"/>
        </w:rPr>
        <w:t xml:space="preserve">con el </w:t>
      </w:r>
      <w:r w:rsidR="004C52B1">
        <w:rPr>
          <w:rFonts w:ascii="Helvetica" w:hAnsi="Helvetica" w:cs="Helvetica"/>
          <w:bCs/>
          <w:kern w:val="0"/>
          <w:sz w:val="24"/>
          <w:szCs w:val="24"/>
          <w:lang w:val="es-ES"/>
          <w14:ligatures w14:val="none"/>
        </w:rPr>
        <w:t>proceso de consulta pública</w:t>
      </w:r>
      <w:r w:rsidR="00326C67">
        <w:rPr>
          <w:rFonts w:ascii="Helvetica" w:hAnsi="Helvetica" w:cs="Helvetica"/>
          <w:bCs/>
          <w:kern w:val="0"/>
          <w:sz w:val="24"/>
          <w:szCs w:val="24"/>
          <w:lang w:val="es-ES"/>
          <w14:ligatures w14:val="none"/>
        </w:rPr>
        <w:t xml:space="preserve">, </w:t>
      </w:r>
      <w:r>
        <w:rPr>
          <w:rFonts w:ascii="Helvetica" w:hAnsi="Helvetica" w:cs="Helvetica"/>
          <w:bCs/>
          <w:kern w:val="0"/>
          <w:sz w:val="24"/>
          <w:szCs w:val="24"/>
          <w:lang w:val="es-ES"/>
          <w14:ligatures w14:val="none"/>
        </w:rPr>
        <w:t>el cual se llevará a cabo e</w:t>
      </w:r>
      <w:r w:rsidR="00326C67">
        <w:rPr>
          <w:rFonts w:ascii="Helvetica" w:hAnsi="Helvetica" w:cs="Helvetica"/>
          <w:bCs/>
          <w:kern w:val="0"/>
          <w:sz w:val="24"/>
          <w:szCs w:val="24"/>
          <w:lang w:val="es-ES"/>
          <w14:ligatures w14:val="none"/>
        </w:rPr>
        <w:t xml:space="preserve">n </w:t>
      </w:r>
      <w:r>
        <w:rPr>
          <w:rFonts w:ascii="Helvetica" w:hAnsi="Helvetica" w:cs="Helvetica"/>
          <w:bCs/>
          <w:kern w:val="0"/>
          <w:sz w:val="24"/>
          <w:szCs w:val="24"/>
          <w:lang w:val="es-ES"/>
          <w14:ligatures w14:val="none"/>
        </w:rPr>
        <w:t xml:space="preserve">un periodo </w:t>
      </w:r>
      <w:r w:rsidR="00326C67">
        <w:rPr>
          <w:rFonts w:ascii="Helvetica" w:hAnsi="Helvetica" w:cs="Helvetica"/>
          <w:bCs/>
          <w:kern w:val="0"/>
          <w:sz w:val="24"/>
          <w:szCs w:val="24"/>
          <w:lang w:val="es-ES"/>
          <w14:ligatures w14:val="none"/>
        </w:rPr>
        <w:t>no inferior a 30 días a la fecha de su expedición</w:t>
      </w:r>
      <w:r w:rsidR="00F319D1">
        <w:rPr>
          <w:rFonts w:ascii="Helvetica" w:hAnsi="Helvetica" w:cs="Helvetica"/>
          <w:bCs/>
          <w:kern w:val="0"/>
          <w:sz w:val="24"/>
          <w:szCs w:val="24"/>
          <w:lang w:val="es-ES"/>
          <w14:ligatures w14:val="none"/>
        </w:rPr>
        <w:t>,</w:t>
      </w:r>
      <w:r w:rsidR="005F63AE">
        <w:rPr>
          <w:rFonts w:ascii="Helvetica" w:hAnsi="Helvetica" w:cs="Helvetica"/>
          <w:bCs/>
          <w:kern w:val="0"/>
          <w:sz w:val="24"/>
          <w:szCs w:val="24"/>
          <w:lang w:val="es-ES"/>
          <w14:ligatures w14:val="none"/>
        </w:rPr>
        <w:t xml:space="preserve"> con las excepciones que establece el reglamento de la Comisión.</w:t>
      </w:r>
      <w:r w:rsidR="001B1D00">
        <w:rPr>
          <w:rFonts w:ascii="Helvetica" w:hAnsi="Helvetica" w:cs="Helvetica"/>
          <w:bCs/>
          <w:kern w:val="0"/>
          <w:sz w:val="24"/>
          <w:szCs w:val="24"/>
          <w:lang w:val="es-ES"/>
          <w14:ligatures w14:val="none"/>
        </w:rPr>
        <w:t xml:space="preserve"> </w:t>
      </w:r>
    </w:p>
    <w:p w14:paraId="44408852" w14:textId="189D26BA"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Cs/>
          <w:kern w:val="0"/>
          <w:sz w:val="24"/>
          <w:szCs w:val="24"/>
          <w:lang w:val="es-ES"/>
          <w14:ligatures w14:val="none"/>
        </w:rPr>
        <w:t>De conformidad con el numeral 1</w:t>
      </w:r>
      <w:r w:rsidR="007165F2">
        <w:rPr>
          <w:rFonts w:ascii="Helvetica" w:hAnsi="Helvetica" w:cs="Helvetica"/>
          <w:bCs/>
          <w:kern w:val="0"/>
          <w:sz w:val="24"/>
          <w:szCs w:val="24"/>
          <w:lang w:val="es-ES"/>
          <w14:ligatures w14:val="none"/>
        </w:rPr>
        <w:t>º</w:t>
      </w:r>
      <w:r w:rsidRPr="00567ED3">
        <w:rPr>
          <w:rFonts w:ascii="Helvetica" w:hAnsi="Helvetica" w:cs="Helvetica"/>
          <w:bCs/>
          <w:kern w:val="0"/>
          <w:sz w:val="24"/>
          <w:szCs w:val="24"/>
          <w:lang w:val="es-ES"/>
          <w14:ligatures w14:val="none"/>
        </w:rPr>
        <w:t xml:space="preserve"> del artículo 7</w:t>
      </w:r>
      <w:r w:rsidR="007165F2">
        <w:rPr>
          <w:rFonts w:ascii="Helvetica" w:hAnsi="Helvetica" w:cs="Helvetica"/>
          <w:bCs/>
          <w:kern w:val="0"/>
          <w:sz w:val="24"/>
          <w:szCs w:val="24"/>
          <w:lang w:val="es-ES"/>
          <w14:ligatures w14:val="none"/>
        </w:rPr>
        <w:t>º.-</w:t>
      </w:r>
      <w:r w:rsidRPr="00567ED3">
        <w:rPr>
          <w:rFonts w:ascii="Helvetica" w:hAnsi="Helvetica" w:cs="Helvetica"/>
          <w:bCs/>
          <w:kern w:val="0"/>
          <w:sz w:val="24"/>
          <w:szCs w:val="24"/>
          <w:lang w:val="es-ES"/>
          <w14:ligatures w14:val="none"/>
        </w:rPr>
        <w:t xml:space="preserve"> del Decreto 1260 de 2013, le corresponde al director ejecutivo, impulsar las actuaciones administrativas tendientes a la expedición de las decisiones misionales.  </w:t>
      </w:r>
    </w:p>
    <w:p w14:paraId="604C6AFA" w14:textId="77777777" w:rsidR="002953DC" w:rsidRPr="00567ED3" w:rsidRDefault="002953DC" w:rsidP="00A74B2A">
      <w:pPr>
        <w:jc w:val="center"/>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RESUELVE:</w:t>
      </w:r>
    </w:p>
    <w:p w14:paraId="6EB0EDA2" w14:textId="1262B69F"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PRIMERO.</w:t>
      </w:r>
      <w:r w:rsidRPr="00567ED3">
        <w:rPr>
          <w:rFonts w:ascii="Helvetica" w:hAnsi="Helvetica" w:cs="Helvetica"/>
          <w:bCs/>
          <w:kern w:val="0"/>
          <w:sz w:val="24"/>
          <w:szCs w:val="24"/>
          <w:lang w:val="es-ES"/>
          <w14:ligatures w14:val="none"/>
        </w:rPr>
        <w:t xml:space="preserve"> </w:t>
      </w:r>
      <w:r w:rsidR="007165F2">
        <w:rPr>
          <w:rFonts w:ascii="Helvetica" w:hAnsi="Helvetica" w:cs="Helvetica"/>
          <w:bCs/>
          <w:kern w:val="0"/>
          <w:sz w:val="24"/>
          <w:szCs w:val="24"/>
          <w:lang w:val="es-ES"/>
          <w14:ligatures w14:val="none"/>
        </w:rPr>
        <w:t>Ordenar el i</w:t>
      </w:r>
      <w:r w:rsidRPr="00567ED3">
        <w:rPr>
          <w:rFonts w:ascii="Helvetica" w:hAnsi="Helvetica" w:cs="Helvetica"/>
          <w:bCs/>
          <w:kern w:val="0"/>
          <w:sz w:val="24"/>
          <w:szCs w:val="24"/>
          <w:lang w:val="es-ES"/>
          <w14:ligatures w14:val="none"/>
        </w:rPr>
        <w:t>ni</w:t>
      </w:r>
      <w:r w:rsidRPr="00635AC4">
        <w:rPr>
          <w:rFonts w:ascii="Helvetica" w:hAnsi="Helvetica" w:cs="Helvetica"/>
          <w:bCs/>
          <w:kern w:val="0"/>
          <w:sz w:val="24"/>
          <w:szCs w:val="24"/>
          <w:lang w:val="es-ES"/>
          <w14:ligatures w14:val="none"/>
        </w:rPr>
        <w:t>ci</w:t>
      </w:r>
      <w:r w:rsidR="007165F2">
        <w:rPr>
          <w:rFonts w:ascii="Helvetica" w:hAnsi="Helvetica" w:cs="Helvetica"/>
          <w:bCs/>
          <w:kern w:val="0"/>
          <w:sz w:val="24"/>
          <w:szCs w:val="24"/>
          <w:lang w:val="es-ES"/>
          <w14:ligatures w14:val="none"/>
        </w:rPr>
        <w:t>o de</w:t>
      </w:r>
      <w:r w:rsidRPr="00635AC4">
        <w:rPr>
          <w:rFonts w:ascii="Helvetica" w:hAnsi="Helvetica" w:cs="Helvetica"/>
          <w:bCs/>
          <w:kern w:val="0"/>
          <w:sz w:val="24"/>
          <w:szCs w:val="24"/>
          <w:lang w:val="es-ES"/>
          <w14:ligatures w14:val="none"/>
        </w:rPr>
        <w:t xml:space="preserve"> la </w:t>
      </w:r>
      <w:r w:rsidR="007165F2">
        <w:rPr>
          <w:rFonts w:ascii="Helvetica" w:hAnsi="Helvetica" w:cs="Helvetica"/>
          <w:bCs/>
          <w:kern w:val="0"/>
          <w:sz w:val="24"/>
          <w:szCs w:val="24"/>
          <w:lang w:val="es-ES"/>
          <w14:ligatures w14:val="none"/>
        </w:rPr>
        <w:t xml:space="preserve">presente </w:t>
      </w:r>
      <w:r w:rsidRPr="00635AC4">
        <w:rPr>
          <w:rFonts w:ascii="Helvetica" w:hAnsi="Helvetica" w:cs="Helvetica"/>
          <w:bCs/>
          <w:kern w:val="0"/>
          <w:sz w:val="24"/>
          <w:szCs w:val="24"/>
          <w:lang w:val="es-ES"/>
          <w14:ligatures w14:val="none"/>
        </w:rPr>
        <w:t>actuación administrativa</w:t>
      </w:r>
      <w:r w:rsidR="00813B1D" w:rsidRPr="00635AC4">
        <w:rPr>
          <w:rFonts w:ascii="Helvetica" w:hAnsi="Helvetica" w:cs="Helvetica"/>
          <w:bCs/>
          <w:kern w:val="0"/>
          <w:sz w:val="24"/>
          <w:szCs w:val="24"/>
          <w:lang w:val="es-ES"/>
          <w14:ligatures w14:val="none"/>
        </w:rPr>
        <w:t xml:space="preserve"> </w:t>
      </w:r>
      <w:r w:rsidR="007165F2">
        <w:rPr>
          <w:rFonts w:ascii="Helvetica" w:hAnsi="Helvetica" w:cs="Helvetica"/>
          <w:bCs/>
          <w:kern w:val="0"/>
          <w:sz w:val="24"/>
          <w:szCs w:val="24"/>
          <w:lang w:val="es-ES"/>
          <w14:ligatures w14:val="none"/>
        </w:rPr>
        <w:t xml:space="preserve">que fue ordenada por el Tribunal Administrativo del Atlántico mediante Providencia calendada 22 de agosto de 2.024, dentro del medio de control de Acción Popular, orientada a evaluar y adoptar </w:t>
      </w:r>
      <w:r w:rsidR="00813B1D" w:rsidRPr="00635AC4">
        <w:rPr>
          <w:rFonts w:ascii="Helvetica" w:hAnsi="Helvetica" w:cs="Helvetica"/>
          <w:bCs/>
          <w:kern w:val="0"/>
          <w:sz w:val="24"/>
          <w:szCs w:val="24"/>
          <w:lang w:val="es-ES"/>
          <w14:ligatures w14:val="none"/>
        </w:rPr>
        <w:t>la</w:t>
      </w:r>
      <w:r w:rsidR="00EF6CEC" w:rsidRPr="00635AC4">
        <w:rPr>
          <w:rFonts w:ascii="Helvetica" w:hAnsi="Helvetica" w:cs="Helvetica"/>
          <w:bCs/>
          <w:kern w:val="0"/>
          <w:sz w:val="24"/>
          <w:szCs w:val="24"/>
          <w:lang w:val="es-ES"/>
          <w14:ligatures w14:val="none"/>
        </w:rPr>
        <w:t>s modificaciones</w:t>
      </w:r>
      <w:r w:rsidR="00152EFD">
        <w:rPr>
          <w:rFonts w:ascii="Helvetica" w:hAnsi="Helvetica" w:cs="Helvetica"/>
          <w:bCs/>
          <w:kern w:val="0"/>
          <w:sz w:val="24"/>
          <w:szCs w:val="24"/>
          <w:lang w:val="es-ES"/>
          <w14:ligatures w14:val="none"/>
        </w:rPr>
        <w:t xml:space="preserve"> pertinentes</w:t>
      </w:r>
      <w:r w:rsidR="00EF6CEC" w:rsidRPr="00635AC4">
        <w:rPr>
          <w:rFonts w:ascii="Helvetica" w:hAnsi="Helvetica" w:cs="Helvetica"/>
          <w:bCs/>
          <w:kern w:val="0"/>
          <w:sz w:val="24"/>
          <w:szCs w:val="24"/>
          <w:lang w:val="es-ES"/>
          <w14:ligatures w14:val="none"/>
        </w:rPr>
        <w:t xml:space="preserve"> y/o</w:t>
      </w:r>
      <w:r w:rsidR="00813B1D" w:rsidRPr="00635AC4">
        <w:rPr>
          <w:rFonts w:ascii="Helvetica" w:hAnsi="Helvetica" w:cs="Helvetica"/>
          <w:bCs/>
          <w:kern w:val="0"/>
          <w:sz w:val="24"/>
          <w:szCs w:val="24"/>
          <w:lang w:val="es-ES"/>
          <w14:ligatures w14:val="none"/>
        </w:rPr>
        <w:t xml:space="preserve"> </w:t>
      </w:r>
      <w:r w:rsidR="007165F2">
        <w:rPr>
          <w:rFonts w:ascii="Helvetica" w:hAnsi="Helvetica" w:cs="Helvetica"/>
          <w:bCs/>
          <w:kern w:val="0"/>
          <w:sz w:val="24"/>
          <w:szCs w:val="24"/>
          <w:lang w:val="es-ES"/>
          <w14:ligatures w14:val="none"/>
        </w:rPr>
        <w:t xml:space="preserve">la </w:t>
      </w:r>
      <w:r w:rsidR="00813B1D" w:rsidRPr="00635AC4">
        <w:rPr>
          <w:rFonts w:ascii="Helvetica" w:hAnsi="Helvetica" w:cs="Helvetica"/>
          <w:bCs/>
          <w:kern w:val="0"/>
          <w:sz w:val="24"/>
          <w:szCs w:val="24"/>
          <w:lang w:val="es-ES"/>
          <w14:ligatures w14:val="none"/>
        </w:rPr>
        <w:t xml:space="preserve">finalización del régimen transitorio especial en materia tarifaria para las actividades de distribución y comercialización de energía eléctrica </w:t>
      </w:r>
      <w:r w:rsidR="0041426B">
        <w:rPr>
          <w:rFonts w:ascii="Helvetica" w:hAnsi="Helvetica" w:cs="Helvetica"/>
          <w:bCs/>
          <w:kern w:val="0"/>
          <w:sz w:val="24"/>
          <w:szCs w:val="24"/>
          <w:lang w:val="es-ES"/>
          <w14:ligatures w14:val="none"/>
        </w:rPr>
        <w:t xml:space="preserve">en la </w:t>
      </w:r>
      <w:r w:rsidR="007165F2">
        <w:rPr>
          <w:rFonts w:ascii="Helvetica" w:hAnsi="Helvetica" w:cs="Helvetica"/>
          <w:bCs/>
          <w:kern w:val="0"/>
          <w:sz w:val="24"/>
          <w:szCs w:val="24"/>
          <w:lang w:val="es-ES"/>
          <w14:ligatures w14:val="none"/>
        </w:rPr>
        <w:t>R</w:t>
      </w:r>
      <w:r w:rsidR="0041426B">
        <w:rPr>
          <w:rFonts w:ascii="Helvetica" w:hAnsi="Helvetica" w:cs="Helvetica"/>
          <w:bCs/>
          <w:kern w:val="0"/>
          <w:sz w:val="24"/>
          <w:szCs w:val="24"/>
          <w:lang w:val="es-ES"/>
          <w14:ligatures w14:val="none"/>
        </w:rPr>
        <w:t xml:space="preserve">egión </w:t>
      </w:r>
      <w:r w:rsidR="00813B1D" w:rsidRPr="00635AC4">
        <w:rPr>
          <w:rFonts w:ascii="Helvetica" w:hAnsi="Helvetica" w:cs="Helvetica"/>
          <w:bCs/>
          <w:kern w:val="0"/>
          <w:sz w:val="24"/>
          <w:szCs w:val="24"/>
          <w:lang w:val="es-ES"/>
          <w14:ligatures w14:val="none"/>
        </w:rPr>
        <w:t>Caribe</w:t>
      </w:r>
      <w:r w:rsidR="007165F2">
        <w:rPr>
          <w:rFonts w:ascii="Helvetica" w:hAnsi="Helvetica" w:cs="Helvetica"/>
          <w:bCs/>
          <w:kern w:val="0"/>
          <w:sz w:val="24"/>
          <w:szCs w:val="24"/>
          <w:lang w:val="es-ES"/>
          <w14:ligatures w14:val="none"/>
        </w:rPr>
        <w:t>,</w:t>
      </w:r>
      <w:r w:rsidR="00535ECC" w:rsidRPr="00635AC4">
        <w:rPr>
          <w:rFonts w:ascii="Helvetica" w:hAnsi="Helvetica" w:cs="Helvetica"/>
          <w:bCs/>
          <w:kern w:val="0"/>
          <w:sz w:val="24"/>
          <w:szCs w:val="24"/>
          <w:lang w:val="es-ES"/>
          <w14:ligatures w14:val="none"/>
        </w:rPr>
        <w:t xml:space="preserve"> </w:t>
      </w:r>
      <w:r w:rsidR="007165F2">
        <w:rPr>
          <w:rFonts w:ascii="Helvetica" w:hAnsi="Helvetica" w:cs="Helvetica"/>
          <w:bCs/>
          <w:kern w:val="0"/>
          <w:sz w:val="24"/>
          <w:szCs w:val="24"/>
          <w:lang w:val="es-ES"/>
          <w14:ligatures w14:val="none"/>
        </w:rPr>
        <w:t xml:space="preserve">las cuales fueron adoptas a través de la </w:t>
      </w:r>
      <w:r w:rsidR="007165F2">
        <w:rPr>
          <w:rFonts w:ascii="Helvetica" w:hAnsi="Helvetica" w:cs="Helvetica"/>
          <w:kern w:val="0"/>
          <w:sz w:val="24"/>
          <w:szCs w:val="24"/>
          <w:lang w:val="es-ES"/>
          <w14:ligatures w14:val="none"/>
        </w:rPr>
        <w:t>R</w:t>
      </w:r>
      <w:r w:rsidR="00B5229B" w:rsidRPr="00635AC4">
        <w:rPr>
          <w:rFonts w:ascii="Helvetica" w:hAnsi="Helvetica" w:cs="Helvetica"/>
          <w:kern w:val="0"/>
          <w:sz w:val="24"/>
          <w:szCs w:val="24"/>
          <w:lang w:val="es-ES"/>
          <w14:ligatures w14:val="none"/>
        </w:rPr>
        <w:t>esolución CREG 0</w:t>
      </w:r>
      <w:r w:rsidR="00DC0EC2" w:rsidRPr="00635AC4">
        <w:rPr>
          <w:rFonts w:ascii="Helvetica" w:hAnsi="Helvetica" w:cs="Helvetica"/>
          <w:kern w:val="0"/>
          <w:sz w:val="24"/>
          <w:szCs w:val="24"/>
          <w:lang w:val="es-ES"/>
          <w14:ligatures w14:val="none"/>
        </w:rPr>
        <w:t>10</w:t>
      </w:r>
      <w:r w:rsidR="00B5229B" w:rsidRPr="00635AC4">
        <w:rPr>
          <w:rFonts w:ascii="Helvetica" w:hAnsi="Helvetica" w:cs="Helvetica"/>
          <w:kern w:val="0"/>
          <w:sz w:val="24"/>
          <w:szCs w:val="24"/>
          <w:lang w:val="es-ES"/>
          <w14:ligatures w14:val="none"/>
        </w:rPr>
        <w:t xml:space="preserve"> de 202</w:t>
      </w:r>
      <w:r w:rsidR="00DC0EC2" w:rsidRPr="00635AC4">
        <w:rPr>
          <w:rFonts w:ascii="Helvetica" w:hAnsi="Helvetica" w:cs="Helvetica"/>
          <w:kern w:val="0"/>
          <w:sz w:val="24"/>
          <w:szCs w:val="24"/>
          <w:lang w:val="es-ES"/>
          <w14:ligatures w14:val="none"/>
        </w:rPr>
        <w:t>0</w:t>
      </w:r>
      <w:r w:rsidR="00AE5A71" w:rsidRPr="00635AC4">
        <w:rPr>
          <w:rFonts w:ascii="Helvetica" w:hAnsi="Helvetica" w:cs="Helvetica"/>
          <w:kern w:val="0"/>
          <w:sz w:val="24"/>
          <w:szCs w:val="24"/>
          <w:lang w:val="es-ES"/>
          <w14:ligatures w14:val="none"/>
        </w:rPr>
        <w:t xml:space="preserve"> y</w:t>
      </w:r>
      <w:r w:rsidR="007A16E9" w:rsidRPr="00635AC4">
        <w:rPr>
          <w:rFonts w:ascii="Helvetica" w:hAnsi="Helvetica" w:cs="Helvetica"/>
          <w:kern w:val="0"/>
          <w:sz w:val="24"/>
          <w:szCs w:val="24"/>
          <w:lang w:val="es-ES"/>
          <w14:ligatures w14:val="none"/>
        </w:rPr>
        <w:t xml:space="preserve"> </w:t>
      </w:r>
      <w:r w:rsidR="007165F2">
        <w:rPr>
          <w:rFonts w:ascii="Helvetica" w:hAnsi="Helvetica" w:cs="Helvetica"/>
          <w:kern w:val="0"/>
          <w:sz w:val="24"/>
          <w:szCs w:val="24"/>
          <w:lang w:val="es-ES"/>
          <w14:ligatures w14:val="none"/>
        </w:rPr>
        <w:t xml:space="preserve">la </w:t>
      </w:r>
      <w:r w:rsidR="000955D1" w:rsidRPr="00635AC4">
        <w:rPr>
          <w:rFonts w:ascii="Helvetica" w:hAnsi="Helvetica" w:cs="Helvetica"/>
          <w:kern w:val="0"/>
          <w:sz w:val="24"/>
          <w:szCs w:val="24"/>
          <w:lang w:val="es-ES"/>
          <w14:ligatures w14:val="none"/>
        </w:rPr>
        <w:t>R</w:t>
      </w:r>
      <w:r w:rsidR="007A16E9" w:rsidRPr="00635AC4">
        <w:rPr>
          <w:rFonts w:ascii="Helvetica" w:hAnsi="Helvetica" w:cs="Helvetica"/>
          <w:kern w:val="0"/>
          <w:sz w:val="24"/>
          <w:szCs w:val="24"/>
          <w:lang w:val="es-ES"/>
          <w14:ligatures w14:val="none"/>
        </w:rPr>
        <w:t>esolución</w:t>
      </w:r>
      <w:r w:rsidR="00AE5A71" w:rsidRPr="00635AC4">
        <w:rPr>
          <w:rFonts w:ascii="Helvetica" w:hAnsi="Helvetica" w:cs="Helvetica"/>
          <w:kern w:val="0"/>
          <w:sz w:val="24"/>
          <w:szCs w:val="24"/>
          <w:lang w:val="es-ES"/>
          <w14:ligatures w14:val="none"/>
        </w:rPr>
        <w:t xml:space="preserve"> </w:t>
      </w:r>
      <w:r w:rsidR="008A1257" w:rsidRPr="00635AC4">
        <w:rPr>
          <w:rFonts w:ascii="Helvetica" w:hAnsi="Helvetica" w:cs="Helvetica"/>
          <w:kern w:val="0"/>
          <w:sz w:val="24"/>
          <w:szCs w:val="24"/>
          <w:lang w:val="es-ES"/>
          <w14:ligatures w14:val="none"/>
        </w:rPr>
        <w:t xml:space="preserve">CREG </w:t>
      </w:r>
      <w:r w:rsidR="005F7C88" w:rsidRPr="00635AC4">
        <w:rPr>
          <w:rFonts w:ascii="Helvetica" w:hAnsi="Helvetica" w:cs="Helvetica"/>
          <w:kern w:val="0"/>
          <w:sz w:val="24"/>
          <w:szCs w:val="24"/>
          <w:lang w:val="es-ES"/>
          <w14:ligatures w14:val="none"/>
        </w:rPr>
        <w:t>1</w:t>
      </w:r>
      <w:r w:rsidR="008A1257" w:rsidRPr="00635AC4">
        <w:rPr>
          <w:rFonts w:ascii="Helvetica" w:hAnsi="Helvetica" w:cs="Helvetica"/>
          <w:kern w:val="0"/>
          <w:sz w:val="24"/>
          <w:szCs w:val="24"/>
          <w:lang w:val="es-ES"/>
          <w14:ligatures w14:val="none"/>
        </w:rPr>
        <w:t>88 de 2020</w:t>
      </w:r>
      <w:r w:rsidR="00DC0EC2" w:rsidRPr="00635AC4">
        <w:rPr>
          <w:rFonts w:ascii="Helvetica" w:hAnsi="Helvetica" w:cs="Helvetica"/>
          <w:kern w:val="0"/>
          <w:sz w:val="24"/>
          <w:szCs w:val="24"/>
          <w:lang w:val="es-ES"/>
          <w14:ligatures w14:val="none"/>
        </w:rPr>
        <w:t>.</w:t>
      </w:r>
      <w:r w:rsidR="00B5229B" w:rsidRPr="00B5229B">
        <w:rPr>
          <w:rFonts w:ascii="Helvetica" w:hAnsi="Helvetica" w:cs="Helvetica"/>
          <w:kern w:val="0"/>
          <w:sz w:val="24"/>
          <w:szCs w:val="24"/>
          <w:lang w:val="es-ES"/>
          <w14:ligatures w14:val="none"/>
        </w:rPr>
        <w:t xml:space="preserve">  </w:t>
      </w:r>
      <w:r w:rsidRPr="00567ED3">
        <w:rPr>
          <w:rFonts w:ascii="Helvetica" w:hAnsi="Helvetica" w:cs="Helvetica"/>
          <w:bCs/>
          <w:kern w:val="0"/>
          <w:sz w:val="24"/>
          <w:szCs w:val="24"/>
          <w:lang w:val="es-ES"/>
          <w14:ligatures w14:val="none"/>
        </w:rPr>
        <w:t xml:space="preserve">  </w:t>
      </w:r>
    </w:p>
    <w:p w14:paraId="0D3F093A" w14:textId="7559AACB" w:rsidR="00C1709C" w:rsidRDefault="00DB247D" w:rsidP="00CA6D62">
      <w:pPr>
        <w:jc w:val="both"/>
        <w:rPr>
          <w:rFonts w:ascii="Helvetica" w:hAnsi="Helvetica" w:cs="Helvetica"/>
          <w:kern w:val="0"/>
          <w:sz w:val="24"/>
          <w:szCs w:val="24"/>
          <w:lang w:val="es-ES"/>
          <w14:ligatures w14:val="none"/>
        </w:rPr>
      </w:pPr>
      <w:r>
        <w:rPr>
          <w:rFonts w:ascii="Helvetica" w:hAnsi="Helvetica" w:cs="Helvetica"/>
          <w:b/>
          <w:bCs/>
          <w:kern w:val="0"/>
          <w:sz w:val="24"/>
          <w:szCs w:val="24"/>
          <w:lang w:val="es-ES"/>
          <w14:ligatures w14:val="none"/>
        </w:rPr>
        <w:t>SEGUNDO</w:t>
      </w:r>
      <w:r w:rsidR="008667A5">
        <w:rPr>
          <w:rFonts w:ascii="Helvetica" w:hAnsi="Helvetica" w:cs="Helvetica"/>
          <w:b/>
          <w:bCs/>
          <w:kern w:val="0"/>
          <w:sz w:val="24"/>
          <w:szCs w:val="24"/>
          <w:lang w:val="es-ES"/>
          <w14:ligatures w14:val="none"/>
        </w:rPr>
        <w:t>.</w:t>
      </w:r>
      <w:r w:rsidR="008667A5" w:rsidRPr="008667A5">
        <w:rPr>
          <w:rFonts w:ascii="Helvetica" w:hAnsi="Helvetica" w:cs="Helvetica"/>
          <w:kern w:val="0"/>
          <w:sz w:val="24"/>
          <w:szCs w:val="24"/>
          <w:lang w:val="es-ES"/>
          <w14:ligatures w14:val="none"/>
        </w:rPr>
        <w:t xml:space="preserve"> En </w:t>
      </w:r>
      <w:r w:rsidR="008667A5">
        <w:rPr>
          <w:rFonts w:ascii="Helvetica" w:hAnsi="Helvetica" w:cs="Helvetica"/>
          <w:kern w:val="0"/>
          <w:sz w:val="24"/>
          <w:szCs w:val="24"/>
          <w:lang w:val="es-ES"/>
          <w14:ligatures w14:val="none"/>
        </w:rPr>
        <w:t xml:space="preserve">cumplimiento </w:t>
      </w:r>
      <w:r w:rsidR="008667A5" w:rsidRPr="008667A5">
        <w:rPr>
          <w:rFonts w:ascii="Helvetica" w:hAnsi="Helvetica" w:cs="Helvetica"/>
          <w:kern w:val="0"/>
          <w:sz w:val="24"/>
          <w:szCs w:val="24"/>
          <w:lang w:val="es-ES"/>
          <w14:ligatures w14:val="none"/>
        </w:rPr>
        <w:t>de</w:t>
      </w:r>
      <w:r w:rsidR="007165F2">
        <w:rPr>
          <w:rFonts w:ascii="Helvetica" w:hAnsi="Helvetica" w:cs="Helvetica"/>
          <w:kern w:val="0"/>
          <w:sz w:val="24"/>
          <w:szCs w:val="24"/>
          <w:lang w:val="es-ES"/>
          <w14:ligatures w14:val="none"/>
        </w:rPr>
        <w:t xml:space="preserve"> la citada providencia</w:t>
      </w:r>
      <w:r w:rsidR="008667A5" w:rsidRPr="008667A5">
        <w:rPr>
          <w:rFonts w:ascii="Helvetica" w:hAnsi="Helvetica" w:cs="Helvetica"/>
          <w:kern w:val="0"/>
          <w:sz w:val="24"/>
          <w:szCs w:val="24"/>
          <w:lang w:val="es-ES"/>
          <w14:ligatures w14:val="none"/>
        </w:rPr>
        <w:t xml:space="preserve"> </w:t>
      </w:r>
      <w:r w:rsidR="007165F2">
        <w:rPr>
          <w:rFonts w:ascii="Helvetica" w:hAnsi="Helvetica" w:cs="Helvetica"/>
          <w:kern w:val="0"/>
          <w:sz w:val="24"/>
          <w:szCs w:val="24"/>
          <w:lang w:val="es-ES"/>
          <w14:ligatures w14:val="none"/>
        </w:rPr>
        <w:t xml:space="preserve">dictada como mecanismo de </w:t>
      </w:r>
      <w:r w:rsidR="008667A5">
        <w:rPr>
          <w:rFonts w:ascii="Helvetica" w:hAnsi="Helvetica" w:cs="Helvetica"/>
          <w:kern w:val="0"/>
          <w:sz w:val="24"/>
          <w:szCs w:val="24"/>
          <w:lang w:val="es-ES"/>
          <w14:ligatures w14:val="none"/>
        </w:rPr>
        <w:t>medida cautelar</w:t>
      </w:r>
      <w:r w:rsidR="00565C31">
        <w:rPr>
          <w:rFonts w:ascii="Helvetica" w:hAnsi="Helvetica" w:cs="Helvetica"/>
          <w:kern w:val="0"/>
          <w:sz w:val="24"/>
          <w:szCs w:val="24"/>
          <w:lang w:val="es-ES"/>
          <w14:ligatures w14:val="none"/>
        </w:rPr>
        <w:t xml:space="preserve">, la Comisión </w:t>
      </w:r>
      <w:r w:rsidR="007165F2">
        <w:rPr>
          <w:rFonts w:ascii="Helvetica" w:hAnsi="Helvetica" w:cs="Helvetica"/>
          <w:kern w:val="0"/>
          <w:sz w:val="24"/>
          <w:szCs w:val="24"/>
          <w:lang w:val="es-ES"/>
          <w14:ligatures w14:val="none"/>
        </w:rPr>
        <w:t xml:space="preserve">de Regulación CREG procederá a evaluar </w:t>
      </w:r>
      <w:r w:rsidR="00565C31">
        <w:rPr>
          <w:rFonts w:ascii="Helvetica" w:hAnsi="Helvetica" w:cs="Helvetica"/>
          <w:kern w:val="0"/>
          <w:sz w:val="24"/>
          <w:szCs w:val="24"/>
          <w:lang w:val="es-ES"/>
          <w14:ligatures w14:val="none"/>
        </w:rPr>
        <w:t xml:space="preserve">todos los componentes de la fórmula de costo unitario de prestación del servicio </w:t>
      </w:r>
      <w:r w:rsidR="007165F2">
        <w:rPr>
          <w:rFonts w:ascii="Helvetica" w:hAnsi="Helvetica" w:cs="Helvetica"/>
          <w:kern w:val="0"/>
          <w:sz w:val="24"/>
          <w:szCs w:val="24"/>
          <w:lang w:val="es-ES"/>
          <w14:ligatures w14:val="none"/>
        </w:rPr>
        <w:t>de energía, para determinar la modificación</w:t>
      </w:r>
      <w:r w:rsidR="00B6295C">
        <w:rPr>
          <w:rFonts w:ascii="Helvetica" w:hAnsi="Helvetica" w:cs="Helvetica"/>
          <w:kern w:val="0"/>
          <w:sz w:val="24"/>
          <w:szCs w:val="24"/>
          <w:lang w:val="es-ES"/>
          <w14:ligatures w14:val="none"/>
        </w:rPr>
        <w:t xml:space="preserve"> </w:t>
      </w:r>
      <w:r w:rsidR="007165F2">
        <w:rPr>
          <w:rFonts w:ascii="Helvetica" w:hAnsi="Helvetica" w:cs="Helvetica"/>
          <w:kern w:val="0"/>
          <w:sz w:val="24"/>
          <w:szCs w:val="24"/>
          <w:lang w:val="es-ES"/>
          <w14:ligatures w14:val="none"/>
        </w:rPr>
        <w:t>de</w:t>
      </w:r>
      <w:r w:rsidR="00B6295C">
        <w:rPr>
          <w:rFonts w:ascii="Helvetica" w:hAnsi="Helvetica" w:cs="Helvetica"/>
          <w:kern w:val="0"/>
          <w:sz w:val="24"/>
          <w:szCs w:val="24"/>
          <w:lang w:val="es-ES"/>
          <w14:ligatures w14:val="none"/>
        </w:rPr>
        <w:t xml:space="preserve"> todos los demás aspectos regulatorios que incidan directamente en la formación de la tarifa al usuario final</w:t>
      </w:r>
      <w:r w:rsidR="007165F2">
        <w:rPr>
          <w:rFonts w:ascii="Helvetica" w:hAnsi="Helvetica" w:cs="Helvetica"/>
          <w:kern w:val="0"/>
          <w:sz w:val="24"/>
          <w:szCs w:val="24"/>
          <w:lang w:val="es-ES"/>
          <w14:ligatures w14:val="none"/>
        </w:rPr>
        <w:t xml:space="preserve"> de la región Caribe.</w:t>
      </w:r>
      <w:r w:rsidR="008667A5" w:rsidRPr="008667A5">
        <w:rPr>
          <w:rFonts w:ascii="Helvetica" w:hAnsi="Helvetica" w:cs="Helvetica"/>
          <w:kern w:val="0"/>
          <w:sz w:val="24"/>
          <w:szCs w:val="24"/>
          <w:lang w:val="es-ES"/>
          <w14:ligatures w14:val="none"/>
        </w:rPr>
        <w:t xml:space="preserve"> </w:t>
      </w:r>
      <w:r>
        <w:rPr>
          <w:rFonts w:ascii="Helvetica" w:hAnsi="Helvetica" w:cs="Helvetica"/>
          <w:b/>
          <w:bCs/>
          <w:kern w:val="0"/>
          <w:sz w:val="24"/>
          <w:szCs w:val="24"/>
          <w:lang w:val="es-ES"/>
          <w14:ligatures w14:val="none"/>
        </w:rPr>
        <w:t xml:space="preserve"> </w:t>
      </w:r>
    </w:p>
    <w:p w14:paraId="452B4328" w14:textId="39B40B6B" w:rsidR="0032260A" w:rsidRDefault="007165F2" w:rsidP="00CA6D62">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Precisamos que la Comisión de Regulación CREG se encuentra trabajando sobre todas las </w:t>
      </w:r>
      <w:r w:rsidR="001C77B9" w:rsidRPr="00F46A17">
        <w:rPr>
          <w:rFonts w:ascii="Helvetica" w:hAnsi="Helvetica" w:cs="Helvetica"/>
          <w:kern w:val="0"/>
          <w:sz w:val="24"/>
          <w:szCs w:val="24"/>
          <w:lang w:val="es-ES"/>
          <w14:ligatures w14:val="none"/>
        </w:rPr>
        <w:t xml:space="preserve">medidas </w:t>
      </w:r>
      <w:r>
        <w:rPr>
          <w:rFonts w:ascii="Helvetica" w:hAnsi="Helvetica" w:cs="Helvetica"/>
          <w:kern w:val="0"/>
          <w:sz w:val="24"/>
          <w:szCs w:val="24"/>
          <w:lang w:val="es-ES"/>
          <w14:ligatures w14:val="none"/>
        </w:rPr>
        <w:t xml:space="preserve">regulatorias que </w:t>
      </w:r>
      <w:r w:rsidR="001C77B9" w:rsidRPr="00F46A17">
        <w:rPr>
          <w:rFonts w:ascii="Helvetica" w:hAnsi="Helvetica" w:cs="Helvetica"/>
          <w:kern w:val="0"/>
          <w:sz w:val="24"/>
          <w:szCs w:val="24"/>
          <w:lang w:val="es-ES"/>
          <w14:ligatures w14:val="none"/>
        </w:rPr>
        <w:t>impact</w:t>
      </w:r>
      <w:r>
        <w:rPr>
          <w:rFonts w:ascii="Helvetica" w:hAnsi="Helvetica" w:cs="Helvetica"/>
          <w:kern w:val="0"/>
          <w:sz w:val="24"/>
          <w:szCs w:val="24"/>
          <w:lang w:val="es-ES"/>
          <w14:ligatures w14:val="none"/>
        </w:rPr>
        <w:t>an</w:t>
      </w:r>
      <w:r w:rsidR="001C77B9" w:rsidRPr="00F46A17">
        <w:rPr>
          <w:rFonts w:ascii="Helvetica" w:hAnsi="Helvetica" w:cs="Helvetica"/>
          <w:kern w:val="0"/>
          <w:sz w:val="24"/>
          <w:szCs w:val="24"/>
          <w:lang w:val="es-ES"/>
          <w14:ligatures w14:val="none"/>
        </w:rPr>
        <w:t xml:space="preserve"> direct</w:t>
      </w:r>
      <w:r>
        <w:rPr>
          <w:rFonts w:ascii="Helvetica" w:hAnsi="Helvetica" w:cs="Helvetica"/>
          <w:kern w:val="0"/>
          <w:sz w:val="24"/>
          <w:szCs w:val="24"/>
          <w:lang w:val="es-ES"/>
          <w14:ligatures w14:val="none"/>
        </w:rPr>
        <w:t>amente</w:t>
      </w:r>
      <w:r w:rsidR="001C77B9" w:rsidRPr="00F46A17">
        <w:rPr>
          <w:rFonts w:ascii="Helvetica" w:hAnsi="Helvetica" w:cs="Helvetica"/>
          <w:kern w:val="0"/>
          <w:sz w:val="24"/>
          <w:szCs w:val="24"/>
          <w:lang w:val="es-ES"/>
          <w14:ligatures w14:val="none"/>
        </w:rPr>
        <w:t xml:space="preserve"> las tarifas</w:t>
      </w:r>
      <w:r>
        <w:rPr>
          <w:rFonts w:ascii="Helvetica" w:hAnsi="Helvetica" w:cs="Helvetica"/>
          <w:kern w:val="0"/>
          <w:sz w:val="24"/>
          <w:szCs w:val="24"/>
          <w:lang w:val="es-ES"/>
          <w14:ligatures w14:val="none"/>
        </w:rPr>
        <w:t>, como son</w:t>
      </w:r>
      <w:r w:rsidR="0032260A">
        <w:rPr>
          <w:rFonts w:ascii="Helvetica" w:hAnsi="Helvetica" w:cs="Helvetica"/>
          <w:kern w:val="0"/>
          <w:sz w:val="24"/>
          <w:szCs w:val="24"/>
          <w:lang w:val="es-ES"/>
          <w14:ligatures w14:val="none"/>
        </w:rPr>
        <w:t>:</w:t>
      </w:r>
    </w:p>
    <w:p w14:paraId="0AF3E4E9" w14:textId="29BF6931" w:rsidR="00576411" w:rsidRPr="0032260A" w:rsidRDefault="0032260A" w:rsidP="00CA6D62">
      <w:pPr>
        <w:jc w:val="both"/>
        <w:rPr>
          <w:rFonts w:ascii="Helvetica" w:hAnsi="Helvetica" w:cs="Helvetica"/>
          <w:b/>
          <w:bCs/>
          <w:kern w:val="0"/>
          <w:sz w:val="24"/>
          <w:szCs w:val="24"/>
          <w:lang w:val="es-ES"/>
          <w14:ligatures w14:val="none"/>
        </w:rPr>
      </w:pPr>
      <w:r w:rsidRPr="0032260A">
        <w:rPr>
          <w:rFonts w:ascii="Helvetica" w:hAnsi="Helvetica" w:cs="Helvetica"/>
          <w:b/>
          <w:bCs/>
          <w:kern w:val="0"/>
          <w:sz w:val="24"/>
          <w:szCs w:val="24"/>
          <w:lang w:val="es-ES"/>
          <w14:ligatures w14:val="none"/>
        </w:rPr>
        <w:t>C</w:t>
      </w:r>
      <w:r w:rsidR="005A1783" w:rsidRPr="0032260A">
        <w:rPr>
          <w:rFonts w:ascii="Helvetica" w:hAnsi="Helvetica" w:cs="Helvetica"/>
          <w:b/>
          <w:bCs/>
          <w:kern w:val="0"/>
          <w:sz w:val="24"/>
          <w:szCs w:val="24"/>
          <w:lang w:val="es-ES"/>
          <w14:ligatures w14:val="none"/>
        </w:rPr>
        <w:t>omponente de generación</w:t>
      </w:r>
    </w:p>
    <w:p w14:paraId="268D820C" w14:textId="3F78BFCD" w:rsidR="00576411" w:rsidRPr="00576411" w:rsidRDefault="001C25A3" w:rsidP="00576411">
      <w:pPr>
        <w:pStyle w:val="Prrafodelista"/>
        <w:numPr>
          <w:ilvl w:val="0"/>
          <w:numId w:val="1"/>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Mediante proyecto de </w:t>
      </w:r>
      <w:r w:rsidR="00475C6C" w:rsidRPr="007165F2">
        <w:rPr>
          <w:rFonts w:ascii="Helvetica" w:hAnsi="Helvetica" w:cs="Helvetica"/>
          <w:b/>
          <w:bCs/>
          <w:kern w:val="0"/>
          <w:sz w:val="24"/>
          <w:szCs w:val="24"/>
          <w:lang w:val="es-ES"/>
          <w14:ligatures w14:val="none"/>
        </w:rPr>
        <w:t>R</w:t>
      </w:r>
      <w:r w:rsidRPr="007165F2">
        <w:rPr>
          <w:rFonts w:ascii="Helvetica" w:hAnsi="Helvetica" w:cs="Helvetica"/>
          <w:b/>
          <w:bCs/>
          <w:kern w:val="0"/>
          <w:sz w:val="24"/>
          <w:szCs w:val="24"/>
          <w:lang w:val="es-ES"/>
          <w14:ligatures w14:val="none"/>
        </w:rPr>
        <w:t>esolución</w:t>
      </w:r>
      <w:r>
        <w:rPr>
          <w:rFonts w:ascii="Helvetica" w:hAnsi="Helvetica" w:cs="Helvetica"/>
          <w:kern w:val="0"/>
          <w:sz w:val="24"/>
          <w:szCs w:val="24"/>
          <w:lang w:val="es-ES"/>
          <w14:ligatures w14:val="none"/>
        </w:rPr>
        <w:t xml:space="preserve"> </w:t>
      </w:r>
      <w:r w:rsidRPr="007165F2">
        <w:rPr>
          <w:rFonts w:ascii="Helvetica" w:hAnsi="Helvetica" w:cs="Helvetica"/>
          <w:b/>
          <w:bCs/>
          <w:kern w:val="0"/>
          <w:sz w:val="24"/>
          <w:szCs w:val="24"/>
          <w:lang w:val="es-ES"/>
          <w14:ligatures w14:val="none"/>
        </w:rPr>
        <w:t>CREG 701 049 de 2024</w:t>
      </w:r>
      <w:r>
        <w:rPr>
          <w:rFonts w:ascii="Helvetica" w:hAnsi="Helvetica" w:cs="Helvetica"/>
          <w:kern w:val="0"/>
          <w:sz w:val="24"/>
          <w:szCs w:val="24"/>
          <w:lang w:val="es-ES"/>
          <w14:ligatures w14:val="none"/>
        </w:rPr>
        <w:t xml:space="preserve"> </w:t>
      </w:r>
      <w:r w:rsidR="008E19C6">
        <w:rPr>
          <w:rFonts w:ascii="Helvetica" w:hAnsi="Helvetica" w:cs="Helvetica"/>
          <w:kern w:val="0"/>
          <w:sz w:val="24"/>
          <w:szCs w:val="24"/>
          <w:lang w:val="es-ES"/>
          <w14:ligatures w14:val="none"/>
        </w:rPr>
        <w:t>se publicó una p</w:t>
      </w:r>
      <w:r w:rsidR="006A6324" w:rsidRPr="00576411">
        <w:rPr>
          <w:rFonts w:ascii="Helvetica" w:hAnsi="Helvetica" w:cs="Helvetica"/>
          <w:kern w:val="0"/>
          <w:sz w:val="24"/>
          <w:szCs w:val="24"/>
          <w:lang w:val="es-ES"/>
          <w14:ligatures w14:val="none"/>
        </w:rPr>
        <w:t xml:space="preserve">ropuesta </w:t>
      </w:r>
      <w:r w:rsidR="008E19C6">
        <w:rPr>
          <w:rFonts w:ascii="Helvetica" w:hAnsi="Helvetica" w:cs="Helvetica"/>
          <w:kern w:val="0"/>
          <w:sz w:val="24"/>
          <w:szCs w:val="24"/>
          <w:lang w:val="es-ES"/>
          <w14:ligatures w14:val="none"/>
        </w:rPr>
        <w:t>para el</w:t>
      </w:r>
      <w:r w:rsidR="006A6324" w:rsidRPr="00576411">
        <w:rPr>
          <w:rFonts w:ascii="Helvetica" w:hAnsi="Helvetica" w:cs="Helvetica"/>
          <w:kern w:val="0"/>
          <w:sz w:val="24"/>
          <w:szCs w:val="24"/>
          <w:lang w:val="es-ES"/>
          <w14:ligatures w14:val="none"/>
        </w:rPr>
        <w:t xml:space="preserve"> control de precio de bolsa y </w:t>
      </w:r>
      <w:r w:rsidR="008E19C6">
        <w:rPr>
          <w:rFonts w:ascii="Helvetica" w:hAnsi="Helvetica" w:cs="Helvetica"/>
          <w:kern w:val="0"/>
          <w:sz w:val="24"/>
          <w:szCs w:val="24"/>
          <w:lang w:val="es-ES"/>
          <w14:ligatures w14:val="none"/>
        </w:rPr>
        <w:t xml:space="preserve">mediante el </w:t>
      </w:r>
      <w:r w:rsidR="00A15FCD">
        <w:rPr>
          <w:rFonts w:ascii="Helvetica" w:hAnsi="Helvetica" w:cs="Helvetica"/>
          <w:kern w:val="0"/>
          <w:sz w:val="24"/>
          <w:szCs w:val="24"/>
          <w:lang w:val="es-ES"/>
          <w14:ligatures w14:val="none"/>
        </w:rPr>
        <w:t>proyecto</w:t>
      </w:r>
      <w:r w:rsidR="008E19C6">
        <w:rPr>
          <w:rFonts w:ascii="Helvetica" w:hAnsi="Helvetica" w:cs="Helvetica"/>
          <w:kern w:val="0"/>
          <w:sz w:val="24"/>
          <w:szCs w:val="24"/>
          <w:lang w:val="es-ES"/>
          <w14:ligatures w14:val="none"/>
        </w:rPr>
        <w:t xml:space="preserve"> de </w:t>
      </w:r>
      <w:r w:rsidR="007165F2" w:rsidRPr="007165F2">
        <w:rPr>
          <w:rFonts w:ascii="Helvetica" w:hAnsi="Helvetica" w:cs="Helvetica"/>
          <w:b/>
          <w:bCs/>
          <w:kern w:val="0"/>
          <w:sz w:val="24"/>
          <w:szCs w:val="24"/>
          <w:lang w:val="es-ES"/>
          <w14:ligatures w14:val="none"/>
        </w:rPr>
        <w:t>R</w:t>
      </w:r>
      <w:r w:rsidR="008E19C6" w:rsidRPr="007165F2">
        <w:rPr>
          <w:rFonts w:ascii="Helvetica" w:hAnsi="Helvetica" w:cs="Helvetica"/>
          <w:b/>
          <w:bCs/>
          <w:kern w:val="0"/>
          <w:sz w:val="24"/>
          <w:szCs w:val="24"/>
          <w:lang w:val="es-ES"/>
          <w14:ligatures w14:val="none"/>
        </w:rPr>
        <w:t>esolución</w:t>
      </w:r>
      <w:r w:rsidR="008E19C6">
        <w:rPr>
          <w:rFonts w:ascii="Helvetica" w:hAnsi="Helvetica" w:cs="Helvetica"/>
          <w:kern w:val="0"/>
          <w:sz w:val="24"/>
          <w:szCs w:val="24"/>
          <w:lang w:val="es-ES"/>
          <w14:ligatures w14:val="none"/>
        </w:rPr>
        <w:t xml:space="preserve"> </w:t>
      </w:r>
      <w:r w:rsidR="008E19C6" w:rsidRPr="007165F2">
        <w:rPr>
          <w:rFonts w:ascii="Helvetica" w:hAnsi="Helvetica" w:cs="Helvetica"/>
          <w:b/>
          <w:bCs/>
          <w:kern w:val="0"/>
          <w:sz w:val="24"/>
          <w:szCs w:val="24"/>
          <w:lang w:val="es-ES"/>
          <w14:ligatures w14:val="none"/>
        </w:rPr>
        <w:t>CREG 701 065 de 2024</w:t>
      </w:r>
      <w:r w:rsidR="008E19C6">
        <w:rPr>
          <w:rFonts w:ascii="Helvetica" w:hAnsi="Helvetica" w:cs="Helvetica"/>
          <w:kern w:val="0"/>
          <w:sz w:val="24"/>
          <w:szCs w:val="24"/>
          <w:lang w:val="es-ES"/>
          <w14:ligatures w14:val="none"/>
        </w:rPr>
        <w:t xml:space="preserve"> </w:t>
      </w:r>
      <w:r w:rsidR="00A15FCD">
        <w:rPr>
          <w:rFonts w:ascii="Helvetica" w:hAnsi="Helvetica" w:cs="Helvetica"/>
          <w:kern w:val="0"/>
          <w:sz w:val="24"/>
          <w:szCs w:val="24"/>
          <w:lang w:val="es-ES"/>
          <w14:ligatures w14:val="none"/>
        </w:rPr>
        <w:t xml:space="preserve">se publicó a comentarios una propuesta para </w:t>
      </w:r>
      <w:r w:rsidR="006A6324" w:rsidRPr="00576411">
        <w:rPr>
          <w:rFonts w:ascii="Helvetica" w:hAnsi="Helvetica" w:cs="Helvetica"/>
          <w:kern w:val="0"/>
          <w:sz w:val="24"/>
          <w:szCs w:val="24"/>
          <w:lang w:val="es-ES"/>
          <w14:ligatures w14:val="none"/>
        </w:rPr>
        <w:t>definir nuevos precios de escasez</w:t>
      </w:r>
      <w:r w:rsidR="0032260A">
        <w:rPr>
          <w:rFonts w:ascii="Helvetica" w:hAnsi="Helvetica" w:cs="Helvetica"/>
          <w:kern w:val="0"/>
          <w:sz w:val="24"/>
          <w:szCs w:val="24"/>
          <w:lang w:val="es-ES"/>
          <w14:ligatures w14:val="none"/>
        </w:rPr>
        <w:t>.</w:t>
      </w:r>
    </w:p>
    <w:p w14:paraId="671A6E3D" w14:textId="62A55588" w:rsidR="00576411" w:rsidRPr="00576411" w:rsidRDefault="0032260A" w:rsidP="00576411">
      <w:pPr>
        <w:pStyle w:val="Prrafodelista"/>
        <w:numPr>
          <w:ilvl w:val="0"/>
          <w:numId w:val="1"/>
        </w:numPr>
        <w:jc w:val="both"/>
        <w:rPr>
          <w:rFonts w:ascii="Helvetica" w:hAnsi="Helvetica" w:cs="Helvetica"/>
          <w:kern w:val="0"/>
          <w:sz w:val="24"/>
          <w:szCs w:val="24"/>
          <w14:ligatures w14:val="none"/>
        </w:rPr>
      </w:pPr>
      <w:r>
        <w:rPr>
          <w:rFonts w:ascii="Helvetica" w:hAnsi="Helvetica" w:cs="Helvetica"/>
          <w:kern w:val="0"/>
          <w:sz w:val="24"/>
          <w:szCs w:val="24"/>
          <w:lang w:val="es-ES"/>
          <w14:ligatures w14:val="none"/>
        </w:rPr>
        <w:t>F</w:t>
      </w:r>
      <w:r w:rsidR="001373AE" w:rsidRPr="00576411">
        <w:rPr>
          <w:rFonts w:ascii="Helvetica" w:hAnsi="Helvetica" w:cs="Helvetica"/>
          <w:kern w:val="0"/>
          <w:sz w:val="24"/>
          <w:szCs w:val="24"/>
          <w:lang w:val="es-ES"/>
          <w14:ligatures w14:val="none"/>
        </w:rPr>
        <w:t xml:space="preserve">lexibilización de la regla para contratos de largo plazo con destino a la demanda regulada </w:t>
      </w:r>
      <w:r w:rsidR="00137404" w:rsidRPr="00576411">
        <w:rPr>
          <w:rFonts w:ascii="Helvetica" w:hAnsi="Helvetica" w:cs="Helvetica"/>
          <w:kern w:val="0"/>
          <w:sz w:val="24"/>
          <w:szCs w:val="24"/>
          <w:lang w:val="es-ES"/>
          <w14:ligatures w14:val="none"/>
        </w:rPr>
        <w:t xml:space="preserve">donde </w:t>
      </w:r>
      <w:r w:rsidR="00CA6D62" w:rsidRPr="00576411">
        <w:rPr>
          <w:rFonts w:ascii="Helvetica" w:hAnsi="Helvetica" w:cs="Helvetica"/>
          <w:kern w:val="0"/>
          <w:sz w:val="24"/>
          <w:szCs w:val="24"/>
          <w:lang w:val="es-ES"/>
          <w14:ligatures w14:val="none"/>
        </w:rPr>
        <w:t>se busc</w:t>
      </w:r>
      <w:r w:rsidR="00EB50A4" w:rsidRPr="00576411">
        <w:rPr>
          <w:rFonts w:ascii="Helvetica" w:hAnsi="Helvetica" w:cs="Helvetica"/>
          <w:kern w:val="0"/>
          <w:sz w:val="24"/>
          <w:szCs w:val="24"/>
          <w:lang w:val="es-ES"/>
          <w14:ligatures w14:val="none"/>
        </w:rPr>
        <w:t>a</w:t>
      </w:r>
      <w:r w:rsidR="00CA6D62" w:rsidRPr="00576411">
        <w:rPr>
          <w:rFonts w:ascii="Helvetica" w:hAnsi="Helvetica" w:cs="Helvetica"/>
          <w:kern w:val="0"/>
          <w:sz w:val="24"/>
          <w:szCs w:val="24"/>
          <w:lang w:val="es-ES"/>
          <w14:ligatures w14:val="none"/>
        </w:rPr>
        <w:t xml:space="preserve"> aumentar la contratación de energía para reducir las compras en la bolsa de energía que realizan los comercializadores</w:t>
      </w:r>
      <w:r>
        <w:rPr>
          <w:rFonts w:ascii="Helvetica" w:hAnsi="Helvetica" w:cs="Helvetica"/>
          <w:kern w:val="0"/>
          <w:sz w:val="24"/>
          <w:szCs w:val="24"/>
          <w:lang w:val="es-ES"/>
          <w14:ligatures w14:val="none"/>
        </w:rPr>
        <w:t>.</w:t>
      </w:r>
    </w:p>
    <w:p w14:paraId="128EDC2C" w14:textId="3FE8F57B" w:rsidR="00576411" w:rsidRPr="00576411" w:rsidRDefault="00BC72C4" w:rsidP="00576411">
      <w:pPr>
        <w:pStyle w:val="Prrafodelista"/>
        <w:numPr>
          <w:ilvl w:val="0"/>
          <w:numId w:val="1"/>
        </w:numPr>
        <w:jc w:val="both"/>
        <w:rPr>
          <w:rFonts w:ascii="Helvetica" w:hAnsi="Helvetica" w:cs="Helvetica"/>
          <w:kern w:val="0"/>
          <w:sz w:val="24"/>
          <w:szCs w:val="24"/>
          <w14:ligatures w14:val="none"/>
        </w:rPr>
      </w:pPr>
      <w:r>
        <w:rPr>
          <w:rFonts w:ascii="Helvetica" w:hAnsi="Helvetica" w:cs="Helvetica"/>
          <w:kern w:val="0"/>
          <w:sz w:val="24"/>
          <w:szCs w:val="24"/>
          <w:lang w:val="es-ES"/>
          <w14:ligatures w14:val="none"/>
        </w:rPr>
        <w:t>Se publicó a consulta</w:t>
      </w:r>
      <w:r w:rsidR="00C11497">
        <w:rPr>
          <w:rFonts w:ascii="Helvetica" w:hAnsi="Helvetica" w:cs="Helvetica"/>
          <w:kern w:val="0"/>
          <w:sz w:val="24"/>
          <w:szCs w:val="24"/>
          <w:lang w:val="es-ES"/>
          <w14:ligatures w14:val="none"/>
        </w:rPr>
        <w:t xml:space="preserve"> el proyecto de </w:t>
      </w:r>
      <w:r w:rsidR="00475C6C" w:rsidRPr="007165F2">
        <w:rPr>
          <w:rFonts w:ascii="Helvetica" w:hAnsi="Helvetica" w:cs="Helvetica"/>
          <w:b/>
          <w:bCs/>
          <w:kern w:val="0"/>
          <w:sz w:val="24"/>
          <w:szCs w:val="24"/>
          <w:lang w:val="es-ES"/>
          <w14:ligatures w14:val="none"/>
        </w:rPr>
        <w:t>R</w:t>
      </w:r>
      <w:r w:rsidR="00C11497" w:rsidRPr="007165F2">
        <w:rPr>
          <w:rFonts w:ascii="Helvetica" w:hAnsi="Helvetica" w:cs="Helvetica"/>
          <w:b/>
          <w:bCs/>
          <w:kern w:val="0"/>
          <w:sz w:val="24"/>
          <w:szCs w:val="24"/>
          <w:lang w:val="es-ES"/>
          <w14:ligatures w14:val="none"/>
        </w:rPr>
        <w:t>esolución</w:t>
      </w:r>
      <w:r w:rsidR="00C11497">
        <w:rPr>
          <w:rFonts w:ascii="Helvetica" w:hAnsi="Helvetica" w:cs="Helvetica"/>
          <w:kern w:val="0"/>
          <w:sz w:val="24"/>
          <w:szCs w:val="24"/>
          <w:lang w:val="es-ES"/>
          <w14:ligatures w14:val="none"/>
        </w:rPr>
        <w:t xml:space="preserve"> </w:t>
      </w:r>
      <w:r w:rsidR="00C11497" w:rsidRPr="007165F2">
        <w:rPr>
          <w:rFonts w:ascii="Helvetica" w:hAnsi="Helvetica" w:cs="Helvetica"/>
          <w:b/>
          <w:bCs/>
          <w:kern w:val="0"/>
          <w:sz w:val="24"/>
          <w:szCs w:val="24"/>
          <w:lang w:val="es-ES"/>
          <w14:ligatures w14:val="none"/>
        </w:rPr>
        <w:t>CREG 701 064 de 2024</w:t>
      </w:r>
      <w:r w:rsidR="00C11497">
        <w:rPr>
          <w:rFonts w:ascii="Helvetica" w:hAnsi="Helvetica" w:cs="Helvetica"/>
          <w:kern w:val="0"/>
          <w:sz w:val="24"/>
          <w:szCs w:val="24"/>
          <w:lang w:val="es-ES"/>
          <w14:ligatures w14:val="none"/>
        </w:rPr>
        <w:t xml:space="preserve"> </w:t>
      </w:r>
      <w:r>
        <w:rPr>
          <w:rFonts w:ascii="Helvetica" w:hAnsi="Helvetica" w:cs="Helvetica"/>
          <w:kern w:val="0"/>
          <w:sz w:val="24"/>
          <w:szCs w:val="24"/>
          <w:lang w:val="es-ES"/>
          <w14:ligatures w14:val="none"/>
        </w:rPr>
        <w:t>para f</w:t>
      </w:r>
      <w:r w:rsidR="00CA6D62" w:rsidRPr="00576411">
        <w:rPr>
          <w:rFonts w:ascii="Helvetica" w:hAnsi="Helvetica" w:cs="Helvetica"/>
          <w:kern w:val="0"/>
          <w:sz w:val="24"/>
          <w:szCs w:val="24"/>
          <w:lang w:val="es-ES"/>
          <w14:ligatures w14:val="none"/>
        </w:rPr>
        <w:t>acilit</w:t>
      </w:r>
      <w:r w:rsidR="00E41FCB" w:rsidRPr="00576411">
        <w:rPr>
          <w:rFonts w:ascii="Helvetica" w:hAnsi="Helvetica" w:cs="Helvetica"/>
          <w:kern w:val="0"/>
          <w:sz w:val="24"/>
          <w:szCs w:val="24"/>
          <w:lang w:val="es-ES"/>
          <w14:ligatures w14:val="none"/>
        </w:rPr>
        <w:t>ar</w:t>
      </w:r>
      <w:r w:rsidR="00CA6D62" w:rsidRPr="00576411">
        <w:rPr>
          <w:rFonts w:ascii="Helvetica" w:hAnsi="Helvetica" w:cs="Helvetica"/>
          <w:kern w:val="0"/>
          <w:sz w:val="24"/>
          <w:szCs w:val="24"/>
          <w:lang w:val="es-ES"/>
          <w14:ligatures w14:val="none"/>
        </w:rPr>
        <w:t xml:space="preserve"> la entrega de excedentes de energía por parte de los autogeneradores y aquellos otros generadores con disponibilidad de energía</w:t>
      </w:r>
      <w:r w:rsidR="00E41FCB" w:rsidRPr="00576411">
        <w:rPr>
          <w:rFonts w:ascii="Helvetica" w:hAnsi="Helvetica" w:cs="Helvetica"/>
          <w:kern w:val="0"/>
          <w:sz w:val="24"/>
          <w:szCs w:val="24"/>
          <w:lang w:val="es-ES"/>
          <w14:ligatures w14:val="none"/>
        </w:rPr>
        <w:t xml:space="preserve">, </w:t>
      </w:r>
      <w:r w:rsidR="00646C26" w:rsidRPr="00576411">
        <w:rPr>
          <w:rFonts w:ascii="Helvetica" w:hAnsi="Helvetica" w:cs="Helvetica"/>
          <w:kern w:val="0"/>
          <w:sz w:val="24"/>
          <w:szCs w:val="24"/>
          <w:lang w:val="es-ES"/>
          <w14:ligatures w14:val="none"/>
        </w:rPr>
        <w:t>con el objetivo de aumentar la oferta de energía en el mercado</w:t>
      </w:r>
      <w:r w:rsidR="0032260A">
        <w:rPr>
          <w:rFonts w:ascii="Helvetica" w:hAnsi="Helvetica" w:cs="Helvetica"/>
          <w:kern w:val="0"/>
          <w:sz w:val="24"/>
          <w:szCs w:val="24"/>
          <w:lang w:val="es-ES"/>
          <w14:ligatures w14:val="none"/>
        </w:rPr>
        <w:t>.</w:t>
      </w:r>
    </w:p>
    <w:p w14:paraId="7D1E786F" w14:textId="3AACA2D1" w:rsidR="00576411" w:rsidRPr="00576411" w:rsidRDefault="0032260A" w:rsidP="00576411">
      <w:pPr>
        <w:pStyle w:val="Prrafodelista"/>
        <w:numPr>
          <w:ilvl w:val="0"/>
          <w:numId w:val="1"/>
        </w:numPr>
        <w:jc w:val="both"/>
        <w:rPr>
          <w:rFonts w:ascii="Helvetica" w:hAnsi="Helvetica" w:cs="Helvetica"/>
          <w:kern w:val="0"/>
          <w:sz w:val="24"/>
          <w:szCs w:val="24"/>
          <w14:ligatures w14:val="none"/>
        </w:rPr>
      </w:pPr>
      <w:r>
        <w:rPr>
          <w:rFonts w:ascii="Helvetica" w:hAnsi="Helvetica" w:cs="Helvetica"/>
          <w:kern w:val="0"/>
          <w:sz w:val="24"/>
          <w:szCs w:val="24"/>
          <w:lang w:val="es-ES"/>
          <w14:ligatures w14:val="none"/>
        </w:rPr>
        <w:t>P</w:t>
      </w:r>
      <w:r w:rsidR="00CA6D62" w:rsidRPr="00576411">
        <w:rPr>
          <w:rFonts w:ascii="Helvetica" w:hAnsi="Helvetica" w:cs="Helvetica"/>
          <w:kern w:val="0"/>
          <w:sz w:val="24"/>
          <w:szCs w:val="24"/>
          <w:lang w:val="es-ES"/>
          <w14:ligatures w14:val="none"/>
        </w:rPr>
        <w:t xml:space="preserve">ara garantizar el abastecimiento de energía en el mediano y largo plazo se realizó la subasta de expansión el 15 de febrero de este año y se </w:t>
      </w:r>
      <w:r w:rsidR="00CA6D62" w:rsidRPr="00576411">
        <w:rPr>
          <w:rFonts w:ascii="Helvetica" w:hAnsi="Helvetica" w:cs="Helvetica"/>
          <w:kern w:val="0"/>
          <w:sz w:val="24"/>
          <w:szCs w:val="24"/>
          <w:lang w:val="es-ES"/>
          <w14:ligatures w14:val="none"/>
        </w:rPr>
        <w:lastRenderedPageBreak/>
        <w:t>propuso la realización de una subasta de reconfiguración de compra</w:t>
      </w:r>
      <w:r w:rsidR="00256F2A">
        <w:rPr>
          <w:rFonts w:ascii="Helvetica" w:hAnsi="Helvetica" w:cs="Helvetica"/>
          <w:kern w:val="0"/>
          <w:sz w:val="24"/>
          <w:szCs w:val="24"/>
          <w:lang w:val="es-ES"/>
          <w14:ligatures w14:val="none"/>
        </w:rPr>
        <w:t xml:space="preserve">, mediante el proyecto de </w:t>
      </w:r>
      <w:r w:rsidR="00256F2A" w:rsidRPr="007165F2">
        <w:rPr>
          <w:rFonts w:ascii="Helvetica" w:hAnsi="Helvetica" w:cs="Helvetica"/>
          <w:b/>
          <w:bCs/>
          <w:kern w:val="0"/>
          <w:sz w:val="24"/>
          <w:szCs w:val="24"/>
          <w:lang w:val="es-ES"/>
          <w14:ligatures w14:val="none"/>
        </w:rPr>
        <w:t>Resolución CREG 701 060 de 2024</w:t>
      </w:r>
      <w:r w:rsidRPr="007165F2">
        <w:rPr>
          <w:rFonts w:ascii="Helvetica" w:hAnsi="Helvetica" w:cs="Helvetica"/>
          <w:b/>
          <w:bCs/>
          <w:kern w:val="0"/>
          <w:sz w:val="24"/>
          <w:szCs w:val="24"/>
          <w:lang w:val="es-ES"/>
          <w14:ligatures w14:val="none"/>
        </w:rPr>
        <w:t>.</w:t>
      </w:r>
    </w:p>
    <w:p w14:paraId="443D50A8" w14:textId="266E15E9" w:rsidR="00CA6D62" w:rsidRPr="007165F2" w:rsidRDefault="0032260A" w:rsidP="00576411">
      <w:pPr>
        <w:pStyle w:val="Prrafodelista"/>
        <w:numPr>
          <w:ilvl w:val="0"/>
          <w:numId w:val="1"/>
        </w:numPr>
        <w:jc w:val="both"/>
        <w:rPr>
          <w:rFonts w:ascii="Helvetica" w:hAnsi="Helvetica" w:cs="Helvetica"/>
          <w:b/>
          <w:bCs/>
          <w:kern w:val="0"/>
          <w:sz w:val="24"/>
          <w:szCs w:val="24"/>
          <w14:ligatures w14:val="none"/>
        </w:rPr>
      </w:pPr>
      <w:r>
        <w:rPr>
          <w:rFonts w:ascii="Helvetica" w:hAnsi="Helvetica" w:cs="Helvetica"/>
          <w:kern w:val="0"/>
          <w:sz w:val="24"/>
          <w:szCs w:val="24"/>
          <w14:ligatures w14:val="none"/>
        </w:rPr>
        <w:t>A</w:t>
      </w:r>
      <w:r w:rsidR="00C60796" w:rsidRPr="00576411">
        <w:rPr>
          <w:rFonts w:ascii="Helvetica" w:hAnsi="Helvetica" w:cs="Helvetica"/>
          <w:kern w:val="0"/>
          <w:sz w:val="24"/>
          <w:szCs w:val="24"/>
          <w14:ligatures w14:val="none"/>
        </w:rPr>
        <w:t>juste de la remuneración de los costos de arranque y parada de las plantas térmicas</w:t>
      </w:r>
      <w:r w:rsidR="009F6990">
        <w:rPr>
          <w:rFonts w:ascii="Helvetica" w:hAnsi="Helvetica" w:cs="Helvetica"/>
          <w:kern w:val="0"/>
          <w:sz w:val="24"/>
          <w:szCs w:val="24"/>
          <w14:ligatures w14:val="none"/>
        </w:rPr>
        <w:t xml:space="preserve">, propuesto mediante el proyecto </w:t>
      </w:r>
      <w:r w:rsidR="009F6990" w:rsidRPr="007165F2">
        <w:rPr>
          <w:rFonts w:ascii="Helvetica" w:hAnsi="Helvetica" w:cs="Helvetica"/>
          <w:b/>
          <w:bCs/>
          <w:kern w:val="0"/>
          <w:sz w:val="24"/>
          <w:szCs w:val="24"/>
          <w14:ligatures w14:val="none"/>
        </w:rPr>
        <w:t>de Resolución CREG 701 048 de 2024</w:t>
      </w:r>
      <w:r w:rsidR="00C60796" w:rsidRPr="007165F2">
        <w:rPr>
          <w:rFonts w:ascii="Helvetica" w:hAnsi="Helvetica" w:cs="Helvetica"/>
          <w:b/>
          <w:bCs/>
          <w:kern w:val="0"/>
          <w:sz w:val="24"/>
          <w:szCs w:val="24"/>
          <w14:ligatures w14:val="none"/>
        </w:rPr>
        <w:t>.</w:t>
      </w:r>
    </w:p>
    <w:p w14:paraId="71BC7BCD" w14:textId="69AF9AB0" w:rsidR="0032260A" w:rsidRDefault="0032260A" w:rsidP="00CA6D62">
      <w:pPr>
        <w:jc w:val="both"/>
        <w:rPr>
          <w:rFonts w:ascii="Helvetica" w:hAnsi="Helvetica" w:cs="Helvetica"/>
          <w:b/>
          <w:bCs/>
          <w:kern w:val="0"/>
          <w:sz w:val="24"/>
          <w:szCs w:val="24"/>
          <w:lang w:val="es-ES"/>
          <w14:ligatures w14:val="none"/>
        </w:rPr>
      </w:pPr>
      <w:r w:rsidRPr="0032260A">
        <w:rPr>
          <w:rFonts w:ascii="Helvetica" w:hAnsi="Helvetica" w:cs="Helvetica"/>
          <w:b/>
          <w:bCs/>
          <w:kern w:val="0"/>
          <w:sz w:val="24"/>
          <w:szCs w:val="24"/>
          <w:lang w:val="es-ES"/>
          <w14:ligatures w14:val="none"/>
        </w:rPr>
        <w:t xml:space="preserve">Componente de </w:t>
      </w:r>
      <w:r w:rsidR="007165F2">
        <w:rPr>
          <w:rFonts w:ascii="Helvetica" w:hAnsi="Helvetica" w:cs="Helvetica"/>
          <w:b/>
          <w:bCs/>
          <w:kern w:val="0"/>
          <w:sz w:val="24"/>
          <w:szCs w:val="24"/>
          <w:lang w:val="es-ES"/>
          <w14:ligatures w14:val="none"/>
        </w:rPr>
        <w:t>T</w:t>
      </w:r>
      <w:r w:rsidRPr="0032260A">
        <w:rPr>
          <w:rFonts w:ascii="Helvetica" w:hAnsi="Helvetica" w:cs="Helvetica"/>
          <w:b/>
          <w:bCs/>
          <w:kern w:val="0"/>
          <w:sz w:val="24"/>
          <w:szCs w:val="24"/>
          <w:lang w:val="es-ES"/>
          <w14:ligatures w14:val="none"/>
        </w:rPr>
        <w:t>ransmisión</w:t>
      </w:r>
    </w:p>
    <w:p w14:paraId="557A0907" w14:textId="77777777" w:rsidR="007165F2" w:rsidRDefault="0032260A" w:rsidP="00CA6D62">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Se expedirá una nueva metodología para el siguiente periodo tarifario</w:t>
      </w:r>
      <w:r w:rsidR="004918D0">
        <w:rPr>
          <w:rFonts w:ascii="Helvetica" w:hAnsi="Helvetica" w:cs="Helvetica"/>
          <w:kern w:val="0"/>
          <w:sz w:val="24"/>
          <w:szCs w:val="24"/>
          <w:lang w:val="es-ES"/>
          <w14:ligatures w14:val="none"/>
        </w:rPr>
        <w:t xml:space="preserve">, cuya última consulta se publicó mediante el proyecto de </w:t>
      </w:r>
      <w:r w:rsidR="004918D0" w:rsidRPr="007165F2">
        <w:rPr>
          <w:rFonts w:ascii="Helvetica" w:hAnsi="Helvetica" w:cs="Helvetica"/>
          <w:b/>
          <w:bCs/>
          <w:kern w:val="0"/>
          <w:sz w:val="24"/>
          <w:szCs w:val="24"/>
          <w:lang w:val="es-ES"/>
          <w14:ligatures w14:val="none"/>
        </w:rPr>
        <w:t>Resolución CREG 17</w:t>
      </w:r>
      <w:r w:rsidR="002C7085" w:rsidRPr="007165F2">
        <w:rPr>
          <w:rFonts w:ascii="Helvetica" w:hAnsi="Helvetica" w:cs="Helvetica"/>
          <w:b/>
          <w:bCs/>
          <w:kern w:val="0"/>
          <w:sz w:val="24"/>
          <w:szCs w:val="24"/>
          <w:lang w:val="es-ES"/>
          <w14:ligatures w14:val="none"/>
        </w:rPr>
        <w:t>7</w:t>
      </w:r>
      <w:r w:rsidR="004918D0" w:rsidRPr="007165F2">
        <w:rPr>
          <w:rFonts w:ascii="Helvetica" w:hAnsi="Helvetica" w:cs="Helvetica"/>
          <w:b/>
          <w:bCs/>
          <w:kern w:val="0"/>
          <w:sz w:val="24"/>
          <w:szCs w:val="24"/>
          <w:lang w:val="es-ES"/>
          <w14:ligatures w14:val="none"/>
        </w:rPr>
        <w:t xml:space="preserve"> de 2016</w:t>
      </w:r>
      <w:r w:rsidR="00910F0C">
        <w:rPr>
          <w:rFonts w:ascii="Helvetica" w:hAnsi="Helvetica" w:cs="Helvetica"/>
          <w:kern w:val="0"/>
          <w:sz w:val="24"/>
          <w:szCs w:val="24"/>
          <w:lang w:val="es-ES"/>
          <w14:ligatures w14:val="none"/>
        </w:rPr>
        <w:t>.</w:t>
      </w:r>
      <w:r>
        <w:rPr>
          <w:rFonts w:ascii="Helvetica" w:hAnsi="Helvetica" w:cs="Helvetica"/>
          <w:kern w:val="0"/>
          <w:sz w:val="24"/>
          <w:szCs w:val="24"/>
          <w:lang w:val="es-ES"/>
          <w14:ligatures w14:val="none"/>
        </w:rPr>
        <w:t xml:space="preserve"> </w:t>
      </w:r>
    </w:p>
    <w:p w14:paraId="2C140924" w14:textId="10CE4D59" w:rsidR="0032260A" w:rsidRDefault="00910F0C" w:rsidP="00CA6D62">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A</w:t>
      </w:r>
      <w:r w:rsidR="0032260A">
        <w:rPr>
          <w:rFonts w:ascii="Helvetica" w:hAnsi="Helvetica" w:cs="Helvetica"/>
          <w:kern w:val="0"/>
          <w:sz w:val="24"/>
          <w:szCs w:val="24"/>
          <w:lang w:val="es-ES"/>
          <w14:ligatures w14:val="none"/>
        </w:rPr>
        <w:t>ctualmente se</w:t>
      </w:r>
      <w:r w:rsidR="002C7085">
        <w:rPr>
          <w:rFonts w:ascii="Helvetica" w:hAnsi="Helvetica" w:cs="Helvetica"/>
          <w:kern w:val="0"/>
          <w:sz w:val="24"/>
          <w:szCs w:val="24"/>
          <w:lang w:val="es-ES"/>
          <w14:ligatures w14:val="none"/>
        </w:rPr>
        <w:t xml:space="preserve"> está impulsado nuevamente la propuesta</w:t>
      </w:r>
      <w:r w:rsidR="0032260A">
        <w:rPr>
          <w:rFonts w:ascii="Helvetica" w:hAnsi="Helvetica" w:cs="Helvetica"/>
          <w:kern w:val="0"/>
          <w:sz w:val="24"/>
          <w:szCs w:val="24"/>
          <w:lang w:val="es-ES"/>
          <w14:ligatures w14:val="none"/>
        </w:rPr>
        <w:t xml:space="preserve"> </w:t>
      </w:r>
      <w:r w:rsidR="002C7085">
        <w:rPr>
          <w:rFonts w:ascii="Helvetica" w:hAnsi="Helvetica" w:cs="Helvetica"/>
          <w:kern w:val="0"/>
          <w:sz w:val="24"/>
          <w:szCs w:val="24"/>
          <w:lang w:val="es-ES"/>
          <w14:ligatures w14:val="none"/>
        </w:rPr>
        <w:t xml:space="preserve">y </w:t>
      </w:r>
      <w:r w:rsidR="00F10E71">
        <w:rPr>
          <w:rFonts w:ascii="Helvetica" w:hAnsi="Helvetica" w:cs="Helvetica"/>
          <w:kern w:val="0"/>
          <w:sz w:val="24"/>
          <w:szCs w:val="24"/>
          <w:lang w:val="es-ES"/>
          <w14:ligatures w14:val="none"/>
        </w:rPr>
        <w:t xml:space="preserve">se </w:t>
      </w:r>
      <w:r w:rsidR="0032260A">
        <w:rPr>
          <w:rFonts w:ascii="Helvetica" w:hAnsi="Helvetica" w:cs="Helvetica"/>
          <w:kern w:val="0"/>
          <w:sz w:val="24"/>
          <w:szCs w:val="24"/>
          <w:lang w:val="es-ES"/>
          <w14:ligatures w14:val="none"/>
        </w:rPr>
        <w:t xml:space="preserve">está desarrollando </w:t>
      </w:r>
      <w:r w:rsidR="00321E59">
        <w:rPr>
          <w:rFonts w:ascii="Helvetica" w:hAnsi="Helvetica" w:cs="Helvetica"/>
          <w:kern w:val="0"/>
          <w:sz w:val="24"/>
          <w:szCs w:val="24"/>
          <w:lang w:val="es-ES"/>
          <w14:ligatures w14:val="none"/>
        </w:rPr>
        <w:t xml:space="preserve">un estudio para la incorporación de nuevas tecnologías </w:t>
      </w:r>
      <w:r w:rsidR="00707B21">
        <w:rPr>
          <w:rFonts w:ascii="Helvetica" w:hAnsi="Helvetica" w:cs="Helvetica"/>
          <w:kern w:val="0"/>
          <w:sz w:val="24"/>
          <w:szCs w:val="24"/>
          <w:lang w:val="es-ES"/>
          <w14:ligatures w14:val="none"/>
        </w:rPr>
        <w:t>en las unidades constructivas utilizadas para la remuneración de activos a los transmisores</w:t>
      </w:r>
      <w:r w:rsidR="00C76149">
        <w:rPr>
          <w:rFonts w:ascii="Helvetica" w:hAnsi="Helvetica" w:cs="Helvetica"/>
          <w:kern w:val="0"/>
          <w:sz w:val="24"/>
          <w:szCs w:val="24"/>
          <w:lang w:val="es-ES"/>
          <w14:ligatures w14:val="none"/>
        </w:rPr>
        <w:t>.</w:t>
      </w:r>
      <w:r>
        <w:rPr>
          <w:rFonts w:ascii="Helvetica" w:hAnsi="Helvetica" w:cs="Helvetica"/>
          <w:kern w:val="0"/>
          <w:sz w:val="24"/>
          <w:szCs w:val="24"/>
          <w:lang w:val="es-ES"/>
          <w14:ligatures w14:val="none"/>
        </w:rPr>
        <w:t xml:space="preserve"> Esta nueva metodología </w:t>
      </w:r>
      <w:r w:rsidR="00D15260">
        <w:rPr>
          <w:rFonts w:ascii="Helvetica" w:hAnsi="Helvetica" w:cs="Helvetica"/>
          <w:kern w:val="0"/>
          <w:sz w:val="24"/>
          <w:szCs w:val="24"/>
          <w:lang w:val="es-ES"/>
          <w14:ligatures w14:val="none"/>
        </w:rPr>
        <w:t xml:space="preserve">tendrá en cuenta </w:t>
      </w:r>
      <w:r w:rsidR="00F63333">
        <w:rPr>
          <w:rFonts w:ascii="Helvetica" w:hAnsi="Helvetica" w:cs="Helvetica"/>
          <w:kern w:val="0"/>
          <w:sz w:val="24"/>
          <w:szCs w:val="24"/>
          <w:lang w:val="es-ES"/>
          <w14:ligatures w14:val="none"/>
        </w:rPr>
        <w:t xml:space="preserve">mayor información </w:t>
      </w:r>
      <w:r w:rsidR="00D333F8">
        <w:rPr>
          <w:rFonts w:ascii="Helvetica" w:hAnsi="Helvetica" w:cs="Helvetica"/>
          <w:kern w:val="0"/>
          <w:sz w:val="24"/>
          <w:szCs w:val="24"/>
          <w:lang w:val="es-ES"/>
          <w14:ligatures w14:val="none"/>
        </w:rPr>
        <w:t>por parte de las empresas y mejor</w:t>
      </w:r>
      <w:r w:rsidR="001358A6">
        <w:rPr>
          <w:rFonts w:ascii="Helvetica" w:hAnsi="Helvetica" w:cs="Helvetica"/>
          <w:kern w:val="0"/>
          <w:sz w:val="24"/>
          <w:szCs w:val="24"/>
          <w:lang w:val="es-ES"/>
          <w14:ligatures w14:val="none"/>
        </w:rPr>
        <w:t>e</w:t>
      </w:r>
      <w:r w:rsidR="00D333F8">
        <w:rPr>
          <w:rFonts w:ascii="Helvetica" w:hAnsi="Helvetica" w:cs="Helvetica"/>
          <w:kern w:val="0"/>
          <w:sz w:val="24"/>
          <w:szCs w:val="24"/>
          <w:lang w:val="es-ES"/>
          <w14:ligatures w14:val="none"/>
        </w:rPr>
        <w:t>s criterios de eficiencia.</w:t>
      </w:r>
    </w:p>
    <w:p w14:paraId="58B0700E" w14:textId="6AF8E953" w:rsidR="00AC1BAC" w:rsidRDefault="00AC1BAC" w:rsidP="00AC1BAC">
      <w:pPr>
        <w:jc w:val="both"/>
        <w:rPr>
          <w:rFonts w:ascii="Helvetica" w:hAnsi="Helvetica" w:cs="Helvetica"/>
          <w:b/>
          <w:bCs/>
          <w:kern w:val="0"/>
          <w:sz w:val="24"/>
          <w:szCs w:val="24"/>
          <w:lang w:val="es-ES"/>
          <w14:ligatures w14:val="none"/>
        </w:rPr>
      </w:pPr>
      <w:r w:rsidRPr="0032260A">
        <w:rPr>
          <w:rFonts w:ascii="Helvetica" w:hAnsi="Helvetica" w:cs="Helvetica"/>
          <w:b/>
          <w:bCs/>
          <w:kern w:val="0"/>
          <w:sz w:val="24"/>
          <w:szCs w:val="24"/>
          <w:lang w:val="es-ES"/>
          <w14:ligatures w14:val="none"/>
        </w:rPr>
        <w:t xml:space="preserve">Componente de </w:t>
      </w:r>
      <w:r w:rsidR="007165F2">
        <w:rPr>
          <w:rFonts w:ascii="Helvetica" w:hAnsi="Helvetica" w:cs="Helvetica"/>
          <w:b/>
          <w:bCs/>
          <w:kern w:val="0"/>
          <w:sz w:val="24"/>
          <w:szCs w:val="24"/>
          <w:lang w:val="es-ES"/>
          <w14:ligatures w14:val="none"/>
        </w:rPr>
        <w:t>D</w:t>
      </w:r>
      <w:r>
        <w:rPr>
          <w:rFonts w:ascii="Helvetica" w:hAnsi="Helvetica" w:cs="Helvetica"/>
          <w:b/>
          <w:bCs/>
          <w:kern w:val="0"/>
          <w:sz w:val="24"/>
          <w:szCs w:val="24"/>
          <w:lang w:val="es-ES"/>
          <w14:ligatures w14:val="none"/>
        </w:rPr>
        <w:t>istribución</w:t>
      </w:r>
    </w:p>
    <w:p w14:paraId="4A235D1C" w14:textId="2ECEE141" w:rsidR="00115595" w:rsidRPr="00C4159C" w:rsidRDefault="00B25083" w:rsidP="00C4159C">
      <w:pPr>
        <w:pStyle w:val="Prrafodelista"/>
        <w:numPr>
          <w:ilvl w:val="0"/>
          <w:numId w:val="2"/>
        </w:numPr>
        <w:jc w:val="both"/>
        <w:rPr>
          <w:rFonts w:ascii="Helvetica" w:hAnsi="Helvetica" w:cs="Helvetica"/>
          <w:kern w:val="0"/>
          <w:sz w:val="24"/>
          <w:szCs w:val="24"/>
          <w:lang w:val="es-ES"/>
          <w14:ligatures w14:val="none"/>
        </w:rPr>
      </w:pPr>
      <w:r w:rsidRPr="00C4159C">
        <w:rPr>
          <w:rFonts w:ascii="Helvetica" w:hAnsi="Helvetica" w:cs="Helvetica"/>
          <w:kern w:val="0"/>
          <w:sz w:val="24"/>
          <w:szCs w:val="24"/>
          <w:lang w:val="es-ES"/>
          <w14:ligatures w14:val="none"/>
        </w:rPr>
        <w:t xml:space="preserve">Se expedirá una nueva metodología para el siguiente periodo tarifario. </w:t>
      </w:r>
      <w:r w:rsidR="001F577B" w:rsidRPr="00C4159C">
        <w:rPr>
          <w:rFonts w:ascii="Helvetica" w:hAnsi="Helvetica" w:cs="Helvetica"/>
          <w:kern w:val="0"/>
          <w:sz w:val="24"/>
          <w:szCs w:val="24"/>
          <w:lang w:val="es-ES"/>
          <w14:ligatures w14:val="none"/>
        </w:rPr>
        <w:t xml:space="preserve">Para la nueva </w:t>
      </w:r>
      <w:r w:rsidRPr="00C4159C">
        <w:rPr>
          <w:rFonts w:ascii="Helvetica" w:hAnsi="Helvetica" w:cs="Helvetica"/>
          <w:kern w:val="0"/>
          <w:sz w:val="24"/>
          <w:szCs w:val="24"/>
          <w:lang w:val="es-ES"/>
          <w14:ligatures w14:val="none"/>
        </w:rPr>
        <w:t>metodología</w:t>
      </w:r>
      <w:r w:rsidR="00FF10BB" w:rsidRPr="00C4159C">
        <w:rPr>
          <w:rFonts w:ascii="Helvetica" w:hAnsi="Helvetica" w:cs="Helvetica"/>
          <w:kern w:val="0"/>
          <w:sz w:val="24"/>
          <w:szCs w:val="24"/>
          <w:lang w:val="es-ES"/>
          <w14:ligatures w14:val="none"/>
        </w:rPr>
        <w:t xml:space="preserve"> se espera incorporar </w:t>
      </w:r>
      <w:r w:rsidR="001358A6" w:rsidRPr="00C4159C">
        <w:rPr>
          <w:rFonts w:ascii="Helvetica" w:hAnsi="Helvetica" w:cs="Helvetica"/>
          <w:kern w:val="0"/>
          <w:sz w:val="24"/>
          <w:szCs w:val="24"/>
          <w:lang w:val="es-ES"/>
          <w14:ligatures w14:val="none"/>
        </w:rPr>
        <w:t xml:space="preserve">mayores criterios de eficiencia en los componentes de inversiones, </w:t>
      </w:r>
      <w:r w:rsidR="00905674" w:rsidRPr="00C4159C">
        <w:rPr>
          <w:rFonts w:ascii="Helvetica" w:hAnsi="Helvetica" w:cs="Helvetica"/>
          <w:kern w:val="0"/>
          <w:sz w:val="24"/>
          <w:szCs w:val="24"/>
          <w:lang w:val="es-ES"/>
          <w14:ligatures w14:val="none"/>
        </w:rPr>
        <w:t>reconocimiento de pérdidas</w:t>
      </w:r>
      <w:r w:rsidR="007D52CE" w:rsidRPr="00C4159C">
        <w:rPr>
          <w:rFonts w:ascii="Helvetica" w:hAnsi="Helvetica" w:cs="Helvetica"/>
          <w:kern w:val="0"/>
          <w:sz w:val="24"/>
          <w:szCs w:val="24"/>
          <w:lang w:val="es-ES"/>
          <w14:ligatures w14:val="none"/>
        </w:rPr>
        <w:t xml:space="preserve">, gastos de administración, operación y mantenimiento </w:t>
      </w:r>
      <w:r w:rsidR="0052144D" w:rsidRPr="00C4159C">
        <w:rPr>
          <w:rFonts w:ascii="Helvetica" w:hAnsi="Helvetica" w:cs="Helvetica"/>
          <w:kern w:val="0"/>
          <w:sz w:val="24"/>
          <w:szCs w:val="24"/>
          <w:lang w:val="es-ES"/>
          <w14:ligatures w14:val="none"/>
        </w:rPr>
        <w:t>y esquema de calidad del servicio.</w:t>
      </w:r>
    </w:p>
    <w:p w14:paraId="25F4A8C8" w14:textId="7E47E084" w:rsidR="00FF10BB" w:rsidRDefault="004362E8" w:rsidP="00C4159C">
      <w:pPr>
        <w:ind w:left="1080"/>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El propósito para la región caribe es que cuando finalice el régimen especial transitorio</w:t>
      </w:r>
      <w:r w:rsidR="004745A5">
        <w:rPr>
          <w:rFonts w:ascii="Helvetica" w:hAnsi="Helvetica" w:cs="Helvetica"/>
          <w:kern w:val="0"/>
          <w:sz w:val="24"/>
          <w:szCs w:val="24"/>
          <w:lang w:val="es-ES"/>
          <w14:ligatures w14:val="none"/>
        </w:rPr>
        <w:t xml:space="preserve">, </w:t>
      </w:r>
      <w:r w:rsidR="00B07881">
        <w:rPr>
          <w:rFonts w:ascii="Helvetica" w:hAnsi="Helvetica" w:cs="Helvetica"/>
          <w:kern w:val="0"/>
          <w:sz w:val="24"/>
          <w:szCs w:val="24"/>
          <w:lang w:val="es-ES"/>
          <w14:ligatures w14:val="none"/>
        </w:rPr>
        <w:t>sin perjuicio de</w:t>
      </w:r>
      <w:r w:rsidR="004745A5">
        <w:rPr>
          <w:rFonts w:ascii="Helvetica" w:hAnsi="Helvetica" w:cs="Helvetica"/>
          <w:kern w:val="0"/>
          <w:sz w:val="24"/>
          <w:szCs w:val="24"/>
          <w:lang w:val="es-ES"/>
          <w14:ligatures w14:val="none"/>
        </w:rPr>
        <w:t xml:space="preserve"> los ajustes que resulten de la actuación administrativa indicada en artículo 1 del presente auto</w:t>
      </w:r>
      <w:r w:rsidR="00C120E8">
        <w:rPr>
          <w:rFonts w:ascii="Helvetica" w:hAnsi="Helvetica" w:cs="Helvetica"/>
          <w:kern w:val="0"/>
          <w:sz w:val="24"/>
          <w:szCs w:val="24"/>
          <w:lang w:val="es-ES"/>
          <w14:ligatures w14:val="none"/>
        </w:rPr>
        <w:t>,</w:t>
      </w:r>
      <w:r>
        <w:rPr>
          <w:rFonts w:ascii="Helvetica" w:hAnsi="Helvetica" w:cs="Helvetica"/>
          <w:kern w:val="0"/>
          <w:sz w:val="24"/>
          <w:szCs w:val="24"/>
          <w:lang w:val="es-ES"/>
          <w14:ligatures w14:val="none"/>
        </w:rPr>
        <w:t xml:space="preserve"> </w:t>
      </w:r>
      <w:r w:rsidR="003246BC">
        <w:rPr>
          <w:rFonts w:ascii="Helvetica" w:hAnsi="Helvetica" w:cs="Helvetica"/>
          <w:kern w:val="0"/>
          <w:sz w:val="24"/>
          <w:szCs w:val="24"/>
          <w:lang w:val="es-ES"/>
          <w14:ligatures w14:val="none"/>
        </w:rPr>
        <w:t xml:space="preserve">se aplique la misma metodología para la remuneración de la actividad de distribución </w:t>
      </w:r>
      <w:r w:rsidR="00522688">
        <w:rPr>
          <w:rFonts w:ascii="Helvetica" w:hAnsi="Helvetica" w:cs="Helvetica"/>
          <w:kern w:val="0"/>
          <w:sz w:val="24"/>
          <w:szCs w:val="24"/>
          <w:lang w:val="es-ES"/>
          <w14:ligatures w14:val="none"/>
        </w:rPr>
        <w:t>que en el resto del país</w:t>
      </w:r>
      <w:r w:rsidR="00EF0AFD">
        <w:rPr>
          <w:rFonts w:ascii="Helvetica" w:hAnsi="Helvetica" w:cs="Helvetica"/>
          <w:kern w:val="0"/>
          <w:sz w:val="24"/>
          <w:szCs w:val="24"/>
          <w:lang w:val="es-ES"/>
          <w14:ligatures w14:val="none"/>
        </w:rPr>
        <w:t xml:space="preserve"> armonizando </w:t>
      </w:r>
      <w:r w:rsidR="00BF2562">
        <w:rPr>
          <w:rFonts w:ascii="Helvetica" w:hAnsi="Helvetica" w:cs="Helvetica"/>
          <w:kern w:val="0"/>
          <w:sz w:val="24"/>
          <w:szCs w:val="24"/>
          <w:lang w:val="es-ES"/>
          <w14:ligatures w14:val="none"/>
        </w:rPr>
        <w:t xml:space="preserve">el cálculo de tarifas </w:t>
      </w:r>
      <w:r w:rsidR="0094364D">
        <w:rPr>
          <w:rFonts w:ascii="Helvetica" w:hAnsi="Helvetica" w:cs="Helvetica"/>
          <w:kern w:val="0"/>
          <w:sz w:val="24"/>
          <w:szCs w:val="24"/>
          <w:lang w:val="es-ES"/>
          <w14:ligatures w14:val="none"/>
        </w:rPr>
        <w:t>adaptado a las particularidades de cada mercado</w:t>
      </w:r>
      <w:r w:rsidR="00522688">
        <w:rPr>
          <w:rFonts w:ascii="Helvetica" w:hAnsi="Helvetica" w:cs="Helvetica"/>
          <w:kern w:val="0"/>
          <w:sz w:val="24"/>
          <w:szCs w:val="24"/>
          <w:lang w:val="es-ES"/>
          <w14:ligatures w14:val="none"/>
        </w:rPr>
        <w:t>.</w:t>
      </w:r>
    </w:p>
    <w:p w14:paraId="421BA5E2" w14:textId="3B3AFDCB" w:rsidR="00C4159C" w:rsidRDefault="00F10E71" w:rsidP="00C4159C">
      <w:pPr>
        <w:pStyle w:val="Prrafodelista"/>
        <w:numPr>
          <w:ilvl w:val="0"/>
          <w:numId w:val="2"/>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Mediante la </w:t>
      </w:r>
      <w:r w:rsidRPr="007165F2">
        <w:rPr>
          <w:rFonts w:ascii="Helvetica" w:hAnsi="Helvetica" w:cs="Helvetica"/>
          <w:b/>
          <w:bCs/>
          <w:kern w:val="0"/>
          <w:sz w:val="24"/>
          <w:szCs w:val="24"/>
          <w:lang w:val="es-ES"/>
          <w14:ligatures w14:val="none"/>
        </w:rPr>
        <w:t>Resolución CREG 701 056 de 2024</w:t>
      </w:r>
      <w:r>
        <w:rPr>
          <w:rFonts w:ascii="Helvetica" w:hAnsi="Helvetica" w:cs="Helvetica"/>
          <w:kern w:val="0"/>
          <w:sz w:val="24"/>
          <w:szCs w:val="24"/>
          <w:lang w:val="es-ES"/>
          <w14:ligatures w14:val="none"/>
        </w:rPr>
        <w:t xml:space="preserve"> se presentó </w:t>
      </w:r>
      <w:r w:rsidR="00B13A47">
        <w:rPr>
          <w:rFonts w:ascii="Helvetica" w:hAnsi="Helvetica" w:cs="Helvetica"/>
          <w:kern w:val="0"/>
          <w:sz w:val="24"/>
          <w:szCs w:val="24"/>
          <w:lang w:val="es-ES"/>
          <w14:ligatures w14:val="none"/>
        </w:rPr>
        <w:t>una p</w:t>
      </w:r>
      <w:r w:rsidR="00715E2C">
        <w:rPr>
          <w:rFonts w:ascii="Helvetica" w:hAnsi="Helvetica" w:cs="Helvetica"/>
          <w:kern w:val="0"/>
          <w:sz w:val="24"/>
          <w:szCs w:val="24"/>
          <w:lang w:val="es-ES"/>
          <w14:ligatures w14:val="none"/>
        </w:rPr>
        <w:t>ropuesta para permitir la flexibilización de inversiones de los operadores de red que hayan cumplido las metas de calidad del servicio, con el propósito de reducir los incrementos tarifarios a los usuarios</w:t>
      </w:r>
      <w:r w:rsidR="001C266B">
        <w:rPr>
          <w:rFonts w:ascii="Helvetica" w:hAnsi="Helvetica" w:cs="Helvetica"/>
          <w:kern w:val="0"/>
          <w:sz w:val="24"/>
          <w:szCs w:val="24"/>
          <w:lang w:val="es-ES"/>
          <w14:ligatures w14:val="none"/>
        </w:rPr>
        <w:t>, en cumplimiento a lo establecido en el artículo 236 de la ley 2294 de 2023.</w:t>
      </w:r>
      <w:r w:rsidR="00AE1ABB">
        <w:rPr>
          <w:rFonts w:ascii="Helvetica" w:hAnsi="Helvetica" w:cs="Helvetica"/>
          <w:kern w:val="0"/>
          <w:sz w:val="24"/>
          <w:szCs w:val="24"/>
          <w:lang w:val="es-ES"/>
          <w14:ligatures w14:val="none"/>
        </w:rPr>
        <w:t xml:space="preserve"> Actualmente se aprobó la propuesta de resolución definitiva </w:t>
      </w:r>
      <w:r w:rsidR="00525227">
        <w:rPr>
          <w:rFonts w:ascii="Helvetica" w:hAnsi="Helvetica" w:cs="Helvetica"/>
          <w:kern w:val="0"/>
          <w:sz w:val="24"/>
          <w:szCs w:val="24"/>
          <w:lang w:val="es-ES"/>
          <w14:ligatures w14:val="none"/>
        </w:rPr>
        <w:t>que se encuentra en proceso de firmas.</w:t>
      </w:r>
    </w:p>
    <w:p w14:paraId="7BD364CC" w14:textId="77777777" w:rsidR="00FA593D" w:rsidRDefault="00FA593D" w:rsidP="00FA593D">
      <w:pPr>
        <w:pStyle w:val="Prrafodelista"/>
        <w:ind w:left="1080"/>
        <w:jc w:val="both"/>
        <w:rPr>
          <w:rFonts w:ascii="Helvetica" w:hAnsi="Helvetica" w:cs="Helvetica"/>
          <w:kern w:val="0"/>
          <w:sz w:val="24"/>
          <w:szCs w:val="24"/>
          <w:lang w:val="es-ES"/>
          <w14:ligatures w14:val="none"/>
        </w:rPr>
      </w:pPr>
    </w:p>
    <w:p w14:paraId="242DF05D" w14:textId="2988597E" w:rsidR="002B0362" w:rsidRPr="00C4159C" w:rsidRDefault="002B0362" w:rsidP="00C4159C">
      <w:pPr>
        <w:pStyle w:val="Prrafodelista"/>
        <w:numPr>
          <w:ilvl w:val="0"/>
          <w:numId w:val="2"/>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Próximamente </w:t>
      </w:r>
      <w:r w:rsidR="003A7BF5">
        <w:rPr>
          <w:rFonts w:ascii="Helvetica" w:hAnsi="Helvetica" w:cs="Helvetica"/>
          <w:kern w:val="0"/>
          <w:sz w:val="24"/>
          <w:szCs w:val="24"/>
          <w:lang w:val="es-ES"/>
          <w14:ligatures w14:val="none"/>
        </w:rPr>
        <w:t xml:space="preserve">XM en calidad de Liquidador y Administrador de Cuentas, LAC, </w:t>
      </w:r>
      <w:r w:rsidR="00A211D0">
        <w:rPr>
          <w:rFonts w:ascii="Helvetica" w:hAnsi="Helvetica" w:cs="Helvetica"/>
          <w:kern w:val="0"/>
          <w:sz w:val="24"/>
          <w:szCs w:val="24"/>
          <w:lang w:val="es-ES"/>
          <w14:ligatures w14:val="none"/>
        </w:rPr>
        <w:t>iniciará la</w:t>
      </w:r>
      <w:r w:rsidR="00FA3FEA">
        <w:rPr>
          <w:rFonts w:ascii="Helvetica" w:hAnsi="Helvetica" w:cs="Helvetica"/>
          <w:kern w:val="0"/>
          <w:sz w:val="24"/>
          <w:szCs w:val="24"/>
          <w:lang w:val="es-ES"/>
          <w14:ligatures w14:val="none"/>
        </w:rPr>
        <w:t xml:space="preserve"> contratación de la</w:t>
      </w:r>
      <w:r w:rsidR="00A211D0">
        <w:rPr>
          <w:rFonts w:ascii="Helvetica" w:hAnsi="Helvetica" w:cs="Helvetica"/>
          <w:kern w:val="0"/>
          <w:sz w:val="24"/>
          <w:szCs w:val="24"/>
          <w:lang w:val="es-ES"/>
          <w14:ligatures w14:val="none"/>
        </w:rPr>
        <w:t>s verificaciones de la ejecución de inversiones de los operadores de red</w:t>
      </w:r>
      <w:r w:rsidR="00EB1D4C">
        <w:rPr>
          <w:rFonts w:ascii="Helvetica" w:hAnsi="Helvetica" w:cs="Helvetica"/>
          <w:kern w:val="0"/>
          <w:sz w:val="24"/>
          <w:szCs w:val="24"/>
          <w:lang w:val="es-ES"/>
          <w14:ligatures w14:val="none"/>
        </w:rPr>
        <w:t>, OR,</w:t>
      </w:r>
      <w:r w:rsidR="00525227">
        <w:rPr>
          <w:rFonts w:ascii="Helvetica" w:hAnsi="Helvetica" w:cs="Helvetica"/>
          <w:kern w:val="0"/>
          <w:sz w:val="24"/>
          <w:szCs w:val="24"/>
          <w:lang w:val="es-ES"/>
          <w14:ligatures w14:val="none"/>
        </w:rPr>
        <w:t xml:space="preserve"> en cumplimiento de la Resolución CREG 101 022 de 2022 modificada por la </w:t>
      </w:r>
      <w:r w:rsidR="00525227" w:rsidRPr="007165F2">
        <w:rPr>
          <w:rFonts w:ascii="Helvetica" w:hAnsi="Helvetica" w:cs="Helvetica"/>
          <w:b/>
          <w:bCs/>
          <w:kern w:val="0"/>
          <w:sz w:val="24"/>
          <w:szCs w:val="24"/>
          <w:lang w:val="es-ES"/>
          <w14:ligatures w14:val="none"/>
        </w:rPr>
        <w:t>Resolución CREG 101 039 de 2024</w:t>
      </w:r>
      <w:r w:rsidR="00525227">
        <w:rPr>
          <w:rFonts w:ascii="Helvetica" w:hAnsi="Helvetica" w:cs="Helvetica"/>
          <w:kern w:val="0"/>
          <w:sz w:val="24"/>
          <w:szCs w:val="24"/>
          <w:lang w:val="es-ES"/>
          <w14:ligatures w14:val="none"/>
        </w:rPr>
        <w:t>,</w:t>
      </w:r>
      <w:r w:rsidR="007D59C7">
        <w:rPr>
          <w:rFonts w:ascii="Helvetica" w:hAnsi="Helvetica" w:cs="Helvetica"/>
          <w:kern w:val="0"/>
          <w:sz w:val="24"/>
          <w:szCs w:val="24"/>
          <w:lang w:val="es-ES"/>
          <w14:ligatures w14:val="none"/>
        </w:rPr>
        <w:t xml:space="preserve"> de las que pueden resultar ajustes en l</w:t>
      </w:r>
      <w:r w:rsidR="00071198">
        <w:rPr>
          <w:rFonts w:ascii="Helvetica" w:hAnsi="Helvetica" w:cs="Helvetica"/>
          <w:kern w:val="0"/>
          <w:sz w:val="24"/>
          <w:szCs w:val="24"/>
          <w:lang w:val="es-ES"/>
          <w14:ligatures w14:val="none"/>
        </w:rPr>
        <w:t xml:space="preserve">a remuneración </w:t>
      </w:r>
      <w:r w:rsidR="007D59C7">
        <w:rPr>
          <w:rFonts w:ascii="Helvetica" w:hAnsi="Helvetica" w:cs="Helvetica"/>
          <w:kern w:val="0"/>
          <w:sz w:val="24"/>
          <w:szCs w:val="24"/>
          <w:lang w:val="es-ES"/>
          <w14:ligatures w14:val="none"/>
        </w:rPr>
        <w:lastRenderedPageBreak/>
        <w:t xml:space="preserve">de los </w:t>
      </w:r>
      <w:r w:rsidR="00EB1D4C">
        <w:rPr>
          <w:rFonts w:ascii="Helvetica" w:hAnsi="Helvetica" w:cs="Helvetica"/>
          <w:kern w:val="0"/>
          <w:sz w:val="24"/>
          <w:szCs w:val="24"/>
          <w:lang w:val="es-ES"/>
          <w14:ligatures w14:val="none"/>
        </w:rPr>
        <w:t>OR</w:t>
      </w:r>
      <w:r w:rsidR="00321C1D">
        <w:rPr>
          <w:rFonts w:ascii="Helvetica" w:hAnsi="Helvetica" w:cs="Helvetica"/>
          <w:kern w:val="0"/>
          <w:sz w:val="24"/>
          <w:szCs w:val="24"/>
          <w:lang w:val="es-ES"/>
          <w14:ligatures w14:val="none"/>
        </w:rPr>
        <w:t xml:space="preserve"> y por tanto en las tarifas pagadas por los usuarios, de encontrarse que </w:t>
      </w:r>
      <w:r w:rsidR="00FD65FF">
        <w:rPr>
          <w:rFonts w:ascii="Helvetica" w:hAnsi="Helvetica" w:cs="Helvetica"/>
          <w:kern w:val="0"/>
          <w:sz w:val="24"/>
          <w:szCs w:val="24"/>
          <w:lang w:val="es-ES"/>
          <w14:ligatures w14:val="none"/>
        </w:rPr>
        <w:t>las inversiones ejecutadas sean menores a lo reportado por las empresas.</w:t>
      </w:r>
    </w:p>
    <w:p w14:paraId="3DE870AF" w14:textId="4F97B665" w:rsidR="00B1626C" w:rsidRDefault="00B1626C" w:rsidP="00B1626C">
      <w:pPr>
        <w:jc w:val="both"/>
        <w:rPr>
          <w:rFonts w:ascii="Helvetica" w:hAnsi="Helvetica" w:cs="Helvetica"/>
          <w:b/>
          <w:bCs/>
          <w:kern w:val="0"/>
          <w:sz w:val="24"/>
          <w:szCs w:val="24"/>
          <w:lang w:val="es-ES"/>
          <w14:ligatures w14:val="none"/>
        </w:rPr>
      </w:pPr>
      <w:r w:rsidRPr="0032260A">
        <w:rPr>
          <w:rFonts w:ascii="Helvetica" w:hAnsi="Helvetica" w:cs="Helvetica"/>
          <w:b/>
          <w:bCs/>
          <w:kern w:val="0"/>
          <w:sz w:val="24"/>
          <w:szCs w:val="24"/>
          <w:lang w:val="es-ES"/>
          <w14:ligatures w14:val="none"/>
        </w:rPr>
        <w:t xml:space="preserve">Componente de </w:t>
      </w:r>
      <w:r w:rsidR="007165F2">
        <w:rPr>
          <w:rFonts w:ascii="Helvetica" w:hAnsi="Helvetica" w:cs="Helvetica"/>
          <w:b/>
          <w:bCs/>
          <w:kern w:val="0"/>
          <w:sz w:val="24"/>
          <w:szCs w:val="24"/>
          <w:lang w:val="es-ES"/>
          <w14:ligatures w14:val="none"/>
        </w:rPr>
        <w:t>C</w:t>
      </w:r>
      <w:r>
        <w:rPr>
          <w:rFonts w:ascii="Helvetica" w:hAnsi="Helvetica" w:cs="Helvetica"/>
          <w:b/>
          <w:bCs/>
          <w:kern w:val="0"/>
          <w:sz w:val="24"/>
          <w:szCs w:val="24"/>
          <w:lang w:val="es-ES"/>
          <w14:ligatures w14:val="none"/>
        </w:rPr>
        <w:t>omercialización</w:t>
      </w:r>
    </w:p>
    <w:p w14:paraId="12969B41" w14:textId="248CD78D" w:rsidR="009801F2" w:rsidRDefault="00981183" w:rsidP="00780FD2">
      <w:pPr>
        <w:jc w:val="both"/>
        <w:rPr>
          <w:rFonts w:ascii="Helvetica" w:hAnsi="Helvetica" w:cs="Helvetica"/>
          <w:kern w:val="0"/>
          <w:sz w:val="24"/>
          <w:szCs w:val="24"/>
          <w14:ligatures w14:val="none"/>
        </w:rPr>
      </w:pPr>
      <w:r>
        <w:rPr>
          <w:rFonts w:ascii="Helvetica" w:hAnsi="Helvetica" w:cs="Helvetica"/>
          <w:kern w:val="0"/>
          <w:sz w:val="24"/>
          <w:szCs w:val="24"/>
          <w:lang w:val="es-ES"/>
          <w14:ligatures w14:val="none"/>
        </w:rPr>
        <w:t xml:space="preserve">Mediante la </w:t>
      </w:r>
      <w:r w:rsidRPr="007165F2">
        <w:rPr>
          <w:rFonts w:ascii="Helvetica" w:hAnsi="Helvetica" w:cs="Helvetica"/>
          <w:b/>
          <w:bCs/>
          <w:kern w:val="0"/>
          <w:sz w:val="24"/>
          <w:szCs w:val="24"/>
          <w:lang w:val="es-ES"/>
          <w14:ligatures w14:val="none"/>
        </w:rPr>
        <w:t>Resolución CREG 701 038 de 2024</w:t>
      </w:r>
      <w:r>
        <w:rPr>
          <w:rFonts w:ascii="Helvetica" w:hAnsi="Helvetica" w:cs="Helvetica"/>
          <w:kern w:val="0"/>
          <w:sz w:val="24"/>
          <w:szCs w:val="24"/>
          <w:lang w:val="es-ES"/>
          <w14:ligatures w14:val="none"/>
        </w:rPr>
        <w:t>, s</w:t>
      </w:r>
      <w:r w:rsidR="009801F2" w:rsidRPr="009801F2">
        <w:rPr>
          <w:rFonts w:ascii="Helvetica" w:hAnsi="Helvetica" w:cs="Helvetica"/>
          <w:kern w:val="0"/>
          <w:sz w:val="24"/>
          <w:szCs w:val="24"/>
          <w:lang w:val="es-ES"/>
          <w14:ligatures w14:val="none"/>
        </w:rPr>
        <w:t xml:space="preserve">e </w:t>
      </w:r>
      <w:r w:rsidR="0038120E">
        <w:rPr>
          <w:rFonts w:ascii="Helvetica" w:hAnsi="Helvetica" w:cs="Helvetica"/>
          <w:kern w:val="0"/>
          <w:sz w:val="24"/>
          <w:szCs w:val="24"/>
          <w:lang w:val="es-ES"/>
          <w14:ligatures w14:val="none"/>
        </w:rPr>
        <w:t xml:space="preserve">publicó a consulta la propuesta para la </w:t>
      </w:r>
      <w:r w:rsidR="009801F2" w:rsidRPr="009801F2">
        <w:rPr>
          <w:rFonts w:ascii="Helvetica" w:hAnsi="Helvetica" w:cs="Helvetica"/>
          <w:kern w:val="0"/>
          <w:sz w:val="24"/>
          <w:szCs w:val="24"/>
          <w:lang w:val="es-ES"/>
          <w14:ligatures w14:val="none"/>
        </w:rPr>
        <w:t xml:space="preserve">nueva metodología </w:t>
      </w:r>
      <w:r w:rsidR="0038120E">
        <w:rPr>
          <w:rFonts w:ascii="Helvetica" w:hAnsi="Helvetica" w:cs="Helvetica"/>
          <w:kern w:val="0"/>
          <w:sz w:val="24"/>
          <w:szCs w:val="24"/>
          <w:lang w:val="es-ES"/>
          <w14:ligatures w14:val="none"/>
        </w:rPr>
        <w:t>de remuneración de la actividad de comercialización</w:t>
      </w:r>
      <w:r w:rsidR="001352EC">
        <w:rPr>
          <w:rFonts w:ascii="Helvetica" w:hAnsi="Helvetica" w:cs="Helvetica"/>
          <w:kern w:val="0"/>
          <w:sz w:val="24"/>
          <w:szCs w:val="24"/>
          <w:lang w:val="es-ES"/>
          <w14:ligatures w14:val="none"/>
        </w:rPr>
        <w:t xml:space="preserve"> y la Comisión se encuentra </w:t>
      </w:r>
      <w:r w:rsidR="00353383">
        <w:rPr>
          <w:rFonts w:ascii="Helvetica" w:hAnsi="Helvetica" w:cs="Helvetica"/>
          <w:kern w:val="0"/>
          <w:sz w:val="24"/>
          <w:szCs w:val="24"/>
          <w:lang w:val="es-ES"/>
          <w14:ligatures w14:val="none"/>
        </w:rPr>
        <w:t>trabajando en la propuesta definitiva</w:t>
      </w:r>
      <w:r w:rsidR="00DC4FA1">
        <w:rPr>
          <w:rFonts w:ascii="Helvetica" w:hAnsi="Helvetica" w:cs="Helvetica"/>
          <w:kern w:val="0"/>
          <w:sz w:val="24"/>
          <w:szCs w:val="24"/>
          <w:lang w:val="es-ES"/>
          <w14:ligatures w14:val="none"/>
        </w:rPr>
        <w:t xml:space="preserve">, en la cual se </w:t>
      </w:r>
      <w:r w:rsidR="00225D69">
        <w:rPr>
          <w:rFonts w:ascii="Helvetica" w:hAnsi="Helvetica" w:cs="Helvetica"/>
          <w:kern w:val="0"/>
          <w:sz w:val="24"/>
          <w:szCs w:val="24"/>
          <w:lang w:val="es-ES"/>
          <w14:ligatures w14:val="none"/>
        </w:rPr>
        <w:t xml:space="preserve">busca capturar </w:t>
      </w:r>
      <w:r w:rsidR="00750E1F">
        <w:rPr>
          <w:rFonts w:ascii="Helvetica" w:hAnsi="Helvetica" w:cs="Helvetica"/>
          <w:kern w:val="0"/>
          <w:sz w:val="24"/>
          <w:szCs w:val="24"/>
          <w:lang w:val="es-ES"/>
          <w14:ligatures w14:val="none"/>
        </w:rPr>
        <w:t xml:space="preserve">las </w:t>
      </w:r>
      <w:r w:rsidR="00BE57C2">
        <w:rPr>
          <w:rFonts w:ascii="Helvetica" w:hAnsi="Helvetica" w:cs="Helvetica"/>
          <w:kern w:val="0"/>
          <w:sz w:val="24"/>
          <w:szCs w:val="24"/>
          <w:lang w:val="es-ES"/>
          <w14:ligatures w14:val="none"/>
        </w:rPr>
        <w:t>eficiencias</w:t>
      </w:r>
      <w:r w:rsidR="00C95C1C">
        <w:rPr>
          <w:rFonts w:ascii="Helvetica" w:hAnsi="Helvetica" w:cs="Helvetica"/>
          <w:kern w:val="0"/>
          <w:sz w:val="24"/>
          <w:szCs w:val="24"/>
          <w:lang w:val="es-ES"/>
          <w14:ligatures w14:val="none"/>
        </w:rPr>
        <w:t xml:space="preserve"> </w:t>
      </w:r>
      <w:r w:rsidR="0066217B">
        <w:rPr>
          <w:rFonts w:ascii="Helvetica" w:hAnsi="Helvetica" w:cs="Helvetica"/>
          <w:kern w:val="0"/>
          <w:sz w:val="24"/>
          <w:szCs w:val="24"/>
          <w:lang w:val="es-ES"/>
          <w14:ligatures w14:val="none"/>
        </w:rPr>
        <w:t>obtenidas por las empresas durante el último periodo tarifario</w:t>
      </w:r>
      <w:r w:rsidR="00E04BB5">
        <w:rPr>
          <w:rFonts w:ascii="Helvetica" w:hAnsi="Helvetica" w:cs="Helvetica"/>
          <w:kern w:val="0"/>
          <w:sz w:val="24"/>
          <w:szCs w:val="24"/>
          <w:lang w:val="es-ES"/>
          <w14:ligatures w14:val="none"/>
        </w:rPr>
        <w:t xml:space="preserve"> y actualizar los costos </w:t>
      </w:r>
      <w:r w:rsidR="00613E11">
        <w:rPr>
          <w:rFonts w:ascii="Helvetica" w:hAnsi="Helvetica" w:cs="Helvetica"/>
          <w:kern w:val="0"/>
          <w:sz w:val="24"/>
          <w:szCs w:val="24"/>
          <w:lang w:val="es-ES"/>
          <w14:ligatures w14:val="none"/>
        </w:rPr>
        <w:t>para que reflejen la realidad actual del mercado</w:t>
      </w:r>
      <w:r w:rsidR="009801F2" w:rsidRPr="009801F2">
        <w:rPr>
          <w:rFonts w:ascii="Helvetica" w:hAnsi="Helvetica" w:cs="Helvetica"/>
          <w:kern w:val="0"/>
          <w:sz w:val="24"/>
          <w:szCs w:val="24"/>
          <w:lang w:val="es-ES"/>
          <w14:ligatures w14:val="none"/>
        </w:rPr>
        <w:t xml:space="preserve">. </w:t>
      </w:r>
      <w:r w:rsidR="00006173">
        <w:rPr>
          <w:rFonts w:ascii="Helvetica" w:hAnsi="Helvetica" w:cs="Helvetica"/>
          <w:kern w:val="0"/>
          <w:sz w:val="24"/>
          <w:szCs w:val="24"/>
          <w:lang w:val="es-ES"/>
          <w14:ligatures w14:val="none"/>
        </w:rPr>
        <w:t>Si se mantiene la propuesta publicada a comentarios, p</w:t>
      </w:r>
      <w:r w:rsidR="00D4190B">
        <w:rPr>
          <w:rFonts w:ascii="Helvetica" w:hAnsi="Helvetica" w:cs="Helvetica"/>
          <w:kern w:val="0"/>
          <w:sz w:val="24"/>
          <w:szCs w:val="24"/>
          <w14:ligatures w14:val="none"/>
        </w:rPr>
        <w:t xml:space="preserve">ara el Caribe se </w:t>
      </w:r>
      <w:r w:rsidR="00006173">
        <w:rPr>
          <w:rFonts w:ascii="Helvetica" w:hAnsi="Helvetica" w:cs="Helvetica"/>
          <w:kern w:val="0"/>
          <w:sz w:val="24"/>
          <w:szCs w:val="24"/>
          <w14:ligatures w14:val="none"/>
        </w:rPr>
        <w:t>estima</w:t>
      </w:r>
      <w:r w:rsidR="00DD7CD9">
        <w:rPr>
          <w:rFonts w:ascii="Helvetica" w:hAnsi="Helvetica" w:cs="Helvetica"/>
          <w:kern w:val="0"/>
          <w:sz w:val="24"/>
          <w:szCs w:val="24"/>
          <w14:ligatures w14:val="none"/>
        </w:rPr>
        <w:t>ron</w:t>
      </w:r>
      <w:r w:rsidR="00D4190B">
        <w:rPr>
          <w:rFonts w:ascii="Helvetica" w:hAnsi="Helvetica" w:cs="Helvetica"/>
          <w:kern w:val="0"/>
          <w:sz w:val="24"/>
          <w:szCs w:val="24"/>
          <w14:ligatures w14:val="none"/>
        </w:rPr>
        <w:t xml:space="preserve"> reduccio</w:t>
      </w:r>
      <w:r w:rsidR="00ED52E6">
        <w:rPr>
          <w:rFonts w:ascii="Helvetica" w:hAnsi="Helvetica" w:cs="Helvetica"/>
          <w:kern w:val="0"/>
          <w:sz w:val="24"/>
          <w:szCs w:val="24"/>
          <w14:ligatures w14:val="none"/>
        </w:rPr>
        <w:t xml:space="preserve">nes </w:t>
      </w:r>
      <w:r w:rsidR="00F55A99">
        <w:rPr>
          <w:rFonts w:ascii="Helvetica" w:hAnsi="Helvetica" w:cs="Helvetica"/>
          <w:kern w:val="0"/>
          <w:sz w:val="24"/>
          <w:szCs w:val="24"/>
          <w14:ligatures w14:val="none"/>
        </w:rPr>
        <w:t>cercanas al 40% del valor del componente</w:t>
      </w:r>
      <w:r w:rsidR="00432629">
        <w:rPr>
          <w:rFonts w:ascii="Helvetica" w:hAnsi="Helvetica" w:cs="Helvetica"/>
          <w:kern w:val="0"/>
          <w:sz w:val="24"/>
          <w:szCs w:val="24"/>
          <w14:ligatures w14:val="none"/>
        </w:rPr>
        <w:t xml:space="preserve"> de comercialización.</w:t>
      </w:r>
    </w:p>
    <w:p w14:paraId="14919692" w14:textId="5BF47696" w:rsidR="00780FD2" w:rsidRPr="00780FD2" w:rsidRDefault="00780FD2" w:rsidP="00780FD2">
      <w:pPr>
        <w:jc w:val="both"/>
        <w:rPr>
          <w:rFonts w:ascii="Helvetica" w:hAnsi="Helvetica" w:cs="Helvetica"/>
          <w:kern w:val="0"/>
          <w:sz w:val="24"/>
          <w:szCs w:val="24"/>
          <w14:ligatures w14:val="none"/>
        </w:rPr>
      </w:pPr>
      <w:r>
        <w:rPr>
          <w:rFonts w:ascii="Helvetica" w:hAnsi="Helvetica" w:cs="Helvetica"/>
          <w:kern w:val="0"/>
          <w:sz w:val="24"/>
          <w:szCs w:val="24"/>
          <w14:ligatures w14:val="none"/>
        </w:rPr>
        <w:t>D</w:t>
      </w:r>
      <w:r w:rsidRPr="00780FD2">
        <w:rPr>
          <w:rFonts w:ascii="Helvetica" w:hAnsi="Helvetica" w:cs="Helvetica"/>
          <w:kern w:val="0"/>
          <w:sz w:val="24"/>
          <w:szCs w:val="24"/>
          <w14:ligatures w14:val="none"/>
        </w:rPr>
        <w:t>e acuerdo con las reglas vigentes</w:t>
      </w:r>
      <w:r w:rsidR="00640AAB">
        <w:rPr>
          <w:rFonts w:ascii="Helvetica" w:hAnsi="Helvetica" w:cs="Helvetica"/>
          <w:kern w:val="0"/>
          <w:sz w:val="24"/>
          <w:szCs w:val="24"/>
          <w14:ligatures w14:val="none"/>
        </w:rPr>
        <w:t xml:space="preserve">, </w:t>
      </w:r>
      <w:r w:rsidR="00462DE1">
        <w:rPr>
          <w:rFonts w:ascii="Helvetica" w:hAnsi="Helvetica" w:cs="Helvetica"/>
          <w:kern w:val="0"/>
          <w:sz w:val="24"/>
          <w:szCs w:val="24"/>
          <w14:ligatures w14:val="none"/>
        </w:rPr>
        <w:t>los aspectos relacionados con la actividad de comercialización</w:t>
      </w:r>
      <w:r w:rsidR="006A1049">
        <w:rPr>
          <w:rStyle w:val="Refdenotaalpie"/>
          <w:rFonts w:ascii="Helvetica" w:hAnsi="Helvetica" w:cs="Helvetica"/>
          <w:kern w:val="0"/>
          <w:sz w:val="24"/>
          <w:szCs w:val="24"/>
          <w14:ligatures w14:val="none"/>
        </w:rPr>
        <w:footnoteReference w:id="2"/>
      </w:r>
      <w:r w:rsidR="00462DE1">
        <w:rPr>
          <w:rFonts w:ascii="Helvetica" w:hAnsi="Helvetica" w:cs="Helvetica"/>
          <w:kern w:val="0"/>
          <w:sz w:val="24"/>
          <w:szCs w:val="24"/>
          <w14:ligatures w14:val="none"/>
        </w:rPr>
        <w:t xml:space="preserve"> d</w:t>
      </w:r>
      <w:r w:rsidR="00640AAB">
        <w:rPr>
          <w:rFonts w:ascii="Helvetica" w:hAnsi="Helvetica" w:cs="Helvetica"/>
          <w:kern w:val="0"/>
          <w:sz w:val="24"/>
          <w:szCs w:val="24"/>
          <w14:ligatures w14:val="none"/>
        </w:rPr>
        <w:t xml:space="preserve">el régimen transitorio especial </w:t>
      </w:r>
      <w:r w:rsidR="00A501DE">
        <w:rPr>
          <w:rFonts w:ascii="Helvetica" w:hAnsi="Helvetica" w:cs="Helvetica"/>
          <w:kern w:val="0"/>
          <w:sz w:val="24"/>
          <w:szCs w:val="24"/>
          <w14:ligatures w14:val="none"/>
        </w:rPr>
        <w:t>para la región Caribe</w:t>
      </w:r>
      <w:r w:rsidRPr="00780FD2">
        <w:rPr>
          <w:rFonts w:ascii="Helvetica" w:hAnsi="Helvetica" w:cs="Helvetica"/>
          <w:kern w:val="0"/>
          <w:sz w:val="24"/>
          <w:szCs w:val="24"/>
          <w14:ligatures w14:val="none"/>
        </w:rPr>
        <w:t xml:space="preserve"> finalizará</w:t>
      </w:r>
      <w:r w:rsidR="00462DE1">
        <w:rPr>
          <w:rFonts w:ascii="Helvetica" w:hAnsi="Helvetica" w:cs="Helvetica"/>
          <w:kern w:val="0"/>
          <w:sz w:val="24"/>
          <w:szCs w:val="24"/>
          <w14:ligatures w14:val="none"/>
        </w:rPr>
        <w:t>n</w:t>
      </w:r>
      <w:r w:rsidRPr="00780FD2">
        <w:rPr>
          <w:rFonts w:ascii="Helvetica" w:hAnsi="Helvetica" w:cs="Helvetica"/>
          <w:kern w:val="0"/>
          <w:sz w:val="24"/>
          <w:szCs w:val="24"/>
          <w14:ligatures w14:val="none"/>
        </w:rPr>
        <w:t xml:space="preserve"> tan pronto se aprueben los cargos con la nueva metodología de remuneración de la actividad de comercialización la cual ya fue consultada y se encuentra en estudio para la publicación de la resolución definitiva.</w:t>
      </w:r>
    </w:p>
    <w:p w14:paraId="62E5B824" w14:textId="6691352B" w:rsidR="002C67F2" w:rsidRPr="00921727" w:rsidRDefault="002C67F2" w:rsidP="002C67F2">
      <w:pPr>
        <w:jc w:val="both"/>
        <w:rPr>
          <w:rFonts w:ascii="Helvetica" w:hAnsi="Helvetica" w:cs="Helvetica"/>
          <w:b/>
          <w:bCs/>
          <w:kern w:val="0"/>
          <w:sz w:val="24"/>
          <w:szCs w:val="24"/>
          <w:lang w:val="es-ES"/>
          <w14:ligatures w14:val="none"/>
        </w:rPr>
      </w:pPr>
      <w:r w:rsidRPr="00921727">
        <w:rPr>
          <w:rFonts w:ascii="Helvetica" w:hAnsi="Helvetica" w:cs="Helvetica"/>
          <w:b/>
          <w:bCs/>
          <w:kern w:val="0"/>
          <w:sz w:val="24"/>
          <w:szCs w:val="24"/>
          <w:lang w:val="es-ES"/>
          <w14:ligatures w14:val="none"/>
        </w:rPr>
        <w:t xml:space="preserve">Componente de </w:t>
      </w:r>
      <w:r w:rsidR="007165F2" w:rsidRPr="00921727">
        <w:rPr>
          <w:rFonts w:ascii="Helvetica" w:hAnsi="Helvetica" w:cs="Helvetica"/>
          <w:b/>
          <w:bCs/>
          <w:kern w:val="0"/>
          <w:sz w:val="24"/>
          <w:szCs w:val="24"/>
          <w:lang w:val="es-ES"/>
          <w14:ligatures w14:val="none"/>
        </w:rPr>
        <w:t>P</w:t>
      </w:r>
      <w:r w:rsidRPr="00921727">
        <w:rPr>
          <w:rFonts w:ascii="Helvetica" w:hAnsi="Helvetica" w:cs="Helvetica"/>
          <w:b/>
          <w:bCs/>
          <w:kern w:val="0"/>
          <w:sz w:val="24"/>
          <w:szCs w:val="24"/>
          <w:lang w:val="es-ES"/>
          <w14:ligatures w14:val="none"/>
        </w:rPr>
        <w:t>érdidas</w:t>
      </w:r>
    </w:p>
    <w:p w14:paraId="52021588" w14:textId="5DD3258F" w:rsidR="00A24CB9" w:rsidRPr="00921727" w:rsidRDefault="009E7415" w:rsidP="002C67F2">
      <w:pPr>
        <w:jc w:val="both"/>
        <w:rPr>
          <w:rFonts w:ascii="Helvetica" w:hAnsi="Helvetica" w:cs="Helvetica"/>
          <w:bCs/>
          <w:kern w:val="0"/>
          <w:sz w:val="24"/>
          <w:szCs w:val="24"/>
          <w:lang w:val="es-ES"/>
          <w14:ligatures w14:val="none"/>
        </w:rPr>
      </w:pPr>
      <w:r w:rsidRPr="00921727">
        <w:rPr>
          <w:rFonts w:ascii="Helvetica" w:hAnsi="Helvetica" w:cs="Helvetica"/>
          <w:bCs/>
          <w:kern w:val="0"/>
          <w:sz w:val="24"/>
          <w:szCs w:val="24"/>
          <w:lang w:val="es-ES"/>
          <w14:ligatures w14:val="none"/>
        </w:rPr>
        <w:t>La Comisión se encuentra analizando el reconocimiento tanto de pérdida</w:t>
      </w:r>
      <w:r w:rsidR="00895A14" w:rsidRPr="00921727">
        <w:rPr>
          <w:rFonts w:ascii="Helvetica" w:hAnsi="Helvetica" w:cs="Helvetica"/>
          <w:bCs/>
          <w:kern w:val="0"/>
          <w:sz w:val="24"/>
          <w:szCs w:val="24"/>
          <w:lang w:val="es-ES"/>
          <w14:ligatures w14:val="none"/>
        </w:rPr>
        <w:t>s técnicas como no técnicas</w:t>
      </w:r>
      <w:r w:rsidR="00DD58EA" w:rsidRPr="00921727">
        <w:rPr>
          <w:rFonts w:ascii="Helvetica" w:hAnsi="Helvetica" w:cs="Helvetica"/>
          <w:bCs/>
          <w:kern w:val="0"/>
          <w:sz w:val="24"/>
          <w:szCs w:val="24"/>
          <w:lang w:val="es-ES"/>
          <w14:ligatures w14:val="none"/>
        </w:rPr>
        <w:t xml:space="preserve"> </w:t>
      </w:r>
      <w:r w:rsidR="00683AD3" w:rsidRPr="00921727">
        <w:rPr>
          <w:rFonts w:ascii="Helvetica" w:hAnsi="Helvetica" w:cs="Helvetica"/>
          <w:bCs/>
          <w:kern w:val="0"/>
          <w:sz w:val="24"/>
          <w:szCs w:val="24"/>
          <w:lang w:val="es-ES"/>
          <w14:ligatures w14:val="none"/>
        </w:rPr>
        <w:t>de acuerdo con</w:t>
      </w:r>
      <w:r w:rsidR="00DD58EA" w:rsidRPr="00921727">
        <w:rPr>
          <w:rFonts w:ascii="Helvetica" w:hAnsi="Helvetica" w:cs="Helvetica"/>
          <w:bCs/>
          <w:kern w:val="0"/>
          <w:sz w:val="24"/>
          <w:szCs w:val="24"/>
          <w:lang w:val="es-ES"/>
          <w14:ligatures w14:val="none"/>
        </w:rPr>
        <w:t xml:space="preserve"> criterios de eficiencia</w:t>
      </w:r>
      <w:r w:rsidR="00A4066D" w:rsidRPr="00921727">
        <w:rPr>
          <w:rFonts w:ascii="Helvetica" w:hAnsi="Helvetica" w:cs="Helvetica"/>
          <w:bCs/>
          <w:kern w:val="0"/>
          <w:sz w:val="24"/>
          <w:szCs w:val="24"/>
          <w:lang w:val="es-ES"/>
          <w14:ligatures w14:val="none"/>
        </w:rPr>
        <w:t>,</w:t>
      </w:r>
      <w:r w:rsidR="00DD58EA" w:rsidRPr="00921727">
        <w:rPr>
          <w:rFonts w:ascii="Helvetica" w:hAnsi="Helvetica" w:cs="Helvetica"/>
          <w:bCs/>
          <w:kern w:val="0"/>
          <w:sz w:val="24"/>
          <w:szCs w:val="24"/>
          <w:lang w:val="es-ES"/>
          <w14:ligatures w14:val="none"/>
        </w:rPr>
        <w:t xml:space="preserve"> incentivo</w:t>
      </w:r>
      <w:r w:rsidR="0059378F" w:rsidRPr="00921727">
        <w:rPr>
          <w:rFonts w:ascii="Helvetica" w:hAnsi="Helvetica" w:cs="Helvetica"/>
          <w:bCs/>
          <w:kern w:val="0"/>
          <w:sz w:val="24"/>
          <w:szCs w:val="24"/>
          <w:lang w:val="es-ES"/>
          <w14:ligatures w14:val="none"/>
        </w:rPr>
        <w:t>s</w:t>
      </w:r>
      <w:r w:rsidR="00DD58EA" w:rsidRPr="00921727">
        <w:rPr>
          <w:rFonts w:ascii="Helvetica" w:hAnsi="Helvetica" w:cs="Helvetica"/>
          <w:bCs/>
          <w:kern w:val="0"/>
          <w:sz w:val="24"/>
          <w:szCs w:val="24"/>
          <w:lang w:val="es-ES"/>
          <w14:ligatures w14:val="none"/>
        </w:rPr>
        <w:t xml:space="preserve"> a la optimización de las inversiones</w:t>
      </w:r>
      <w:r w:rsidR="000C72CF" w:rsidRPr="00921727">
        <w:rPr>
          <w:rFonts w:ascii="Helvetica" w:hAnsi="Helvetica" w:cs="Helvetica"/>
          <w:bCs/>
          <w:kern w:val="0"/>
          <w:sz w:val="24"/>
          <w:szCs w:val="24"/>
          <w:lang w:val="es-ES"/>
          <w14:ligatures w14:val="none"/>
        </w:rPr>
        <w:t xml:space="preserve"> y gestión realizada por las empresas en la disminución de los niveles de pérdidas reales actuales</w:t>
      </w:r>
      <w:r w:rsidR="00DD58EA" w:rsidRPr="00921727">
        <w:rPr>
          <w:rFonts w:ascii="Helvetica" w:hAnsi="Helvetica" w:cs="Helvetica"/>
          <w:bCs/>
          <w:kern w:val="0"/>
          <w:sz w:val="24"/>
          <w:szCs w:val="24"/>
          <w:lang w:val="es-ES"/>
          <w14:ligatures w14:val="none"/>
        </w:rPr>
        <w:t>.</w:t>
      </w:r>
    </w:p>
    <w:p w14:paraId="427252D7" w14:textId="6C5A90B3" w:rsidR="00497C6A" w:rsidRPr="00921727" w:rsidRDefault="005948E8" w:rsidP="002C67F2">
      <w:pPr>
        <w:jc w:val="both"/>
        <w:rPr>
          <w:rFonts w:ascii="Helvetica" w:hAnsi="Helvetica" w:cs="Helvetica"/>
          <w:bCs/>
          <w:kern w:val="0"/>
          <w:sz w:val="24"/>
          <w:szCs w:val="24"/>
          <w:lang w:val="es-ES"/>
          <w14:ligatures w14:val="none"/>
        </w:rPr>
      </w:pPr>
      <w:r w:rsidRPr="00921727">
        <w:rPr>
          <w:rFonts w:ascii="Helvetica" w:hAnsi="Helvetica" w:cs="Helvetica"/>
          <w:bCs/>
          <w:kern w:val="0"/>
          <w:sz w:val="24"/>
          <w:szCs w:val="24"/>
          <w:lang w:val="es-ES"/>
          <w14:ligatures w14:val="none"/>
        </w:rPr>
        <w:t>En relación con las pérdidas reconocidas a Air-e S.A.S. E.S.P., desde la CREG se</w:t>
      </w:r>
      <w:r w:rsidR="00497C6A" w:rsidRPr="00921727">
        <w:rPr>
          <w:rFonts w:ascii="Helvetica" w:hAnsi="Helvetica" w:cs="Helvetica"/>
          <w:bCs/>
          <w:kern w:val="0"/>
          <w:sz w:val="24"/>
          <w:szCs w:val="24"/>
          <w:lang w:val="es-ES"/>
          <w14:ligatures w14:val="none"/>
        </w:rPr>
        <w:t xml:space="preserve"> solicitó a la Superintendencia de Servicios Públicos Domiciliarios, SSPD, la revisión del reporte de inversiones ejecutadas durante el año 2023 realizado por la empresa. Como resultado, se encontró que las inversiones de Air-e S.A.S. E.S.P. para 2023 fueron del 3,13%. En consecuencia el liquidador y administrador de cuentas, LAC, recalculó ingresos y cargos por lo que actualmente a Air-e S.A.S. se le reconocen únicamente pérdidas eficientes, que para nivel de tensión 1 tienen un valor de 11,67%.</w:t>
      </w:r>
    </w:p>
    <w:p w14:paraId="118826BA" w14:textId="3490F358" w:rsidR="0048689C" w:rsidRDefault="00510CC1" w:rsidP="0048689C">
      <w:pPr>
        <w:jc w:val="both"/>
        <w:rPr>
          <w:rFonts w:ascii="Helvetica" w:hAnsi="Helvetica" w:cs="Helvetica"/>
          <w:b/>
          <w:bCs/>
          <w:kern w:val="0"/>
          <w:sz w:val="24"/>
          <w:szCs w:val="24"/>
          <w:lang w:val="es-ES"/>
          <w14:ligatures w14:val="none"/>
        </w:rPr>
      </w:pPr>
      <w:r>
        <w:rPr>
          <w:rFonts w:ascii="Helvetica" w:hAnsi="Helvetica" w:cs="Helvetica"/>
          <w:b/>
          <w:bCs/>
          <w:kern w:val="0"/>
          <w:sz w:val="24"/>
          <w:szCs w:val="24"/>
          <w:lang w:val="es-ES"/>
          <w14:ligatures w14:val="none"/>
        </w:rPr>
        <w:t>Otras medidas para la reducción de tarifas</w:t>
      </w:r>
      <w:r w:rsidR="00DA0910">
        <w:rPr>
          <w:rFonts w:ascii="Helvetica" w:hAnsi="Helvetica" w:cs="Helvetica"/>
          <w:b/>
          <w:bCs/>
          <w:kern w:val="0"/>
          <w:sz w:val="24"/>
          <w:szCs w:val="24"/>
          <w:lang w:val="es-ES"/>
          <w14:ligatures w14:val="none"/>
        </w:rPr>
        <w:t xml:space="preserve"> del servicio de energía eléctrica</w:t>
      </w:r>
    </w:p>
    <w:p w14:paraId="05F11409" w14:textId="72080E79" w:rsidR="00510CC1" w:rsidRDefault="00D01126" w:rsidP="00510CC1">
      <w:pPr>
        <w:pStyle w:val="Prrafodelista"/>
        <w:numPr>
          <w:ilvl w:val="0"/>
          <w:numId w:val="4"/>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Mediante </w:t>
      </w:r>
      <w:r w:rsidR="008234F6">
        <w:rPr>
          <w:rFonts w:ascii="Helvetica" w:hAnsi="Helvetica" w:cs="Helvetica"/>
          <w:kern w:val="0"/>
          <w:sz w:val="24"/>
          <w:szCs w:val="24"/>
          <w:lang w:val="es-ES"/>
          <w14:ligatures w14:val="none"/>
        </w:rPr>
        <w:t xml:space="preserve">el proyecto de </w:t>
      </w:r>
      <w:r w:rsidR="00317C6E" w:rsidRPr="007165F2">
        <w:rPr>
          <w:rFonts w:ascii="Helvetica" w:hAnsi="Helvetica" w:cs="Helvetica"/>
          <w:b/>
          <w:bCs/>
          <w:kern w:val="0"/>
          <w:sz w:val="24"/>
          <w:szCs w:val="24"/>
          <w:lang w:val="es-ES"/>
          <w14:ligatures w14:val="none"/>
        </w:rPr>
        <w:t>R</w:t>
      </w:r>
      <w:r w:rsidRPr="007165F2">
        <w:rPr>
          <w:rFonts w:ascii="Helvetica" w:hAnsi="Helvetica" w:cs="Helvetica"/>
          <w:b/>
          <w:bCs/>
          <w:kern w:val="0"/>
          <w:sz w:val="24"/>
          <w:szCs w:val="24"/>
          <w:lang w:val="es-ES"/>
          <w14:ligatures w14:val="none"/>
        </w:rPr>
        <w:t>esolución CREG 701 055 de 2024</w:t>
      </w:r>
      <w:r>
        <w:rPr>
          <w:rFonts w:ascii="Helvetica" w:hAnsi="Helvetica" w:cs="Helvetica"/>
          <w:kern w:val="0"/>
          <w:sz w:val="24"/>
          <w:szCs w:val="24"/>
          <w:lang w:val="es-ES"/>
          <w14:ligatures w14:val="none"/>
        </w:rPr>
        <w:t xml:space="preserve"> se propuso </w:t>
      </w:r>
      <w:r w:rsidR="008234F6">
        <w:rPr>
          <w:rFonts w:ascii="Helvetica" w:hAnsi="Helvetica" w:cs="Helvetica"/>
          <w:kern w:val="0"/>
          <w:sz w:val="24"/>
          <w:szCs w:val="24"/>
          <w:lang w:val="es-ES"/>
          <w14:ligatures w14:val="none"/>
        </w:rPr>
        <w:t>e</w:t>
      </w:r>
      <w:r w:rsidR="0052048B" w:rsidRPr="0052048B">
        <w:rPr>
          <w:rFonts w:ascii="Helvetica" w:hAnsi="Helvetica" w:cs="Helvetica"/>
          <w:kern w:val="0"/>
          <w:sz w:val="24"/>
          <w:szCs w:val="24"/>
          <w:lang w:val="es-ES"/>
          <w14:ligatures w14:val="none"/>
        </w:rPr>
        <w:t>l ajuste de los factores de indexación utilizados para el cálculo de tarifas</w:t>
      </w:r>
      <w:r w:rsidR="00F00CBA">
        <w:rPr>
          <w:rFonts w:ascii="Helvetica" w:hAnsi="Helvetica" w:cs="Helvetica"/>
          <w:kern w:val="0"/>
          <w:sz w:val="24"/>
          <w:szCs w:val="24"/>
          <w:lang w:val="es-ES"/>
          <w14:ligatures w14:val="none"/>
        </w:rPr>
        <w:t xml:space="preserve"> en </w:t>
      </w:r>
      <w:r w:rsidR="00DB5871">
        <w:rPr>
          <w:rFonts w:ascii="Helvetica" w:hAnsi="Helvetica" w:cs="Helvetica"/>
          <w:kern w:val="0"/>
          <w:sz w:val="24"/>
          <w:szCs w:val="24"/>
          <w:lang w:val="es-ES"/>
          <w14:ligatures w14:val="none"/>
        </w:rPr>
        <w:t>los c</w:t>
      </w:r>
      <w:r w:rsidR="00DF5ADF">
        <w:rPr>
          <w:rFonts w:ascii="Helvetica" w:hAnsi="Helvetica" w:cs="Helvetica"/>
          <w:kern w:val="0"/>
          <w:sz w:val="24"/>
          <w:szCs w:val="24"/>
          <w:lang w:val="es-ES"/>
          <w14:ligatures w14:val="none"/>
        </w:rPr>
        <w:t xml:space="preserve">omponentes de </w:t>
      </w:r>
      <w:r w:rsidR="0070426C">
        <w:rPr>
          <w:rFonts w:ascii="Helvetica" w:hAnsi="Helvetica" w:cs="Helvetica"/>
          <w:kern w:val="0"/>
          <w:sz w:val="24"/>
          <w:szCs w:val="24"/>
          <w:lang w:val="es-ES"/>
          <w14:ligatures w14:val="none"/>
        </w:rPr>
        <w:t>transmisión, distribución, comercialización</w:t>
      </w:r>
      <w:r w:rsidR="00480E89">
        <w:rPr>
          <w:rFonts w:ascii="Helvetica" w:hAnsi="Helvetica" w:cs="Helvetica"/>
          <w:kern w:val="0"/>
          <w:sz w:val="24"/>
          <w:szCs w:val="24"/>
          <w:lang w:val="es-ES"/>
          <w14:ligatures w14:val="none"/>
        </w:rPr>
        <w:t xml:space="preserve"> y </w:t>
      </w:r>
      <w:r>
        <w:rPr>
          <w:rFonts w:ascii="Helvetica" w:hAnsi="Helvetica" w:cs="Helvetica"/>
          <w:kern w:val="0"/>
          <w:sz w:val="24"/>
          <w:szCs w:val="24"/>
          <w:lang w:val="es-ES"/>
          <w14:ligatures w14:val="none"/>
        </w:rPr>
        <w:t xml:space="preserve">que </w:t>
      </w:r>
      <w:r w:rsidR="00480E89">
        <w:rPr>
          <w:rFonts w:ascii="Helvetica" w:hAnsi="Helvetica" w:cs="Helvetica"/>
          <w:kern w:val="0"/>
          <w:sz w:val="24"/>
          <w:szCs w:val="24"/>
          <w:lang w:val="es-ES"/>
          <w14:ligatures w14:val="none"/>
        </w:rPr>
        <w:t>podrán ser aco</w:t>
      </w:r>
      <w:r w:rsidR="00AD443B">
        <w:rPr>
          <w:rFonts w:ascii="Helvetica" w:hAnsi="Helvetica" w:cs="Helvetica"/>
          <w:kern w:val="0"/>
          <w:sz w:val="24"/>
          <w:szCs w:val="24"/>
          <w:lang w:val="es-ES"/>
          <w14:ligatures w14:val="none"/>
        </w:rPr>
        <w:t>gidos también para actualizar los valores de los contratos de compra de energía</w:t>
      </w:r>
      <w:r w:rsidR="00011AF7">
        <w:rPr>
          <w:rFonts w:ascii="Helvetica" w:hAnsi="Helvetica" w:cs="Helvetica"/>
          <w:kern w:val="0"/>
          <w:sz w:val="24"/>
          <w:szCs w:val="24"/>
          <w:lang w:val="es-ES"/>
          <w14:ligatures w14:val="none"/>
        </w:rPr>
        <w:t>.</w:t>
      </w:r>
    </w:p>
    <w:p w14:paraId="678C84CA" w14:textId="2B3335C2" w:rsidR="00F41B0D" w:rsidRDefault="008234F6" w:rsidP="00F41B0D">
      <w:pPr>
        <w:pStyle w:val="Prrafodelista"/>
        <w:numPr>
          <w:ilvl w:val="0"/>
          <w:numId w:val="4"/>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lastRenderedPageBreak/>
        <w:t xml:space="preserve">Con el proyecto de </w:t>
      </w:r>
      <w:r w:rsidR="00317C6E" w:rsidRPr="007165F2">
        <w:rPr>
          <w:rFonts w:ascii="Helvetica" w:hAnsi="Helvetica" w:cs="Helvetica"/>
          <w:b/>
          <w:bCs/>
          <w:kern w:val="0"/>
          <w:sz w:val="24"/>
          <w:szCs w:val="24"/>
          <w:lang w:val="es-ES"/>
          <w14:ligatures w14:val="none"/>
        </w:rPr>
        <w:t>R</w:t>
      </w:r>
      <w:r w:rsidRPr="007165F2">
        <w:rPr>
          <w:rFonts w:ascii="Helvetica" w:hAnsi="Helvetica" w:cs="Helvetica"/>
          <w:b/>
          <w:bCs/>
          <w:kern w:val="0"/>
          <w:sz w:val="24"/>
          <w:szCs w:val="24"/>
          <w:lang w:val="es-ES"/>
          <w14:ligatures w14:val="none"/>
        </w:rPr>
        <w:t>esolución CREG</w:t>
      </w:r>
      <w:r w:rsidR="00317C6E" w:rsidRPr="007165F2">
        <w:rPr>
          <w:rFonts w:ascii="Helvetica" w:hAnsi="Helvetica" w:cs="Helvetica"/>
          <w:b/>
          <w:bCs/>
          <w:kern w:val="0"/>
          <w:sz w:val="24"/>
          <w:szCs w:val="24"/>
          <w:lang w:val="es-ES"/>
          <w14:ligatures w14:val="none"/>
        </w:rPr>
        <w:t xml:space="preserve"> 701 063 de 2024</w:t>
      </w:r>
      <w:r w:rsidR="00317C6E">
        <w:rPr>
          <w:rFonts w:ascii="Helvetica" w:hAnsi="Helvetica" w:cs="Helvetica"/>
          <w:kern w:val="0"/>
          <w:sz w:val="24"/>
          <w:szCs w:val="24"/>
          <w:lang w:val="es-ES"/>
          <w14:ligatures w14:val="none"/>
        </w:rPr>
        <w:t xml:space="preserve"> se propuso un</w:t>
      </w:r>
      <w:r>
        <w:rPr>
          <w:rFonts w:ascii="Helvetica" w:hAnsi="Helvetica" w:cs="Helvetica"/>
          <w:kern w:val="0"/>
          <w:sz w:val="24"/>
          <w:szCs w:val="24"/>
          <w:lang w:val="es-ES"/>
          <w14:ligatures w14:val="none"/>
        </w:rPr>
        <w:t xml:space="preserve"> </w:t>
      </w:r>
      <w:r w:rsidR="00317C6E">
        <w:rPr>
          <w:rFonts w:ascii="Helvetica" w:hAnsi="Helvetica" w:cs="Helvetica"/>
          <w:kern w:val="0"/>
          <w:sz w:val="24"/>
          <w:szCs w:val="24"/>
          <w:lang w:val="es-ES"/>
          <w14:ligatures w14:val="none"/>
        </w:rPr>
        <w:t>a</w:t>
      </w:r>
      <w:r w:rsidR="00F41B0D">
        <w:rPr>
          <w:rFonts w:ascii="Helvetica" w:hAnsi="Helvetica" w:cs="Helvetica"/>
          <w:kern w:val="0"/>
          <w:sz w:val="24"/>
          <w:szCs w:val="24"/>
          <w:lang w:val="es-ES"/>
          <w14:ligatures w14:val="none"/>
        </w:rPr>
        <w:t>juste</w:t>
      </w:r>
      <w:r w:rsidR="00F41B0D" w:rsidRPr="00580AFD">
        <w:rPr>
          <w:rFonts w:ascii="Helvetica" w:hAnsi="Helvetica" w:cs="Helvetica"/>
          <w:kern w:val="0"/>
          <w:sz w:val="24"/>
          <w:szCs w:val="24"/>
          <w:lang w:val="es-ES"/>
          <w14:ligatures w14:val="none"/>
        </w:rPr>
        <w:t xml:space="preserve"> en las fórmulas tarifarias para permitir que el Costo de Opción Tarifaria pueda ser descontado a los usuarios de estratos 1, 2 y 3</w:t>
      </w:r>
      <w:r w:rsidR="00F41B0D">
        <w:rPr>
          <w:rFonts w:ascii="Helvetica" w:hAnsi="Helvetica" w:cs="Helvetica"/>
          <w:kern w:val="0"/>
          <w:sz w:val="24"/>
          <w:szCs w:val="24"/>
          <w:lang w:val="es-ES"/>
          <w14:ligatures w14:val="none"/>
        </w:rPr>
        <w:t>.</w:t>
      </w:r>
    </w:p>
    <w:p w14:paraId="75DF7789" w14:textId="2C2DC3DB" w:rsidR="00317C6E" w:rsidRPr="00580AFD" w:rsidRDefault="00317C6E" w:rsidP="00F41B0D">
      <w:pPr>
        <w:pStyle w:val="Prrafodelista"/>
        <w:numPr>
          <w:ilvl w:val="0"/>
          <w:numId w:val="4"/>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Asimismo, mediante el proyecto de </w:t>
      </w:r>
      <w:r w:rsidRPr="007165F2">
        <w:rPr>
          <w:rFonts w:ascii="Helvetica" w:hAnsi="Helvetica" w:cs="Helvetica"/>
          <w:b/>
          <w:bCs/>
          <w:kern w:val="0"/>
          <w:sz w:val="24"/>
          <w:szCs w:val="24"/>
          <w:lang w:val="es-ES"/>
          <w14:ligatures w14:val="none"/>
        </w:rPr>
        <w:t>Resolución CREG 701 063 de 2024</w:t>
      </w:r>
      <w:r>
        <w:rPr>
          <w:rFonts w:ascii="Helvetica" w:hAnsi="Helvetica" w:cs="Helvetica"/>
          <w:kern w:val="0"/>
          <w:sz w:val="24"/>
          <w:szCs w:val="24"/>
          <w:lang w:val="es-ES"/>
          <w14:ligatures w14:val="none"/>
        </w:rPr>
        <w:t xml:space="preserve"> se </w:t>
      </w:r>
      <w:r w:rsidR="008B2819">
        <w:rPr>
          <w:rFonts w:ascii="Helvetica" w:hAnsi="Helvetica" w:cs="Helvetica"/>
          <w:kern w:val="0"/>
          <w:sz w:val="24"/>
          <w:szCs w:val="24"/>
          <w:lang w:val="es-ES"/>
          <w14:ligatures w14:val="none"/>
        </w:rPr>
        <w:t>propuso habilitar la renegociación de contratos suministro de energía de largo plazo con destino a la demanda regulada.</w:t>
      </w:r>
    </w:p>
    <w:p w14:paraId="386C2EE3" w14:textId="3EB777D7" w:rsidR="00580AFD" w:rsidRDefault="00580AFD">
      <w:pPr>
        <w:pStyle w:val="Prrafodelista"/>
        <w:numPr>
          <w:ilvl w:val="0"/>
          <w:numId w:val="4"/>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Recientemente</w:t>
      </w:r>
      <w:r w:rsidR="008B2819">
        <w:rPr>
          <w:rFonts w:ascii="Helvetica" w:hAnsi="Helvetica" w:cs="Helvetica"/>
          <w:kern w:val="0"/>
          <w:sz w:val="24"/>
          <w:szCs w:val="24"/>
          <w:lang w:val="es-ES"/>
          <w14:ligatures w14:val="none"/>
        </w:rPr>
        <w:t xml:space="preserve">, mediante la </w:t>
      </w:r>
      <w:r w:rsidR="008B2819" w:rsidRPr="007165F2">
        <w:rPr>
          <w:rFonts w:ascii="Helvetica" w:hAnsi="Helvetica" w:cs="Helvetica"/>
          <w:b/>
          <w:bCs/>
          <w:kern w:val="0"/>
          <w:sz w:val="24"/>
          <w:szCs w:val="24"/>
          <w:lang w:val="es-ES"/>
          <w14:ligatures w14:val="none"/>
        </w:rPr>
        <w:t>Resolución CREG 101 035</w:t>
      </w:r>
      <w:r w:rsidRPr="007165F2">
        <w:rPr>
          <w:rFonts w:ascii="Helvetica" w:hAnsi="Helvetica" w:cs="Helvetica"/>
          <w:b/>
          <w:bCs/>
          <w:kern w:val="0"/>
          <w:sz w:val="24"/>
          <w:szCs w:val="24"/>
          <w:lang w:val="es-ES"/>
          <w14:ligatures w14:val="none"/>
        </w:rPr>
        <w:t xml:space="preserve"> </w:t>
      </w:r>
      <w:r w:rsidR="00EB51A8" w:rsidRPr="007165F2">
        <w:rPr>
          <w:rFonts w:ascii="Helvetica" w:hAnsi="Helvetica" w:cs="Helvetica"/>
          <w:b/>
          <w:bCs/>
          <w:kern w:val="0"/>
          <w:sz w:val="24"/>
          <w:szCs w:val="24"/>
          <w:lang w:val="es-ES"/>
          <w14:ligatures w14:val="none"/>
        </w:rPr>
        <w:t>de 2024</w:t>
      </w:r>
      <w:r w:rsidR="00EB51A8">
        <w:rPr>
          <w:rFonts w:ascii="Helvetica" w:hAnsi="Helvetica" w:cs="Helvetica"/>
          <w:kern w:val="0"/>
          <w:sz w:val="24"/>
          <w:szCs w:val="24"/>
          <w:lang w:val="es-ES"/>
          <w14:ligatures w14:val="none"/>
        </w:rPr>
        <w:t xml:space="preserve"> </w:t>
      </w:r>
      <w:r w:rsidR="001C77B9" w:rsidRPr="00580AFD">
        <w:rPr>
          <w:rFonts w:ascii="Helvetica" w:hAnsi="Helvetica" w:cs="Helvetica"/>
          <w:kern w:val="0"/>
          <w:sz w:val="24"/>
          <w:szCs w:val="24"/>
          <w:lang w:val="es-ES"/>
          <w14:ligatures w14:val="none"/>
        </w:rPr>
        <w:t>se incrementó la tolerancia en el transporte de energía reactiva capacitiva que puede darse sin incurrir en cobros</w:t>
      </w:r>
      <w:r>
        <w:rPr>
          <w:rFonts w:ascii="Helvetica" w:hAnsi="Helvetica" w:cs="Helvetica"/>
          <w:kern w:val="0"/>
          <w:sz w:val="24"/>
          <w:szCs w:val="24"/>
          <w:lang w:val="es-ES"/>
          <w14:ligatures w14:val="none"/>
        </w:rPr>
        <w:t>.</w:t>
      </w:r>
    </w:p>
    <w:p w14:paraId="66ED4186" w14:textId="26422ED3" w:rsidR="00161757" w:rsidRPr="007165F2" w:rsidRDefault="00EB51A8" w:rsidP="007165F2">
      <w:pPr>
        <w:pStyle w:val="Prrafodelista"/>
        <w:numPr>
          <w:ilvl w:val="0"/>
          <w:numId w:val="4"/>
        </w:num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 xml:space="preserve">Mediante el proyecto de </w:t>
      </w:r>
      <w:r w:rsidRPr="007165F2">
        <w:rPr>
          <w:rFonts w:ascii="Helvetica" w:hAnsi="Helvetica" w:cs="Helvetica"/>
          <w:b/>
          <w:bCs/>
          <w:kern w:val="0"/>
          <w:sz w:val="24"/>
          <w:szCs w:val="24"/>
          <w:lang w:val="es-ES"/>
          <w14:ligatures w14:val="none"/>
        </w:rPr>
        <w:t>Resolución CREG 701 051 de 2024</w:t>
      </w:r>
      <w:r>
        <w:rPr>
          <w:rFonts w:ascii="Helvetica" w:hAnsi="Helvetica" w:cs="Helvetica"/>
          <w:kern w:val="0"/>
          <w:sz w:val="24"/>
          <w:szCs w:val="24"/>
          <w:lang w:val="es-ES"/>
          <w14:ligatures w14:val="none"/>
        </w:rPr>
        <w:t xml:space="preserve"> se presentó una propuesta de a</w:t>
      </w:r>
      <w:r w:rsidR="001C77B9" w:rsidRPr="00580AFD">
        <w:rPr>
          <w:rFonts w:ascii="Helvetica" w:hAnsi="Helvetica" w:cs="Helvetica"/>
          <w:kern w:val="0"/>
          <w:sz w:val="24"/>
          <w:szCs w:val="24"/>
          <w:lang w:val="es-ES"/>
          <w14:ligatures w14:val="none"/>
        </w:rPr>
        <w:t xml:space="preserve">rmonización regulatoria de las comunidades energéticas, </w:t>
      </w:r>
      <w:r w:rsidR="00FC6017">
        <w:rPr>
          <w:rFonts w:ascii="Helvetica" w:hAnsi="Helvetica" w:cs="Helvetica"/>
          <w:kern w:val="0"/>
          <w:sz w:val="24"/>
          <w:szCs w:val="24"/>
          <w:lang w:val="es-ES"/>
          <w14:ligatures w14:val="none"/>
        </w:rPr>
        <w:t xml:space="preserve">que se pueden constituir </w:t>
      </w:r>
      <w:r w:rsidR="00197485">
        <w:rPr>
          <w:rFonts w:ascii="Helvetica" w:hAnsi="Helvetica" w:cs="Helvetica"/>
          <w:kern w:val="0"/>
          <w:sz w:val="24"/>
          <w:szCs w:val="24"/>
          <w:lang w:val="es-ES"/>
          <w14:ligatures w14:val="none"/>
        </w:rPr>
        <w:t xml:space="preserve">para realizar las actividades de autogeneración colectiva </w:t>
      </w:r>
      <w:r w:rsidR="006924BB">
        <w:rPr>
          <w:rFonts w:ascii="Helvetica" w:hAnsi="Helvetica" w:cs="Helvetica"/>
          <w:kern w:val="0"/>
          <w:sz w:val="24"/>
          <w:szCs w:val="24"/>
          <w:lang w:val="es-ES"/>
          <w14:ligatures w14:val="none"/>
        </w:rPr>
        <w:t>o generación distribuida colectiva.</w:t>
      </w:r>
    </w:p>
    <w:p w14:paraId="14994083" w14:textId="40C89460" w:rsidR="002953DC" w:rsidRPr="00161757" w:rsidRDefault="00612B76" w:rsidP="00161757">
      <w:pPr>
        <w:jc w:val="both"/>
        <w:rPr>
          <w:rFonts w:ascii="Helvetica" w:hAnsi="Helvetica" w:cs="Helvetica"/>
          <w:bCs/>
          <w:kern w:val="0"/>
          <w:sz w:val="24"/>
          <w:szCs w:val="24"/>
          <w:lang w:val="es-ES"/>
          <w14:ligatures w14:val="none"/>
        </w:rPr>
      </w:pPr>
      <w:r w:rsidRPr="00161757">
        <w:rPr>
          <w:rFonts w:ascii="Helvetica" w:hAnsi="Helvetica" w:cs="Helvetica"/>
          <w:b/>
          <w:bCs/>
          <w:kern w:val="0"/>
          <w:sz w:val="24"/>
          <w:szCs w:val="24"/>
          <w:lang w:val="es-ES"/>
          <w14:ligatures w14:val="none"/>
        </w:rPr>
        <w:t>TERCERO</w:t>
      </w:r>
      <w:r w:rsidR="002953DC" w:rsidRPr="00161757">
        <w:rPr>
          <w:rFonts w:ascii="Helvetica" w:hAnsi="Helvetica" w:cs="Helvetica"/>
          <w:b/>
          <w:bCs/>
          <w:kern w:val="0"/>
          <w:sz w:val="24"/>
          <w:szCs w:val="24"/>
          <w:lang w:val="es-ES"/>
          <w14:ligatures w14:val="none"/>
        </w:rPr>
        <w:t>.</w:t>
      </w:r>
      <w:r w:rsidR="002953DC" w:rsidRPr="00161757">
        <w:rPr>
          <w:rFonts w:ascii="Helvetica" w:hAnsi="Helvetica" w:cs="Helvetica"/>
          <w:bCs/>
          <w:kern w:val="0"/>
          <w:sz w:val="24"/>
          <w:szCs w:val="24"/>
          <w:lang w:val="es-ES"/>
          <w14:ligatures w14:val="none"/>
        </w:rPr>
        <w:t xml:space="preserve"> </w:t>
      </w:r>
      <w:r w:rsidR="007165F2">
        <w:rPr>
          <w:rFonts w:ascii="Helvetica" w:hAnsi="Helvetica" w:cs="Helvetica"/>
          <w:bCs/>
          <w:kern w:val="0"/>
          <w:sz w:val="24"/>
          <w:szCs w:val="24"/>
          <w:lang w:val="es-ES"/>
          <w14:ligatures w14:val="none"/>
        </w:rPr>
        <w:t>Se o</w:t>
      </w:r>
      <w:r w:rsidR="00DC0EC2" w:rsidRPr="00161757">
        <w:rPr>
          <w:rFonts w:ascii="Helvetica" w:hAnsi="Helvetica" w:cs="Helvetica"/>
          <w:bCs/>
          <w:kern w:val="0"/>
          <w:sz w:val="24"/>
          <w:szCs w:val="24"/>
          <w:lang w:val="es-ES"/>
          <w14:ligatures w14:val="none"/>
        </w:rPr>
        <w:t xml:space="preserve">rdena la apertura del </w:t>
      </w:r>
      <w:r w:rsidR="007165F2">
        <w:rPr>
          <w:rFonts w:ascii="Helvetica" w:hAnsi="Helvetica" w:cs="Helvetica"/>
          <w:bCs/>
          <w:kern w:val="0"/>
          <w:sz w:val="24"/>
          <w:szCs w:val="24"/>
          <w:lang w:val="es-ES"/>
          <w14:ligatures w14:val="none"/>
        </w:rPr>
        <w:t xml:space="preserve">respectivo </w:t>
      </w:r>
      <w:r w:rsidR="00DC0EC2" w:rsidRPr="00161757">
        <w:rPr>
          <w:rFonts w:ascii="Helvetica" w:hAnsi="Helvetica" w:cs="Helvetica"/>
          <w:bCs/>
          <w:kern w:val="0"/>
          <w:sz w:val="24"/>
          <w:szCs w:val="24"/>
          <w:lang w:val="es-ES"/>
          <w14:ligatures w14:val="none"/>
        </w:rPr>
        <w:t>expediente</w:t>
      </w:r>
      <w:r w:rsidR="002953DC" w:rsidRPr="00161757">
        <w:rPr>
          <w:rFonts w:ascii="Helvetica" w:hAnsi="Helvetica" w:cs="Helvetica"/>
          <w:bCs/>
          <w:kern w:val="0"/>
          <w:sz w:val="24"/>
          <w:szCs w:val="24"/>
          <w:lang w:val="es-ES"/>
          <w14:ligatures w14:val="none"/>
        </w:rPr>
        <w:t xml:space="preserve">.    </w:t>
      </w:r>
    </w:p>
    <w:p w14:paraId="564CA15A" w14:textId="642BF59E" w:rsidR="002953DC" w:rsidRPr="00567ED3" w:rsidRDefault="00612B76" w:rsidP="002C7D54">
      <w:pPr>
        <w:jc w:val="both"/>
        <w:rPr>
          <w:rFonts w:ascii="Helvetica" w:hAnsi="Helvetica" w:cs="Helvetica"/>
          <w:bCs/>
          <w:kern w:val="0"/>
          <w:sz w:val="24"/>
          <w:szCs w:val="24"/>
          <w:lang w:val="es-ES"/>
          <w14:ligatures w14:val="none"/>
        </w:rPr>
      </w:pPr>
      <w:r>
        <w:rPr>
          <w:rFonts w:ascii="Helvetica" w:hAnsi="Helvetica" w:cs="Helvetica"/>
          <w:b/>
          <w:bCs/>
          <w:kern w:val="0"/>
          <w:sz w:val="24"/>
          <w:szCs w:val="24"/>
          <w:lang w:val="es-ES"/>
          <w14:ligatures w14:val="none"/>
        </w:rPr>
        <w:t>CUARTO</w:t>
      </w:r>
      <w:r w:rsidR="002953DC" w:rsidRPr="00567ED3">
        <w:rPr>
          <w:rFonts w:ascii="Helvetica" w:hAnsi="Helvetica" w:cs="Helvetica"/>
          <w:b/>
          <w:bCs/>
          <w:kern w:val="0"/>
          <w:sz w:val="24"/>
          <w:szCs w:val="24"/>
          <w:lang w:val="es-ES"/>
          <w14:ligatures w14:val="none"/>
        </w:rPr>
        <w:t>.</w:t>
      </w:r>
      <w:r w:rsidR="002953DC" w:rsidRPr="00567ED3">
        <w:rPr>
          <w:rFonts w:ascii="Helvetica" w:hAnsi="Helvetica" w:cs="Helvetica"/>
          <w:bCs/>
          <w:kern w:val="0"/>
          <w:sz w:val="24"/>
          <w:szCs w:val="24"/>
          <w:lang w:val="es-ES"/>
          <w14:ligatures w14:val="none"/>
        </w:rPr>
        <w:t xml:space="preserve"> Publicar en la página Web de la CREG y en el </w:t>
      </w:r>
      <w:r w:rsidR="002953DC" w:rsidRPr="00920A04">
        <w:rPr>
          <w:rFonts w:ascii="Helvetica" w:hAnsi="Helvetica" w:cs="Helvetica"/>
          <w:bCs/>
          <w:i/>
          <w:iCs/>
          <w:kern w:val="0"/>
          <w:sz w:val="24"/>
          <w:szCs w:val="24"/>
          <w:lang w:val="es-ES"/>
          <w14:ligatures w14:val="none"/>
        </w:rPr>
        <w:t>Diario Oficial</w:t>
      </w:r>
      <w:r w:rsidR="00826EF9">
        <w:rPr>
          <w:rFonts w:ascii="Helvetica" w:hAnsi="Helvetica" w:cs="Helvetica"/>
          <w:bCs/>
          <w:i/>
          <w:iCs/>
          <w:kern w:val="0"/>
          <w:sz w:val="24"/>
          <w:szCs w:val="24"/>
          <w:lang w:val="es-ES"/>
          <w14:ligatures w14:val="none"/>
        </w:rPr>
        <w:t xml:space="preserve"> </w:t>
      </w:r>
      <w:r w:rsidR="002953DC" w:rsidRPr="00567ED3">
        <w:rPr>
          <w:rFonts w:ascii="Helvetica" w:hAnsi="Helvetica" w:cs="Helvetica"/>
          <w:bCs/>
          <w:kern w:val="0"/>
          <w:sz w:val="24"/>
          <w:szCs w:val="24"/>
          <w:lang w:val="es-ES"/>
          <w14:ligatures w14:val="none"/>
        </w:rPr>
        <w:t>el extracto que</w:t>
      </w:r>
      <w:r w:rsidR="00711C9A">
        <w:rPr>
          <w:rFonts w:ascii="Helvetica" w:hAnsi="Helvetica" w:cs="Helvetica"/>
          <w:bCs/>
          <w:kern w:val="0"/>
          <w:sz w:val="24"/>
          <w:szCs w:val="24"/>
          <w:lang w:val="es-ES"/>
          <w14:ligatures w14:val="none"/>
        </w:rPr>
        <w:t>,</w:t>
      </w:r>
      <w:r w:rsidR="002953DC" w:rsidRPr="00567ED3">
        <w:rPr>
          <w:rFonts w:ascii="Helvetica" w:hAnsi="Helvetica" w:cs="Helvetica"/>
          <w:bCs/>
          <w:kern w:val="0"/>
          <w:sz w:val="24"/>
          <w:szCs w:val="24"/>
          <w:lang w:val="es-ES"/>
          <w14:ligatures w14:val="none"/>
        </w:rPr>
        <w:t xml:space="preserve"> para los efectos del artículo 37 del Código de Procedimiento Administrativo y de lo Contencioso Administrativo</w:t>
      </w:r>
      <w:r w:rsidR="00354117">
        <w:rPr>
          <w:rFonts w:ascii="Helvetica" w:hAnsi="Helvetica" w:cs="Helvetica"/>
          <w:bCs/>
          <w:kern w:val="0"/>
          <w:sz w:val="24"/>
          <w:szCs w:val="24"/>
          <w:lang w:val="es-ES"/>
          <w14:ligatures w14:val="none"/>
        </w:rPr>
        <w:t>,</w:t>
      </w:r>
      <w:r w:rsidR="002953DC" w:rsidRPr="00567ED3">
        <w:rPr>
          <w:rFonts w:ascii="Helvetica" w:hAnsi="Helvetica" w:cs="Helvetica"/>
          <w:bCs/>
          <w:kern w:val="0"/>
          <w:sz w:val="24"/>
          <w:szCs w:val="24"/>
          <w:lang w:val="es-ES"/>
          <w14:ligatures w14:val="none"/>
        </w:rPr>
        <w:t xml:space="preserve"> se anexa al presente auto.  </w:t>
      </w:r>
    </w:p>
    <w:p w14:paraId="108484AC" w14:textId="553CB9F7" w:rsidR="00A10C7F" w:rsidRDefault="00612B76" w:rsidP="002C7D54">
      <w:pPr>
        <w:jc w:val="both"/>
        <w:rPr>
          <w:rFonts w:ascii="Helvetica" w:hAnsi="Helvetica" w:cs="Helvetica"/>
          <w:bCs/>
          <w:kern w:val="0"/>
          <w:sz w:val="24"/>
          <w:szCs w:val="24"/>
          <w:lang w:val="es-ES"/>
          <w14:ligatures w14:val="none"/>
        </w:rPr>
      </w:pPr>
      <w:r>
        <w:rPr>
          <w:rFonts w:ascii="Helvetica" w:hAnsi="Helvetica" w:cs="Helvetica"/>
          <w:b/>
          <w:bCs/>
          <w:kern w:val="0"/>
          <w:sz w:val="24"/>
          <w:szCs w:val="24"/>
          <w:lang w:val="es-ES"/>
          <w14:ligatures w14:val="none"/>
        </w:rPr>
        <w:t>QUINTO</w:t>
      </w:r>
      <w:r w:rsidR="002953DC" w:rsidRPr="00567ED3">
        <w:rPr>
          <w:rFonts w:ascii="Helvetica" w:hAnsi="Helvetica" w:cs="Helvetica"/>
          <w:b/>
          <w:bCs/>
          <w:kern w:val="0"/>
          <w:sz w:val="24"/>
          <w:szCs w:val="24"/>
          <w:lang w:val="es-ES"/>
          <w14:ligatures w14:val="none"/>
        </w:rPr>
        <w:t>.</w:t>
      </w:r>
      <w:r w:rsidR="002953DC" w:rsidRPr="00567ED3">
        <w:rPr>
          <w:rFonts w:ascii="Helvetica" w:hAnsi="Helvetica" w:cs="Helvetica"/>
          <w:bCs/>
          <w:kern w:val="0"/>
          <w:sz w:val="24"/>
          <w:szCs w:val="24"/>
          <w:lang w:val="es-ES"/>
          <w14:ligatures w14:val="none"/>
        </w:rPr>
        <w:t xml:space="preserve"> Comunicar</w:t>
      </w:r>
      <w:r w:rsidR="00F305D2">
        <w:rPr>
          <w:rFonts w:ascii="Helvetica" w:hAnsi="Helvetica" w:cs="Helvetica"/>
          <w:bCs/>
          <w:kern w:val="0"/>
          <w:sz w:val="24"/>
          <w:szCs w:val="24"/>
          <w:lang w:val="es-ES"/>
          <w14:ligatures w14:val="none"/>
        </w:rPr>
        <w:t xml:space="preserve"> </w:t>
      </w:r>
      <w:r w:rsidR="00F305D2" w:rsidRPr="00567ED3">
        <w:rPr>
          <w:rFonts w:ascii="Helvetica" w:hAnsi="Helvetica" w:cs="Helvetica"/>
          <w:bCs/>
          <w:kern w:val="0"/>
          <w:sz w:val="24"/>
          <w:szCs w:val="24"/>
          <w:lang w:val="es-ES"/>
          <w14:ligatures w14:val="none"/>
        </w:rPr>
        <w:t>el contenido</w:t>
      </w:r>
      <w:r w:rsidR="00A10C7F">
        <w:rPr>
          <w:rFonts w:ascii="Helvetica" w:hAnsi="Helvetica" w:cs="Helvetica"/>
          <w:bCs/>
          <w:kern w:val="0"/>
          <w:sz w:val="24"/>
          <w:szCs w:val="24"/>
          <w:lang w:val="es-ES"/>
          <w14:ligatures w14:val="none"/>
        </w:rPr>
        <w:t xml:space="preserve"> del presente</w:t>
      </w:r>
      <w:r w:rsidR="00BB0254">
        <w:rPr>
          <w:rFonts w:ascii="Helvetica" w:hAnsi="Helvetica" w:cs="Helvetica"/>
          <w:bCs/>
          <w:kern w:val="0"/>
          <w:sz w:val="24"/>
          <w:szCs w:val="24"/>
          <w:lang w:val="es-ES"/>
          <w14:ligatures w14:val="none"/>
        </w:rPr>
        <w:t xml:space="preserve"> a</w:t>
      </w:r>
      <w:r w:rsidR="00BB0254" w:rsidRPr="00567ED3">
        <w:rPr>
          <w:rFonts w:ascii="Helvetica" w:hAnsi="Helvetica" w:cs="Helvetica"/>
          <w:bCs/>
          <w:kern w:val="0"/>
          <w:sz w:val="24"/>
          <w:szCs w:val="24"/>
          <w:lang w:val="es-ES"/>
          <w14:ligatures w14:val="none"/>
        </w:rPr>
        <w:t xml:space="preserve"> </w:t>
      </w:r>
      <w:r w:rsidR="00BB0254" w:rsidRPr="00567ED3">
        <w:rPr>
          <w:rFonts w:ascii="Helvetica" w:hAnsi="Helvetica" w:cs="Helvetica"/>
          <w:bCs/>
          <w:noProof/>
          <w:kern w:val="0"/>
          <w:sz w:val="24"/>
          <w:szCs w:val="24"/>
          <w:lang w:val="es-ES"/>
          <w14:ligatures w14:val="none"/>
        </w:rPr>
        <w:t>la</w:t>
      </w:r>
      <w:r w:rsidR="00BB0254">
        <w:rPr>
          <w:rFonts w:ascii="Helvetica" w:hAnsi="Helvetica" w:cs="Helvetica"/>
          <w:bCs/>
          <w:noProof/>
          <w:kern w:val="0"/>
          <w:sz w:val="24"/>
          <w:szCs w:val="24"/>
          <w:lang w:val="es-ES"/>
          <w14:ligatures w14:val="none"/>
        </w:rPr>
        <w:t xml:space="preserve">s </w:t>
      </w:r>
      <w:r w:rsidR="00BB0254" w:rsidRPr="006C04C0">
        <w:rPr>
          <w:rFonts w:ascii="Helvetica" w:hAnsi="Helvetica" w:cs="Helvetica"/>
          <w:bCs/>
          <w:noProof/>
          <w:kern w:val="0"/>
          <w:sz w:val="24"/>
          <w:szCs w:val="24"/>
          <w:lang w:val="es-ES"/>
          <w14:ligatures w14:val="none"/>
        </w:rPr>
        <w:t xml:space="preserve">empresas </w:t>
      </w:r>
      <w:r w:rsidR="00BB0254">
        <w:rPr>
          <w:rFonts w:ascii="Helvetica" w:hAnsi="Helvetica" w:cs="Helvetica"/>
          <w:bCs/>
          <w:noProof/>
          <w:kern w:val="0"/>
          <w:sz w:val="24"/>
          <w:szCs w:val="24"/>
          <w:lang w:val="es-ES"/>
          <w14:ligatures w14:val="none"/>
        </w:rPr>
        <w:t xml:space="preserve">Air-e </w:t>
      </w:r>
      <w:r w:rsidR="00BB0254" w:rsidRPr="00567ED3">
        <w:rPr>
          <w:rFonts w:ascii="Helvetica" w:hAnsi="Helvetica" w:cs="Helvetica"/>
          <w:bCs/>
          <w:noProof/>
          <w:kern w:val="0"/>
          <w:sz w:val="24"/>
          <w:szCs w:val="24"/>
          <w:lang w:val="es-ES"/>
          <w14:ligatures w14:val="none"/>
        </w:rPr>
        <w:t>S.A.</w:t>
      </w:r>
      <w:r w:rsidR="00BB0254">
        <w:rPr>
          <w:rFonts w:ascii="Helvetica" w:hAnsi="Helvetica" w:cs="Helvetica"/>
          <w:bCs/>
          <w:noProof/>
          <w:kern w:val="0"/>
          <w:sz w:val="24"/>
          <w:szCs w:val="24"/>
          <w:lang w:val="es-ES"/>
          <w14:ligatures w14:val="none"/>
        </w:rPr>
        <w:t>S.</w:t>
      </w:r>
      <w:r w:rsidR="00BB0254" w:rsidRPr="00567ED3">
        <w:rPr>
          <w:rFonts w:ascii="Helvetica" w:hAnsi="Helvetica" w:cs="Helvetica"/>
          <w:bCs/>
          <w:noProof/>
          <w:kern w:val="0"/>
          <w:sz w:val="24"/>
          <w:szCs w:val="24"/>
          <w:lang w:val="es-ES"/>
          <w14:ligatures w14:val="none"/>
        </w:rPr>
        <w:t xml:space="preserve"> E.S.P</w:t>
      </w:r>
      <w:r w:rsidR="00BB0254" w:rsidRPr="00567ED3">
        <w:rPr>
          <w:rFonts w:ascii="Helvetica" w:hAnsi="Helvetica" w:cs="Helvetica"/>
          <w:bCs/>
          <w:kern w:val="0"/>
          <w:sz w:val="24"/>
          <w:szCs w:val="24"/>
          <w:lang w:val="es-ES"/>
          <w14:ligatures w14:val="none"/>
        </w:rPr>
        <w:t>.</w:t>
      </w:r>
      <w:r w:rsidR="00155929">
        <w:rPr>
          <w:rFonts w:ascii="Helvetica" w:hAnsi="Helvetica" w:cs="Helvetica"/>
          <w:bCs/>
          <w:kern w:val="0"/>
          <w:sz w:val="24"/>
          <w:szCs w:val="24"/>
          <w:lang w:val="es-ES"/>
          <w14:ligatures w14:val="none"/>
        </w:rPr>
        <w:t xml:space="preserve"> y </w:t>
      </w:r>
      <w:r w:rsidR="00155929" w:rsidRPr="00202351">
        <w:rPr>
          <w:rFonts w:ascii="Helvetica" w:hAnsi="Helvetica" w:cs="Helvetica"/>
          <w:bCs/>
          <w:noProof/>
          <w:kern w:val="0"/>
          <w:sz w:val="24"/>
          <w:szCs w:val="24"/>
          <w:lang w:val="es-ES"/>
          <w14:ligatures w14:val="none"/>
        </w:rPr>
        <w:t>Caribemar de la Costa S.A.S. E.S.P.</w:t>
      </w:r>
    </w:p>
    <w:p w14:paraId="54D6E9A3" w14:textId="680E58B6" w:rsidR="002953DC" w:rsidRPr="00567ED3" w:rsidRDefault="00A10C7F" w:rsidP="002C7D54">
      <w:pPr>
        <w:jc w:val="both"/>
        <w:rPr>
          <w:rFonts w:ascii="Helvetica" w:hAnsi="Helvetica" w:cs="Helvetica"/>
          <w:bCs/>
          <w:kern w:val="0"/>
          <w:sz w:val="24"/>
          <w:szCs w:val="24"/>
          <w:lang w:val="es-ES"/>
          <w14:ligatures w14:val="none"/>
        </w:rPr>
      </w:pPr>
      <w:r w:rsidRPr="00A10C7F">
        <w:rPr>
          <w:rFonts w:ascii="Helvetica" w:hAnsi="Helvetica" w:cs="Helvetica"/>
          <w:b/>
          <w:kern w:val="0"/>
          <w:sz w:val="24"/>
          <w:szCs w:val="24"/>
          <w:lang w:val="es-ES"/>
          <w14:ligatures w14:val="none"/>
        </w:rPr>
        <w:t>SEXTO.</w:t>
      </w:r>
      <w:r w:rsidR="00F305D2" w:rsidRPr="00567ED3">
        <w:rPr>
          <w:rFonts w:ascii="Helvetica" w:hAnsi="Helvetica" w:cs="Helvetica"/>
          <w:bCs/>
          <w:kern w:val="0"/>
          <w:sz w:val="24"/>
          <w:szCs w:val="24"/>
          <w:lang w:val="es-ES"/>
          <w14:ligatures w14:val="none"/>
        </w:rPr>
        <w:t xml:space="preserve"> </w:t>
      </w:r>
      <w:r w:rsidR="0008558B">
        <w:rPr>
          <w:rFonts w:ascii="Helvetica" w:hAnsi="Helvetica" w:cs="Helvetica"/>
          <w:bCs/>
          <w:kern w:val="0"/>
          <w:sz w:val="24"/>
          <w:szCs w:val="24"/>
          <w:lang w:val="es-ES"/>
          <w14:ligatures w14:val="none"/>
        </w:rPr>
        <w:t>Informar</w:t>
      </w:r>
      <w:r>
        <w:rPr>
          <w:rFonts w:ascii="Helvetica" w:hAnsi="Helvetica" w:cs="Helvetica"/>
          <w:bCs/>
          <w:kern w:val="0"/>
          <w:sz w:val="24"/>
          <w:szCs w:val="24"/>
          <w:lang w:val="es-ES"/>
          <w14:ligatures w14:val="none"/>
        </w:rPr>
        <w:t xml:space="preserve"> el contenido </w:t>
      </w:r>
      <w:r w:rsidR="00F305D2" w:rsidRPr="00567ED3">
        <w:rPr>
          <w:rFonts w:ascii="Helvetica" w:hAnsi="Helvetica" w:cs="Helvetica"/>
          <w:bCs/>
          <w:kern w:val="0"/>
          <w:sz w:val="24"/>
          <w:szCs w:val="24"/>
          <w:lang w:val="es-ES"/>
          <w14:ligatures w14:val="none"/>
        </w:rPr>
        <w:t>del presente auto</w:t>
      </w:r>
      <w:r w:rsidR="002953DC" w:rsidRPr="00567ED3">
        <w:rPr>
          <w:rFonts w:ascii="Helvetica" w:hAnsi="Helvetica" w:cs="Helvetica"/>
          <w:bCs/>
          <w:kern w:val="0"/>
          <w:sz w:val="24"/>
          <w:szCs w:val="24"/>
          <w:lang w:val="es-ES"/>
          <w14:ligatures w14:val="none"/>
        </w:rPr>
        <w:t xml:space="preserve"> a</w:t>
      </w:r>
      <w:r w:rsidR="006C04C0">
        <w:rPr>
          <w:rFonts w:ascii="Helvetica" w:hAnsi="Helvetica" w:cs="Helvetica"/>
          <w:bCs/>
          <w:kern w:val="0"/>
          <w:sz w:val="24"/>
          <w:szCs w:val="24"/>
          <w:lang w:val="es-ES"/>
          <w14:ligatures w14:val="none"/>
        </w:rPr>
        <w:t xml:space="preserve">l </w:t>
      </w:r>
      <w:r w:rsidR="006C7C9A">
        <w:rPr>
          <w:rFonts w:ascii="Helvetica" w:hAnsi="Helvetica" w:cs="Helvetica"/>
          <w:bCs/>
          <w:kern w:val="0"/>
          <w:sz w:val="24"/>
          <w:szCs w:val="24"/>
          <w:lang w:val="es-ES"/>
          <w14:ligatures w14:val="none"/>
        </w:rPr>
        <w:t>Tribunal Administrativo del Atlántico</w:t>
      </w:r>
      <w:r w:rsidR="0008558B">
        <w:rPr>
          <w:rFonts w:ascii="Helvetica" w:hAnsi="Helvetica" w:cs="Helvetica"/>
          <w:bCs/>
          <w:kern w:val="0"/>
          <w:sz w:val="24"/>
          <w:szCs w:val="24"/>
          <w:lang w:val="es-ES"/>
          <w14:ligatures w14:val="none"/>
        </w:rPr>
        <w:t>.</w:t>
      </w:r>
    </w:p>
    <w:p w14:paraId="53CDFA4A" w14:textId="77777777" w:rsidR="002953DC" w:rsidRPr="00567ED3" w:rsidRDefault="002953DC" w:rsidP="002C7D54">
      <w:pPr>
        <w:jc w:val="both"/>
        <w:rPr>
          <w:rFonts w:ascii="Helvetica" w:hAnsi="Helvetica" w:cs="Helvetica"/>
          <w:bCs/>
          <w:kern w:val="0"/>
          <w:sz w:val="24"/>
          <w:szCs w:val="24"/>
          <w:lang w:val="es-ES"/>
          <w14:ligatures w14:val="none"/>
        </w:rPr>
      </w:pPr>
    </w:p>
    <w:p w14:paraId="2007CE30" w14:textId="77777777" w:rsidR="002953DC" w:rsidRPr="00567ED3" w:rsidRDefault="002953DC" w:rsidP="00C30526">
      <w:pPr>
        <w:jc w:val="center"/>
        <w:rPr>
          <w:rFonts w:ascii="Helvetica" w:hAnsi="Helvetica" w:cs="Helvetica"/>
          <w:b/>
          <w:bCs/>
          <w:kern w:val="0"/>
          <w:sz w:val="24"/>
          <w:szCs w:val="24"/>
          <w14:ligatures w14:val="none"/>
        </w:rPr>
      </w:pPr>
      <w:r w:rsidRPr="00567ED3">
        <w:rPr>
          <w:rFonts w:ascii="Helvetica" w:hAnsi="Helvetica" w:cs="Helvetica"/>
          <w:b/>
          <w:bCs/>
          <w:kern w:val="0"/>
          <w:sz w:val="24"/>
          <w:szCs w:val="24"/>
          <w14:ligatures w14:val="none"/>
        </w:rPr>
        <w:t>COMUNÍQUESE, PUBLÍQUESE Y CÚMPLASE</w:t>
      </w:r>
    </w:p>
    <w:p w14:paraId="667DD117" w14:textId="77777777" w:rsidR="002953DC" w:rsidRPr="00567ED3" w:rsidRDefault="002953DC" w:rsidP="00C30526">
      <w:pPr>
        <w:jc w:val="center"/>
        <w:rPr>
          <w:rFonts w:ascii="Helvetica" w:hAnsi="Helvetica" w:cs="Helvetica"/>
          <w:b/>
          <w:bCs/>
          <w:kern w:val="0"/>
          <w:sz w:val="24"/>
          <w:szCs w:val="24"/>
          <w14:ligatures w14:val="none"/>
        </w:rPr>
      </w:pPr>
    </w:p>
    <w:p w14:paraId="298B803D" w14:textId="77777777" w:rsidR="002953DC" w:rsidRPr="00567ED3" w:rsidRDefault="002953DC" w:rsidP="00C30526">
      <w:pPr>
        <w:jc w:val="center"/>
        <w:rPr>
          <w:rFonts w:ascii="Helvetica" w:hAnsi="Helvetica" w:cs="Helvetica"/>
          <w:b/>
          <w:bCs/>
          <w:kern w:val="0"/>
          <w:sz w:val="24"/>
          <w:szCs w:val="24"/>
          <w14:ligatures w14:val="none"/>
        </w:rPr>
      </w:pPr>
      <w:r w:rsidRPr="00567ED3">
        <w:rPr>
          <w:rFonts w:ascii="Helvetica" w:hAnsi="Helvetica" w:cs="Helvetica"/>
          <w:b/>
          <w:bCs/>
          <w:kern w:val="0"/>
          <w:sz w:val="24"/>
          <w:szCs w:val="24"/>
          <w14:ligatures w14:val="none"/>
        </w:rPr>
        <w:t>ANTONIO JIMÉNEZ RIVERA</w:t>
      </w:r>
    </w:p>
    <w:p w14:paraId="0435B7FE" w14:textId="261CB27F" w:rsidR="00950325" w:rsidRPr="00A15B07" w:rsidRDefault="002953DC" w:rsidP="00950325">
      <w:pPr>
        <w:jc w:val="center"/>
        <w:rPr>
          <w:rFonts w:ascii="Helvetica" w:hAnsi="Helvetica" w:cs="Helvetica"/>
          <w:kern w:val="0"/>
          <w:sz w:val="24"/>
          <w:szCs w:val="24"/>
          <w14:ligatures w14:val="none"/>
        </w:rPr>
      </w:pPr>
      <w:r w:rsidRPr="00567ED3">
        <w:rPr>
          <w:rFonts w:ascii="Helvetica" w:hAnsi="Helvetica" w:cs="Helvetica"/>
          <w:kern w:val="0"/>
          <w:sz w:val="24"/>
          <w:szCs w:val="24"/>
          <w14:ligatures w14:val="none"/>
        </w:rPr>
        <w:t>Director Ejecutivo</w:t>
      </w:r>
    </w:p>
    <w:sectPr w:rsidR="00950325" w:rsidRPr="00A15B07" w:rsidSect="00665316">
      <w:headerReference w:type="default" r:id="rId11"/>
      <w:footerReference w:type="default" r:id="rId12"/>
      <w:pgSz w:w="12240" w:h="15840"/>
      <w:pgMar w:top="1417" w:right="1608" w:bottom="1417" w:left="1701"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C7BFE" w14:textId="77777777" w:rsidR="006124DF" w:rsidRDefault="006124DF" w:rsidP="00142756">
      <w:pPr>
        <w:spacing w:after="0" w:line="240" w:lineRule="auto"/>
      </w:pPr>
      <w:r>
        <w:separator/>
      </w:r>
    </w:p>
  </w:endnote>
  <w:endnote w:type="continuationSeparator" w:id="0">
    <w:p w14:paraId="69F98F9D" w14:textId="77777777" w:rsidR="006124DF" w:rsidRDefault="006124DF" w:rsidP="00142756">
      <w:pPr>
        <w:spacing w:after="0" w:line="240" w:lineRule="auto"/>
      </w:pPr>
      <w:r>
        <w:continuationSeparator/>
      </w:r>
    </w:p>
  </w:endnote>
  <w:endnote w:type="continuationNotice" w:id="1">
    <w:p w14:paraId="04CFEB88" w14:textId="77777777" w:rsidR="006124DF" w:rsidRDefault="00612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B37" w14:textId="77777777"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6C83B53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13CBED94"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165FE24"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10D36779" w14:textId="77777777" w:rsidR="00142756" w:rsidRDefault="00142756">
    <w:pPr>
      <w:pStyle w:val="Piedepgina"/>
    </w:pPr>
  </w:p>
  <w:p w14:paraId="19354FDF"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3264E" w14:textId="77777777" w:rsidR="006124DF" w:rsidRDefault="006124DF" w:rsidP="00142756">
      <w:pPr>
        <w:spacing w:after="0" w:line="240" w:lineRule="auto"/>
      </w:pPr>
      <w:r>
        <w:separator/>
      </w:r>
    </w:p>
  </w:footnote>
  <w:footnote w:type="continuationSeparator" w:id="0">
    <w:p w14:paraId="277E7B8D" w14:textId="77777777" w:rsidR="006124DF" w:rsidRDefault="006124DF" w:rsidP="00142756">
      <w:pPr>
        <w:spacing w:after="0" w:line="240" w:lineRule="auto"/>
      </w:pPr>
      <w:r>
        <w:continuationSeparator/>
      </w:r>
    </w:p>
  </w:footnote>
  <w:footnote w:type="continuationNotice" w:id="1">
    <w:p w14:paraId="253DADBC" w14:textId="77777777" w:rsidR="006124DF" w:rsidRDefault="006124DF">
      <w:pPr>
        <w:spacing w:after="0" w:line="240" w:lineRule="auto"/>
      </w:pPr>
    </w:p>
  </w:footnote>
  <w:footnote w:id="2">
    <w:p w14:paraId="4C763E52" w14:textId="29DAA2B5" w:rsidR="006A1049" w:rsidRDefault="006A1049">
      <w:pPr>
        <w:pStyle w:val="Textonotapie"/>
      </w:pPr>
      <w:r>
        <w:rPr>
          <w:rStyle w:val="Refdenotaalpie"/>
        </w:rPr>
        <w:footnoteRef/>
      </w:r>
      <w:r>
        <w:t xml:space="preserve"> </w:t>
      </w:r>
      <w:r w:rsidR="00BF09CB">
        <w:t xml:space="preserve">Se refieren a un 20% adicional en el costo base de comercialización y 300 puntos básicos en el riesgo de cartera </w:t>
      </w:r>
      <w:r w:rsidR="00F84BD7">
        <w:t>respecto de los valores aprobados a Electricaribe</w:t>
      </w:r>
      <w:r w:rsidR="00E95C1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40A5" w14:textId="77777777" w:rsidR="00142756" w:rsidRDefault="00142756">
    <w:pPr>
      <w:pStyle w:val="Encabezado"/>
    </w:pPr>
    <w:r>
      <w:rPr>
        <w:noProof/>
      </w:rPr>
      <w:drawing>
        <wp:anchor distT="0" distB="0" distL="114300" distR="114300" simplePos="0" relativeHeight="251658241" behindDoc="0" locked="0" layoutInCell="1" allowOverlap="1" wp14:anchorId="12779416" wp14:editId="1078D228">
          <wp:simplePos x="0" y="0"/>
          <wp:positionH relativeFrom="margin">
            <wp:align>left</wp:align>
          </wp:positionH>
          <wp:positionV relativeFrom="margin">
            <wp:posOffset>-581025</wp:posOffset>
          </wp:positionV>
          <wp:extent cx="1033145" cy="359410"/>
          <wp:effectExtent l="0" t="0" r="0" b="2540"/>
          <wp:wrapSquare wrapText="bothSides"/>
          <wp:docPr id="885034748"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06230AEC" wp14:editId="0966B0AB">
          <wp:simplePos x="0" y="0"/>
          <wp:positionH relativeFrom="margin">
            <wp:align>right</wp:align>
          </wp:positionH>
          <wp:positionV relativeFrom="margin">
            <wp:posOffset>-523875</wp:posOffset>
          </wp:positionV>
          <wp:extent cx="644400" cy="360000"/>
          <wp:effectExtent l="0" t="0" r="3810" b="2540"/>
          <wp:wrapSquare wrapText="bothSides"/>
          <wp:docPr id="57264603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A5EC480" w14:textId="77777777"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D4A79"/>
    <w:multiLevelType w:val="hybridMultilevel"/>
    <w:tmpl w:val="84A05862"/>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8D3EC1"/>
    <w:multiLevelType w:val="hybridMultilevel"/>
    <w:tmpl w:val="EE8E60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DA54D9"/>
    <w:multiLevelType w:val="hybridMultilevel"/>
    <w:tmpl w:val="56F4538C"/>
    <w:lvl w:ilvl="0" w:tplc="F078F3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697C7E"/>
    <w:multiLevelType w:val="hybridMultilevel"/>
    <w:tmpl w:val="EE8E6074"/>
    <w:lvl w:ilvl="0" w:tplc="4DF4F8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3148194">
    <w:abstractNumId w:val="2"/>
  </w:num>
  <w:num w:numId="2" w16cid:durableId="821501797">
    <w:abstractNumId w:val="3"/>
  </w:num>
  <w:num w:numId="3" w16cid:durableId="687759801">
    <w:abstractNumId w:val="1"/>
  </w:num>
  <w:num w:numId="4" w16cid:durableId="7413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ECC"/>
    <w:rsid w:val="00006173"/>
    <w:rsid w:val="0001001F"/>
    <w:rsid w:val="0001074E"/>
    <w:rsid w:val="00011AF7"/>
    <w:rsid w:val="00026937"/>
    <w:rsid w:val="00031634"/>
    <w:rsid w:val="000358D4"/>
    <w:rsid w:val="00051E38"/>
    <w:rsid w:val="00056280"/>
    <w:rsid w:val="00056623"/>
    <w:rsid w:val="0006354C"/>
    <w:rsid w:val="00063FE1"/>
    <w:rsid w:val="00066F92"/>
    <w:rsid w:val="00071198"/>
    <w:rsid w:val="00072A38"/>
    <w:rsid w:val="00074497"/>
    <w:rsid w:val="00076BA1"/>
    <w:rsid w:val="0008208B"/>
    <w:rsid w:val="0008558B"/>
    <w:rsid w:val="00090554"/>
    <w:rsid w:val="000955D1"/>
    <w:rsid w:val="000A0DCB"/>
    <w:rsid w:val="000A2CA3"/>
    <w:rsid w:val="000A47C1"/>
    <w:rsid w:val="000A7CE7"/>
    <w:rsid w:val="000B2A33"/>
    <w:rsid w:val="000C72CF"/>
    <w:rsid w:val="000C7FE8"/>
    <w:rsid w:val="000D3595"/>
    <w:rsid w:val="000E2A52"/>
    <w:rsid w:val="000F3027"/>
    <w:rsid w:val="000F6AB6"/>
    <w:rsid w:val="001012F0"/>
    <w:rsid w:val="00101657"/>
    <w:rsid w:val="00102490"/>
    <w:rsid w:val="001035BD"/>
    <w:rsid w:val="00105106"/>
    <w:rsid w:val="0011019D"/>
    <w:rsid w:val="0011042E"/>
    <w:rsid w:val="00115595"/>
    <w:rsid w:val="00117314"/>
    <w:rsid w:val="00117E81"/>
    <w:rsid w:val="00123E2C"/>
    <w:rsid w:val="001352EC"/>
    <w:rsid w:val="001358A6"/>
    <w:rsid w:val="00135AE9"/>
    <w:rsid w:val="001373AE"/>
    <w:rsid w:val="00137404"/>
    <w:rsid w:val="00137DE4"/>
    <w:rsid w:val="001407D2"/>
    <w:rsid w:val="00142756"/>
    <w:rsid w:val="00142E94"/>
    <w:rsid w:val="0014665D"/>
    <w:rsid w:val="00150569"/>
    <w:rsid w:val="00152EFD"/>
    <w:rsid w:val="00155929"/>
    <w:rsid w:val="00161757"/>
    <w:rsid w:val="00162354"/>
    <w:rsid w:val="001653F2"/>
    <w:rsid w:val="00176CF3"/>
    <w:rsid w:val="00186CFE"/>
    <w:rsid w:val="00190E6A"/>
    <w:rsid w:val="0019433B"/>
    <w:rsid w:val="00197485"/>
    <w:rsid w:val="0019761F"/>
    <w:rsid w:val="001A2064"/>
    <w:rsid w:val="001B0593"/>
    <w:rsid w:val="001B1D00"/>
    <w:rsid w:val="001B650C"/>
    <w:rsid w:val="001C25A3"/>
    <w:rsid w:val="001C266B"/>
    <w:rsid w:val="001C77B9"/>
    <w:rsid w:val="001D2895"/>
    <w:rsid w:val="001D5CC3"/>
    <w:rsid w:val="001D5F80"/>
    <w:rsid w:val="001E088A"/>
    <w:rsid w:val="001E2CD4"/>
    <w:rsid w:val="001F577B"/>
    <w:rsid w:val="00202351"/>
    <w:rsid w:val="00204C89"/>
    <w:rsid w:val="00205D61"/>
    <w:rsid w:val="00206E70"/>
    <w:rsid w:val="0020793D"/>
    <w:rsid w:val="00214DBB"/>
    <w:rsid w:val="00214FF8"/>
    <w:rsid w:val="00225D69"/>
    <w:rsid w:val="00226472"/>
    <w:rsid w:val="00227DAD"/>
    <w:rsid w:val="00233D59"/>
    <w:rsid w:val="00240DDD"/>
    <w:rsid w:val="00241D72"/>
    <w:rsid w:val="0024264E"/>
    <w:rsid w:val="0024348D"/>
    <w:rsid w:val="00253E19"/>
    <w:rsid w:val="002548D3"/>
    <w:rsid w:val="00256F2A"/>
    <w:rsid w:val="00261873"/>
    <w:rsid w:val="00263693"/>
    <w:rsid w:val="002723B2"/>
    <w:rsid w:val="00273EA8"/>
    <w:rsid w:val="00283785"/>
    <w:rsid w:val="00287240"/>
    <w:rsid w:val="00290FEB"/>
    <w:rsid w:val="002942CF"/>
    <w:rsid w:val="002953DC"/>
    <w:rsid w:val="002A2BFD"/>
    <w:rsid w:val="002A5A25"/>
    <w:rsid w:val="002B0362"/>
    <w:rsid w:val="002B55C3"/>
    <w:rsid w:val="002B5AC9"/>
    <w:rsid w:val="002C58C8"/>
    <w:rsid w:val="002C67F2"/>
    <w:rsid w:val="002C7085"/>
    <w:rsid w:val="002C7D54"/>
    <w:rsid w:val="002D0039"/>
    <w:rsid w:val="002E34EA"/>
    <w:rsid w:val="002E4BD2"/>
    <w:rsid w:val="002F2230"/>
    <w:rsid w:val="00301E4E"/>
    <w:rsid w:val="00304FF8"/>
    <w:rsid w:val="003131A0"/>
    <w:rsid w:val="0031336F"/>
    <w:rsid w:val="00313784"/>
    <w:rsid w:val="00317C6E"/>
    <w:rsid w:val="00320A87"/>
    <w:rsid w:val="00320DEF"/>
    <w:rsid w:val="00321C1D"/>
    <w:rsid w:val="00321E59"/>
    <w:rsid w:val="0032260A"/>
    <w:rsid w:val="00323E7D"/>
    <w:rsid w:val="003246BC"/>
    <w:rsid w:val="00324E0C"/>
    <w:rsid w:val="00326C67"/>
    <w:rsid w:val="00326CC9"/>
    <w:rsid w:val="00327625"/>
    <w:rsid w:val="00331CF2"/>
    <w:rsid w:val="00332D78"/>
    <w:rsid w:val="00353383"/>
    <w:rsid w:val="00353E64"/>
    <w:rsid w:val="00354117"/>
    <w:rsid w:val="003625E6"/>
    <w:rsid w:val="00372EB3"/>
    <w:rsid w:val="003735DE"/>
    <w:rsid w:val="00373817"/>
    <w:rsid w:val="0038120E"/>
    <w:rsid w:val="00381987"/>
    <w:rsid w:val="003822A0"/>
    <w:rsid w:val="0039598F"/>
    <w:rsid w:val="003A7BF5"/>
    <w:rsid w:val="003B5515"/>
    <w:rsid w:val="003C726A"/>
    <w:rsid w:val="003D1853"/>
    <w:rsid w:val="003D2261"/>
    <w:rsid w:val="003D3988"/>
    <w:rsid w:val="003E4652"/>
    <w:rsid w:val="003E58CD"/>
    <w:rsid w:val="003E77FD"/>
    <w:rsid w:val="003F2512"/>
    <w:rsid w:val="003F6B1D"/>
    <w:rsid w:val="00405BB9"/>
    <w:rsid w:val="0041426B"/>
    <w:rsid w:val="0043248C"/>
    <w:rsid w:val="00432629"/>
    <w:rsid w:val="004362E8"/>
    <w:rsid w:val="00462DE1"/>
    <w:rsid w:val="00472835"/>
    <w:rsid w:val="004745A5"/>
    <w:rsid w:val="00475C6C"/>
    <w:rsid w:val="00480E89"/>
    <w:rsid w:val="00484062"/>
    <w:rsid w:val="0048689C"/>
    <w:rsid w:val="00491062"/>
    <w:rsid w:val="004918D0"/>
    <w:rsid w:val="0049201C"/>
    <w:rsid w:val="00493CC2"/>
    <w:rsid w:val="00497A69"/>
    <w:rsid w:val="00497C6A"/>
    <w:rsid w:val="004A195B"/>
    <w:rsid w:val="004A1CA6"/>
    <w:rsid w:val="004A3232"/>
    <w:rsid w:val="004A452A"/>
    <w:rsid w:val="004B6CF2"/>
    <w:rsid w:val="004C1D7C"/>
    <w:rsid w:val="004C2A32"/>
    <w:rsid w:val="004C52B1"/>
    <w:rsid w:val="004F2195"/>
    <w:rsid w:val="004F4544"/>
    <w:rsid w:val="004F5D96"/>
    <w:rsid w:val="005044AE"/>
    <w:rsid w:val="00505125"/>
    <w:rsid w:val="00510CC1"/>
    <w:rsid w:val="005170E9"/>
    <w:rsid w:val="0052048B"/>
    <w:rsid w:val="00520695"/>
    <w:rsid w:val="00520E9B"/>
    <w:rsid w:val="0052144D"/>
    <w:rsid w:val="00522688"/>
    <w:rsid w:val="00523DE8"/>
    <w:rsid w:val="00525227"/>
    <w:rsid w:val="005256D5"/>
    <w:rsid w:val="00533F8A"/>
    <w:rsid w:val="00535168"/>
    <w:rsid w:val="00535ECC"/>
    <w:rsid w:val="00537309"/>
    <w:rsid w:val="00541A46"/>
    <w:rsid w:val="00555DB6"/>
    <w:rsid w:val="00556FC2"/>
    <w:rsid w:val="00565438"/>
    <w:rsid w:val="00565C31"/>
    <w:rsid w:val="00567ED3"/>
    <w:rsid w:val="00576411"/>
    <w:rsid w:val="00580AFD"/>
    <w:rsid w:val="005879CA"/>
    <w:rsid w:val="0059378F"/>
    <w:rsid w:val="005948E8"/>
    <w:rsid w:val="00597844"/>
    <w:rsid w:val="005A1783"/>
    <w:rsid w:val="005A1A61"/>
    <w:rsid w:val="005A2E99"/>
    <w:rsid w:val="005A3EB3"/>
    <w:rsid w:val="005A76B3"/>
    <w:rsid w:val="005A7E28"/>
    <w:rsid w:val="005B09ED"/>
    <w:rsid w:val="005B4D26"/>
    <w:rsid w:val="005B5D14"/>
    <w:rsid w:val="005B6650"/>
    <w:rsid w:val="005C1560"/>
    <w:rsid w:val="005C6BC7"/>
    <w:rsid w:val="005C78B1"/>
    <w:rsid w:val="005D0F05"/>
    <w:rsid w:val="005D6CEC"/>
    <w:rsid w:val="005D7474"/>
    <w:rsid w:val="005E1A39"/>
    <w:rsid w:val="005E33D8"/>
    <w:rsid w:val="005F0C80"/>
    <w:rsid w:val="005F5119"/>
    <w:rsid w:val="005F5DB5"/>
    <w:rsid w:val="005F63AE"/>
    <w:rsid w:val="005F6D16"/>
    <w:rsid w:val="005F7C88"/>
    <w:rsid w:val="00603049"/>
    <w:rsid w:val="006065F0"/>
    <w:rsid w:val="006124DF"/>
    <w:rsid w:val="00612B76"/>
    <w:rsid w:val="00613E11"/>
    <w:rsid w:val="00626D0F"/>
    <w:rsid w:val="00633911"/>
    <w:rsid w:val="00635AC4"/>
    <w:rsid w:val="0064055C"/>
    <w:rsid w:val="00640AAB"/>
    <w:rsid w:val="00646C26"/>
    <w:rsid w:val="006473A4"/>
    <w:rsid w:val="006532FC"/>
    <w:rsid w:val="006534F9"/>
    <w:rsid w:val="00653C03"/>
    <w:rsid w:val="0066217B"/>
    <w:rsid w:val="006640B3"/>
    <w:rsid w:val="00664860"/>
    <w:rsid w:val="00665316"/>
    <w:rsid w:val="0066576A"/>
    <w:rsid w:val="00673A7C"/>
    <w:rsid w:val="00683AD3"/>
    <w:rsid w:val="006924BB"/>
    <w:rsid w:val="006A08EF"/>
    <w:rsid w:val="006A1049"/>
    <w:rsid w:val="006A6324"/>
    <w:rsid w:val="006B2BA2"/>
    <w:rsid w:val="006B4C0B"/>
    <w:rsid w:val="006B534A"/>
    <w:rsid w:val="006B54B2"/>
    <w:rsid w:val="006B5847"/>
    <w:rsid w:val="006B644B"/>
    <w:rsid w:val="006C04C0"/>
    <w:rsid w:val="006C4EC6"/>
    <w:rsid w:val="006C5129"/>
    <w:rsid w:val="006C576F"/>
    <w:rsid w:val="006C6C81"/>
    <w:rsid w:val="006C7C9A"/>
    <w:rsid w:val="006C7EC2"/>
    <w:rsid w:val="006D11ED"/>
    <w:rsid w:val="006D2A7A"/>
    <w:rsid w:val="006D3362"/>
    <w:rsid w:val="006E4FD7"/>
    <w:rsid w:val="006E6C54"/>
    <w:rsid w:val="006F0CA9"/>
    <w:rsid w:val="0070426C"/>
    <w:rsid w:val="007060CC"/>
    <w:rsid w:val="00707929"/>
    <w:rsid w:val="00707B21"/>
    <w:rsid w:val="00711C9A"/>
    <w:rsid w:val="007142E5"/>
    <w:rsid w:val="00714A94"/>
    <w:rsid w:val="00715E2C"/>
    <w:rsid w:val="007165F2"/>
    <w:rsid w:val="007178EF"/>
    <w:rsid w:val="00721BE3"/>
    <w:rsid w:val="007313ED"/>
    <w:rsid w:val="007365A8"/>
    <w:rsid w:val="0073670D"/>
    <w:rsid w:val="007462B6"/>
    <w:rsid w:val="00750E1F"/>
    <w:rsid w:val="0077563A"/>
    <w:rsid w:val="00780FD2"/>
    <w:rsid w:val="00782CA3"/>
    <w:rsid w:val="00783151"/>
    <w:rsid w:val="007A16E9"/>
    <w:rsid w:val="007A3715"/>
    <w:rsid w:val="007C44A8"/>
    <w:rsid w:val="007C44D6"/>
    <w:rsid w:val="007C70CF"/>
    <w:rsid w:val="007D3EA2"/>
    <w:rsid w:val="007D52CE"/>
    <w:rsid w:val="007D59C7"/>
    <w:rsid w:val="007E28C9"/>
    <w:rsid w:val="007F60F4"/>
    <w:rsid w:val="008035DF"/>
    <w:rsid w:val="008129B8"/>
    <w:rsid w:val="00813B1D"/>
    <w:rsid w:val="008234F6"/>
    <w:rsid w:val="00826EF9"/>
    <w:rsid w:val="008275C2"/>
    <w:rsid w:val="00833DF8"/>
    <w:rsid w:val="00834045"/>
    <w:rsid w:val="00835D06"/>
    <w:rsid w:val="008366E1"/>
    <w:rsid w:val="00843D5F"/>
    <w:rsid w:val="008448A0"/>
    <w:rsid w:val="00844CF5"/>
    <w:rsid w:val="008545F6"/>
    <w:rsid w:val="00855790"/>
    <w:rsid w:val="00863442"/>
    <w:rsid w:val="008667A5"/>
    <w:rsid w:val="008709AD"/>
    <w:rsid w:val="00876311"/>
    <w:rsid w:val="00895A14"/>
    <w:rsid w:val="008A0BDE"/>
    <w:rsid w:val="008A110C"/>
    <w:rsid w:val="008A1257"/>
    <w:rsid w:val="008A47BC"/>
    <w:rsid w:val="008A760B"/>
    <w:rsid w:val="008B1E20"/>
    <w:rsid w:val="008B2819"/>
    <w:rsid w:val="008C00CB"/>
    <w:rsid w:val="008C73FF"/>
    <w:rsid w:val="008E0FAC"/>
    <w:rsid w:val="008E19C6"/>
    <w:rsid w:val="008E5709"/>
    <w:rsid w:val="008E70F1"/>
    <w:rsid w:val="008F0338"/>
    <w:rsid w:val="008F6468"/>
    <w:rsid w:val="009014BC"/>
    <w:rsid w:val="00903818"/>
    <w:rsid w:val="00905674"/>
    <w:rsid w:val="00910F0C"/>
    <w:rsid w:val="009113FE"/>
    <w:rsid w:val="0091210D"/>
    <w:rsid w:val="00912D95"/>
    <w:rsid w:val="00914562"/>
    <w:rsid w:val="0091476D"/>
    <w:rsid w:val="00920A04"/>
    <w:rsid w:val="00921727"/>
    <w:rsid w:val="00926084"/>
    <w:rsid w:val="00931AE1"/>
    <w:rsid w:val="00933DB9"/>
    <w:rsid w:val="00943025"/>
    <w:rsid w:val="0094364D"/>
    <w:rsid w:val="009469E1"/>
    <w:rsid w:val="00950325"/>
    <w:rsid w:val="0096253C"/>
    <w:rsid w:val="00975390"/>
    <w:rsid w:val="009801F2"/>
    <w:rsid w:val="00981183"/>
    <w:rsid w:val="00981FDC"/>
    <w:rsid w:val="00983979"/>
    <w:rsid w:val="00991638"/>
    <w:rsid w:val="009A0A81"/>
    <w:rsid w:val="009A5620"/>
    <w:rsid w:val="009A610F"/>
    <w:rsid w:val="009B2266"/>
    <w:rsid w:val="009B3C75"/>
    <w:rsid w:val="009B5A35"/>
    <w:rsid w:val="009C0F03"/>
    <w:rsid w:val="009C1400"/>
    <w:rsid w:val="009C1D5D"/>
    <w:rsid w:val="009E120C"/>
    <w:rsid w:val="009E507B"/>
    <w:rsid w:val="009E7415"/>
    <w:rsid w:val="009F54D0"/>
    <w:rsid w:val="009F6990"/>
    <w:rsid w:val="00A03F11"/>
    <w:rsid w:val="00A10C7F"/>
    <w:rsid w:val="00A15B07"/>
    <w:rsid w:val="00A15FCD"/>
    <w:rsid w:val="00A20AAB"/>
    <w:rsid w:val="00A211D0"/>
    <w:rsid w:val="00A24CB9"/>
    <w:rsid w:val="00A27DF4"/>
    <w:rsid w:val="00A32A80"/>
    <w:rsid w:val="00A34112"/>
    <w:rsid w:val="00A37A91"/>
    <w:rsid w:val="00A4066D"/>
    <w:rsid w:val="00A45855"/>
    <w:rsid w:val="00A45F04"/>
    <w:rsid w:val="00A501DE"/>
    <w:rsid w:val="00A60498"/>
    <w:rsid w:val="00A70D4D"/>
    <w:rsid w:val="00A74B2A"/>
    <w:rsid w:val="00A86A58"/>
    <w:rsid w:val="00AA29CC"/>
    <w:rsid w:val="00AB1BFB"/>
    <w:rsid w:val="00AB52F6"/>
    <w:rsid w:val="00AC1BAC"/>
    <w:rsid w:val="00AC2FC4"/>
    <w:rsid w:val="00AD443B"/>
    <w:rsid w:val="00AE1694"/>
    <w:rsid w:val="00AE1ABB"/>
    <w:rsid w:val="00AE2541"/>
    <w:rsid w:val="00AE462B"/>
    <w:rsid w:val="00AE4C24"/>
    <w:rsid w:val="00AE5A71"/>
    <w:rsid w:val="00AE69E9"/>
    <w:rsid w:val="00AE7620"/>
    <w:rsid w:val="00AF060D"/>
    <w:rsid w:val="00AF66F2"/>
    <w:rsid w:val="00B02687"/>
    <w:rsid w:val="00B03CE8"/>
    <w:rsid w:val="00B06A97"/>
    <w:rsid w:val="00B075DE"/>
    <w:rsid w:val="00B07881"/>
    <w:rsid w:val="00B1192E"/>
    <w:rsid w:val="00B1292C"/>
    <w:rsid w:val="00B13A47"/>
    <w:rsid w:val="00B1626C"/>
    <w:rsid w:val="00B25083"/>
    <w:rsid w:val="00B267BB"/>
    <w:rsid w:val="00B36BDD"/>
    <w:rsid w:val="00B43BF2"/>
    <w:rsid w:val="00B5229B"/>
    <w:rsid w:val="00B546D4"/>
    <w:rsid w:val="00B6295C"/>
    <w:rsid w:val="00B639B0"/>
    <w:rsid w:val="00B71B39"/>
    <w:rsid w:val="00B8513A"/>
    <w:rsid w:val="00B85CF6"/>
    <w:rsid w:val="00B90A7B"/>
    <w:rsid w:val="00B92BBE"/>
    <w:rsid w:val="00B966B6"/>
    <w:rsid w:val="00B972B3"/>
    <w:rsid w:val="00BB0254"/>
    <w:rsid w:val="00BB60D3"/>
    <w:rsid w:val="00BC4835"/>
    <w:rsid w:val="00BC72C4"/>
    <w:rsid w:val="00BD28C8"/>
    <w:rsid w:val="00BD3700"/>
    <w:rsid w:val="00BD621C"/>
    <w:rsid w:val="00BE57C2"/>
    <w:rsid w:val="00BF09CB"/>
    <w:rsid w:val="00BF2562"/>
    <w:rsid w:val="00BF5935"/>
    <w:rsid w:val="00BF6485"/>
    <w:rsid w:val="00C0149C"/>
    <w:rsid w:val="00C11497"/>
    <w:rsid w:val="00C120E8"/>
    <w:rsid w:val="00C1262C"/>
    <w:rsid w:val="00C14EEF"/>
    <w:rsid w:val="00C1709C"/>
    <w:rsid w:val="00C30526"/>
    <w:rsid w:val="00C353C6"/>
    <w:rsid w:val="00C41111"/>
    <w:rsid w:val="00C4159C"/>
    <w:rsid w:val="00C5206F"/>
    <w:rsid w:val="00C54EAD"/>
    <w:rsid w:val="00C60796"/>
    <w:rsid w:val="00C75901"/>
    <w:rsid w:val="00C76149"/>
    <w:rsid w:val="00C83DC2"/>
    <w:rsid w:val="00C87D40"/>
    <w:rsid w:val="00C92420"/>
    <w:rsid w:val="00C95C1C"/>
    <w:rsid w:val="00CA027E"/>
    <w:rsid w:val="00CA6D62"/>
    <w:rsid w:val="00CB0C40"/>
    <w:rsid w:val="00CB432C"/>
    <w:rsid w:val="00CB503D"/>
    <w:rsid w:val="00CC461B"/>
    <w:rsid w:val="00CC5431"/>
    <w:rsid w:val="00CD5DD0"/>
    <w:rsid w:val="00CE7850"/>
    <w:rsid w:val="00CF54A8"/>
    <w:rsid w:val="00D01126"/>
    <w:rsid w:val="00D02097"/>
    <w:rsid w:val="00D04385"/>
    <w:rsid w:val="00D14BC8"/>
    <w:rsid w:val="00D14E3E"/>
    <w:rsid w:val="00D15260"/>
    <w:rsid w:val="00D32754"/>
    <w:rsid w:val="00D333F8"/>
    <w:rsid w:val="00D36CA0"/>
    <w:rsid w:val="00D4190B"/>
    <w:rsid w:val="00D70B50"/>
    <w:rsid w:val="00D71E88"/>
    <w:rsid w:val="00D81303"/>
    <w:rsid w:val="00D82EC8"/>
    <w:rsid w:val="00D86752"/>
    <w:rsid w:val="00D9001B"/>
    <w:rsid w:val="00DA0910"/>
    <w:rsid w:val="00DA7138"/>
    <w:rsid w:val="00DA7D6E"/>
    <w:rsid w:val="00DB1842"/>
    <w:rsid w:val="00DB247D"/>
    <w:rsid w:val="00DB5871"/>
    <w:rsid w:val="00DB76A9"/>
    <w:rsid w:val="00DC0E8E"/>
    <w:rsid w:val="00DC0EC2"/>
    <w:rsid w:val="00DC4FA1"/>
    <w:rsid w:val="00DD3746"/>
    <w:rsid w:val="00DD3EDA"/>
    <w:rsid w:val="00DD58EA"/>
    <w:rsid w:val="00DD7CD9"/>
    <w:rsid w:val="00DE5D6A"/>
    <w:rsid w:val="00DE6665"/>
    <w:rsid w:val="00DE66E5"/>
    <w:rsid w:val="00DF5ADF"/>
    <w:rsid w:val="00DF68B9"/>
    <w:rsid w:val="00E04BB5"/>
    <w:rsid w:val="00E0524A"/>
    <w:rsid w:val="00E27184"/>
    <w:rsid w:val="00E3104C"/>
    <w:rsid w:val="00E41FCB"/>
    <w:rsid w:val="00E4360E"/>
    <w:rsid w:val="00E50F39"/>
    <w:rsid w:val="00E6453D"/>
    <w:rsid w:val="00E749BB"/>
    <w:rsid w:val="00E74F88"/>
    <w:rsid w:val="00E82B77"/>
    <w:rsid w:val="00E8316C"/>
    <w:rsid w:val="00E90D27"/>
    <w:rsid w:val="00E90DB1"/>
    <w:rsid w:val="00E92A23"/>
    <w:rsid w:val="00E92C78"/>
    <w:rsid w:val="00E953BE"/>
    <w:rsid w:val="00E95C10"/>
    <w:rsid w:val="00EB041E"/>
    <w:rsid w:val="00EB1D4C"/>
    <w:rsid w:val="00EB2DFD"/>
    <w:rsid w:val="00EB4F46"/>
    <w:rsid w:val="00EB50A4"/>
    <w:rsid w:val="00EB51A8"/>
    <w:rsid w:val="00EB7C61"/>
    <w:rsid w:val="00EC5D1C"/>
    <w:rsid w:val="00ED52E6"/>
    <w:rsid w:val="00EE6D1C"/>
    <w:rsid w:val="00EF0543"/>
    <w:rsid w:val="00EF0AFD"/>
    <w:rsid w:val="00EF259E"/>
    <w:rsid w:val="00EF6CEC"/>
    <w:rsid w:val="00F00CBA"/>
    <w:rsid w:val="00F0732F"/>
    <w:rsid w:val="00F10E71"/>
    <w:rsid w:val="00F2005E"/>
    <w:rsid w:val="00F234A5"/>
    <w:rsid w:val="00F269E7"/>
    <w:rsid w:val="00F27E69"/>
    <w:rsid w:val="00F305D2"/>
    <w:rsid w:val="00F314A8"/>
    <w:rsid w:val="00F319D1"/>
    <w:rsid w:val="00F41B0D"/>
    <w:rsid w:val="00F46A17"/>
    <w:rsid w:val="00F50851"/>
    <w:rsid w:val="00F55A99"/>
    <w:rsid w:val="00F63333"/>
    <w:rsid w:val="00F7244B"/>
    <w:rsid w:val="00F750B0"/>
    <w:rsid w:val="00F8065F"/>
    <w:rsid w:val="00F84BD7"/>
    <w:rsid w:val="00F90919"/>
    <w:rsid w:val="00F918DE"/>
    <w:rsid w:val="00F93EF5"/>
    <w:rsid w:val="00F942A2"/>
    <w:rsid w:val="00F95C61"/>
    <w:rsid w:val="00F961EC"/>
    <w:rsid w:val="00FA2852"/>
    <w:rsid w:val="00FA3FEA"/>
    <w:rsid w:val="00FA593D"/>
    <w:rsid w:val="00FB178E"/>
    <w:rsid w:val="00FB66BC"/>
    <w:rsid w:val="00FC6017"/>
    <w:rsid w:val="00FC6C0D"/>
    <w:rsid w:val="00FD65FF"/>
    <w:rsid w:val="00FE7739"/>
    <w:rsid w:val="00FF07C7"/>
    <w:rsid w:val="00FF10BB"/>
    <w:rsid w:val="043C6048"/>
    <w:rsid w:val="05E999B6"/>
    <w:rsid w:val="07F33817"/>
    <w:rsid w:val="0BC9F629"/>
    <w:rsid w:val="0C9F4A57"/>
    <w:rsid w:val="13318D2C"/>
    <w:rsid w:val="1E9C77F8"/>
    <w:rsid w:val="243A9FAE"/>
    <w:rsid w:val="2A6E7552"/>
    <w:rsid w:val="39EBCE47"/>
    <w:rsid w:val="4A606B66"/>
    <w:rsid w:val="5328F545"/>
    <w:rsid w:val="533256F7"/>
    <w:rsid w:val="5AF96E0C"/>
    <w:rsid w:val="5CEDD8AB"/>
    <w:rsid w:val="6C9976FA"/>
    <w:rsid w:val="712312E9"/>
    <w:rsid w:val="722DF1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0FFE"/>
  <w15:chartTrackingRefBased/>
  <w15:docId w15:val="{7EAE1040-0E61-4B56-AFD6-7BF87B00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8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 w:type="paragraph" w:styleId="Revisin">
    <w:name w:val="Revision"/>
    <w:hidden/>
    <w:uiPriority w:val="99"/>
    <w:semiHidden/>
    <w:rsid w:val="00C14EEF"/>
    <w:pPr>
      <w:spacing w:after="0" w:line="240" w:lineRule="auto"/>
    </w:pPr>
  </w:style>
  <w:style w:type="character" w:styleId="Hipervnculo">
    <w:name w:val="Hyperlink"/>
    <w:basedOn w:val="Fuentedeprrafopredeter"/>
    <w:uiPriority w:val="99"/>
    <w:unhideWhenUsed/>
    <w:rsid w:val="001035BD"/>
    <w:rPr>
      <w:color w:val="0563C1" w:themeColor="hyperlink"/>
      <w:u w:val="single"/>
    </w:rPr>
  </w:style>
  <w:style w:type="character" w:styleId="Mencinsinresolver">
    <w:name w:val="Unresolved Mention"/>
    <w:basedOn w:val="Fuentedeprrafopredeter"/>
    <w:uiPriority w:val="99"/>
    <w:semiHidden/>
    <w:unhideWhenUsed/>
    <w:rsid w:val="001035BD"/>
    <w:rPr>
      <w:color w:val="605E5C"/>
      <w:shd w:val="clear" w:color="auto" w:fill="E1DFDD"/>
    </w:rPr>
  </w:style>
  <w:style w:type="paragraph" w:styleId="Prrafodelista">
    <w:name w:val="List Paragraph"/>
    <w:basedOn w:val="Normal"/>
    <w:uiPriority w:val="34"/>
    <w:qFormat/>
    <w:rsid w:val="00576411"/>
    <w:pPr>
      <w:ind w:left="720"/>
      <w:contextualSpacing/>
    </w:pPr>
  </w:style>
  <w:style w:type="paragraph" w:styleId="Textonotapie">
    <w:name w:val="footnote text"/>
    <w:basedOn w:val="Normal"/>
    <w:link w:val="TextonotapieCar"/>
    <w:uiPriority w:val="99"/>
    <w:semiHidden/>
    <w:unhideWhenUsed/>
    <w:rsid w:val="006A10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049"/>
    <w:rPr>
      <w:sz w:val="20"/>
      <w:szCs w:val="20"/>
    </w:rPr>
  </w:style>
  <w:style w:type="character" w:styleId="Refdenotaalpie">
    <w:name w:val="footnote reference"/>
    <w:basedOn w:val="Fuentedeprrafopredeter"/>
    <w:uiPriority w:val="99"/>
    <w:semiHidden/>
    <w:unhideWhenUsed/>
    <w:rsid w:val="006A1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6037">
      <w:bodyDiv w:val="1"/>
      <w:marLeft w:val="0"/>
      <w:marRight w:val="0"/>
      <w:marTop w:val="0"/>
      <w:marBottom w:val="0"/>
      <w:divBdr>
        <w:top w:val="none" w:sz="0" w:space="0" w:color="auto"/>
        <w:left w:val="none" w:sz="0" w:space="0" w:color="auto"/>
        <w:bottom w:val="none" w:sz="0" w:space="0" w:color="auto"/>
        <w:right w:val="none" w:sz="0" w:space="0" w:color="auto"/>
      </w:divBdr>
    </w:div>
    <w:div w:id="1223910607">
      <w:bodyDiv w:val="1"/>
      <w:marLeft w:val="0"/>
      <w:marRight w:val="0"/>
      <w:marTop w:val="0"/>
      <w:marBottom w:val="0"/>
      <w:divBdr>
        <w:top w:val="none" w:sz="0" w:space="0" w:color="auto"/>
        <w:left w:val="none" w:sz="0" w:space="0" w:color="auto"/>
        <w:bottom w:val="none" w:sz="0" w:space="0" w:color="auto"/>
        <w:right w:val="none" w:sz="0" w:space="0" w:color="auto"/>
      </w:divBdr>
    </w:div>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 w:id="1947158213">
      <w:bodyDiv w:val="1"/>
      <w:marLeft w:val="0"/>
      <w:marRight w:val="0"/>
      <w:marTop w:val="0"/>
      <w:marBottom w:val="0"/>
      <w:divBdr>
        <w:top w:val="none" w:sz="0" w:space="0" w:color="auto"/>
        <w:left w:val="none" w:sz="0" w:space="0" w:color="auto"/>
        <w:bottom w:val="none" w:sz="0" w:space="0" w:color="auto"/>
        <w:right w:val="none" w:sz="0" w:space="0" w:color="auto"/>
      </w:divBdr>
    </w:div>
    <w:div w:id="21434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751286-a4e8-4d8a-ac9c-f8504c42fcfb" xsi:nil="true"/>
    <lcf76f155ced4ddcb4097134ff3c332f xmlns="ea559356-b7d8-492d-9298-14d0ebe6e6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75C9467655B364DB1409EA5590C6EC3" ma:contentTypeVersion="18" ma:contentTypeDescription="Crear nuevo documento." ma:contentTypeScope="" ma:versionID="d812eaf17052106d4424accc82d82467">
  <xsd:schema xmlns:xsd="http://www.w3.org/2001/XMLSchema" xmlns:xs="http://www.w3.org/2001/XMLSchema" xmlns:p="http://schemas.microsoft.com/office/2006/metadata/properties" xmlns:ns2="ea559356-b7d8-492d-9298-14d0ebe6e63f" xmlns:ns3="70751286-a4e8-4d8a-ac9c-f8504c42fcfb" targetNamespace="http://schemas.microsoft.com/office/2006/metadata/properties" ma:root="true" ma:fieldsID="adf00c18ee2f72a72fc88c190fca1e6a" ns2:_="" ns3:_="">
    <xsd:import namespace="ea559356-b7d8-492d-9298-14d0ebe6e63f"/>
    <xsd:import namespace="70751286-a4e8-4d8a-ac9c-f8504c42f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59356-b7d8-492d-9298-14d0ebe6e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1286-a4e8-4d8a-ac9c-f8504c42fc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dcbfe68-259a-44b1-ad9e-2c1f59d7cbd9}" ma:internalName="TaxCatchAll" ma:showField="CatchAllData" ma:web="70751286-a4e8-4d8a-ac9c-f8504c42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D7ACB-70B8-4197-BC6F-F331A8716387}">
  <ds:schemaRefs>
    <ds:schemaRef ds:uri="http://schemas.microsoft.com/office/2006/metadata/properties"/>
    <ds:schemaRef ds:uri="http://schemas.microsoft.com/office/infopath/2007/PartnerControls"/>
    <ds:schemaRef ds:uri="70751286-a4e8-4d8a-ac9c-f8504c42fcfb"/>
    <ds:schemaRef ds:uri="ea559356-b7d8-492d-9298-14d0ebe6e63f"/>
  </ds:schemaRefs>
</ds:datastoreItem>
</file>

<file path=customXml/itemProps2.xml><?xml version="1.0" encoding="utf-8"?>
<ds:datastoreItem xmlns:ds="http://schemas.openxmlformats.org/officeDocument/2006/customXml" ds:itemID="{124CF896-8491-4F19-AC84-5209D9FACAB1}">
  <ds:schemaRefs>
    <ds:schemaRef ds:uri="http://schemas.microsoft.com/sharepoint/v3/contenttype/forms"/>
  </ds:schemaRefs>
</ds:datastoreItem>
</file>

<file path=customXml/itemProps3.xml><?xml version="1.0" encoding="utf-8"?>
<ds:datastoreItem xmlns:ds="http://schemas.openxmlformats.org/officeDocument/2006/customXml" ds:itemID="{A9047B87-0E88-43A0-A272-0D0085BA29C0}">
  <ds:schemaRefs>
    <ds:schemaRef ds:uri="http://schemas.openxmlformats.org/officeDocument/2006/bibliography"/>
  </ds:schemaRefs>
</ds:datastoreItem>
</file>

<file path=customXml/itemProps4.xml><?xml version="1.0" encoding="utf-8"?>
<ds:datastoreItem xmlns:ds="http://schemas.openxmlformats.org/officeDocument/2006/customXml" ds:itemID="{69AA7561-9AD8-4573-BA53-714DB11F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59356-b7d8-492d-9298-14d0ebe6e63f"/>
    <ds:schemaRef ds:uri="70751286-a4e8-4d8a-ac9c-f8504c42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2486</Words>
  <Characters>13675</Characters>
  <Application>Microsoft Office Word</Application>
  <DocSecurity>0</DocSecurity>
  <Lines>113</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3</cp:revision>
  <cp:lastPrinted>2024-09-27T17:31:00Z</cp:lastPrinted>
  <dcterms:created xsi:type="dcterms:W3CDTF">2024-09-27T14:42:00Z</dcterms:created>
  <dcterms:modified xsi:type="dcterms:W3CDTF">2024-09-27T17:32:00Z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0x010100B75C9467655B364DB1409EA5590C6EC3</vt:lpwstr>
  </property>
</Properties>
</file>