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1A1BF" w14:textId="77777777" w:rsidR="00625DC6" w:rsidRPr="00E060BE" w:rsidRDefault="00000000" w:rsidP="00012259">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object w:dxaOrig="1440" w:dyaOrig="1440"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2.4pt;margin-top:-53.35pt;width:52.5pt;height:48.75pt;z-index:251658240" fillcolor="#0c9">
            <v:imagedata r:id="rId11" o:title=""/>
          </v:shape>
          <o:OLEObject Type="Embed" ProgID="PBrush" ShapeID="_x0000_s2050" DrawAspect="Content" ObjectID="_1787747209" r:id="rId12"/>
        </w:object>
      </w:r>
    </w:p>
    <w:p w14:paraId="67770A74" w14:textId="77777777" w:rsidR="00625DC6" w:rsidRPr="00E060BE" w:rsidRDefault="00625DC6" w:rsidP="00012259">
      <w:pPr>
        <w:pStyle w:val="Encabezado"/>
        <w:tabs>
          <w:tab w:val="clear" w:pos="8504"/>
          <w:tab w:val="left" w:pos="0"/>
          <w:tab w:val="right" w:pos="9356"/>
        </w:tabs>
        <w:ind w:left="0"/>
        <w:jc w:val="both"/>
        <w:rPr>
          <w:rFonts w:ascii="Bookman Old Style" w:hAnsi="Bookman Old Style"/>
          <w:szCs w:val="24"/>
        </w:rPr>
      </w:pPr>
    </w:p>
    <w:p w14:paraId="5CD8FDD3" w14:textId="77777777" w:rsidR="00CA77FB" w:rsidRPr="00E060BE" w:rsidRDefault="00CA77FB" w:rsidP="00012259">
      <w:pPr>
        <w:pStyle w:val="Ttulo4"/>
        <w:tabs>
          <w:tab w:val="left" w:pos="0"/>
          <w:tab w:val="right" w:pos="9356"/>
        </w:tabs>
        <w:ind w:left="0"/>
        <w:rPr>
          <w:rFonts w:ascii="Bookman Old Style" w:hAnsi="Bookman Old Style"/>
          <w:b w:val="0"/>
          <w:bCs/>
          <w:noProof/>
          <w:sz w:val="24"/>
          <w:szCs w:val="24"/>
          <w:lang w:val="es-ES"/>
        </w:rPr>
      </w:pPr>
      <w:r w:rsidRPr="00E060BE">
        <w:rPr>
          <w:rFonts w:ascii="Bookman Old Style" w:hAnsi="Bookman Old Style"/>
          <w:b w:val="0"/>
          <w:bCs/>
          <w:sz w:val="24"/>
          <w:szCs w:val="24"/>
        </w:rPr>
        <w:t>Ministerio de Minas y Energía</w:t>
      </w:r>
    </w:p>
    <w:p w14:paraId="0B8E60E5" w14:textId="77777777" w:rsidR="00CA77FB" w:rsidRPr="00E060BE" w:rsidRDefault="00CA77FB" w:rsidP="00012259">
      <w:pPr>
        <w:pStyle w:val="Ttulo4"/>
        <w:tabs>
          <w:tab w:val="left" w:pos="0"/>
          <w:tab w:val="right" w:pos="9356"/>
        </w:tabs>
        <w:ind w:left="0"/>
        <w:rPr>
          <w:rFonts w:ascii="Bookman Old Style" w:hAnsi="Bookman Old Style"/>
          <w:b w:val="0"/>
          <w:bCs/>
          <w:sz w:val="24"/>
          <w:szCs w:val="24"/>
        </w:rPr>
      </w:pPr>
    </w:p>
    <w:p w14:paraId="7027F17A" w14:textId="77777777" w:rsidR="00CA77FB" w:rsidRPr="00E060BE" w:rsidRDefault="00CA77FB" w:rsidP="00012259">
      <w:pPr>
        <w:pStyle w:val="Ttulo3"/>
        <w:tabs>
          <w:tab w:val="left" w:pos="0"/>
          <w:tab w:val="right" w:pos="9356"/>
        </w:tabs>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14:paraId="4767CFAE"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74971183"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67AC44F2" w14:textId="25FEB059" w:rsidR="00A06511" w:rsidRPr="006A6166" w:rsidRDefault="00230E72" w:rsidP="00A06511">
      <w:pPr>
        <w:pStyle w:val="Ttulo5"/>
        <w:tabs>
          <w:tab w:val="left" w:pos="0"/>
          <w:tab w:val="right" w:pos="9356"/>
        </w:tabs>
        <w:ind w:left="0"/>
        <w:rPr>
          <w:rFonts w:ascii="Bookman Old Style" w:hAnsi="Bookman Old Style"/>
          <w:sz w:val="32"/>
          <w:szCs w:val="32"/>
        </w:rPr>
      </w:pPr>
      <w:r w:rsidRPr="006A6166">
        <w:rPr>
          <w:rFonts w:ascii="Bookman Old Style" w:hAnsi="Bookman Old Style"/>
          <w:sz w:val="32"/>
          <w:szCs w:val="32"/>
        </w:rPr>
        <w:t xml:space="preserve">PROYECTO DE </w:t>
      </w:r>
      <w:r w:rsidR="00A06511" w:rsidRPr="006A6166">
        <w:rPr>
          <w:rFonts w:ascii="Bookman Old Style" w:hAnsi="Bookman Old Style"/>
          <w:sz w:val="32"/>
          <w:szCs w:val="32"/>
        </w:rPr>
        <w:t xml:space="preserve">RESOLUCIÓN No. </w:t>
      </w:r>
      <w:r w:rsidR="00A06511" w:rsidRPr="006A6166">
        <w:rPr>
          <w:rFonts w:ascii="Bookman Old Style" w:hAnsi="Bookman Old Style"/>
          <w:sz w:val="32"/>
          <w:szCs w:val="32"/>
        </w:rPr>
        <w:fldChar w:fldCharType="begin"/>
      </w:r>
      <w:r w:rsidR="00A06511" w:rsidRPr="006A6166">
        <w:rPr>
          <w:rFonts w:ascii="Bookman Old Style" w:hAnsi="Bookman Old Style"/>
          <w:sz w:val="32"/>
          <w:szCs w:val="32"/>
        </w:rPr>
        <w:instrText xml:space="preserve"> MERGEFIELD  NumeroResolucion  \* MERGEFORMAT </w:instrText>
      </w:r>
      <w:r w:rsidR="00A06511" w:rsidRPr="006A6166">
        <w:rPr>
          <w:rFonts w:ascii="Bookman Old Style" w:hAnsi="Bookman Old Style"/>
          <w:sz w:val="32"/>
          <w:szCs w:val="32"/>
        </w:rPr>
        <w:fldChar w:fldCharType="separate"/>
      </w:r>
      <w:r w:rsidR="00C30F3B" w:rsidRPr="006A6166">
        <w:rPr>
          <w:rFonts w:ascii="Bookman Old Style" w:hAnsi="Bookman Old Style"/>
          <w:noProof/>
          <w:sz w:val="32"/>
          <w:szCs w:val="32"/>
        </w:rPr>
        <w:t>701 064</w:t>
      </w:r>
      <w:r w:rsidR="00A06511" w:rsidRPr="006A6166">
        <w:rPr>
          <w:rFonts w:ascii="Bookman Old Style" w:hAnsi="Bookman Old Style"/>
          <w:sz w:val="32"/>
          <w:szCs w:val="32"/>
        </w:rPr>
        <w:fldChar w:fldCharType="end"/>
      </w:r>
      <w:r w:rsidR="00A06511" w:rsidRPr="006A6166">
        <w:rPr>
          <w:rFonts w:ascii="Bookman Old Style" w:hAnsi="Bookman Old Style"/>
          <w:sz w:val="32"/>
          <w:szCs w:val="32"/>
        </w:rPr>
        <w:t xml:space="preserve"> DE </w:t>
      </w:r>
      <w:r w:rsidR="00A06511" w:rsidRPr="006A6166">
        <w:rPr>
          <w:rFonts w:ascii="Bookman Old Style" w:hAnsi="Bookman Old Style"/>
          <w:sz w:val="32"/>
          <w:szCs w:val="32"/>
        </w:rPr>
        <w:fldChar w:fldCharType="begin"/>
      </w:r>
      <w:r w:rsidR="00A06511" w:rsidRPr="006A6166">
        <w:rPr>
          <w:rFonts w:ascii="Bookman Old Style" w:hAnsi="Bookman Old Style"/>
          <w:sz w:val="32"/>
          <w:szCs w:val="32"/>
        </w:rPr>
        <w:instrText xml:space="preserve"> MERGEFIELD  Anio  \* MERGEFORMAT </w:instrText>
      </w:r>
      <w:r w:rsidR="00A06511" w:rsidRPr="006A6166">
        <w:rPr>
          <w:rFonts w:ascii="Bookman Old Style" w:hAnsi="Bookman Old Style"/>
          <w:sz w:val="32"/>
          <w:szCs w:val="32"/>
        </w:rPr>
        <w:fldChar w:fldCharType="separate"/>
      </w:r>
      <w:r w:rsidR="00C30F3B" w:rsidRPr="006A6166">
        <w:rPr>
          <w:rFonts w:ascii="Bookman Old Style" w:hAnsi="Bookman Old Style"/>
          <w:noProof/>
          <w:sz w:val="32"/>
          <w:szCs w:val="32"/>
        </w:rPr>
        <w:t>2024</w:t>
      </w:r>
      <w:r w:rsidR="00A06511" w:rsidRPr="006A6166">
        <w:rPr>
          <w:rFonts w:ascii="Bookman Old Style" w:hAnsi="Bookman Old Style"/>
          <w:sz w:val="32"/>
          <w:szCs w:val="32"/>
        </w:rPr>
        <w:fldChar w:fldCharType="end"/>
      </w:r>
    </w:p>
    <w:p w14:paraId="0C7D114C" w14:textId="77777777" w:rsidR="00CA77FB" w:rsidRPr="00E060BE" w:rsidRDefault="00CA77FB" w:rsidP="00012259">
      <w:pPr>
        <w:tabs>
          <w:tab w:val="left" w:pos="0"/>
          <w:tab w:val="right" w:pos="9356"/>
        </w:tabs>
        <w:ind w:left="0"/>
        <w:jc w:val="center"/>
        <w:rPr>
          <w:rFonts w:ascii="Bookman Old Style" w:hAnsi="Bookman Old Style" w:cs="Arial"/>
          <w:b/>
          <w:snapToGrid w:val="0"/>
          <w:color w:val="000000"/>
          <w:lang w:val="es-ES_tradnl"/>
        </w:rPr>
      </w:pPr>
    </w:p>
    <w:p w14:paraId="350D3C85" w14:textId="4710495B" w:rsidR="00CA77FB" w:rsidRPr="006A6166" w:rsidRDefault="00CA77FB" w:rsidP="00012259">
      <w:pPr>
        <w:pStyle w:val="Ttulo3"/>
        <w:tabs>
          <w:tab w:val="left" w:pos="0"/>
          <w:tab w:val="right" w:pos="9356"/>
        </w:tabs>
        <w:ind w:left="0"/>
        <w:rPr>
          <w:rFonts w:ascii="Bookman Old Style" w:hAnsi="Bookman Old Style"/>
          <w:bCs/>
          <w:szCs w:val="24"/>
        </w:rPr>
      </w:pPr>
      <w:r w:rsidRPr="006A6166">
        <w:rPr>
          <w:rFonts w:ascii="Bookman Old Style" w:hAnsi="Bookman Old Style"/>
          <w:bCs/>
          <w:szCs w:val="24"/>
        </w:rPr>
        <w:t>(</w:t>
      </w:r>
      <w:r w:rsidR="006A6166">
        <w:rPr>
          <w:rFonts w:ascii="Bookman Old Style" w:hAnsi="Bookman Old Style"/>
          <w:bCs/>
          <w:szCs w:val="24"/>
        </w:rPr>
        <w:t>12 SEP.2024</w:t>
      </w:r>
      <w:r w:rsidRPr="006A6166">
        <w:rPr>
          <w:rFonts w:ascii="Bookman Old Style" w:hAnsi="Bookman Old Style"/>
          <w:bCs/>
          <w:szCs w:val="24"/>
        </w:rPr>
        <w:t>)</w:t>
      </w:r>
    </w:p>
    <w:p w14:paraId="57D77EBA" w14:textId="77777777" w:rsidR="00CA77FB" w:rsidRPr="00E060BE" w:rsidRDefault="00CA77FB" w:rsidP="00012259">
      <w:pPr>
        <w:tabs>
          <w:tab w:val="left" w:pos="0"/>
          <w:tab w:val="right" w:pos="9356"/>
        </w:tabs>
        <w:ind w:left="0"/>
        <w:jc w:val="center"/>
        <w:rPr>
          <w:rFonts w:ascii="Bookman Old Style" w:hAnsi="Bookman Old Style"/>
          <w:lang w:val="es-ES_tradnl"/>
        </w:rPr>
      </w:pPr>
    </w:p>
    <w:p w14:paraId="01257932" w14:textId="7BAFB828" w:rsidR="00C034CB" w:rsidRPr="00F940B2" w:rsidRDefault="00C034CB" w:rsidP="00012259">
      <w:pPr>
        <w:ind w:left="0"/>
        <w:rPr>
          <w:rFonts w:ascii="Bookman Old Style" w:hAnsi="Bookman Old Style"/>
          <w:bCs/>
          <w:color w:val="FF0000"/>
          <w:lang w:val="es-CO"/>
        </w:rPr>
      </w:pPr>
    </w:p>
    <w:p w14:paraId="6D954AC0" w14:textId="00DDF68B" w:rsidR="00230E72" w:rsidRDefault="00230E72" w:rsidP="00230E72">
      <w:pPr>
        <w:ind w:left="0"/>
        <w:jc w:val="both"/>
        <w:rPr>
          <w:rFonts w:ascii="Bookman Old Style" w:hAnsi="Bookman Old Style"/>
        </w:rPr>
      </w:pPr>
      <w:r w:rsidRPr="00230E72">
        <w:rPr>
          <w:rFonts w:ascii="Bookman Old Style" w:hAnsi="Bookman Old Style"/>
        </w:rPr>
        <w:t xml:space="preserve">La Comisión de Regulación de </w:t>
      </w:r>
      <w:r w:rsidRPr="001E08E4">
        <w:rPr>
          <w:rFonts w:ascii="Bookman Old Style" w:hAnsi="Bookman Old Style"/>
        </w:rPr>
        <w:t xml:space="preserve">Energía y Gas (CREG o Comisión), </w:t>
      </w:r>
      <w:r w:rsidRPr="00C30F3B">
        <w:rPr>
          <w:rFonts w:ascii="Bookman Old Style" w:hAnsi="Bookman Old Style"/>
        </w:rPr>
        <w:t xml:space="preserve">en su sesión </w:t>
      </w:r>
      <w:r w:rsidR="001E08E4" w:rsidRPr="00C30F3B">
        <w:rPr>
          <w:rFonts w:ascii="Bookman Old Style" w:hAnsi="Bookman Old Style"/>
        </w:rPr>
        <w:t xml:space="preserve">1338 </w:t>
      </w:r>
      <w:r w:rsidRPr="00C30F3B">
        <w:rPr>
          <w:rFonts w:ascii="Bookman Old Style" w:hAnsi="Bookman Old Style"/>
        </w:rPr>
        <w:t xml:space="preserve">del </w:t>
      </w:r>
      <w:r w:rsidR="001E08E4" w:rsidRPr="00C30F3B">
        <w:rPr>
          <w:rFonts w:ascii="Bookman Old Style" w:hAnsi="Bookman Old Style"/>
        </w:rPr>
        <w:t xml:space="preserve">12 </w:t>
      </w:r>
      <w:r w:rsidRPr="00C30F3B">
        <w:rPr>
          <w:rFonts w:ascii="Bookman Old Style" w:hAnsi="Bookman Old Style"/>
        </w:rPr>
        <w:t>de septiembre de 2024</w:t>
      </w:r>
      <w:r w:rsidRPr="001E08E4">
        <w:rPr>
          <w:rFonts w:ascii="Bookman Old Style" w:hAnsi="Bookman Old Style"/>
        </w:rPr>
        <w:t>, aprobó</w:t>
      </w:r>
      <w:r w:rsidRPr="00230E72">
        <w:rPr>
          <w:rFonts w:ascii="Bookman Old Style" w:hAnsi="Bookman Old Style"/>
        </w:rPr>
        <w:t xml:space="preserve"> someter a consulta pública el presente proyecto de resolución por el término de tres (</w:t>
      </w:r>
      <w:r w:rsidR="00601E52">
        <w:rPr>
          <w:rFonts w:ascii="Bookman Old Style" w:hAnsi="Bookman Old Style"/>
        </w:rPr>
        <w:t>3</w:t>
      </w:r>
      <w:r w:rsidRPr="00230E72">
        <w:rPr>
          <w:rFonts w:ascii="Bookman Old Style" w:hAnsi="Bookman Old Style"/>
        </w:rPr>
        <w:t>) días hábiles contados a partir del día siguiente a su publicación en el portal web de la CREG.</w:t>
      </w:r>
    </w:p>
    <w:p w14:paraId="558257A5" w14:textId="77777777" w:rsidR="00230E72" w:rsidRPr="00230E72" w:rsidRDefault="00230E72" w:rsidP="00230E72">
      <w:pPr>
        <w:ind w:left="0"/>
        <w:jc w:val="both"/>
        <w:rPr>
          <w:rFonts w:ascii="Bookman Old Style" w:hAnsi="Bookman Old Style"/>
        </w:rPr>
      </w:pPr>
    </w:p>
    <w:p w14:paraId="136192E7" w14:textId="61F3E135" w:rsidR="00230E72" w:rsidRDefault="00230E72" w:rsidP="00230E72">
      <w:pPr>
        <w:ind w:left="0"/>
        <w:jc w:val="both"/>
        <w:rPr>
          <w:rFonts w:ascii="Bookman Old Style" w:hAnsi="Bookman Old Style"/>
        </w:rPr>
      </w:pPr>
      <w:r w:rsidRPr="00230E72">
        <w:rPr>
          <w:rFonts w:ascii="Bookman Old Style" w:hAnsi="Bookman Old Style"/>
        </w:rPr>
        <w:t xml:space="preserve">Se invita a las empresas, los usuarios, las autoridades y demás partes interesadas a presentar sus observaciones y sugerencias dentro del plazo establecido, mediante comunicaciones electrónicas dirigidas al </w:t>
      </w:r>
      <w:proofErr w:type="gramStart"/>
      <w:r w:rsidRPr="00230E72">
        <w:rPr>
          <w:rFonts w:ascii="Bookman Old Style" w:hAnsi="Bookman Old Style"/>
        </w:rPr>
        <w:t>Director Ejecutivo</w:t>
      </w:r>
      <w:proofErr w:type="gramEnd"/>
      <w:r w:rsidRPr="00230E72">
        <w:rPr>
          <w:rFonts w:ascii="Bookman Old Style" w:hAnsi="Bookman Old Style"/>
        </w:rPr>
        <w:t xml:space="preserve"> de la CREG, a la cuenta </w:t>
      </w:r>
      <w:hyperlink r:id="rId13" w:history="1">
        <w:r w:rsidRPr="00230E72">
          <w:rPr>
            <w:rFonts w:ascii="Bookman Old Style" w:hAnsi="Bookman Old Style"/>
          </w:rPr>
          <w:t>creg@creg.gov.co</w:t>
        </w:r>
      </w:hyperlink>
      <w:r w:rsidRPr="00230E72">
        <w:rPr>
          <w:rFonts w:ascii="Bookman Old Style" w:hAnsi="Bookman Old Style"/>
        </w:rPr>
        <w:t xml:space="preserve">, con el asunto: “Comentarios sobre </w:t>
      </w:r>
      <w:r w:rsidR="001E08E4">
        <w:rPr>
          <w:rFonts w:ascii="Bookman Old Style" w:hAnsi="Bookman Old Style"/>
        </w:rPr>
        <w:t xml:space="preserve">el proyecto de resolución de </w:t>
      </w:r>
      <w:r w:rsidR="001E08E4" w:rsidRPr="00230E72">
        <w:rPr>
          <w:rFonts w:ascii="Bookman Old Style" w:hAnsi="Bookman Old Style"/>
        </w:rPr>
        <w:t xml:space="preserve">medidas transitorias para </w:t>
      </w:r>
      <w:r w:rsidR="001E08E4">
        <w:rPr>
          <w:rFonts w:ascii="Bookman Old Style" w:hAnsi="Bookman Old Style"/>
        </w:rPr>
        <w:t>autorizar la entrega de excedentes de generación</w:t>
      </w:r>
      <w:r w:rsidRPr="00230E72">
        <w:rPr>
          <w:rFonts w:ascii="Bookman Old Style" w:hAnsi="Bookman Old Style"/>
        </w:rPr>
        <w:t>”, utilizando el formato anexo.</w:t>
      </w:r>
    </w:p>
    <w:p w14:paraId="55004020" w14:textId="77777777" w:rsidR="00230E72" w:rsidRPr="00230E72" w:rsidRDefault="00230E72" w:rsidP="00230E72">
      <w:pPr>
        <w:ind w:left="0"/>
        <w:jc w:val="both"/>
        <w:rPr>
          <w:rFonts w:ascii="Bookman Old Style" w:hAnsi="Bookman Old Style"/>
        </w:rPr>
      </w:pPr>
    </w:p>
    <w:p w14:paraId="214D51CE" w14:textId="77777777" w:rsidR="00230E72" w:rsidRPr="00230E72" w:rsidRDefault="00230E72" w:rsidP="00230E72">
      <w:pPr>
        <w:ind w:left="0"/>
        <w:jc w:val="both"/>
        <w:rPr>
          <w:rFonts w:ascii="Bookman Old Style" w:hAnsi="Bookman Old Style"/>
        </w:rPr>
      </w:pPr>
      <w:r w:rsidRPr="00230E72">
        <w:rPr>
          <w:rFonts w:ascii="Bookman Old Style" w:hAnsi="Bookman Old Style"/>
        </w:rPr>
        <w:t>Al vencimiento de la consulta pública, la CREG determinará si el proyecto debe ser informado a la Superintendencia de Industria y Comercio, para el ejercicio de la Abogacía de la Competencia, con fundamento en las disposiciones del Decreto 1074 de 2015, artículo 2.2.2.30.5.</w:t>
      </w:r>
    </w:p>
    <w:p w14:paraId="15A71B8E" w14:textId="77777777" w:rsidR="00B351B4" w:rsidRPr="00E060BE" w:rsidRDefault="00B351B4" w:rsidP="00012259">
      <w:pPr>
        <w:ind w:left="0"/>
        <w:rPr>
          <w:rFonts w:ascii="Bookman Old Style" w:hAnsi="Bookman Old Style"/>
          <w:bCs/>
          <w:lang w:val="es-CO"/>
        </w:rPr>
      </w:pPr>
    </w:p>
    <w:p w14:paraId="46D8C664" w14:textId="307E37DE" w:rsidR="00045D3D" w:rsidRPr="00C435C3" w:rsidRDefault="00045D3D" w:rsidP="00045D3D">
      <w:pPr>
        <w:ind w:left="0"/>
        <w:jc w:val="center"/>
        <w:rPr>
          <w:rFonts w:ascii="Bookman Old Style" w:hAnsi="Bookman Old Style"/>
        </w:rPr>
      </w:pPr>
    </w:p>
    <w:p w14:paraId="053FCB54" w14:textId="77777777" w:rsidR="00045D3D" w:rsidRPr="00C435C3" w:rsidRDefault="00045D3D" w:rsidP="00045D3D">
      <w:pPr>
        <w:ind w:right="51"/>
        <w:rPr>
          <w:rFonts w:ascii="Bookman Old Style" w:hAnsi="Bookman Old Style"/>
        </w:rPr>
      </w:pPr>
    </w:p>
    <w:p w14:paraId="67619327" w14:textId="77777777" w:rsidR="00230E72" w:rsidRDefault="00230E72" w:rsidP="00045D3D">
      <w:pPr>
        <w:ind w:right="51"/>
        <w:jc w:val="center"/>
        <w:rPr>
          <w:rFonts w:ascii="Bookman Old Style" w:hAnsi="Bookman Old Style"/>
          <w:b/>
        </w:rPr>
      </w:pPr>
      <w:r w:rsidRPr="00230E72">
        <w:rPr>
          <w:rFonts w:ascii="Bookman Old Style" w:hAnsi="Bookman Old Style"/>
          <w:b/>
        </w:rPr>
        <w:t>PROYECTO DE RESOLUCIÓN</w:t>
      </w:r>
    </w:p>
    <w:p w14:paraId="1F2CB0ED" w14:textId="77777777" w:rsidR="00230E72" w:rsidRDefault="00230E72" w:rsidP="00045D3D">
      <w:pPr>
        <w:ind w:right="51"/>
        <w:jc w:val="center"/>
        <w:rPr>
          <w:rFonts w:ascii="Bookman Old Style" w:hAnsi="Bookman Old Style"/>
          <w:b/>
        </w:rPr>
      </w:pPr>
    </w:p>
    <w:p w14:paraId="6D061E61" w14:textId="22A9E86F" w:rsidR="00230E72" w:rsidRPr="00230E72" w:rsidRDefault="00230E72" w:rsidP="00230E72">
      <w:pPr>
        <w:pStyle w:val="Textoindependiente3"/>
        <w:ind w:left="0"/>
        <w:rPr>
          <w:rFonts w:ascii="Bookman Old Style" w:hAnsi="Bookman Old Style"/>
          <w:b w:val="0"/>
        </w:rPr>
      </w:pPr>
      <w:bookmarkStart w:id="0" w:name="_Hlk168386096"/>
      <w:r w:rsidRPr="00230E72">
        <w:rPr>
          <w:rFonts w:ascii="Bookman Old Style" w:hAnsi="Bookman Old Style"/>
          <w:b w:val="0"/>
        </w:rPr>
        <w:t xml:space="preserve">Por la cual se establecen medidas transitorias para </w:t>
      </w:r>
      <w:r w:rsidR="00A30508">
        <w:rPr>
          <w:rFonts w:ascii="Bookman Old Style" w:hAnsi="Bookman Old Style"/>
          <w:b w:val="0"/>
        </w:rPr>
        <w:t xml:space="preserve">autorizar </w:t>
      </w:r>
      <w:r w:rsidR="00266A8C">
        <w:rPr>
          <w:rFonts w:ascii="Bookman Old Style" w:hAnsi="Bookman Old Style"/>
          <w:b w:val="0"/>
        </w:rPr>
        <w:t>la entrega</w:t>
      </w:r>
      <w:r w:rsidR="00A30508">
        <w:rPr>
          <w:rFonts w:ascii="Bookman Old Style" w:hAnsi="Bookman Old Style"/>
          <w:b w:val="0"/>
        </w:rPr>
        <w:t xml:space="preserve"> de excedentes </w:t>
      </w:r>
      <w:r w:rsidR="00893839">
        <w:rPr>
          <w:rFonts w:ascii="Bookman Old Style" w:hAnsi="Bookman Old Style"/>
          <w:b w:val="0"/>
        </w:rPr>
        <w:t xml:space="preserve">de generación </w:t>
      </w:r>
      <w:r w:rsidR="005A7AEA">
        <w:rPr>
          <w:rFonts w:ascii="Bookman Old Style" w:hAnsi="Bookman Old Style"/>
          <w:b w:val="0"/>
        </w:rPr>
        <w:t>de energía al</w:t>
      </w:r>
      <w:r w:rsidR="00266A8C">
        <w:rPr>
          <w:rFonts w:ascii="Bookman Old Style" w:hAnsi="Bookman Old Style"/>
          <w:b w:val="0"/>
        </w:rPr>
        <w:t xml:space="preserve"> </w:t>
      </w:r>
      <w:r w:rsidRPr="00230E72">
        <w:rPr>
          <w:rFonts w:ascii="Bookman Old Style" w:hAnsi="Bookman Old Style"/>
          <w:b w:val="0"/>
        </w:rPr>
        <w:t>Sistema Interconectado Nacional (SIN)</w:t>
      </w:r>
    </w:p>
    <w:bookmarkEnd w:id="0"/>
    <w:p w14:paraId="704950DC" w14:textId="77777777" w:rsidR="00230E72" w:rsidRDefault="00230E72" w:rsidP="00230E72">
      <w:pPr>
        <w:ind w:right="51"/>
        <w:rPr>
          <w:rFonts w:ascii="Bookman Old Style" w:hAnsi="Bookman Old Style"/>
          <w:b/>
        </w:rPr>
      </w:pPr>
    </w:p>
    <w:p w14:paraId="418C74F0" w14:textId="77777777" w:rsidR="00230E72" w:rsidRDefault="00230E72" w:rsidP="00045D3D">
      <w:pPr>
        <w:ind w:right="51"/>
        <w:jc w:val="center"/>
        <w:rPr>
          <w:rFonts w:ascii="Bookman Old Style" w:hAnsi="Bookman Old Style"/>
          <w:b/>
        </w:rPr>
      </w:pPr>
    </w:p>
    <w:p w14:paraId="7B67FAFA" w14:textId="4B5CC8B4" w:rsidR="00045D3D" w:rsidRPr="00C435C3" w:rsidRDefault="00045D3D" w:rsidP="00045D3D">
      <w:pPr>
        <w:ind w:right="51"/>
        <w:jc w:val="center"/>
        <w:rPr>
          <w:rFonts w:ascii="Bookman Old Style" w:hAnsi="Bookman Old Style"/>
          <w:b/>
        </w:rPr>
      </w:pPr>
      <w:r w:rsidRPr="00C435C3">
        <w:rPr>
          <w:rFonts w:ascii="Bookman Old Style" w:hAnsi="Bookman Old Style"/>
          <w:b/>
        </w:rPr>
        <w:t xml:space="preserve">LA COMISIÓN DE REGULACIÓN </w:t>
      </w:r>
      <w:r w:rsidR="007B5A60" w:rsidRPr="00C435C3">
        <w:rPr>
          <w:rFonts w:ascii="Bookman Old Style" w:hAnsi="Bookman Old Style"/>
          <w:b/>
        </w:rPr>
        <w:t>DE ENERGÍA</w:t>
      </w:r>
      <w:r w:rsidRPr="00C435C3">
        <w:rPr>
          <w:rFonts w:ascii="Bookman Old Style" w:hAnsi="Bookman Old Style"/>
          <w:b/>
        </w:rPr>
        <w:t xml:space="preserve"> Y GAS</w:t>
      </w:r>
    </w:p>
    <w:p w14:paraId="5F144221" w14:textId="77777777" w:rsidR="00045D3D" w:rsidRPr="00C435C3" w:rsidRDefault="00045D3D" w:rsidP="00045D3D">
      <w:pPr>
        <w:ind w:left="0" w:right="51"/>
        <w:rPr>
          <w:rFonts w:ascii="Bookman Old Style" w:hAnsi="Bookman Old Style"/>
        </w:rPr>
      </w:pPr>
    </w:p>
    <w:p w14:paraId="2739C8D4" w14:textId="77777777" w:rsidR="00045D3D" w:rsidRPr="00C435C3" w:rsidRDefault="00045D3D" w:rsidP="00045D3D">
      <w:pPr>
        <w:ind w:left="0" w:right="51"/>
        <w:rPr>
          <w:rFonts w:ascii="Bookman Old Style" w:hAnsi="Bookman Old Style"/>
        </w:rPr>
      </w:pPr>
    </w:p>
    <w:p w14:paraId="6EDA2283" w14:textId="460C24ED" w:rsidR="00045D3D" w:rsidRPr="00C435C3" w:rsidRDefault="00230E72" w:rsidP="00045D3D">
      <w:pPr>
        <w:pStyle w:val="Textoindependiente3"/>
        <w:ind w:left="0"/>
        <w:rPr>
          <w:rFonts w:ascii="Bookman Old Style" w:hAnsi="Bookman Old Style"/>
          <w:b w:val="0"/>
        </w:rPr>
      </w:pPr>
      <w:r w:rsidRPr="00230E72">
        <w:rPr>
          <w:rFonts w:ascii="Bookman Old Style" w:hAnsi="Bookman Old Style"/>
          <w:b w:val="0"/>
        </w:rPr>
        <w:t>En ejercicio de sus atribuciones constitucionales y legales, en especial las conferidas por las Leyes 142 y 143 de 1994, y en desarrollo de los Decretos 1524 y 2253 de 1994, y el Decreto 1260 de 2013</w:t>
      </w:r>
    </w:p>
    <w:p w14:paraId="416AEFF4" w14:textId="77777777" w:rsidR="00045D3D" w:rsidRDefault="00045D3D" w:rsidP="00045D3D">
      <w:pPr>
        <w:ind w:right="51"/>
        <w:rPr>
          <w:rFonts w:ascii="Bookman Old Style" w:hAnsi="Bookman Old Style"/>
        </w:rPr>
      </w:pPr>
    </w:p>
    <w:p w14:paraId="3E8440ED" w14:textId="77777777" w:rsidR="00045D3D" w:rsidRDefault="00045D3D" w:rsidP="00045D3D">
      <w:pPr>
        <w:ind w:right="51"/>
        <w:rPr>
          <w:rFonts w:ascii="Bookman Old Style" w:hAnsi="Bookman Old Style"/>
        </w:rPr>
      </w:pPr>
    </w:p>
    <w:p w14:paraId="72BBA367" w14:textId="77777777" w:rsidR="00045D3D" w:rsidRPr="00C435C3" w:rsidRDefault="00045D3D" w:rsidP="00045D3D">
      <w:pPr>
        <w:ind w:right="51"/>
        <w:jc w:val="center"/>
        <w:rPr>
          <w:rFonts w:ascii="Bookman Old Style" w:hAnsi="Bookman Old Style"/>
          <w:b/>
        </w:rPr>
      </w:pPr>
      <w:r w:rsidRPr="00C435C3">
        <w:rPr>
          <w:rFonts w:ascii="Bookman Old Style" w:hAnsi="Bookman Old Style"/>
          <w:b/>
        </w:rPr>
        <w:t xml:space="preserve">C O N S I D E R A N D </w:t>
      </w:r>
      <w:r w:rsidR="007B5A60" w:rsidRPr="00C435C3">
        <w:rPr>
          <w:rFonts w:ascii="Bookman Old Style" w:hAnsi="Bookman Old Style"/>
          <w:b/>
        </w:rPr>
        <w:t>O</w:t>
      </w:r>
      <w:r w:rsidR="007B5A60">
        <w:rPr>
          <w:rFonts w:ascii="Bookman Old Style" w:hAnsi="Bookman Old Style"/>
          <w:b/>
        </w:rPr>
        <w:t xml:space="preserve"> Q</w:t>
      </w:r>
      <w:r>
        <w:rPr>
          <w:rFonts w:ascii="Bookman Old Style" w:hAnsi="Bookman Old Style"/>
          <w:b/>
        </w:rPr>
        <w:t xml:space="preserve"> U E</w:t>
      </w:r>
      <w:r w:rsidRPr="00C435C3">
        <w:rPr>
          <w:rFonts w:ascii="Bookman Old Style" w:hAnsi="Bookman Old Style"/>
          <w:b/>
        </w:rPr>
        <w:t>:</w:t>
      </w:r>
    </w:p>
    <w:p w14:paraId="2378A86C" w14:textId="77777777" w:rsidR="00045D3D" w:rsidRPr="00C435C3" w:rsidRDefault="00045D3D" w:rsidP="00045D3D">
      <w:pPr>
        <w:ind w:right="51"/>
        <w:jc w:val="center"/>
        <w:rPr>
          <w:rFonts w:ascii="Bookman Old Style" w:hAnsi="Bookman Old Style"/>
          <w:b/>
        </w:rPr>
      </w:pPr>
    </w:p>
    <w:p w14:paraId="66E1F067" w14:textId="77777777" w:rsidR="00045D3D" w:rsidRPr="00C435C3" w:rsidRDefault="00045D3D" w:rsidP="00045D3D">
      <w:pPr>
        <w:rPr>
          <w:rFonts w:ascii="Bookman Old Style" w:hAnsi="Bookman Old Style"/>
          <w:b/>
        </w:rPr>
      </w:pPr>
    </w:p>
    <w:p w14:paraId="659DE94A" w14:textId="77777777" w:rsidR="00230E72" w:rsidRDefault="00230E72" w:rsidP="00230E72">
      <w:pPr>
        <w:ind w:left="0"/>
        <w:jc w:val="both"/>
        <w:rPr>
          <w:rFonts w:ascii="Bookman Old Style" w:hAnsi="Bookman Old Style"/>
        </w:rPr>
      </w:pPr>
      <w:r w:rsidRPr="00230E72">
        <w:rPr>
          <w:rFonts w:ascii="Bookman Old Style" w:hAnsi="Bookman Old Style"/>
        </w:rPr>
        <w:t xml:space="preserve">El artículo 334 de la Constitución Política establece que corresponde al Estado la dirección general de la economía, para lo cual intervendrá, entre otros asuntos, en los servicios públicos y privados, buscando el mejoramiento de la </w:t>
      </w:r>
      <w:r w:rsidRPr="00230E72">
        <w:rPr>
          <w:rFonts w:ascii="Bookman Old Style" w:hAnsi="Bookman Old Style"/>
        </w:rPr>
        <w:lastRenderedPageBreak/>
        <w:t>calidad de vida de los habitantes, la distribución equitativa de las oportunidades y los beneficios del desarrollo, y la preservación de un ambiente sano.</w:t>
      </w:r>
    </w:p>
    <w:p w14:paraId="2006C50B" w14:textId="77777777" w:rsidR="00230E72" w:rsidRPr="00230E72" w:rsidRDefault="00230E72" w:rsidP="00230E72">
      <w:pPr>
        <w:ind w:left="0"/>
        <w:jc w:val="both"/>
        <w:rPr>
          <w:rFonts w:ascii="Bookman Old Style" w:hAnsi="Bookman Old Style"/>
        </w:rPr>
      </w:pPr>
    </w:p>
    <w:p w14:paraId="760B9D23" w14:textId="77777777" w:rsidR="00230E72" w:rsidRDefault="00230E72" w:rsidP="00230E72">
      <w:pPr>
        <w:ind w:left="0"/>
        <w:jc w:val="both"/>
        <w:rPr>
          <w:rFonts w:ascii="Bookman Old Style" w:hAnsi="Bookman Old Style"/>
        </w:rPr>
      </w:pPr>
      <w:r w:rsidRPr="00230E72">
        <w:rPr>
          <w:rFonts w:ascii="Bookman Old Style" w:hAnsi="Bookman Old Style"/>
        </w:rPr>
        <w:t>El artículo 365 de la misma Carta Política establece que los servicios públicos son inherentes a la finalidad social del Estado y es deber de este, asegurar su prestación eficiente a todos los habitantes del territorio nacional.</w:t>
      </w:r>
    </w:p>
    <w:p w14:paraId="32DC5825" w14:textId="77777777" w:rsidR="00230E72" w:rsidRPr="00230E72" w:rsidRDefault="00230E72" w:rsidP="00230E72">
      <w:pPr>
        <w:ind w:left="0"/>
        <w:jc w:val="both"/>
        <w:rPr>
          <w:rFonts w:ascii="Bookman Old Style" w:hAnsi="Bookman Old Style"/>
        </w:rPr>
      </w:pPr>
    </w:p>
    <w:p w14:paraId="36983F14" w14:textId="77777777" w:rsidR="00230E72" w:rsidRDefault="00230E72" w:rsidP="00230E72">
      <w:pPr>
        <w:ind w:left="0"/>
        <w:jc w:val="both"/>
        <w:rPr>
          <w:rFonts w:ascii="Bookman Old Style" w:hAnsi="Bookman Old Style"/>
        </w:rPr>
      </w:pPr>
      <w:r w:rsidRPr="00230E72">
        <w:rPr>
          <w:rFonts w:ascii="Bookman Old Style" w:hAnsi="Bookman Old Style"/>
        </w:rPr>
        <w:t xml:space="preserve">El artículo 370 de la Constitución Política confiere al </w:t>
      </w:r>
      <w:proofErr w:type="gramStart"/>
      <w:r w:rsidRPr="00230E72">
        <w:rPr>
          <w:rFonts w:ascii="Bookman Old Style" w:hAnsi="Bookman Old Style"/>
        </w:rPr>
        <w:t>Presidente</w:t>
      </w:r>
      <w:proofErr w:type="gramEnd"/>
      <w:r w:rsidRPr="00230E72">
        <w:rPr>
          <w:rFonts w:ascii="Bookman Old Style" w:hAnsi="Bookman Old Style"/>
        </w:rPr>
        <w:t xml:space="preserve"> de la República la función de señalar, con sujeción a la ley, las políticas generales de administración y control de eficiencia de los servicios públicos domiciliarios.</w:t>
      </w:r>
    </w:p>
    <w:p w14:paraId="6CD7C631" w14:textId="77777777" w:rsidR="00230E72" w:rsidRPr="00230E72" w:rsidRDefault="00230E72" w:rsidP="00230E72">
      <w:pPr>
        <w:ind w:left="0"/>
        <w:jc w:val="both"/>
        <w:rPr>
          <w:rFonts w:ascii="Bookman Old Style" w:hAnsi="Bookman Old Style"/>
        </w:rPr>
      </w:pPr>
    </w:p>
    <w:p w14:paraId="09B8A362" w14:textId="77777777" w:rsidR="00230E72" w:rsidRDefault="00230E72" w:rsidP="00230E72">
      <w:pPr>
        <w:ind w:left="0"/>
        <w:jc w:val="both"/>
        <w:rPr>
          <w:rFonts w:ascii="Bookman Old Style" w:hAnsi="Bookman Old Style"/>
        </w:rPr>
      </w:pPr>
      <w:r w:rsidRPr="00230E72">
        <w:rPr>
          <w:rFonts w:ascii="Bookman Old Style" w:hAnsi="Bookman Old Style"/>
        </w:rPr>
        <w:t>De conformidad con el artículo 2 de la Ley 142 de 1994, la intervención del Estado en la prestación de los servicios públicos domiciliarios debe perseguir entre otros fines, la prestación eficiente, continua e ininterrumpida, la libre competencia, y la no utilización abusiva de la posición dominante.</w:t>
      </w:r>
    </w:p>
    <w:p w14:paraId="716479C4" w14:textId="77777777" w:rsidR="00230E72" w:rsidRPr="00230E72" w:rsidRDefault="00230E72" w:rsidP="00230E72">
      <w:pPr>
        <w:ind w:left="0"/>
        <w:jc w:val="both"/>
        <w:rPr>
          <w:rFonts w:ascii="Bookman Old Style" w:hAnsi="Bookman Old Style"/>
        </w:rPr>
      </w:pPr>
    </w:p>
    <w:p w14:paraId="0B609429" w14:textId="77777777" w:rsidR="00230E72" w:rsidRDefault="00230E72" w:rsidP="00230E72">
      <w:pPr>
        <w:ind w:left="0"/>
        <w:jc w:val="both"/>
        <w:rPr>
          <w:rFonts w:ascii="Bookman Old Style" w:hAnsi="Bookman Old Style"/>
        </w:rPr>
      </w:pPr>
      <w:r w:rsidRPr="00230E72">
        <w:rPr>
          <w:rFonts w:ascii="Bookman Old Style" w:hAnsi="Bookman Old Style"/>
        </w:rPr>
        <w:t>En el artículo 73 de la Ley 142 de 1994 se señala que las Comisiones de Regulación tienen la función de promover la competencia entre quienes presten servicios públicos, para que las operaciones de los monopolistas o de los competidores sean económicamente eficientes, no impliquen abuso de la posición dominante y produzcan servicios de calidad.</w:t>
      </w:r>
    </w:p>
    <w:p w14:paraId="3CF02CD7" w14:textId="77777777" w:rsidR="00230E72" w:rsidRPr="00230E72" w:rsidRDefault="00230E72" w:rsidP="00230E72">
      <w:pPr>
        <w:ind w:left="0"/>
        <w:jc w:val="both"/>
        <w:rPr>
          <w:rFonts w:ascii="Bookman Old Style" w:hAnsi="Bookman Old Style"/>
        </w:rPr>
      </w:pPr>
    </w:p>
    <w:p w14:paraId="1320AD28" w14:textId="77777777" w:rsidR="00230E72" w:rsidRDefault="00230E72" w:rsidP="00230E72">
      <w:pPr>
        <w:ind w:left="0"/>
        <w:jc w:val="both"/>
        <w:rPr>
          <w:rFonts w:ascii="Bookman Old Style" w:hAnsi="Bookman Old Style"/>
        </w:rPr>
      </w:pPr>
      <w:r w:rsidRPr="00230E72">
        <w:rPr>
          <w:rFonts w:ascii="Bookman Old Style" w:hAnsi="Bookman Old Style"/>
        </w:rPr>
        <w:t>En el artículo 74 de la Ley 142 de 1994, se señala que son funciones y facultades especiales de la Comisión de Regulación de Energía y Gas, CREG, entre otras, las de regular el ejercicio de las actividades de los sectores de energía y gas combustible para asegurar la disponibilidad de una oferta energética eficiente, propiciar la competencia en el sector de minas y energía y proponer la adopción de las medidas necesarias para impedir abusos de posición dominante, buscar la liberación gradual de los mercados hacia la libre competencia, y establecer criterios para la fijación de compromisos de ventas garantizadas de energía y potencia entre las empresas eléctricas y entre estas y los grandes usuarios.</w:t>
      </w:r>
    </w:p>
    <w:p w14:paraId="27E8714E" w14:textId="77777777" w:rsidR="00230E72" w:rsidRPr="00230E72" w:rsidRDefault="00230E72" w:rsidP="00230E72">
      <w:pPr>
        <w:ind w:left="0"/>
        <w:jc w:val="both"/>
        <w:rPr>
          <w:rFonts w:ascii="Bookman Old Style" w:hAnsi="Bookman Old Style"/>
        </w:rPr>
      </w:pPr>
    </w:p>
    <w:p w14:paraId="679F9D36" w14:textId="77777777" w:rsidR="00230E72" w:rsidRDefault="00230E72" w:rsidP="00230E72">
      <w:pPr>
        <w:ind w:left="0"/>
        <w:jc w:val="both"/>
        <w:rPr>
          <w:rFonts w:ascii="Bookman Old Style" w:hAnsi="Bookman Old Style"/>
        </w:rPr>
      </w:pPr>
      <w:r w:rsidRPr="00230E72">
        <w:rPr>
          <w:rFonts w:ascii="Bookman Old Style" w:hAnsi="Bookman Old Style"/>
        </w:rPr>
        <w:t>Particularmente el numeral 1 del artículo 74 de la Ley 142 de 1994, le asignó a la CREG la función de expedir el Reglamento de Operación para regular el funcionamiento del Mercado Mayorista de Energía.</w:t>
      </w:r>
    </w:p>
    <w:p w14:paraId="530EFD11" w14:textId="77777777" w:rsidR="00230E72" w:rsidRPr="00230E72" w:rsidRDefault="00230E72" w:rsidP="00230E72">
      <w:pPr>
        <w:ind w:left="0"/>
        <w:jc w:val="both"/>
        <w:rPr>
          <w:rFonts w:ascii="Bookman Old Style" w:hAnsi="Bookman Old Style"/>
        </w:rPr>
      </w:pPr>
    </w:p>
    <w:p w14:paraId="715F1DF8" w14:textId="77777777" w:rsidR="00230E72" w:rsidRDefault="00230E72" w:rsidP="00230E72">
      <w:pPr>
        <w:ind w:left="0"/>
        <w:jc w:val="both"/>
        <w:rPr>
          <w:rFonts w:ascii="Bookman Old Style" w:hAnsi="Bookman Old Style"/>
        </w:rPr>
      </w:pPr>
      <w:r w:rsidRPr="00230E72">
        <w:rPr>
          <w:rFonts w:ascii="Bookman Old Style" w:hAnsi="Bookman Old Style"/>
        </w:rPr>
        <w:t>El artículo 2 de la Ley 143 de 1994 establece que corresponde al Estado, en relación con el servicio de energía, garantizar la prestación continua e ininterrumpida del servicio.</w:t>
      </w:r>
    </w:p>
    <w:p w14:paraId="46901902" w14:textId="77777777" w:rsidR="00230E72" w:rsidRPr="00230E72" w:rsidRDefault="00230E72" w:rsidP="00230E72">
      <w:pPr>
        <w:ind w:left="0"/>
        <w:jc w:val="both"/>
        <w:rPr>
          <w:rFonts w:ascii="Bookman Old Style" w:hAnsi="Bookman Old Style"/>
        </w:rPr>
      </w:pPr>
    </w:p>
    <w:p w14:paraId="690DAEE0" w14:textId="77777777" w:rsidR="00230E72" w:rsidRDefault="00230E72" w:rsidP="00230E72">
      <w:pPr>
        <w:ind w:left="0"/>
        <w:jc w:val="both"/>
        <w:rPr>
          <w:rFonts w:ascii="Bookman Old Style" w:hAnsi="Bookman Old Style"/>
        </w:rPr>
      </w:pPr>
      <w:r w:rsidRPr="00230E72">
        <w:rPr>
          <w:rFonts w:ascii="Bookman Old Style" w:hAnsi="Bookman Old Style"/>
        </w:rPr>
        <w:t>Así mismo el artículo 4 señala que uno de los objetivos del Estado respecto al servicio de energía es “Abastecer la demanda de electricidad de la comunidad bajo criterios económicos y de viabilidad financiera, asegurando su cubrimiento en un marco de uso racional y eficiente de los diferentes recursos energéticos del país”.</w:t>
      </w:r>
    </w:p>
    <w:p w14:paraId="540EDC56" w14:textId="77777777" w:rsidR="00230E72" w:rsidRPr="00230E72" w:rsidRDefault="00230E72" w:rsidP="00230E72">
      <w:pPr>
        <w:ind w:left="0"/>
        <w:jc w:val="both"/>
        <w:rPr>
          <w:rFonts w:ascii="Bookman Old Style" w:hAnsi="Bookman Old Style"/>
        </w:rPr>
      </w:pPr>
    </w:p>
    <w:p w14:paraId="24802651" w14:textId="09E20B30" w:rsidR="00230E72" w:rsidRPr="00230E72" w:rsidRDefault="00230E72" w:rsidP="00230E72">
      <w:pPr>
        <w:ind w:left="0"/>
        <w:jc w:val="both"/>
        <w:rPr>
          <w:rFonts w:ascii="Bookman Old Style" w:hAnsi="Bookman Old Style"/>
        </w:rPr>
      </w:pPr>
      <w:r w:rsidRPr="00230E72">
        <w:rPr>
          <w:rFonts w:ascii="Bookman Old Style" w:hAnsi="Bookman Old Style"/>
        </w:rPr>
        <w:t>El artículo 6 de la Ley 143 de 1994 señaló que las actividades relacionadas con el servicio de electricidad se regirían, entre otros principios, por el de adaptabilidad, el cual conduce a la incorporación de los avances de la ciencia y de la tecnología, con el fin de que aporten mayor calidad y eficiencia en la prestación del servicio al menor costo económico.</w:t>
      </w:r>
    </w:p>
    <w:p w14:paraId="466F07FF" w14:textId="77777777" w:rsidR="00230E72" w:rsidRDefault="00230E72" w:rsidP="00230E72">
      <w:pPr>
        <w:ind w:left="0"/>
        <w:jc w:val="both"/>
        <w:rPr>
          <w:rFonts w:ascii="Bookman Old Style" w:hAnsi="Bookman Old Style"/>
        </w:rPr>
      </w:pPr>
      <w:r w:rsidRPr="00230E72">
        <w:rPr>
          <w:rFonts w:ascii="Bookman Old Style" w:hAnsi="Bookman Old Style"/>
        </w:rPr>
        <w:lastRenderedPageBreak/>
        <w:t>El artículo 18 de la Ley 143 de 1994 ordena que la CREG debe desarrollar el marco regulatorio que incentive la inversión en expansión de la capacidad de generación y transmisión del Sistema Interconectado Nacional, SIN, por parte de inversionistas estratégicos, y establecer esquemas que promuevan la entrada de nueva capacidad de generación y transmisión.</w:t>
      </w:r>
    </w:p>
    <w:p w14:paraId="7797F5F1" w14:textId="77777777" w:rsidR="00230E72" w:rsidRPr="00230E72" w:rsidRDefault="00230E72" w:rsidP="00230E72">
      <w:pPr>
        <w:ind w:left="0"/>
        <w:jc w:val="both"/>
        <w:rPr>
          <w:rFonts w:ascii="Bookman Old Style" w:hAnsi="Bookman Old Style"/>
        </w:rPr>
      </w:pPr>
    </w:p>
    <w:p w14:paraId="2C92A01F" w14:textId="77777777" w:rsidR="00230E72" w:rsidRDefault="00230E72" w:rsidP="00230E72">
      <w:pPr>
        <w:ind w:left="0"/>
        <w:jc w:val="both"/>
        <w:rPr>
          <w:rFonts w:ascii="Bookman Old Style" w:hAnsi="Bookman Old Style"/>
        </w:rPr>
      </w:pPr>
      <w:r w:rsidRPr="00230E72">
        <w:rPr>
          <w:rFonts w:ascii="Bookman Old Style" w:hAnsi="Bookman Old Style"/>
        </w:rPr>
        <w:t>El artículo 20 de la Ley 143 de 1994 definió como objetivo fundamental de la regulación en el sector eléctrico, asegurar una adecuada prestación del servicio mediante el aprovechamiento eficiente de los diferentes recursos energéticos.</w:t>
      </w:r>
    </w:p>
    <w:p w14:paraId="457EF73B" w14:textId="77777777" w:rsidR="00230E72" w:rsidRPr="00230E72" w:rsidRDefault="00230E72" w:rsidP="00230E72">
      <w:pPr>
        <w:ind w:left="0"/>
        <w:jc w:val="both"/>
        <w:rPr>
          <w:rFonts w:ascii="Bookman Old Style" w:hAnsi="Bookman Old Style"/>
        </w:rPr>
      </w:pPr>
    </w:p>
    <w:p w14:paraId="1015A0FA" w14:textId="77777777" w:rsidR="00230E72" w:rsidRDefault="00230E72" w:rsidP="00230E72">
      <w:pPr>
        <w:ind w:left="0"/>
        <w:jc w:val="both"/>
        <w:rPr>
          <w:rFonts w:ascii="Bookman Old Style" w:hAnsi="Bookman Old Style"/>
        </w:rPr>
      </w:pPr>
      <w:r w:rsidRPr="00230E72">
        <w:rPr>
          <w:rFonts w:ascii="Bookman Old Style" w:hAnsi="Bookman Old Style"/>
        </w:rPr>
        <w:t>Para cumplir el objetivo señalado, la Ley 143 de 1994, artículo 23, atribuyó a la CREG crear las condiciones para asegurar la disponibilidad de una oferta energética eficiente capaz de abastecer la demanda bajo criterios sociales, económicos, ambientales y de viabilidad financiera, promover y preservar la competencia.</w:t>
      </w:r>
    </w:p>
    <w:p w14:paraId="411B61A9" w14:textId="77777777" w:rsidR="00230E72" w:rsidRPr="00230E72" w:rsidRDefault="00230E72" w:rsidP="00230E72">
      <w:pPr>
        <w:ind w:left="0"/>
        <w:jc w:val="both"/>
        <w:rPr>
          <w:rFonts w:ascii="Bookman Old Style" w:hAnsi="Bookman Old Style"/>
        </w:rPr>
      </w:pPr>
    </w:p>
    <w:p w14:paraId="28CD56E3" w14:textId="77777777" w:rsidR="00230E72" w:rsidRDefault="00230E72" w:rsidP="00230E72">
      <w:pPr>
        <w:ind w:left="0"/>
        <w:jc w:val="both"/>
        <w:rPr>
          <w:rFonts w:ascii="Bookman Old Style" w:hAnsi="Bookman Old Style"/>
        </w:rPr>
      </w:pPr>
      <w:r w:rsidRPr="00230E72">
        <w:rPr>
          <w:rFonts w:ascii="Bookman Old Style" w:hAnsi="Bookman Old Style"/>
        </w:rPr>
        <w:t>El artículo 42 de la Ley 143 de 1994 señala que las compras de electricidad deben realizarse mediante mecanismos que estimulen la libre competencia.</w:t>
      </w:r>
    </w:p>
    <w:p w14:paraId="5795E7C5" w14:textId="77777777" w:rsidR="00230E72" w:rsidRPr="00230E72" w:rsidRDefault="00230E72" w:rsidP="00230E72">
      <w:pPr>
        <w:ind w:left="0"/>
        <w:jc w:val="both"/>
        <w:rPr>
          <w:rFonts w:ascii="Bookman Old Style" w:hAnsi="Bookman Old Style"/>
        </w:rPr>
      </w:pPr>
    </w:p>
    <w:p w14:paraId="688B018D" w14:textId="77777777" w:rsidR="00230E72" w:rsidRDefault="00230E72" w:rsidP="00230E72">
      <w:pPr>
        <w:ind w:left="0"/>
        <w:jc w:val="both"/>
        <w:rPr>
          <w:rFonts w:ascii="Bookman Old Style" w:hAnsi="Bookman Old Style"/>
        </w:rPr>
      </w:pPr>
      <w:r w:rsidRPr="00230E72">
        <w:rPr>
          <w:rFonts w:ascii="Bookman Old Style" w:hAnsi="Bookman Old Style"/>
        </w:rPr>
        <w:t>La Resolución CREG 024 de 1995 reglamenta los aspectos comerciales del mercado mayorista de energía en el SIN, como parte del Reglamento de Operación.</w:t>
      </w:r>
    </w:p>
    <w:p w14:paraId="0C73ADFC" w14:textId="77777777" w:rsidR="00230E72" w:rsidRPr="00230E72" w:rsidRDefault="00230E72" w:rsidP="00230E72">
      <w:pPr>
        <w:ind w:left="0"/>
        <w:jc w:val="both"/>
        <w:rPr>
          <w:rFonts w:ascii="Bookman Old Style" w:hAnsi="Bookman Old Style"/>
        </w:rPr>
      </w:pPr>
    </w:p>
    <w:p w14:paraId="37C77C2E" w14:textId="77777777" w:rsidR="00230E72" w:rsidRDefault="00230E72" w:rsidP="00230E72">
      <w:pPr>
        <w:ind w:left="0"/>
        <w:jc w:val="both"/>
        <w:rPr>
          <w:rFonts w:ascii="Bookman Old Style" w:hAnsi="Bookman Old Style"/>
        </w:rPr>
      </w:pPr>
      <w:r w:rsidRPr="00230E72">
        <w:rPr>
          <w:rFonts w:ascii="Bookman Old Style" w:hAnsi="Bookman Old Style"/>
        </w:rPr>
        <w:t>El parágrafo del artículo 3 de la Resolución CREG 086 de 1996 y el artículo 14 de la Resolución CREG 024 de 2015 establecen el cambio de potencia máxima declarada cuando las plantas menores a 20 MW, generación distribuida y autogeneradores a gran escala presenten entregas de potencia promedio por encima de la declarada ante el Mercado de Energía Mayorista, MEM.</w:t>
      </w:r>
    </w:p>
    <w:p w14:paraId="3925F889" w14:textId="77777777" w:rsidR="00230E72" w:rsidRPr="00230E72" w:rsidRDefault="00230E72" w:rsidP="00230E72">
      <w:pPr>
        <w:ind w:left="0"/>
        <w:jc w:val="both"/>
        <w:rPr>
          <w:rFonts w:ascii="Bookman Old Style" w:hAnsi="Bookman Old Style"/>
        </w:rPr>
      </w:pPr>
    </w:p>
    <w:p w14:paraId="7AF3B125" w14:textId="77777777" w:rsidR="00230E72" w:rsidRDefault="00230E72" w:rsidP="00230E72">
      <w:pPr>
        <w:ind w:left="0"/>
        <w:jc w:val="both"/>
        <w:rPr>
          <w:rFonts w:ascii="Bookman Old Style" w:hAnsi="Bookman Old Style"/>
        </w:rPr>
      </w:pPr>
      <w:r w:rsidRPr="00230E72">
        <w:rPr>
          <w:rFonts w:ascii="Bookman Old Style" w:hAnsi="Bookman Old Style"/>
        </w:rPr>
        <w:t>Como respuesta a los impactos del fenómeno de El Niño en 2015, se emitió la Resolución CREG 171 de 2015, en donde se estableció temporalmente la participación de las plantas no despachadas con energía excedentaria en el MEM, para aumentar la disponibilidad de energía en el SIN.</w:t>
      </w:r>
    </w:p>
    <w:p w14:paraId="58AF118F" w14:textId="77777777" w:rsidR="00230E72" w:rsidRPr="00230E72" w:rsidRDefault="00230E72" w:rsidP="00230E72">
      <w:pPr>
        <w:ind w:left="0"/>
        <w:jc w:val="both"/>
        <w:rPr>
          <w:rFonts w:ascii="Bookman Old Style" w:hAnsi="Bookman Old Style"/>
        </w:rPr>
      </w:pPr>
    </w:p>
    <w:p w14:paraId="71DFE0BC" w14:textId="77777777" w:rsidR="00230E72" w:rsidRDefault="00230E72" w:rsidP="00230E72">
      <w:pPr>
        <w:ind w:left="0"/>
        <w:jc w:val="both"/>
        <w:rPr>
          <w:rFonts w:ascii="Bookman Old Style" w:hAnsi="Bookman Old Style"/>
        </w:rPr>
      </w:pPr>
      <w:r w:rsidRPr="00230E72">
        <w:rPr>
          <w:rFonts w:ascii="Bookman Old Style" w:hAnsi="Bookman Old Style"/>
        </w:rPr>
        <w:t>Mediante la Resolución CREG 157 de 2011 la Comisión modificó las normas sobre el registro de fronteras comerciales y contratos de energía de largo plazo, en las cuales se define un procedimiento de registro de fronteras comerciales que tiene varias etapas, cuya ejecución dura aproximadamente 15 días.</w:t>
      </w:r>
    </w:p>
    <w:p w14:paraId="1FE4C718" w14:textId="77777777" w:rsidR="00230E72" w:rsidRPr="00230E72" w:rsidRDefault="00230E72" w:rsidP="00230E72">
      <w:pPr>
        <w:ind w:left="0"/>
        <w:jc w:val="both"/>
        <w:rPr>
          <w:rFonts w:ascii="Bookman Old Style" w:hAnsi="Bookman Old Style"/>
        </w:rPr>
      </w:pPr>
    </w:p>
    <w:p w14:paraId="34BD75B9" w14:textId="77777777" w:rsidR="00230E72" w:rsidRDefault="00230E72" w:rsidP="00230E72">
      <w:pPr>
        <w:ind w:left="0"/>
        <w:jc w:val="both"/>
        <w:rPr>
          <w:rFonts w:ascii="Bookman Old Style" w:hAnsi="Bookman Old Style"/>
        </w:rPr>
      </w:pPr>
      <w:r w:rsidRPr="00230E72">
        <w:rPr>
          <w:rFonts w:ascii="Bookman Old Style" w:hAnsi="Bookman Old Style"/>
        </w:rPr>
        <w:t>Mediante la Resolución CREG 075 de 2021, “Por la cual se definen las disposiciones y procedimientos para la asignación de capacidad de transporte en el Sistema Interconectado Nacional”, con fundamento en los lineamientos de política pública establecidos por el Ministerio de Minas y Energía mediante la Resolución 40311 de 2020, la CREG definió las condiciones regulatorias para la asignación de capacidad de transporte a generadores en el SIN, señalando los criterios y procedimientos a tener en cuenta por parte de los involucrados en esta actividad.</w:t>
      </w:r>
    </w:p>
    <w:p w14:paraId="49B5BE17" w14:textId="77777777" w:rsidR="00230E72" w:rsidRPr="00230E72" w:rsidRDefault="00230E72" w:rsidP="00230E72">
      <w:pPr>
        <w:ind w:left="0"/>
        <w:jc w:val="both"/>
        <w:rPr>
          <w:rFonts w:ascii="Bookman Old Style" w:hAnsi="Bookman Old Style"/>
        </w:rPr>
      </w:pPr>
    </w:p>
    <w:p w14:paraId="635A038F" w14:textId="77777777" w:rsidR="00230E72" w:rsidRDefault="00230E72" w:rsidP="00230E72">
      <w:pPr>
        <w:ind w:left="0"/>
        <w:jc w:val="both"/>
        <w:rPr>
          <w:rFonts w:ascii="Bookman Old Style" w:hAnsi="Bookman Old Style"/>
        </w:rPr>
      </w:pPr>
      <w:r w:rsidRPr="00230E72">
        <w:rPr>
          <w:rFonts w:ascii="Bookman Old Style" w:hAnsi="Bookman Old Style"/>
        </w:rPr>
        <w:t xml:space="preserve">Mediante la Resolución CREG 174 de 2021, “Por la cual se regulan las actividades de autogeneración a pequeña escala y de generación distribuida en el Sistema Interconectado Nacional”, se establecieron los aspectos operativos y </w:t>
      </w:r>
      <w:r w:rsidRPr="00230E72">
        <w:rPr>
          <w:rFonts w:ascii="Bookman Old Style" w:hAnsi="Bookman Old Style"/>
        </w:rPr>
        <w:lastRenderedPageBreak/>
        <w:t>comerciales para permitir la integración de la autogeneración a pequeña escala y de la generación distribuida al SIN y los aspectos de procedimiento de conexión de los autogeneradores a gran escala con potencia máxima declarada menor a 5 MW.</w:t>
      </w:r>
    </w:p>
    <w:p w14:paraId="2937A5BC" w14:textId="77777777" w:rsidR="00230E72" w:rsidRPr="00230E72" w:rsidRDefault="00230E72" w:rsidP="00230E72">
      <w:pPr>
        <w:ind w:left="0"/>
        <w:jc w:val="both"/>
        <w:rPr>
          <w:rFonts w:ascii="Bookman Old Style" w:hAnsi="Bookman Old Style"/>
        </w:rPr>
      </w:pPr>
    </w:p>
    <w:p w14:paraId="0F477E7C" w14:textId="77777777" w:rsidR="00230E72" w:rsidRDefault="00230E72" w:rsidP="00230E72">
      <w:pPr>
        <w:ind w:left="0"/>
        <w:jc w:val="both"/>
        <w:rPr>
          <w:rFonts w:ascii="Bookman Old Style" w:hAnsi="Bookman Old Style"/>
        </w:rPr>
      </w:pPr>
      <w:r w:rsidRPr="00230E72">
        <w:rPr>
          <w:rFonts w:ascii="Bookman Old Style" w:hAnsi="Bookman Old Style"/>
        </w:rPr>
        <w:t>El Consejo Nacional de Operación del sector eléctrico, en uso de sus facultades legales, en especial las conferidas en el Artículo 36 de la Ley 143 de 1994, el Anexo general de la Resolución CREG 025 de 1995, expidió el Acuerdo 1585 de 2022 “por el cual se aprueba la actualización de los procedimientos para solicitar el cambio de parámetros técnicos de las plantas de generación, activos de uso del STN, activos de conexión al STN y sistemas de almacenamiento de energía con baterías SAEB”.</w:t>
      </w:r>
    </w:p>
    <w:p w14:paraId="1BA113ED" w14:textId="77777777" w:rsidR="00230E72" w:rsidRPr="00230E72" w:rsidRDefault="00230E72" w:rsidP="00230E72">
      <w:pPr>
        <w:ind w:left="0"/>
        <w:jc w:val="both"/>
        <w:rPr>
          <w:rFonts w:ascii="Bookman Old Style" w:hAnsi="Bookman Old Style"/>
        </w:rPr>
      </w:pPr>
    </w:p>
    <w:p w14:paraId="44CC265A" w14:textId="3A746D0F" w:rsidR="00230E72" w:rsidRDefault="00230E72" w:rsidP="00230E72">
      <w:pPr>
        <w:ind w:left="0"/>
        <w:jc w:val="both"/>
        <w:rPr>
          <w:rFonts w:ascii="Bookman Old Style" w:hAnsi="Bookman Old Style"/>
        </w:rPr>
      </w:pPr>
      <w:r w:rsidRPr="00230E72">
        <w:rPr>
          <w:rFonts w:ascii="Bookman Old Style" w:hAnsi="Bookman Old Style"/>
        </w:rPr>
        <w:t>Mediante Resolución CREG 101 034 de 2024, se establec</w:t>
      </w:r>
      <w:r w:rsidR="002A3C1A">
        <w:rPr>
          <w:rFonts w:ascii="Bookman Old Style" w:hAnsi="Bookman Old Style"/>
        </w:rPr>
        <w:t xml:space="preserve">ieron </w:t>
      </w:r>
      <w:r w:rsidRPr="00230E72">
        <w:rPr>
          <w:rFonts w:ascii="Bookman Old Style" w:hAnsi="Bookman Old Style"/>
        </w:rPr>
        <w:t>disposiciones temporales para la entrega de excedentes de generación de energía al Sistema Interconectado Nacional, SIN</w:t>
      </w:r>
      <w:r w:rsidR="002A3C1A">
        <w:rPr>
          <w:rFonts w:ascii="Bookman Old Style" w:hAnsi="Bookman Old Style"/>
        </w:rPr>
        <w:t>, y finalizada su aplicación</w:t>
      </w:r>
      <w:r w:rsidR="00C1299F">
        <w:rPr>
          <w:rFonts w:ascii="Bookman Old Style" w:hAnsi="Bookman Old Style"/>
        </w:rPr>
        <w:t xml:space="preserve">, el </w:t>
      </w:r>
      <w:r w:rsidR="00C1299F" w:rsidRPr="00230E72">
        <w:rPr>
          <w:rFonts w:ascii="Bookman Old Style" w:hAnsi="Bookman Old Style"/>
        </w:rPr>
        <w:t>Centro Nacional de Despacho (CND</w:t>
      </w:r>
      <w:r w:rsidR="00C1299F">
        <w:rPr>
          <w:rFonts w:ascii="Bookman Old Style" w:hAnsi="Bookman Old Style"/>
        </w:rPr>
        <w:t xml:space="preserve">) </w:t>
      </w:r>
      <w:r w:rsidR="00EB47FB">
        <w:rPr>
          <w:rFonts w:ascii="Bookman Old Style" w:hAnsi="Bookman Old Style"/>
        </w:rPr>
        <w:t>report</w:t>
      </w:r>
      <w:r w:rsidR="00B139E1">
        <w:rPr>
          <w:rFonts w:ascii="Bookman Old Style" w:hAnsi="Bookman Old Style"/>
        </w:rPr>
        <w:t>ó</w:t>
      </w:r>
      <w:r w:rsidR="00EB47FB">
        <w:rPr>
          <w:rFonts w:ascii="Bookman Old Style" w:hAnsi="Bookman Old Style"/>
        </w:rPr>
        <w:t xml:space="preserve"> que la medida transitoria había </w:t>
      </w:r>
      <w:r w:rsidR="00B139E1">
        <w:rPr>
          <w:rFonts w:ascii="Bookman Old Style" w:hAnsi="Bookman Old Style"/>
        </w:rPr>
        <w:t xml:space="preserve">dado como </w:t>
      </w:r>
      <w:r w:rsidR="00C77DC4">
        <w:rPr>
          <w:rFonts w:ascii="Bookman Old Style" w:hAnsi="Bookman Old Style"/>
        </w:rPr>
        <w:t>resultado un</w:t>
      </w:r>
      <w:r w:rsidR="00C1299F" w:rsidRPr="00005F61">
        <w:rPr>
          <w:rFonts w:ascii="Bookman Old Style" w:hAnsi="Bookman Old Style"/>
        </w:rPr>
        <w:t xml:space="preserve"> aumento de capacidad de 61,65 MW</w:t>
      </w:r>
      <w:r w:rsidR="00005F61">
        <w:rPr>
          <w:rFonts w:ascii="Bookman Old Style" w:hAnsi="Bookman Old Style"/>
        </w:rPr>
        <w:t xml:space="preserve"> (radicado CREG </w:t>
      </w:r>
      <w:r w:rsidR="00005F61" w:rsidRPr="00005F61">
        <w:rPr>
          <w:rFonts w:ascii="Bookman Old Style" w:hAnsi="Bookman Old Style"/>
        </w:rPr>
        <w:t>E2024013995</w:t>
      </w:r>
      <w:r w:rsidR="00005F61">
        <w:rPr>
          <w:rFonts w:ascii="Bookman Old Style" w:hAnsi="Bookman Old Style"/>
        </w:rPr>
        <w:t>)</w:t>
      </w:r>
    </w:p>
    <w:p w14:paraId="6DC2B9E6" w14:textId="77777777" w:rsidR="00230E72" w:rsidRPr="00230E72" w:rsidRDefault="00230E72" w:rsidP="00230E72">
      <w:pPr>
        <w:ind w:left="0"/>
        <w:jc w:val="both"/>
        <w:rPr>
          <w:rFonts w:ascii="Bookman Old Style" w:hAnsi="Bookman Old Style"/>
        </w:rPr>
      </w:pPr>
    </w:p>
    <w:p w14:paraId="66E81339" w14:textId="065957F1" w:rsidR="00230E72" w:rsidRDefault="00230E72" w:rsidP="00230E72">
      <w:pPr>
        <w:ind w:left="0"/>
        <w:jc w:val="both"/>
        <w:rPr>
          <w:rFonts w:ascii="Bookman Old Style" w:hAnsi="Bookman Old Style"/>
        </w:rPr>
      </w:pPr>
      <w:r w:rsidRPr="00230E72">
        <w:rPr>
          <w:rFonts w:ascii="Bookman Old Style" w:hAnsi="Bookman Old Style"/>
        </w:rPr>
        <w:t>En septiembre de 2024, de acuerdo con el informe entregado por XM S.A E.S.P. -en su calidad de CND sobre la operación del SIN, Radicado CREG E2024013312, concluye y recomienda que:</w:t>
      </w:r>
    </w:p>
    <w:p w14:paraId="7CC434A7" w14:textId="77777777" w:rsidR="00230E72" w:rsidRPr="00230E72" w:rsidRDefault="00230E72" w:rsidP="00230E72">
      <w:pPr>
        <w:ind w:left="0"/>
        <w:jc w:val="both"/>
        <w:rPr>
          <w:rFonts w:ascii="Bookman Old Style" w:hAnsi="Bookman Old Style"/>
        </w:rPr>
      </w:pPr>
    </w:p>
    <w:p w14:paraId="70366B50" w14:textId="77777777" w:rsidR="00230E72" w:rsidRPr="00230E72" w:rsidRDefault="00230E72" w:rsidP="00230E72">
      <w:pPr>
        <w:ind w:left="708"/>
        <w:jc w:val="both"/>
        <w:rPr>
          <w:rFonts w:ascii="Bookman Old Style" w:hAnsi="Bookman Old Style"/>
          <w:i/>
          <w:iCs/>
        </w:rPr>
      </w:pPr>
      <w:r w:rsidRPr="00230E72">
        <w:rPr>
          <w:rFonts w:ascii="Bookman Old Style" w:hAnsi="Bookman Old Style"/>
          <w:i/>
          <w:iCs/>
        </w:rPr>
        <w:t xml:space="preserve">(…) Se observa un déficit importante de aportes en los meses de Julio y agosto, lo que ha frenado la recuperación del embalse agregado e incluso generado </w:t>
      </w:r>
      <w:proofErr w:type="spellStart"/>
      <w:r w:rsidRPr="00230E72">
        <w:rPr>
          <w:rFonts w:ascii="Bookman Old Style" w:hAnsi="Bookman Old Style"/>
          <w:i/>
          <w:iCs/>
        </w:rPr>
        <w:t>desembalsamiento</w:t>
      </w:r>
      <w:proofErr w:type="spellEnd"/>
      <w:r w:rsidRPr="00230E72">
        <w:rPr>
          <w:rFonts w:ascii="Bookman Old Style" w:hAnsi="Bookman Old Style"/>
          <w:i/>
          <w:iCs/>
        </w:rPr>
        <w:t xml:space="preserve"> durante los últimos días, comportamiento contrario al esperado en la senda que era de recuperación.</w:t>
      </w:r>
    </w:p>
    <w:p w14:paraId="3A25153E" w14:textId="77777777" w:rsidR="00230E72" w:rsidRPr="00230E72" w:rsidRDefault="00230E72" w:rsidP="00230E72">
      <w:pPr>
        <w:ind w:left="708"/>
        <w:jc w:val="both"/>
        <w:rPr>
          <w:rFonts w:ascii="Bookman Old Style" w:hAnsi="Bookman Old Style"/>
          <w:i/>
          <w:iCs/>
        </w:rPr>
      </w:pPr>
    </w:p>
    <w:p w14:paraId="72BFD4B2" w14:textId="77777777" w:rsidR="00230E72" w:rsidRDefault="00230E72" w:rsidP="00230E72">
      <w:pPr>
        <w:ind w:left="708"/>
        <w:jc w:val="both"/>
        <w:rPr>
          <w:rFonts w:ascii="Bookman Old Style" w:hAnsi="Bookman Old Style"/>
          <w:i/>
          <w:iCs/>
        </w:rPr>
      </w:pPr>
      <w:r w:rsidRPr="00230E72">
        <w:rPr>
          <w:rFonts w:ascii="Bookman Old Style" w:hAnsi="Bookman Old Style"/>
          <w:i/>
          <w:iCs/>
        </w:rPr>
        <w:t>Para el mes de septiembre el IDEAM pronostica un déficit de aportes en un mes de menor media histórica frente a los meses de julio y agosto.</w:t>
      </w:r>
    </w:p>
    <w:p w14:paraId="756A923B" w14:textId="77777777" w:rsidR="00230E72" w:rsidRPr="00230E72" w:rsidRDefault="00230E72" w:rsidP="00230E72">
      <w:pPr>
        <w:ind w:left="708"/>
        <w:jc w:val="both"/>
        <w:rPr>
          <w:rFonts w:ascii="Bookman Old Style" w:hAnsi="Bookman Old Style"/>
          <w:i/>
          <w:iCs/>
        </w:rPr>
      </w:pPr>
    </w:p>
    <w:p w14:paraId="444F9B96" w14:textId="77777777" w:rsidR="00230E72" w:rsidRPr="00230E72" w:rsidRDefault="00230E72" w:rsidP="00230E72">
      <w:pPr>
        <w:ind w:left="708"/>
        <w:jc w:val="both"/>
        <w:rPr>
          <w:rFonts w:ascii="Bookman Old Style" w:hAnsi="Bookman Old Style"/>
          <w:i/>
          <w:iCs/>
        </w:rPr>
      </w:pPr>
      <w:r w:rsidRPr="00230E72">
        <w:rPr>
          <w:rFonts w:ascii="Bookman Old Style" w:hAnsi="Bookman Old Style"/>
          <w:i/>
          <w:iCs/>
        </w:rPr>
        <w:t xml:space="preserve">La probabilidad de Niña para los meses de noviembre a </w:t>
      </w:r>
      <w:proofErr w:type="gramStart"/>
      <w:r w:rsidRPr="00230E72">
        <w:rPr>
          <w:rFonts w:ascii="Bookman Old Style" w:hAnsi="Bookman Old Style"/>
          <w:i/>
          <w:iCs/>
        </w:rPr>
        <w:t>enero,</w:t>
      </w:r>
      <w:proofErr w:type="gramEnd"/>
      <w:r w:rsidRPr="00230E72">
        <w:rPr>
          <w:rFonts w:ascii="Bookman Old Style" w:hAnsi="Bookman Old Style"/>
          <w:i/>
          <w:iCs/>
        </w:rPr>
        <w:t xml:space="preserve"> se está equiparando con la probabilidad de neutralidad. (…)</w:t>
      </w:r>
    </w:p>
    <w:p w14:paraId="6EF3E8C1" w14:textId="77777777" w:rsidR="00230E72" w:rsidRPr="00230E72" w:rsidRDefault="00230E72" w:rsidP="00230E72">
      <w:pPr>
        <w:ind w:left="708"/>
        <w:jc w:val="both"/>
        <w:rPr>
          <w:rFonts w:ascii="Bookman Old Style" w:hAnsi="Bookman Old Style"/>
          <w:i/>
          <w:iCs/>
        </w:rPr>
      </w:pPr>
    </w:p>
    <w:p w14:paraId="3D10AB20" w14:textId="77777777" w:rsidR="00230E72" w:rsidRPr="00230E72" w:rsidRDefault="00230E72" w:rsidP="00230E72">
      <w:pPr>
        <w:ind w:left="708"/>
        <w:jc w:val="both"/>
        <w:rPr>
          <w:rFonts w:ascii="Bookman Old Style" w:hAnsi="Bookman Old Style"/>
          <w:i/>
          <w:iCs/>
        </w:rPr>
      </w:pPr>
      <w:r w:rsidRPr="00230E72">
        <w:rPr>
          <w:rFonts w:ascii="Bookman Old Style" w:hAnsi="Bookman Old Style"/>
          <w:i/>
          <w:iCs/>
        </w:rPr>
        <w:t>(…) Recomendaciones ante situación persistente de bajos aportes (…) (…) Extender en el ámbito de aplicación de la Resolución CREG 101 034 de 2024, todas las plantas independientes de la tecnología y el tipo de planta; evaluar los procedimientos definidos actualmente garantizando que puedan ser aplicados en el menor tiempo posible (…)</w:t>
      </w:r>
    </w:p>
    <w:p w14:paraId="79C03D9F" w14:textId="77777777" w:rsidR="00230E72" w:rsidRPr="00230E72" w:rsidRDefault="00230E72" w:rsidP="00230E72">
      <w:pPr>
        <w:ind w:left="708"/>
        <w:jc w:val="both"/>
        <w:rPr>
          <w:rFonts w:ascii="Bookman Old Style" w:hAnsi="Bookman Old Style"/>
        </w:rPr>
      </w:pPr>
    </w:p>
    <w:p w14:paraId="4381B81A" w14:textId="62460465" w:rsidR="00230E72" w:rsidRDefault="00230E72" w:rsidP="00230E72">
      <w:pPr>
        <w:ind w:left="0"/>
        <w:jc w:val="both"/>
        <w:rPr>
          <w:rFonts w:ascii="Bookman Old Style" w:hAnsi="Bookman Old Style"/>
        </w:rPr>
      </w:pPr>
      <w:r w:rsidRPr="00230E72">
        <w:rPr>
          <w:rFonts w:ascii="Bookman Old Style" w:hAnsi="Bookman Old Style"/>
        </w:rPr>
        <w:t xml:space="preserve">En el seguimiento que se realiza desde la Comisión y dada la recomendación del CND, se encuentra que </w:t>
      </w:r>
      <w:r w:rsidR="009E5FCB">
        <w:rPr>
          <w:rFonts w:ascii="Bookman Old Style" w:hAnsi="Bookman Old Style"/>
        </w:rPr>
        <w:t>l</w:t>
      </w:r>
      <w:r w:rsidR="009E5FCB" w:rsidRPr="00B6359A">
        <w:rPr>
          <w:rFonts w:ascii="Bookman Old Style" w:hAnsi="Bookman Old Style"/>
        </w:rPr>
        <w:t>os aportes hídricos en el sistema presentan un déficit en los meses de julio y agosto de 2024, respecto de los mínimos históricos registrados desde el año 2000, lo que ha venido frenando la recuperación del embalse agregado luego del fenómeno del niño</w:t>
      </w:r>
      <w:r w:rsidR="009E5FCB">
        <w:rPr>
          <w:rFonts w:ascii="Bookman Old Style" w:hAnsi="Bookman Old Style"/>
        </w:rPr>
        <w:t>, por lo tanto,</w:t>
      </w:r>
      <w:r w:rsidR="00B42D9B">
        <w:rPr>
          <w:rFonts w:ascii="Bookman Old Style" w:hAnsi="Bookman Old Style"/>
        </w:rPr>
        <w:t xml:space="preserve"> </w:t>
      </w:r>
      <w:r w:rsidRPr="00230E72">
        <w:rPr>
          <w:rFonts w:ascii="Bookman Old Style" w:hAnsi="Bookman Old Style"/>
        </w:rPr>
        <w:t xml:space="preserve">se requiere tomar medidas </w:t>
      </w:r>
      <w:r w:rsidR="007F3D6D">
        <w:rPr>
          <w:rFonts w:ascii="Bookman Old Style" w:hAnsi="Bookman Old Style"/>
        </w:rPr>
        <w:t xml:space="preserve">frente a la </w:t>
      </w:r>
      <w:r w:rsidR="00337617" w:rsidRPr="00B6359A">
        <w:rPr>
          <w:rFonts w:ascii="Bookman Old Style" w:hAnsi="Bookman Old Style"/>
        </w:rPr>
        <w:t xml:space="preserve">reducción atípica de los aportes hídricos </w:t>
      </w:r>
      <w:r w:rsidR="007F3D6D" w:rsidRPr="00B6359A">
        <w:rPr>
          <w:rFonts w:ascii="Bookman Old Style" w:hAnsi="Bookman Old Style"/>
        </w:rPr>
        <w:t>y de esta manera</w:t>
      </w:r>
      <w:r w:rsidRPr="00230E72">
        <w:rPr>
          <w:rFonts w:ascii="Bookman Old Style" w:hAnsi="Bookman Old Style"/>
        </w:rPr>
        <w:t xml:space="preserve"> garantizar el abastecimiento del servicio público de energía eléctrica a los usuarios.</w:t>
      </w:r>
    </w:p>
    <w:p w14:paraId="7DA88E32" w14:textId="77777777" w:rsidR="00230E72" w:rsidRPr="00230E72" w:rsidRDefault="00230E72" w:rsidP="00230E72">
      <w:pPr>
        <w:ind w:left="0"/>
        <w:jc w:val="both"/>
        <w:rPr>
          <w:rFonts w:ascii="Bookman Old Style" w:hAnsi="Bookman Old Style"/>
        </w:rPr>
      </w:pPr>
    </w:p>
    <w:p w14:paraId="6280903D" w14:textId="77777777" w:rsidR="00230E72" w:rsidRPr="00230E72" w:rsidRDefault="00230E72" w:rsidP="00230E72">
      <w:pPr>
        <w:ind w:left="0"/>
        <w:jc w:val="both"/>
        <w:rPr>
          <w:rFonts w:ascii="Bookman Old Style" w:hAnsi="Bookman Old Style"/>
        </w:rPr>
      </w:pPr>
      <w:r w:rsidRPr="00230E72">
        <w:rPr>
          <w:rFonts w:ascii="Bookman Old Style" w:hAnsi="Bookman Old Style"/>
        </w:rPr>
        <w:t xml:space="preserve">El artículo 2.2.3.2.1.4 del Decreto 1073 de 2015 establece que “La Comisión de Regulación de Energía y Gas (CREG), ante la presencia de circunstancias </w:t>
      </w:r>
      <w:r w:rsidRPr="00230E72">
        <w:rPr>
          <w:rFonts w:ascii="Bookman Old Style" w:hAnsi="Bookman Old Style"/>
        </w:rPr>
        <w:lastRenderedPageBreak/>
        <w:t>extraordinarias que afecten o amenacen afectar la prestación del servicio público domiciliario de energía eléctrica y sus actividades complementarias, adoptará las medidas necesarias para garantizar la continuidad y confiabilidad en la prestación del servicio público domiciliario de energía eléctrica y sus actividades complementarias.”</w:t>
      </w:r>
    </w:p>
    <w:p w14:paraId="2CDCD766" w14:textId="77777777" w:rsidR="008F633F" w:rsidRDefault="008F633F" w:rsidP="00230E72">
      <w:pPr>
        <w:ind w:left="0"/>
        <w:jc w:val="both"/>
        <w:rPr>
          <w:rFonts w:ascii="Bookman Old Style" w:hAnsi="Bookman Old Style"/>
        </w:rPr>
      </w:pPr>
    </w:p>
    <w:p w14:paraId="2EB7D136" w14:textId="792A6958" w:rsidR="00230E72" w:rsidRDefault="00230E72" w:rsidP="00230E72">
      <w:pPr>
        <w:ind w:left="0"/>
        <w:jc w:val="both"/>
        <w:rPr>
          <w:rFonts w:ascii="Bookman Old Style" w:hAnsi="Bookman Old Style"/>
        </w:rPr>
      </w:pPr>
      <w:r w:rsidRPr="00230E72">
        <w:rPr>
          <w:rFonts w:ascii="Bookman Old Style" w:hAnsi="Bookman Old Style"/>
        </w:rPr>
        <w:t>En consecuencia,</w:t>
      </w:r>
    </w:p>
    <w:p w14:paraId="4E9ED091" w14:textId="77777777" w:rsidR="00045D3D" w:rsidRPr="00C435C3" w:rsidRDefault="00045D3D" w:rsidP="00045D3D">
      <w:pPr>
        <w:ind w:left="0"/>
        <w:rPr>
          <w:rFonts w:ascii="Bookman Old Style" w:hAnsi="Bookman Old Style"/>
        </w:rPr>
      </w:pPr>
    </w:p>
    <w:p w14:paraId="3DB41754" w14:textId="77777777" w:rsidR="00045D3D" w:rsidRDefault="00045D3D" w:rsidP="00045D3D">
      <w:pPr>
        <w:suppressAutoHyphens/>
        <w:jc w:val="center"/>
        <w:rPr>
          <w:rFonts w:ascii="Bookman Old Style" w:hAnsi="Bookman Old Style"/>
          <w:b/>
          <w:spacing w:val="-3"/>
        </w:rPr>
      </w:pPr>
    </w:p>
    <w:p w14:paraId="40EFC463" w14:textId="77777777" w:rsidR="00045D3D" w:rsidRPr="00C435C3" w:rsidRDefault="00045D3D" w:rsidP="00045D3D">
      <w:pPr>
        <w:suppressAutoHyphens/>
        <w:jc w:val="center"/>
        <w:rPr>
          <w:rFonts w:ascii="Bookman Old Style" w:hAnsi="Bookman Old Style"/>
          <w:spacing w:val="-3"/>
        </w:rPr>
      </w:pPr>
      <w:r w:rsidRPr="00C435C3">
        <w:rPr>
          <w:rFonts w:ascii="Bookman Old Style" w:hAnsi="Bookman Old Style"/>
          <w:b/>
          <w:spacing w:val="-3"/>
        </w:rPr>
        <w:t>R E S U E L V E:</w:t>
      </w:r>
    </w:p>
    <w:p w14:paraId="0DF6EB23" w14:textId="7097F09B" w:rsidR="00230E72" w:rsidRPr="00230E72" w:rsidRDefault="00230E72" w:rsidP="00230E72">
      <w:pPr>
        <w:numPr>
          <w:ilvl w:val="0"/>
          <w:numId w:val="23"/>
        </w:numPr>
        <w:tabs>
          <w:tab w:val="num" w:pos="360"/>
        </w:tabs>
        <w:spacing w:before="240" w:after="240"/>
        <w:ind w:left="0" w:firstLine="0"/>
        <w:jc w:val="both"/>
        <w:rPr>
          <w:rFonts w:ascii="Bookman Old Style" w:hAnsi="Bookman Old Style" w:cs="Arial"/>
          <w:iCs/>
          <w:lang w:val="es-CO"/>
        </w:rPr>
      </w:pPr>
      <w:bookmarkStart w:id="1" w:name="1"/>
      <w:bookmarkStart w:id="2" w:name="_Ref176857650"/>
      <w:r w:rsidRPr="00230E72">
        <w:rPr>
          <w:rFonts w:ascii="Bookman Old Style" w:hAnsi="Bookman Old Style" w:cs="Arial"/>
          <w:b/>
          <w:bCs/>
          <w:lang w:val="es-CO"/>
        </w:rPr>
        <w:t>Ámbito de aplicación</w:t>
      </w:r>
      <w:bookmarkEnd w:id="1"/>
      <w:r w:rsidRPr="00230E72">
        <w:rPr>
          <w:rFonts w:ascii="Bookman Old Style" w:hAnsi="Bookman Old Style" w:cs="Arial"/>
          <w:b/>
          <w:bCs/>
          <w:lang w:val="es-CO"/>
        </w:rPr>
        <w:t>.  </w:t>
      </w:r>
      <w:r w:rsidRPr="00230E72">
        <w:rPr>
          <w:rFonts w:ascii="Bookman Old Style" w:hAnsi="Bookman Old Style" w:cs="Arial"/>
          <w:iCs/>
          <w:lang w:val="es-CO"/>
        </w:rPr>
        <w:t xml:space="preserve"> Las disposiciones establecidas en esta resolución aplican a plantas menores y a agentes autogeneradores, cogeneradores, con y sin entrega de excedentes, que cumplan las siguientes condiciones: i) se encuentren conectados al Sistema Interconectado Nacional, SIN; </w:t>
      </w:r>
      <w:proofErr w:type="spellStart"/>
      <w:r w:rsidRPr="00230E72">
        <w:rPr>
          <w:rFonts w:ascii="Bookman Old Style" w:hAnsi="Bookman Old Style" w:cs="Arial"/>
          <w:iCs/>
          <w:lang w:val="es-CO"/>
        </w:rPr>
        <w:t>ii</w:t>
      </w:r>
      <w:proofErr w:type="spellEnd"/>
      <w:r w:rsidRPr="00230E72">
        <w:rPr>
          <w:rFonts w:ascii="Bookman Old Style" w:hAnsi="Bookman Old Style" w:cs="Arial"/>
          <w:iCs/>
          <w:lang w:val="es-CO"/>
        </w:rPr>
        <w:t xml:space="preserve">) tengan capacidad instalada superior a 1 MW; y </w:t>
      </w:r>
      <w:proofErr w:type="spellStart"/>
      <w:r w:rsidRPr="00230E72">
        <w:rPr>
          <w:rFonts w:ascii="Bookman Old Style" w:hAnsi="Bookman Old Style" w:cs="Arial"/>
          <w:iCs/>
          <w:lang w:val="es-CO"/>
        </w:rPr>
        <w:t>iii</w:t>
      </w:r>
      <w:proofErr w:type="spellEnd"/>
      <w:r w:rsidRPr="00230E72">
        <w:rPr>
          <w:rFonts w:ascii="Bookman Old Style" w:hAnsi="Bookman Old Style" w:cs="Arial"/>
          <w:iCs/>
          <w:lang w:val="es-CO"/>
        </w:rPr>
        <w:t xml:space="preserve">) durante la ventana de aplicación que se define en el artículo </w:t>
      </w:r>
      <w:r w:rsidRPr="00230E72">
        <w:rPr>
          <w:rFonts w:ascii="Bookman Old Style" w:hAnsi="Bookman Old Style" w:cs="Arial"/>
          <w:iCs/>
          <w:lang w:val="es-CO"/>
        </w:rPr>
        <w:fldChar w:fldCharType="begin"/>
      </w:r>
      <w:r w:rsidRPr="00230E72">
        <w:rPr>
          <w:rFonts w:ascii="Bookman Old Style" w:hAnsi="Bookman Old Style" w:cs="Arial"/>
          <w:iCs/>
          <w:lang w:val="es-CO"/>
        </w:rPr>
        <w:instrText xml:space="preserve"> REF _Ref176856420 \r \h \t </w:instrText>
      </w:r>
      <w:r w:rsidRPr="00230E72">
        <w:rPr>
          <w:rFonts w:ascii="Bookman Old Style" w:hAnsi="Bookman Old Style" w:cs="Arial"/>
          <w:iCs/>
          <w:lang w:val="es-CO"/>
        </w:rPr>
      </w:r>
      <w:r w:rsidRPr="00230E72">
        <w:rPr>
          <w:rFonts w:ascii="Bookman Old Style" w:hAnsi="Bookman Old Style" w:cs="Arial"/>
          <w:iCs/>
          <w:lang w:val="es-CO"/>
        </w:rPr>
        <w:fldChar w:fldCharType="separate"/>
      </w:r>
      <w:r w:rsidR="00821DA0">
        <w:rPr>
          <w:rFonts w:ascii="Bookman Old Style" w:hAnsi="Bookman Old Style" w:cs="Arial"/>
          <w:iCs/>
          <w:lang w:val="es-CO"/>
        </w:rPr>
        <w:t>3</w:t>
      </w:r>
      <w:r w:rsidRPr="00230E72">
        <w:rPr>
          <w:rFonts w:ascii="Bookman Old Style" w:hAnsi="Bookman Old Style" w:cs="Arial"/>
          <w:iCs/>
          <w:lang w:val="es-CO"/>
        </w:rPr>
        <w:fldChar w:fldCharType="end"/>
      </w:r>
      <w:r w:rsidRPr="00230E72">
        <w:rPr>
          <w:rFonts w:ascii="Bookman Old Style" w:hAnsi="Bookman Old Style" w:cs="Arial"/>
          <w:iCs/>
          <w:lang w:val="es-CO"/>
        </w:rPr>
        <w:t xml:space="preserve"> de la presente resolución puedan entregar excedentes adicionales de generación al SIN.</w:t>
      </w:r>
      <w:bookmarkEnd w:id="2"/>
    </w:p>
    <w:p w14:paraId="54A7480C" w14:textId="77777777" w:rsidR="00230E72" w:rsidRPr="00230E72" w:rsidRDefault="00230E72" w:rsidP="00230E72">
      <w:pPr>
        <w:spacing w:before="240" w:after="240"/>
        <w:ind w:left="0"/>
        <w:jc w:val="both"/>
        <w:rPr>
          <w:rFonts w:ascii="Bookman Old Style" w:hAnsi="Bookman Old Style" w:cs="Arial"/>
          <w:lang w:val="es-CO"/>
        </w:rPr>
      </w:pPr>
      <w:r w:rsidRPr="00230E72">
        <w:rPr>
          <w:rFonts w:ascii="Bookman Old Style" w:hAnsi="Bookman Old Style" w:cs="Arial"/>
          <w:b/>
          <w:bCs/>
          <w:lang w:val="es-CO"/>
        </w:rPr>
        <w:t>Parágrafo.</w:t>
      </w:r>
      <w:r w:rsidRPr="00230E72">
        <w:rPr>
          <w:rFonts w:ascii="Bookman Old Style" w:hAnsi="Bookman Old Style" w:cs="Arial"/>
          <w:lang w:val="es-CO"/>
        </w:rPr>
        <w:t xml:space="preserve"> Las disposiciones establecidas en esta resolución solo deberán ser aplicadas para el cumplimiento de su objetivo y, por lo tanto, no interrumpen ni suspenden la aplicación de la regulación vigente, la cual deberá continuar empleándose para las situaciones normales.</w:t>
      </w:r>
    </w:p>
    <w:p w14:paraId="3083E640" w14:textId="4DC2FBFB" w:rsidR="00230E72" w:rsidRPr="00230E72" w:rsidRDefault="00230E72" w:rsidP="00230E72">
      <w:pPr>
        <w:numPr>
          <w:ilvl w:val="0"/>
          <w:numId w:val="23"/>
        </w:numPr>
        <w:tabs>
          <w:tab w:val="num" w:pos="360"/>
        </w:tabs>
        <w:spacing w:before="240" w:after="240"/>
        <w:ind w:left="0" w:firstLine="0"/>
        <w:jc w:val="both"/>
        <w:rPr>
          <w:rFonts w:ascii="Bookman Old Style" w:hAnsi="Bookman Old Style" w:cs="Arial"/>
          <w:lang w:val="es-CO"/>
        </w:rPr>
      </w:pPr>
      <w:r w:rsidRPr="00230E72">
        <w:rPr>
          <w:rFonts w:ascii="Bookman Old Style" w:hAnsi="Bookman Old Style" w:cs="Arial"/>
          <w:b/>
          <w:bCs/>
          <w:lang w:val="es-CO"/>
        </w:rPr>
        <w:t>Objetivo.  </w:t>
      </w:r>
      <w:r w:rsidRPr="00230E72">
        <w:rPr>
          <w:rFonts w:ascii="Bookman Old Style" w:hAnsi="Bookman Old Style" w:cs="Arial"/>
          <w:iCs/>
          <w:lang w:val="es-CO"/>
        </w:rPr>
        <w:t xml:space="preserve"> Facilitar la entrega de excedentes de generación al SIN ante el comportamiento </w:t>
      </w:r>
      <w:r w:rsidR="00131304">
        <w:rPr>
          <w:rFonts w:ascii="Bookman Old Style" w:hAnsi="Bookman Old Style" w:cs="Arial"/>
          <w:iCs/>
          <w:lang w:val="es-CO"/>
        </w:rPr>
        <w:t xml:space="preserve">atípico de los aportes hídricos y la </w:t>
      </w:r>
      <w:r w:rsidR="00A02BF6">
        <w:rPr>
          <w:rFonts w:ascii="Bookman Old Style" w:hAnsi="Bookman Old Style" w:cs="Arial"/>
          <w:iCs/>
          <w:lang w:val="es-CO"/>
        </w:rPr>
        <w:t xml:space="preserve">disminución </w:t>
      </w:r>
      <w:r w:rsidRPr="00230E72">
        <w:rPr>
          <w:rFonts w:ascii="Bookman Old Style" w:hAnsi="Bookman Old Style" w:cs="Arial"/>
          <w:iCs/>
          <w:lang w:val="es-CO"/>
        </w:rPr>
        <w:t xml:space="preserve">del nivel de los embalses </w:t>
      </w:r>
      <w:r w:rsidR="00131304">
        <w:rPr>
          <w:rFonts w:ascii="Bookman Old Style" w:hAnsi="Bookman Old Style" w:cs="Arial"/>
          <w:iCs/>
          <w:lang w:val="es-CO"/>
        </w:rPr>
        <w:t>durante</w:t>
      </w:r>
      <w:r w:rsidR="00131304" w:rsidRPr="00230E72">
        <w:rPr>
          <w:rFonts w:ascii="Bookman Old Style" w:hAnsi="Bookman Old Style" w:cs="Arial"/>
          <w:iCs/>
          <w:lang w:val="es-CO"/>
        </w:rPr>
        <w:t xml:space="preserve"> </w:t>
      </w:r>
      <w:r w:rsidRPr="00230E72">
        <w:rPr>
          <w:rFonts w:ascii="Bookman Old Style" w:hAnsi="Bookman Old Style" w:cs="Arial"/>
          <w:iCs/>
          <w:lang w:val="es-CO"/>
        </w:rPr>
        <w:t xml:space="preserve">los meses de julio y agosto de 2024, </w:t>
      </w:r>
      <w:r w:rsidR="0025542B">
        <w:rPr>
          <w:rFonts w:ascii="Bookman Old Style" w:hAnsi="Bookman Old Style" w:cs="Arial"/>
          <w:iCs/>
          <w:lang w:val="es-CO"/>
        </w:rPr>
        <w:t xml:space="preserve">y de esta manera </w:t>
      </w:r>
      <w:r w:rsidR="00A02BF6">
        <w:rPr>
          <w:rFonts w:ascii="Bookman Old Style" w:hAnsi="Bookman Old Style" w:cs="Arial"/>
          <w:iCs/>
          <w:lang w:val="es-CO"/>
        </w:rPr>
        <w:t xml:space="preserve">contribuir </w:t>
      </w:r>
      <w:r w:rsidRPr="00230E72">
        <w:rPr>
          <w:rFonts w:ascii="Bookman Old Style" w:hAnsi="Bookman Old Style" w:cs="Arial"/>
          <w:iCs/>
          <w:lang w:val="es-CO"/>
        </w:rPr>
        <w:t xml:space="preserve">a la recuperación de </w:t>
      </w:r>
      <w:proofErr w:type="gramStart"/>
      <w:r w:rsidRPr="00230E72">
        <w:rPr>
          <w:rFonts w:ascii="Bookman Old Style" w:hAnsi="Bookman Old Style" w:cs="Arial"/>
          <w:iCs/>
          <w:lang w:val="es-CO"/>
        </w:rPr>
        <w:t>los mismos</w:t>
      </w:r>
      <w:proofErr w:type="gramEnd"/>
      <w:r w:rsidRPr="00230E72">
        <w:rPr>
          <w:rFonts w:ascii="Bookman Old Style" w:hAnsi="Bookman Old Style" w:cs="Arial"/>
          <w:iCs/>
          <w:lang w:val="es-CO"/>
        </w:rPr>
        <w:t>.</w:t>
      </w:r>
    </w:p>
    <w:p w14:paraId="4F2502AF" w14:textId="4A467D77" w:rsidR="00230E72" w:rsidRPr="00230E72" w:rsidRDefault="00230E72" w:rsidP="00230E72">
      <w:pPr>
        <w:numPr>
          <w:ilvl w:val="0"/>
          <w:numId w:val="23"/>
        </w:numPr>
        <w:tabs>
          <w:tab w:val="num" w:pos="360"/>
        </w:tabs>
        <w:spacing w:before="240" w:after="240"/>
        <w:ind w:left="0" w:firstLine="0"/>
        <w:jc w:val="both"/>
        <w:rPr>
          <w:rFonts w:ascii="Bookman Old Style" w:hAnsi="Bookman Old Style" w:cs="Arial"/>
          <w:lang w:val="es-CO"/>
        </w:rPr>
      </w:pPr>
      <w:bookmarkStart w:id="3" w:name="_Ref176856420"/>
      <w:r w:rsidRPr="00230E72">
        <w:rPr>
          <w:rFonts w:ascii="Bookman Old Style" w:hAnsi="Bookman Old Style" w:cs="Arial"/>
          <w:b/>
          <w:bCs/>
          <w:lang w:val="es-CO"/>
        </w:rPr>
        <w:t>Ventana de aplicación.</w:t>
      </w:r>
      <w:r w:rsidRPr="00230E72">
        <w:rPr>
          <w:rFonts w:ascii="Bookman Old Style" w:hAnsi="Bookman Old Style" w:cs="Arial"/>
          <w:iCs/>
          <w:lang w:val="es-CO"/>
        </w:rPr>
        <w:t xml:space="preserve"> La ventana de aplicación de las disposiciones establecidas en esta resolución será de tres (3) meses contados a partir de la fecha de </w:t>
      </w:r>
      <w:proofErr w:type="gramStart"/>
      <w:r w:rsidRPr="00230E72">
        <w:rPr>
          <w:rFonts w:ascii="Bookman Old Style" w:hAnsi="Bookman Old Style" w:cs="Arial"/>
          <w:iCs/>
          <w:lang w:val="es-CO"/>
        </w:rPr>
        <w:t>entrada en vigencia</w:t>
      </w:r>
      <w:proofErr w:type="gramEnd"/>
      <w:r w:rsidRPr="00230E72">
        <w:rPr>
          <w:rFonts w:ascii="Bookman Old Style" w:hAnsi="Bookman Old Style" w:cs="Arial"/>
          <w:iCs/>
          <w:lang w:val="es-CO"/>
        </w:rPr>
        <w:t xml:space="preserve"> de </w:t>
      </w:r>
      <w:r w:rsidR="004836F0">
        <w:rPr>
          <w:rFonts w:ascii="Bookman Old Style" w:hAnsi="Bookman Old Style" w:cs="Arial"/>
          <w:iCs/>
          <w:lang w:val="es-CO"/>
        </w:rPr>
        <w:t>la presente</w:t>
      </w:r>
      <w:r w:rsidRPr="00230E72">
        <w:rPr>
          <w:rFonts w:ascii="Bookman Old Style" w:hAnsi="Bookman Old Style" w:cs="Arial"/>
          <w:iCs/>
          <w:lang w:val="es-CO"/>
        </w:rPr>
        <w:t xml:space="preserve"> resolución. Esta ventana podrá ser acortada o prorrogada, mediante </w:t>
      </w:r>
      <w:r w:rsidR="00042EBD">
        <w:rPr>
          <w:rFonts w:ascii="Bookman Old Style" w:hAnsi="Bookman Old Style" w:cs="Arial"/>
          <w:iCs/>
          <w:lang w:val="es-CO"/>
        </w:rPr>
        <w:t xml:space="preserve">la expedición de la </w:t>
      </w:r>
      <w:r w:rsidRPr="00230E72">
        <w:rPr>
          <w:rFonts w:ascii="Bookman Old Style" w:hAnsi="Bookman Old Style" w:cs="Arial"/>
          <w:iCs/>
          <w:lang w:val="es-CO"/>
        </w:rPr>
        <w:t>resolución</w:t>
      </w:r>
      <w:r w:rsidR="00042EBD">
        <w:rPr>
          <w:rFonts w:ascii="Bookman Old Style" w:hAnsi="Bookman Old Style" w:cs="Arial"/>
          <w:iCs/>
          <w:lang w:val="es-CO"/>
        </w:rPr>
        <w:t xml:space="preserve"> correspondiente</w:t>
      </w:r>
      <w:r w:rsidRPr="00230E72">
        <w:rPr>
          <w:rFonts w:ascii="Bookman Old Style" w:hAnsi="Bookman Old Style" w:cs="Arial"/>
          <w:iCs/>
          <w:lang w:val="es-CO"/>
        </w:rPr>
        <w:t>, en cumplimiento de lo establecido en el artículo 2.2.3.2.1.4 del Decreto 1073 de 2015</w:t>
      </w:r>
      <w:r w:rsidR="00042EBD">
        <w:rPr>
          <w:rFonts w:ascii="Bookman Old Style" w:hAnsi="Bookman Old Style" w:cs="Arial"/>
          <w:iCs/>
          <w:lang w:val="es-CO"/>
        </w:rPr>
        <w:t>, y se entenderá finalizada</w:t>
      </w:r>
      <w:r w:rsidR="00180B83">
        <w:rPr>
          <w:rFonts w:ascii="Bookman Old Style" w:hAnsi="Bookman Old Style" w:cs="Arial"/>
          <w:iCs/>
          <w:lang w:val="es-CO"/>
        </w:rPr>
        <w:t>,</w:t>
      </w:r>
      <w:r w:rsidR="00042EBD">
        <w:rPr>
          <w:rFonts w:ascii="Bookman Old Style" w:hAnsi="Bookman Old Style" w:cs="Arial"/>
          <w:iCs/>
          <w:lang w:val="es-CO"/>
        </w:rPr>
        <w:t xml:space="preserve"> por el vencimiento del plazo inicial</w:t>
      </w:r>
      <w:r w:rsidR="00180B83">
        <w:rPr>
          <w:rFonts w:ascii="Bookman Old Style" w:hAnsi="Bookman Old Style" w:cs="Arial"/>
          <w:iCs/>
          <w:lang w:val="es-CO"/>
        </w:rPr>
        <w:t xml:space="preserve">, </w:t>
      </w:r>
      <w:r w:rsidR="00042EBD">
        <w:rPr>
          <w:rFonts w:ascii="Bookman Old Style" w:hAnsi="Bookman Old Style" w:cs="Arial"/>
          <w:iCs/>
          <w:lang w:val="es-CO"/>
        </w:rPr>
        <w:t>de sus pr</w:t>
      </w:r>
      <w:r w:rsidR="00180B83">
        <w:rPr>
          <w:rFonts w:ascii="Bookman Old Style" w:hAnsi="Bookman Old Style" w:cs="Arial"/>
          <w:iCs/>
          <w:lang w:val="es-CO"/>
        </w:rPr>
        <w:t>ó</w:t>
      </w:r>
      <w:r w:rsidR="00042EBD">
        <w:rPr>
          <w:rFonts w:ascii="Bookman Old Style" w:hAnsi="Bookman Old Style" w:cs="Arial"/>
          <w:iCs/>
          <w:lang w:val="es-CO"/>
        </w:rPr>
        <w:t>rrogas</w:t>
      </w:r>
      <w:r w:rsidR="00180B83">
        <w:rPr>
          <w:rFonts w:ascii="Bookman Old Style" w:hAnsi="Bookman Old Style" w:cs="Arial"/>
          <w:iCs/>
          <w:lang w:val="es-CO"/>
        </w:rPr>
        <w:t xml:space="preserve"> o</w:t>
      </w:r>
      <w:r w:rsidR="00042EBD">
        <w:rPr>
          <w:rFonts w:ascii="Bookman Old Style" w:hAnsi="Bookman Old Style" w:cs="Arial"/>
          <w:iCs/>
          <w:lang w:val="es-CO"/>
        </w:rPr>
        <w:t xml:space="preserve"> </w:t>
      </w:r>
      <w:r w:rsidR="00180B83">
        <w:rPr>
          <w:rFonts w:ascii="Bookman Old Style" w:hAnsi="Bookman Old Style" w:cs="Arial"/>
          <w:iCs/>
          <w:lang w:val="es-CO"/>
        </w:rPr>
        <w:t xml:space="preserve">de </w:t>
      </w:r>
      <w:r w:rsidR="00622DBF">
        <w:rPr>
          <w:rFonts w:ascii="Bookman Old Style" w:hAnsi="Bookman Old Style" w:cs="Arial"/>
          <w:iCs/>
          <w:lang w:val="es-CO"/>
        </w:rPr>
        <w:t>su</w:t>
      </w:r>
      <w:r w:rsidR="008F7C62">
        <w:rPr>
          <w:rFonts w:ascii="Bookman Old Style" w:hAnsi="Bookman Old Style" w:cs="Arial"/>
          <w:iCs/>
          <w:lang w:val="es-CO"/>
        </w:rPr>
        <w:t>s disminuciones</w:t>
      </w:r>
      <w:r w:rsidR="00180B83">
        <w:rPr>
          <w:rFonts w:ascii="Bookman Old Style" w:hAnsi="Bookman Old Style" w:cs="Arial"/>
          <w:iCs/>
          <w:lang w:val="es-CO"/>
        </w:rPr>
        <w:t xml:space="preserve"> si la hubiere.</w:t>
      </w:r>
      <w:bookmarkEnd w:id="3"/>
    </w:p>
    <w:p w14:paraId="59E4E0D2" w14:textId="05C00FAD" w:rsidR="00230E72" w:rsidRPr="00230E72" w:rsidRDefault="00230E72" w:rsidP="00230E72">
      <w:pPr>
        <w:numPr>
          <w:ilvl w:val="0"/>
          <w:numId w:val="23"/>
        </w:numPr>
        <w:tabs>
          <w:tab w:val="num" w:pos="360"/>
        </w:tabs>
        <w:spacing w:before="240" w:after="240"/>
        <w:ind w:left="0" w:firstLine="0"/>
        <w:jc w:val="both"/>
        <w:rPr>
          <w:rFonts w:ascii="Bookman Old Style" w:hAnsi="Bookman Old Style" w:cs="Arial"/>
          <w:lang w:val="es-CO"/>
        </w:rPr>
      </w:pPr>
      <w:r w:rsidRPr="00230E72">
        <w:rPr>
          <w:rFonts w:ascii="Bookman Old Style" w:hAnsi="Bookman Old Style" w:cs="Arial"/>
          <w:iCs/>
          <w:lang w:val="es-CO"/>
        </w:rPr>
        <w:t xml:space="preserve"> </w:t>
      </w:r>
      <w:r w:rsidRPr="00230E72">
        <w:rPr>
          <w:rFonts w:ascii="Bookman Old Style" w:hAnsi="Bookman Old Style" w:cs="Arial"/>
          <w:b/>
          <w:bCs/>
          <w:lang w:val="es-CO"/>
        </w:rPr>
        <w:t xml:space="preserve">Participación de agentes con energía excedentaria. </w:t>
      </w:r>
      <w:r w:rsidRPr="00230E72">
        <w:rPr>
          <w:rFonts w:ascii="Bookman Old Style" w:hAnsi="Bookman Old Style" w:cs="Arial"/>
          <w:iCs/>
          <w:lang w:val="es-CO"/>
        </w:rPr>
        <w:t xml:space="preserve">Con el único propósito de aumentar la disponibilidad de energía eléctrica en el SIN, los agentes cubiertos por el ámbito de aplicación de que trata el artículo </w:t>
      </w:r>
      <w:r w:rsidRPr="00230E72">
        <w:rPr>
          <w:rFonts w:ascii="Bookman Old Style" w:hAnsi="Bookman Old Style" w:cs="Arial"/>
          <w:iCs/>
          <w:lang w:val="es-CO"/>
        </w:rPr>
        <w:fldChar w:fldCharType="begin"/>
      </w:r>
      <w:r w:rsidRPr="00230E72">
        <w:rPr>
          <w:rFonts w:ascii="Bookman Old Style" w:hAnsi="Bookman Old Style" w:cs="Arial"/>
          <w:iCs/>
          <w:lang w:val="es-CO"/>
        </w:rPr>
        <w:instrText xml:space="preserve"> REF _Ref176857650 \r \h \t </w:instrText>
      </w:r>
      <w:r w:rsidRPr="00230E72">
        <w:rPr>
          <w:rFonts w:ascii="Bookman Old Style" w:hAnsi="Bookman Old Style" w:cs="Arial"/>
          <w:iCs/>
          <w:lang w:val="es-CO"/>
        </w:rPr>
      </w:r>
      <w:r w:rsidRPr="00230E72">
        <w:rPr>
          <w:rFonts w:ascii="Bookman Old Style" w:hAnsi="Bookman Old Style" w:cs="Arial"/>
          <w:iCs/>
          <w:lang w:val="es-CO"/>
        </w:rPr>
        <w:fldChar w:fldCharType="separate"/>
      </w:r>
      <w:r w:rsidR="00821DA0">
        <w:rPr>
          <w:rFonts w:ascii="Bookman Old Style" w:hAnsi="Bookman Old Style" w:cs="Arial"/>
          <w:iCs/>
          <w:lang w:val="es-CO"/>
        </w:rPr>
        <w:t>1</w:t>
      </w:r>
      <w:r w:rsidRPr="00230E72">
        <w:rPr>
          <w:rFonts w:ascii="Bookman Old Style" w:hAnsi="Bookman Old Style" w:cs="Arial"/>
          <w:iCs/>
          <w:lang w:val="es-CO"/>
        </w:rPr>
        <w:fldChar w:fldCharType="end"/>
      </w:r>
      <w:r w:rsidRPr="00230E72">
        <w:rPr>
          <w:rFonts w:ascii="Bookman Old Style" w:hAnsi="Bookman Old Style" w:cs="Arial"/>
          <w:iCs/>
          <w:lang w:val="es-CO"/>
        </w:rPr>
        <w:t xml:space="preserve"> de la presente resolución podrán declarar su disponibilidad excedentaria, entendida como aquella capacidad efectiva neta o potencia máxima declarada, según corresponda, nueva o adicional a la registrada en el Mercado de Energía Mayorista, MEM, para entregar energía según la reglamentación vigente para las plantas no despachadas centralmente.</w:t>
      </w:r>
    </w:p>
    <w:p w14:paraId="3C91ABAF" w14:textId="31AC60C0" w:rsidR="00230E72" w:rsidRPr="00230E72" w:rsidRDefault="00230E72" w:rsidP="00230E72">
      <w:pPr>
        <w:tabs>
          <w:tab w:val="left" w:pos="1701"/>
          <w:tab w:val="num" w:pos="2150"/>
        </w:tabs>
        <w:spacing w:before="240" w:after="240"/>
        <w:ind w:left="0"/>
        <w:jc w:val="both"/>
        <w:rPr>
          <w:rFonts w:ascii="Bookman Old Style" w:hAnsi="Bookman Old Style" w:cs="Arial"/>
          <w:lang w:val="es-CO"/>
        </w:rPr>
      </w:pPr>
      <w:r w:rsidRPr="00230E72">
        <w:rPr>
          <w:rFonts w:ascii="Bookman Old Style" w:hAnsi="Bookman Old Style" w:cs="Arial"/>
          <w:b/>
          <w:bCs/>
          <w:lang w:val="es-CO"/>
        </w:rPr>
        <w:t>Parágrafo 1.</w:t>
      </w:r>
      <w:r w:rsidRPr="00230E72">
        <w:rPr>
          <w:rFonts w:ascii="Bookman Old Style" w:hAnsi="Bookman Old Style" w:cs="Arial"/>
          <w:lang w:val="es-CO"/>
        </w:rPr>
        <w:t xml:space="preserve"> Durante la ventana de aplicación de que trata el artículo </w:t>
      </w:r>
      <w:r w:rsidRPr="00230E72">
        <w:rPr>
          <w:rFonts w:ascii="Bookman Old Style" w:hAnsi="Bookman Old Style" w:cs="Arial"/>
          <w:iCs/>
          <w:lang w:val="es-CO"/>
        </w:rPr>
        <w:fldChar w:fldCharType="begin"/>
      </w:r>
      <w:r w:rsidRPr="00230E72">
        <w:rPr>
          <w:rFonts w:ascii="Bookman Old Style" w:hAnsi="Bookman Old Style" w:cs="Arial"/>
          <w:iCs/>
          <w:lang w:val="es-CO"/>
        </w:rPr>
        <w:instrText xml:space="preserve"> REF _Ref176856420 \r \h \t  \* MERGEFORMAT </w:instrText>
      </w:r>
      <w:r w:rsidRPr="00230E72">
        <w:rPr>
          <w:rFonts w:ascii="Bookman Old Style" w:hAnsi="Bookman Old Style" w:cs="Arial"/>
          <w:iCs/>
          <w:lang w:val="es-CO"/>
        </w:rPr>
      </w:r>
      <w:r w:rsidRPr="00230E72">
        <w:rPr>
          <w:rFonts w:ascii="Bookman Old Style" w:hAnsi="Bookman Old Style" w:cs="Arial"/>
          <w:iCs/>
          <w:lang w:val="es-CO"/>
        </w:rPr>
        <w:fldChar w:fldCharType="separate"/>
      </w:r>
      <w:r w:rsidR="00821DA0">
        <w:rPr>
          <w:rFonts w:ascii="Bookman Old Style" w:hAnsi="Bookman Old Style" w:cs="Arial"/>
          <w:iCs/>
          <w:lang w:val="es-CO"/>
        </w:rPr>
        <w:t>3</w:t>
      </w:r>
      <w:r w:rsidRPr="00230E72">
        <w:rPr>
          <w:rFonts w:ascii="Bookman Old Style" w:hAnsi="Bookman Old Style" w:cs="Arial"/>
          <w:iCs/>
          <w:lang w:val="es-CO"/>
        </w:rPr>
        <w:fldChar w:fldCharType="end"/>
      </w:r>
      <w:r w:rsidRPr="00230E72">
        <w:rPr>
          <w:rFonts w:ascii="Bookman Old Style" w:hAnsi="Bookman Old Style" w:cs="Arial"/>
          <w:lang w:val="es-CO"/>
        </w:rPr>
        <w:t xml:space="preserve"> de la presente resolución, a los agentes que participen en la entrega de energía excedentaria de que trata el presente artículo no les aplicarán las disposiciones del parágrafo del artículo 3 de la Resolución CREG 086 de 1996 ni del artículo 14 de la Resolución CREG 024 de 2015.</w:t>
      </w:r>
    </w:p>
    <w:p w14:paraId="3B7438C8" w14:textId="77777777" w:rsidR="00230E72" w:rsidRPr="00230E72" w:rsidRDefault="00230E72" w:rsidP="00230E72">
      <w:pPr>
        <w:spacing w:before="240" w:after="240"/>
        <w:ind w:left="0"/>
        <w:jc w:val="both"/>
        <w:rPr>
          <w:rFonts w:ascii="Bookman Old Style" w:hAnsi="Bookman Old Style" w:cs="Arial"/>
          <w:iCs/>
          <w:lang w:val="es-CO"/>
        </w:rPr>
      </w:pPr>
      <w:r w:rsidRPr="00230E72">
        <w:rPr>
          <w:rFonts w:ascii="Bookman Old Style" w:hAnsi="Bookman Old Style" w:cs="Arial"/>
          <w:b/>
          <w:bCs/>
          <w:lang w:val="es-CO"/>
        </w:rPr>
        <w:lastRenderedPageBreak/>
        <w:t xml:space="preserve">Parágrafo 2. </w:t>
      </w:r>
      <w:r w:rsidRPr="00230E72">
        <w:rPr>
          <w:rFonts w:ascii="Bookman Old Style" w:hAnsi="Bookman Old Style" w:cs="Arial"/>
          <w:lang w:val="es-CO"/>
        </w:rPr>
        <w:t>Los agentes que participen en la entrega de energía excedentaria de que trata el presente artículo deberán informar directamente al Centro Nacional de Despacho, CND, mediante comunicación formal al correo info@xm.com.co, la potencia máxima declarada o capacidad efectiva neta, para no ser aplicados los plazos que, para tal fin, se encuentran establecidos en el Acuerdo CNO 1585 de 2022 o aquel que lo modifique, adicione o sustituya</w:t>
      </w:r>
      <w:r w:rsidRPr="00230E72">
        <w:rPr>
          <w:rFonts w:ascii="Bookman Old Style" w:hAnsi="Bookman Old Style" w:cs="Arial"/>
          <w:iCs/>
          <w:lang w:val="es-CO"/>
        </w:rPr>
        <w:t>.</w:t>
      </w:r>
    </w:p>
    <w:p w14:paraId="74B3332F" w14:textId="09477EB7" w:rsidR="00230E72" w:rsidRPr="00230E72" w:rsidRDefault="00230E72" w:rsidP="00230E72">
      <w:pPr>
        <w:numPr>
          <w:ilvl w:val="0"/>
          <w:numId w:val="23"/>
        </w:numPr>
        <w:tabs>
          <w:tab w:val="num" w:pos="360"/>
        </w:tabs>
        <w:spacing w:before="240" w:after="240"/>
        <w:ind w:left="0" w:firstLine="0"/>
        <w:jc w:val="both"/>
        <w:rPr>
          <w:rFonts w:ascii="Bookman Old Style" w:hAnsi="Bookman Old Style" w:cs="Arial"/>
          <w:lang w:val="es-CO"/>
        </w:rPr>
      </w:pPr>
      <w:r w:rsidRPr="00230E72">
        <w:rPr>
          <w:rFonts w:ascii="Bookman Old Style" w:hAnsi="Bookman Old Style" w:cs="Arial"/>
          <w:b/>
          <w:bCs/>
          <w:lang w:val="es-CO"/>
        </w:rPr>
        <w:t>Modificación de la capacidad de Transporte.</w:t>
      </w:r>
      <w:r w:rsidRPr="00230E72">
        <w:rPr>
          <w:rFonts w:ascii="Bookman Old Style" w:hAnsi="Bookman Old Style" w:cs="Arial"/>
          <w:lang w:val="es-CO"/>
        </w:rPr>
        <w:t xml:space="preserve"> Los agentes cubiertos por el ámbito de aplicación de que trata el artículo </w:t>
      </w:r>
      <w:r w:rsidRPr="00230E72">
        <w:rPr>
          <w:rFonts w:ascii="Bookman Old Style" w:hAnsi="Bookman Old Style" w:cs="Arial"/>
          <w:iCs/>
          <w:lang w:val="es-CO"/>
        </w:rPr>
        <w:fldChar w:fldCharType="begin"/>
      </w:r>
      <w:r w:rsidRPr="00230E72">
        <w:rPr>
          <w:rFonts w:ascii="Bookman Old Style" w:hAnsi="Bookman Old Style" w:cs="Arial"/>
          <w:iCs/>
          <w:lang w:val="es-CO"/>
        </w:rPr>
        <w:instrText xml:space="preserve"> REF _Ref176857650 \r \h \t </w:instrText>
      </w:r>
      <w:r w:rsidRPr="00230E72">
        <w:rPr>
          <w:rFonts w:ascii="Bookman Old Style" w:hAnsi="Bookman Old Style" w:cs="Arial"/>
          <w:iCs/>
          <w:lang w:val="es-CO"/>
        </w:rPr>
      </w:r>
      <w:r w:rsidRPr="00230E72">
        <w:rPr>
          <w:rFonts w:ascii="Bookman Old Style" w:hAnsi="Bookman Old Style" w:cs="Arial"/>
          <w:iCs/>
          <w:lang w:val="es-CO"/>
        </w:rPr>
        <w:fldChar w:fldCharType="separate"/>
      </w:r>
      <w:r w:rsidR="00821DA0">
        <w:rPr>
          <w:rFonts w:ascii="Bookman Old Style" w:hAnsi="Bookman Old Style" w:cs="Arial"/>
          <w:iCs/>
          <w:lang w:val="es-CO"/>
        </w:rPr>
        <w:t>1</w:t>
      </w:r>
      <w:r w:rsidRPr="00230E72">
        <w:rPr>
          <w:rFonts w:ascii="Bookman Old Style" w:hAnsi="Bookman Old Style" w:cs="Arial"/>
          <w:iCs/>
          <w:lang w:val="es-CO"/>
        </w:rPr>
        <w:fldChar w:fldCharType="end"/>
      </w:r>
      <w:r w:rsidRPr="00230E72">
        <w:rPr>
          <w:rFonts w:ascii="Bookman Old Style" w:hAnsi="Bookman Old Style" w:cs="Arial"/>
          <w:iCs/>
          <w:lang w:val="es-CO"/>
        </w:rPr>
        <w:t xml:space="preserve"> de la</w:t>
      </w:r>
      <w:r w:rsidRPr="00230E72">
        <w:rPr>
          <w:rFonts w:ascii="Bookman Old Style" w:hAnsi="Bookman Old Style" w:cs="Arial"/>
          <w:lang w:val="es-CO"/>
        </w:rPr>
        <w:t xml:space="preserve"> presente resolución, que estén interesados en, temporalmente, entregar excedentes adicionales de generación, deberán solicitar la ampliación de la capacidad de transporte que tengan asignada. Esta solicitud deberá hacerse a la UPME, con excepción de los autogeneradores con potencia máxima a declarar menor a 5 MW, quienes deberán hacer la solicitud al Operador de Red, OR.</w:t>
      </w:r>
    </w:p>
    <w:p w14:paraId="19BF8CCF" w14:textId="7E507326" w:rsidR="00230E72" w:rsidRPr="00230E72" w:rsidRDefault="00230E72" w:rsidP="00230E72">
      <w:pPr>
        <w:spacing w:before="240" w:after="240"/>
        <w:ind w:left="0"/>
        <w:jc w:val="both"/>
        <w:rPr>
          <w:rFonts w:ascii="Bookman Old Style" w:hAnsi="Bookman Old Style" w:cs="Arial"/>
          <w:lang w:val="es-CO"/>
        </w:rPr>
      </w:pPr>
      <w:r w:rsidRPr="00230E72">
        <w:rPr>
          <w:rFonts w:ascii="Bookman Old Style" w:hAnsi="Bookman Old Style" w:cs="Arial"/>
          <w:lang w:val="es-CO"/>
        </w:rPr>
        <w:t xml:space="preserve">Tanto la UPME como el OR, según corresponda, resolverán las solicitudes modificando temporalmente la capacidad de transporte asignada o la potencia máxima declarada. Dichas modificaciones estarán vigentes durante la ventana de aplicación establecida en el artículo </w:t>
      </w:r>
      <w:r w:rsidRPr="00230E72">
        <w:rPr>
          <w:rFonts w:ascii="Bookman Old Style" w:hAnsi="Bookman Old Style" w:cs="Arial"/>
          <w:iCs/>
          <w:lang w:val="es-CO"/>
        </w:rPr>
        <w:fldChar w:fldCharType="begin"/>
      </w:r>
      <w:r w:rsidRPr="00230E72">
        <w:rPr>
          <w:rFonts w:ascii="Bookman Old Style" w:hAnsi="Bookman Old Style" w:cs="Arial"/>
          <w:iCs/>
          <w:lang w:val="es-CO"/>
        </w:rPr>
        <w:instrText xml:space="preserve"> REF _Ref176856420 \r \h \t  \* MERGEFORMAT </w:instrText>
      </w:r>
      <w:r w:rsidRPr="00230E72">
        <w:rPr>
          <w:rFonts w:ascii="Bookman Old Style" w:hAnsi="Bookman Old Style" w:cs="Arial"/>
          <w:iCs/>
          <w:lang w:val="es-CO"/>
        </w:rPr>
      </w:r>
      <w:r w:rsidRPr="00230E72">
        <w:rPr>
          <w:rFonts w:ascii="Bookman Old Style" w:hAnsi="Bookman Old Style" w:cs="Arial"/>
          <w:iCs/>
          <w:lang w:val="es-CO"/>
        </w:rPr>
        <w:fldChar w:fldCharType="separate"/>
      </w:r>
      <w:r w:rsidR="00821DA0">
        <w:rPr>
          <w:rFonts w:ascii="Bookman Old Style" w:hAnsi="Bookman Old Style" w:cs="Arial"/>
          <w:iCs/>
          <w:lang w:val="es-CO"/>
        </w:rPr>
        <w:t>3</w:t>
      </w:r>
      <w:r w:rsidRPr="00230E72">
        <w:rPr>
          <w:rFonts w:ascii="Bookman Old Style" w:hAnsi="Bookman Old Style" w:cs="Arial"/>
          <w:iCs/>
          <w:lang w:val="es-CO"/>
        </w:rPr>
        <w:fldChar w:fldCharType="end"/>
      </w:r>
      <w:r w:rsidRPr="00230E72">
        <w:rPr>
          <w:rFonts w:ascii="Bookman Old Style" w:hAnsi="Bookman Old Style" w:cs="Arial"/>
          <w:lang w:val="es-CO"/>
        </w:rPr>
        <w:t xml:space="preserve"> de la presente resolución y para resolver las solicitudes deberá considerarse las disposiciones establecidas en la presente resolución. </w:t>
      </w:r>
    </w:p>
    <w:p w14:paraId="6489A90E" w14:textId="77777777" w:rsidR="00230E72" w:rsidRPr="00230E72" w:rsidRDefault="00230E72" w:rsidP="00230E72">
      <w:pPr>
        <w:spacing w:before="240" w:after="240"/>
        <w:ind w:left="0"/>
        <w:jc w:val="both"/>
        <w:rPr>
          <w:rFonts w:ascii="Bookman Old Style" w:hAnsi="Bookman Old Style" w:cs="Arial"/>
          <w:lang w:val="es-CO"/>
        </w:rPr>
      </w:pPr>
      <w:r w:rsidRPr="00230E72">
        <w:rPr>
          <w:rFonts w:ascii="Bookman Old Style" w:hAnsi="Bookman Old Style" w:cs="Arial"/>
          <w:lang w:val="es-CO"/>
        </w:rPr>
        <w:t>Además, los interesados en la entrega de excedentes de energía deberán solicitar al transportador responsable de los activos donde está conectada la planta un concepto favorable sobre la coordinación de protecciones eléctricas. El transportador deberá dar respuesta a la solicitud del mencionado concepto, con copia al CND, en un plazo máximo de cinco (5) días hábiles.</w:t>
      </w:r>
    </w:p>
    <w:p w14:paraId="10275F59" w14:textId="5A4BFF9E" w:rsidR="00230E72" w:rsidRPr="00230E72" w:rsidRDefault="00230E72" w:rsidP="00230E72">
      <w:pPr>
        <w:numPr>
          <w:ilvl w:val="0"/>
          <w:numId w:val="23"/>
        </w:numPr>
        <w:tabs>
          <w:tab w:val="num" w:pos="360"/>
        </w:tabs>
        <w:spacing w:before="240" w:after="240"/>
        <w:ind w:left="0" w:firstLine="0"/>
        <w:jc w:val="both"/>
        <w:rPr>
          <w:rFonts w:ascii="Bookman Old Style" w:hAnsi="Bookman Old Style" w:cs="Arial"/>
          <w:b/>
          <w:bCs/>
          <w:lang w:val="es-CO"/>
        </w:rPr>
      </w:pPr>
      <w:r w:rsidRPr="00230E72">
        <w:rPr>
          <w:rFonts w:ascii="Bookman Old Style" w:hAnsi="Bookman Old Style" w:cs="Arial"/>
          <w:b/>
          <w:bCs/>
          <w:lang w:val="es-CO"/>
        </w:rPr>
        <w:t xml:space="preserve">Reglas para la ampliación de capacidad. </w:t>
      </w:r>
      <w:r w:rsidRPr="00230E72">
        <w:rPr>
          <w:rFonts w:ascii="Bookman Old Style" w:hAnsi="Bookman Old Style" w:cs="Arial"/>
          <w:lang w:val="es-CO"/>
        </w:rPr>
        <w:t xml:space="preserve">La ampliación </w:t>
      </w:r>
      <w:r w:rsidR="00940BB3">
        <w:rPr>
          <w:rFonts w:ascii="Bookman Old Style" w:hAnsi="Bookman Old Style" w:cs="Arial"/>
          <w:lang w:val="es-CO"/>
        </w:rPr>
        <w:t xml:space="preserve">temporal </w:t>
      </w:r>
      <w:r w:rsidRPr="00230E72">
        <w:rPr>
          <w:rFonts w:ascii="Bookman Old Style" w:hAnsi="Bookman Old Style" w:cs="Arial"/>
          <w:lang w:val="es-CO"/>
        </w:rPr>
        <w:t xml:space="preserve">de </w:t>
      </w:r>
      <w:r w:rsidR="00940BB3">
        <w:rPr>
          <w:rFonts w:ascii="Bookman Old Style" w:hAnsi="Bookman Old Style" w:cs="Arial"/>
          <w:lang w:val="es-CO"/>
        </w:rPr>
        <w:t>la</w:t>
      </w:r>
      <w:r w:rsidRPr="00230E72">
        <w:rPr>
          <w:rFonts w:ascii="Bookman Old Style" w:hAnsi="Bookman Old Style" w:cs="Arial"/>
          <w:lang w:val="es-CO"/>
        </w:rPr>
        <w:t xml:space="preserve"> capacidad</w:t>
      </w:r>
      <w:r w:rsidR="00940BB3">
        <w:rPr>
          <w:rFonts w:ascii="Bookman Old Style" w:hAnsi="Bookman Old Style" w:cs="Arial"/>
          <w:lang w:val="es-CO"/>
        </w:rPr>
        <w:t xml:space="preserve"> de </w:t>
      </w:r>
      <w:r w:rsidR="00982F95">
        <w:rPr>
          <w:rFonts w:ascii="Bookman Old Style" w:hAnsi="Bookman Old Style" w:cs="Arial"/>
          <w:lang w:val="es-CO"/>
        </w:rPr>
        <w:t>transporte</w:t>
      </w:r>
      <w:r w:rsidRPr="00230E72">
        <w:rPr>
          <w:rFonts w:ascii="Bookman Old Style" w:hAnsi="Bookman Old Style" w:cs="Arial"/>
          <w:lang w:val="es-CO"/>
        </w:rPr>
        <w:t xml:space="preserve"> para la entrega de excedentes de energía, de que trata esta resolución, se realizará con base en las siguientes reglas:</w:t>
      </w:r>
    </w:p>
    <w:p w14:paraId="0BCB6B1D" w14:textId="6519753C" w:rsidR="00505BE2" w:rsidRPr="007605E4" w:rsidRDefault="00407FFC" w:rsidP="00640909">
      <w:pPr>
        <w:pStyle w:val="Prrafodelista"/>
        <w:numPr>
          <w:ilvl w:val="0"/>
          <w:numId w:val="24"/>
        </w:numPr>
        <w:tabs>
          <w:tab w:val="left" w:pos="1701"/>
          <w:tab w:val="num" w:pos="2150"/>
        </w:tabs>
        <w:spacing w:before="240" w:after="240"/>
        <w:ind w:left="502"/>
        <w:jc w:val="both"/>
        <w:rPr>
          <w:rFonts w:ascii="Bookman Old Style" w:hAnsi="Bookman Old Style"/>
          <w:sz w:val="24"/>
          <w:szCs w:val="24"/>
        </w:rPr>
      </w:pPr>
      <w:r w:rsidRPr="00C30F3B">
        <w:rPr>
          <w:rFonts w:ascii="Bookman Old Style" w:hAnsi="Bookman Old Style" w:cs="Arial"/>
          <w:b/>
          <w:bCs/>
          <w:sz w:val="24"/>
          <w:szCs w:val="24"/>
        </w:rPr>
        <w:t xml:space="preserve">Trámite de </w:t>
      </w:r>
      <w:r w:rsidR="00230E72" w:rsidRPr="00C30F3B">
        <w:rPr>
          <w:rFonts w:ascii="Bookman Old Style" w:hAnsi="Bookman Old Style" w:cs="Arial"/>
          <w:b/>
          <w:bCs/>
          <w:sz w:val="24"/>
          <w:szCs w:val="24"/>
        </w:rPr>
        <w:t>Solicitudes a</w:t>
      </w:r>
      <w:r w:rsidRPr="00C30F3B">
        <w:rPr>
          <w:rFonts w:ascii="Bookman Old Style" w:hAnsi="Bookman Old Style" w:cs="Arial"/>
          <w:b/>
          <w:bCs/>
          <w:sz w:val="24"/>
          <w:szCs w:val="24"/>
        </w:rPr>
        <w:t>nte</w:t>
      </w:r>
      <w:r w:rsidR="00230E72" w:rsidRPr="00C30F3B">
        <w:rPr>
          <w:rFonts w:ascii="Bookman Old Style" w:hAnsi="Bookman Old Style" w:cs="Arial"/>
          <w:b/>
          <w:bCs/>
          <w:sz w:val="24"/>
          <w:szCs w:val="24"/>
        </w:rPr>
        <w:t xml:space="preserve"> la UPME</w:t>
      </w:r>
      <w:r w:rsidR="008A0603" w:rsidRPr="008F2114">
        <w:rPr>
          <w:rFonts w:ascii="Bookman Old Style" w:hAnsi="Bookman Old Style" w:cs="Arial"/>
        </w:rPr>
        <w:t>.</w:t>
      </w:r>
      <w:r w:rsidR="00497F44" w:rsidRPr="008F2114">
        <w:rPr>
          <w:rFonts w:ascii="Bookman Old Style" w:hAnsi="Bookman Old Style"/>
          <w:sz w:val="24"/>
          <w:szCs w:val="24"/>
        </w:rPr>
        <w:t xml:space="preserve"> Cinco (5) días hábiles contados a partir de la </w:t>
      </w:r>
      <w:proofErr w:type="gramStart"/>
      <w:r w:rsidR="00497F44" w:rsidRPr="008F2114">
        <w:rPr>
          <w:rFonts w:ascii="Bookman Old Style" w:hAnsi="Bookman Old Style"/>
          <w:sz w:val="24"/>
          <w:szCs w:val="24"/>
        </w:rPr>
        <w:t>entrada en vigencia</w:t>
      </w:r>
      <w:proofErr w:type="gramEnd"/>
      <w:r w:rsidR="00497F44" w:rsidRPr="008F2114">
        <w:rPr>
          <w:rFonts w:ascii="Bookman Old Style" w:hAnsi="Bookman Old Style"/>
          <w:sz w:val="24"/>
          <w:szCs w:val="24"/>
        </w:rPr>
        <w:t xml:space="preserve"> de la presente resolución, la UPME definirá y publicará mediante </w:t>
      </w:r>
      <w:r w:rsidRPr="008F2114">
        <w:rPr>
          <w:rFonts w:ascii="Bookman Old Style" w:hAnsi="Bookman Old Style"/>
          <w:sz w:val="24"/>
          <w:szCs w:val="24"/>
        </w:rPr>
        <w:t>el acto administrativo que estime pertinente</w:t>
      </w:r>
      <w:r w:rsidR="006603A3" w:rsidRPr="008F2114">
        <w:rPr>
          <w:rFonts w:ascii="Bookman Old Style" w:hAnsi="Bookman Old Style"/>
          <w:sz w:val="24"/>
          <w:szCs w:val="24"/>
        </w:rPr>
        <w:t xml:space="preserve">, </w:t>
      </w:r>
      <w:r w:rsidR="00E0518B" w:rsidRPr="008F2114">
        <w:rPr>
          <w:rFonts w:ascii="Bookman Old Style" w:hAnsi="Bookman Old Style"/>
          <w:sz w:val="24"/>
          <w:szCs w:val="24"/>
        </w:rPr>
        <w:t>el procedimiento</w:t>
      </w:r>
      <w:r w:rsidR="006603A3" w:rsidRPr="008F2114">
        <w:rPr>
          <w:rFonts w:ascii="Bookman Old Style" w:hAnsi="Bookman Old Style"/>
          <w:sz w:val="24"/>
          <w:szCs w:val="24"/>
        </w:rPr>
        <w:t xml:space="preserve">, </w:t>
      </w:r>
      <w:r w:rsidR="00CD3CD9" w:rsidRPr="008F2114">
        <w:rPr>
          <w:rFonts w:ascii="Bookman Old Style" w:hAnsi="Bookman Old Style"/>
          <w:sz w:val="24"/>
          <w:szCs w:val="24"/>
        </w:rPr>
        <w:t xml:space="preserve">los </w:t>
      </w:r>
      <w:r w:rsidR="006603A3" w:rsidRPr="008F2114">
        <w:rPr>
          <w:rFonts w:ascii="Bookman Old Style" w:hAnsi="Bookman Old Style"/>
          <w:sz w:val="24"/>
          <w:szCs w:val="24"/>
        </w:rPr>
        <w:t>requisitos y</w:t>
      </w:r>
      <w:r w:rsidR="00CD3CD9" w:rsidRPr="008F2114">
        <w:rPr>
          <w:rFonts w:ascii="Bookman Old Style" w:hAnsi="Bookman Old Style"/>
          <w:sz w:val="24"/>
          <w:szCs w:val="24"/>
        </w:rPr>
        <w:t xml:space="preserve"> los</w:t>
      </w:r>
      <w:r w:rsidR="006603A3" w:rsidRPr="008F2114">
        <w:rPr>
          <w:rFonts w:ascii="Bookman Old Style" w:hAnsi="Bookman Old Style"/>
          <w:sz w:val="24"/>
          <w:szCs w:val="24"/>
        </w:rPr>
        <w:t xml:space="preserve"> plazos </w:t>
      </w:r>
      <w:r w:rsidR="00497F44" w:rsidRPr="008F2114">
        <w:rPr>
          <w:rFonts w:ascii="Bookman Old Style" w:hAnsi="Bookman Old Style"/>
          <w:sz w:val="24"/>
          <w:szCs w:val="24"/>
        </w:rPr>
        <w:t xml:space="preserve">que </w:t>
      </w:r>
      <w:r w:rsidR="00F67D67" w:rsidRPr="008F2114">
        <w:rPr>
          <w:rFonts w:ascii="Bookman Old Style" w:hAnsi="Bookman Old Style"/>
          <w:sz w:val="24"/>
          <w:szCs w:val="24"/>
        </w:rPr>
        <w:t xml:space="preserve">los interesados </w:t>
      </w:r>
      <w:r w:rsidR="00570E23" w:rsidRPr="008F2114">
        <w:rPr>
          <w:rFonts w:ascii="Bookman Old Style" w:hAnsi="Bookman Old Style"/>
          <w:sz w:val="24"/>
          <w:szCs w:val="24"/>
        </w:rPr>
        <w:t xml:space="preserve">deberán </w:t>
      </w:r>
      <w:r w:rsidR="00F75BE5" w:rsidRPr="008F2114">
        <w:rPr>
          <w:rFonts w:ascii="Bookman Old Style" w:hAnsi="Bookman Old Style"/>
          <w:sz w:val="24"/>
          <w:szCs w:val="24"/>
        </w:rPr>
        <w:t xml:space="preserve">presentar </w:t>
      </w:r>
      <w:r w:rsidR="00570E23" w:rsidRPr="008F2114">
        <w:rPr>
          <w:rFonts w:ascii="Bookman Old Style" w:hAnsi="Bookman Old Style"/>
          <w:sz w:val="24"/>
          <w:szCs w:val="24"/>
        </w:rPr>
        <w:t xml:space="preserve">con la solicitud de ampliación temporal </w:t>
      </w:r>
      <w:r w:rsidR="00CD3CD9" w:rsidRPr="008F2114">
        <w:rPr>
          <w:rFonts w:ascii="Bookman Old Style" w:hAnsi="Bookman Old Style"/>
          <w:sz w:val="24"/>
          <w:szCs w:val="24"/>
        </w:rPr>
        <w:t>de capacidad de transporte</w:t>
      </w:r>
      <w:r w:rsidR="008F2114" w:rsidRPr="008F2114">
        <w:rPr>
          <w:rFonts w:ascii="Bookman Old Style" w:hAnsi="Bookman Old Style"/>
          <w:sz w:val="24"/>
          <w:szCs w:val="24"/>
        </w:rPr>
        <w:t xml:space="preserve">, con la finalidad de </w:t>
      </w:r>
      <w:r w:rsidR="00B11ECF">
        <w:rPr>
          <w:rFonts w:ascii="Bookman Old Style" w:hAnsi="Bookman Old Style"/>
          <w:sz w:val="24"/>
          <w:szCs w:val="24"/>
        </w:rPr>
        <w:t xml:space="preserve">llevar a cabo el </w:t>
      </w:r>
      <w:r w:rsidR="00497F44" w:rsidRPr="008F2114">
        <w:rPr>
          <w:rFonts w:ascii="Bookman Old Style" w:hAnsi="Bookman Old Style"/>
          <w:sz w:val="24"/>
          <w:szCs w:val="24"/>
        </w:rPr>
        <w:t xml:space="preserve">análisis de la viabilidad técnica </w:t>
      </w:r>
      <w:r w:rsidR="00B11ECF">
        <w:rPr>
          <w:rFonts w:ascii="Bookman Old Style" w:hAnsi="Bookman Old Style"/>
          <w:sz w:val="24"/>
          <w:szCs w:val="24"/>
        </w:rPr>
        <w:t>requerido</w:t>
      </w:r>
      <w:r w:rsidR="00A45A28">
        <w:rPr>
          <w:rFonts w:ascii="Bookman Old Style" w:hAnsi="Bookman Old Style"/>
          <w:sz w:val="24"/>
          <w:szCs w:val="24"/>
        </w:rPr>
        <w:t xml:space="preserve"> para</w:t>
      </w:r>
      <w:r w:rsidR="00497F44" w:rsidRPr="008F2114">
        <w:rPr>
          <w:rFonts w:ascii="Bookman Old Style" w:hAnsi="Bookman Old Style"/>
          <w:sz w:val="24"/>
          <w:szCs w:val="24"/>
        </w:rPr>
        <w:t xml:space="preserve"> la entrega adicional de excedentes de generación de cada una de las plantas.</w:t>
      </w:r>
      <w:r w:rsidR="00640909" w:rsidRPr="007605E4">
        <w:rPr>
          <w:rFonts w:ascii="Bookman Old Style" w:hAnsi="Bookman Old Style"/>
          <w:sz w:val="24"/>
          <w:szCs w:val="24"/>
        </w:rPr>
        <w:t xml:space="preserve"> </w:t>
      </w:r>
      <w:r w:rsidR="00640909">
        <w:rPr>
          <w:rFonts w:ascii="Bookman Old Style" w:hAnsi="Bookman Old Style"/>
          <w:sz w:val="24"/>
          <w:szCs w:val="24"/>
        </w:rPr>
        <w:t xml:space="preserve">En todo caso, </w:t>
      </w:r>
      <w:r w:rsidR="00DA359D">
        <w:rPr>
          <w:rFonts w:ascii="Bookman Old Style" w:hAnsi="Bookman Old Style"/>
          <w:sz w:val="24"/>
          <w:szCs w:val="24"/>
        </w:rPr>
        <w:t>solo se entenderá inici</w:t>
      </w:r>
      <w:r w:rsidR="002C6FB9">
        <w:rPr>
          <w:rFonts w:ascii="Bookman Old Style" w:hAnsi="Bookman Old Style"/>
          <w:sz w:val="24"/>
          <w:szCs w:val="24"/>
        </w:rPr>
        <w:t>ado</w:t>
      </w:r>
      <w:r w:rsidR="00DA359D">
        <w:rPr>
          <w:rFonts w:ascii="Bookman Old Style" w:hAnsi="Bookman Old Style"/>
          <w:sz w:val="24"/>
          <w:szCs w:val="24"/>
        </w:rPr>
        <w:t xml:space="preserve"> el </w:t>
      </w:r>
      <w:r w:rsidR="00826ED8">
        <w:rPr>
          <w:rFonts w:ascii="Bookman Old Style" w:hAnsi="Bookman Old Style"/>
          <w:sz w:val="24"/>
          <w:szCs w:val="24"/>
        </w:rPr>
        <w:t>trámite</w:t>
      </w:r>
      <w:r w:rsidR="006D1C5E">
        <w:rPr>
          <w:rFonts w:ascii="Bookman Old Style" w:hAnsi="Bookman Old Style"/>
          <w:sz w:val="24"/>
          <w:szCs w:val="24"/>
        </w:rPr>
        <w:t>,</w:t>
      </w:r>
      <w:r w:rsidR="00640909" w:rsidRPr="007605E4">
        <w:rPr>
          <w:rFonts w:ascii="Bookman Old Style" w:hAnsi="Bookman Old Style"/>
          <w:sz w:val="24"/>
          <w:szCs w:val="24"/>
        </w:rPr>
        <w:t xml:space="preserve"> a partir de la fecha de radicación de la información</w:t>
      </w:r>
      <w:r w:rsidR="00826ED8">
        <w:rPr>
          <w:rFonts w:ascii="Bookman Old Style" w:hAnsi="Bookman Old Style"/>
          <w:sz w:val="24"/>
          <w:szCs w:val="24"/>
        </w:rPr>
        <w:t xml:space="preserve"> que</w:t>
      </w:r>
      <w:r w:rsidR="00640909" w:rsidRPr="007605E4">
        <w:rPr>
          <w:rFonts w:ascii="Bookman Old Style" w:hAnsi="Bookman Old Style"/>
          <w:sz w:val="24"/>
          <w:szCs w:val="24"/>
        </w:rPr>
        <w:t xml:space="preserve"> </w:t>
      </w:r>
      <w:r w:rsidR="008E61C2">
        <w:rPr>
          <w:rFonts w:ascii="Bookman Old Style" w:hAnsi="Bookman Old Style"/>
          <w:sz w:val="24"/>
          <w:szCs w:val="24"/>
        </w:rPr>
        <w:t>ha sido verificad</w:t>
      </w:r>
      <w:r w:rsidR="00826ED8">
        <w:rPr>
          <w:rFonts w:ascii="Bookman Old Style" w:hAnsi="Bookman Old Style"/>
          <w:sz w:val="24"/>
          <w:szCs w:val="24"/>
        </w:rPr>
        <w:t>a</w:t>
      </w:r>
      <w:r w:rsidR="008E61C2">
        <w:rPr>
          <w:rFonts w:ascii="Bookman Old Style" w:hAnsi="Bookman Old Style"/>
          <w:sz w:val="24"/>
          <w:szCs w:val="24"/>
        </w:rPr>
        <w:t xml:space="preserve"> como </w:t>
      </w:r>
      <w:r w:rsidR="00640909" w:rsidRPr="007605E4">
        <w:rPr>
          <w:rFonts w:ascii="Bookman Old Style" w:hAnsi="Bookman Old Style"/>
          <w:sz w:val="24"/>
          <w:szCs w:val="24"/>
        </w:rPr>
        <w:t>completa</w:t>
      </w:r>
      <w:r w:rsidR="00D12E33">
        <w:rPr>
          <w:rFonts w:ascii="Bookman Old Style" w:hAnsi="Bookman Old Style"/>
          <w:sz w:val="24"/>
          <w:szCs w:val="24"/>
        </w:rPr>
        <w:t xml:space="preserve"> por la UPME</w:t>
      </w:r>
      <w:r w:rsidR="00640909" w:rsidRPr="007605E4">
        <w:rPr>
          <w:rFonts w:ascii="Bookman Old Style" w:hAnsi="Bookman Old Style"/>
          <w:sz w:val="24"/>
          <w:szCs w:val="24"/>
        </w:rPr>
        <w:t>.</w:t>
      </w:r>
    </w:p>
    <w:p w14:paraId="2761DAEF" w14:textId="20311493" w:rsidR="00524D8A" w:rsidRPr="00C30F3B" w:rsidRDefault="004B2DA9" w:rsidP="00C30F3B">
      <w:pPr>
        <w:pStyle w:val="Prrafodelista"/>
        <w:tabs>
          <w:tab w:val="left" w:pos="1701"/>
        </w:tabs>
        <w:spacing w:before="240" w:after="240"/>
        <w:ind w:left="502"/>
        <w:jc w:val="both"/>
        <w:rPr>
          <w:rFonts w:ascii="Bookman Old Style" w:hAnsi="Bookman Old Style"/>
          <w:sz w:val="24"/>
          <w:szCs w:val="24"/>
        </w:rPr>
      </w:pPr>
      <w:r w:rsidRPr="00C30F3B">
        <w:rPr>
          <w:rFonts w:ascii="Bookman Old Style" w:hAnsi="Bookman Old Style"/>
          <w:sz w:val="24"/>
          <w:szCs w:val="24"/>
        </w:rPr>
        <w:t>Para los</w:t>
      </w:r>
      <w:r w:rsidR="005C053C" w:rsidRPr="00C30F3B">
        <w:rPr>
          <w:rFonts w:ascii="Bookman Old Style" w:hAnsi="Bookman Old Style"/>
          <w:sz w:val="24"/>
          <w:szCs w:val="24"/>
        </w:rPr>
        <w:t xml:space="preserve"> inte</w:t>
      </w:r>
      <w:r w:rsidR="00D92EDC" w:rsidRPr="00C30F3B">
        <w:rPr>
          <w:rFonts w:ascii="Bookman Old Style" w:hAnsi="Bookman Old Style"/>
          <w:sz w:val="24"/>
          <w:szCs w:val="24"/>
        </w:rPr>
        <w:t xml:space="preserve">resados, cuyas plantas hayan tenido </w:t>
      </w:r>
      <w:r w:rsidR="004E6FB8" w:rsidRPr="00C30F3B">
        <w:rPr>
          <w:rFonts w:ascii="Bookman Old Style" w:hAnsi="Bookman Old Style"/>
          <w:sz w:val="24"/>
          <w:szCs w:val="24"/>
        </w:rPr>
        <w:t xml:space="preserve">concepto de </w:t>
      </w:r>
      <w:r w:rsidR="00086EB9" w:rsidRPr="00C30F3B">
        <w:rPr>
          <w:rFonts w:ascii="Bookman Old Style" w:hAnsi="Bookman Old Style"/>
          <w:sz w:val="24"/>
          <w:szCs w:val="24"/>
        </w:rPr>
        <w:t xml:space="preserve">conexión con </w:t>
      </w:r>
      <w:r w:rsidR="00C4361B" w:rsidRPr="00C30F3B">
        <w:rPr>
          <w:rFonts w:ascii="Bookman Old Style" w:hAnsi="Bookman Old Style"/>
          <w:sz w:val="24"/>
          <w:szCs w:val="24"/>
        </w:rPr>
        <w:t xml:space="preserve">ampliación de </w:t>
      </w:r>
      <w:r w:rsidR="000B5E9F" w:rsidRPr="00C30F3B">
        <w:rPr>
          <w:rFonts w:ascii="Bookman Old Style" w:hAnsi="Bookman Old Style"/>
          <w:sz w:val="24"/>
          <w:szCs w:val="24"/>
        </w:rPr>
        <w:t xml:space="preserve">capacidad </w:t>
      </w:r>
      <w:r w:rsidR="00627DAB" w:rsidRPr="00C30F3B">
        <w:rPr>
          <w:rFonts w:ascii="Bookman Old Style" w:hAnsi="Bookman Old Style"/>
          <w:sz w:val="24"/>
          <w:szCs w:val="24"/>
        </w:rPr>
        <w:t>de t</w:t>
      </w:r>
      <w:r w:rsidR="002D3A53" w:rsidRPr="00C30F3B">
        <w:rPr>
          <w:rFonts w:ascii="Bookman Old Style" w:hAnsi="Bookman Old Style"/>
          <w:sz w:val="24"/>
          <w:szCs w:val="24"/>
        </w:rPr>
        <w:t>ransporte</w:t>
      </w:r>
      <w:r w:rsidR="004E6FB8" w:rsidRPr="00C30F3B">
        <w:rPr>
          <w:rFonts w:ascii="Bookman Old Style" w:hAnsi="Bookman Old Style"/>
          <w:sz w:val="24"/>
          <w:szCs w:val="24"/>
        </w:rPr>
        <w:t xml:space="preserve"> temporal</w:t>
      </w:r>
      <w:r w:rsidR="002B7808" w:rsidRPr="00C30F3B">
        <w:rPr>
          <w:rFonts w:ascii="Bookman Old Style" w:hAnsi="Bookman Old Style"/>
          <w:sz w:val="24"/>
          <w:szCs w:val="24"/>
        </w:rPr>
        <w:t xml:space="preserve"> </w:t>
      </w:r>
      <w:r w:rsidR="00C067D5" w:rsidRPr="00C30F3B">
        <w:rPr>
          <w:rFonts w:ascii="Bookman Old Style" w:hAnsi="Bookman Old Style"/>
          <w:sz w:val="24"/>
          <w:szCs w:val="24"/>
        </w:rPr>
        <w:t>emitid</w:t>
      </w:r>
      <w:r w:rsidRPr="00C30F3B">
        <w:rPr>
          <w:rFonts w:ascii="Bookman Old Style" w:hAnsi="Bookman Old Style"/>
          <w:sz w:val="24"/>
          <w:szCs w:val="24"/>
        </w:rPr>
        <w:t>a</w:t>
      </w:r>
      <w:r w:rsidR="00C067D5" w:rsidRPr="00C30F3B">
        <w:rPr>
          <w:rFonts w:ascii="Bookman Old Style" w:hAnsi="Bookman Old Style"/>
          <w:sz w:val="24"/>
          <w:szCs w:val="24"/>
        </w:rPr>
        <w:t xml:space="preserve"> por</w:t>
      </w:r>
      <w:r w:rsidR="00ED1E7C" w:rsidRPr="00C30F3B">
        <w:rPr>
          <w:rFonts w:ascii="Bookman Old Style" w:hAnsi="Bookman Old Style"/>
          <w:sz w:val="24"/>
          <w:szCs w:val="24"/>
        </w:rPr>
        <w:t xml:space="preserve"> la UPME </w:t>
      </w:r>
      <w:r w:rsidR="00C067D5" w:rsidRPr="00C30F3B">
        <w:rPr>
          <w:rFonts w:ascii="Bookman Old Style" w:hAnsi="Bookman Old Style"/>
          <w:sz w:val="24"/>
          <w:szCs w:val="24"/>
        </w:rPr>
        <w:t xml:space="preserve">durante el año anterior a la vigencia de la presente resolución, </w:t>
      </w:r>
      <w:r w:rsidR="000C7CD9" w:rsidRPr="00C30F3B">
        <w:rPr>
          <w:rFonts w:ascii="Bookman Old Style" w:hAnsi="Bookman Old Style"/>
          <w:sz w:val="24"/>
          <w:szCs w:val="24"/>
        </w:rPr>
        <w:t>dicha entidad</w:t>
      </w:r>
      <w:r w:rsidR="006C5DFD" w:rsidRPr="00C30F3B">
        <w:rPr>
          <w:rFonts w:ascii="Bookman Old Style" w:hAnsi="Bookman Old Style"/>
          <w:sz w:val="24"/>
          <w:szCs w:val="24"/>
        </w:rPr>
        <w:t xml:space="preserve"> podrá </w:t>
      </w:r>
      <w:r w:rsidR="000353FE" w:rsidRPr="00C30F3B">
        <w:rPr>
          <w:rFonts w:ascii="Bookman Old Style" w:hAnsi="Bookman Old Style"/>
          <w:sz w:val="24"/>
          <w:szCs w:val="24"/>
        </w:rPr>
        <w:t xml:space="preserve">establecer un trámite </w:t>
      </w:r>
      <w:r w:rsidR="00E07FAE" w:rsidRPr="00C30F3B">
        <w:rPr>
          <w:rFonts w:ascii="Bookman Old Style" w:hAnsi="Bookman Old Style"/>
          <w:sz w:val="24"/>
          <w:szCs w:val="24"/>
        </w:rPr>
        <w:t>simplificado</w:t>
      </w:r>
      <w:r w:rsidR="00BB3802" w:rsidRPr="00C30F3B">
        <w:rPr>
          <w:rFonts w:ascii="Bookman Old Style" w:hAnsi="Bookman Old Style"/>
          <w:sz w:val="24"/>
          <w:szCs w:val="24"/>
        </w:rPr>
        <w:t xml:space="preserve"> que </w:t>
      </w:r>
      <w:r w:rsidR="00E07FAE" w:rsidRPr="00C30F3B">
        <w:rPr>
          <w:rFonts w:ascii="Bookman Old Style" w:hAnsi="Bookman Old Style"/>
          <w:sz w:val="24"/>
          <w:szCs w:val="24"/>
        </w:rPr>
        <w:t>permita</w:t>
      </w:r>
      <w:r w:rsidR="00ED1E7C" w:rsidRPr="00C30F3B">
        <w:rPr>
          <w:rFonts w:ascii="Bookman Old Style" w:hAnsi="Bookman Old Style"/>
          <w:sz w:val="24"/>
          <w:szCs w:val="24"/>
        </w:rPr>
        <w:t xml:space="preserve"> autoriza</w:t>
      </w:r>
      <w:r w:rsidR="00B036B8" w:rsidRPr="00C30F3B">
        <w:rPr>
          <w:rFonts w:ascii="Bookman Old Style" w:hAnsi="Bookman Old Style"/>
          <w:sz w:val="24"/>
          <w:szCs w:val="24"/>
        </w:rPr>
        <w:t>r nuevamente</w:t>
      </w:r>
      <w:r w:rsidR="00ED1E7C" w:rsidRPr="00C30F3B">
        <w:rPr>
          <w:rFonts w:ascii="Bookman Old Style" w:hAnsi="Bookman Old Style"/>
          <w:sz w:val="24"/>
          <w:szCs w:val="24"/>
        </w:rPr>
        <w:t xml:space="preserve"> de manera temporal la entrega de </w:t>
      </w:r>
      <w:r w:rsidR="00A90883" w:rsidRPr="00C30F3B">
        <w:rPr>
          <w:rFonts w:ascii="Bookman Old Style" w:hAnsi="Bookman Old Style"/>
          <w:sz w:val="24"/>
          <w:szCs w:val="24"/>
        </w:rPr>
        <w:t>e</w:t>
      </w:r>
      <w:r w:rsidR="00C360FC" w:rsidRPr="00C30F3B">
        <w:rPr>
          <w:rFonts w:ascii="Bookman Old Style" w:hAnsi="Bookman Old Style"/>
          <w:sz w:val="24"/>
          <w:szCs w:val="24"/>
        </w:rPr>
        <w:t>xcedente</w:t>
      </w:r>
      <w:r w:rsidR="00BC56A6" w:rsidRPr="00C30F3B">
        <w:rPr>
          <w:rFonts w:ascii="Bookman Old Style" w:hAnsi="Bookman Old Style"/>
          <w:sz w:val="24"/>
          <w:szCs w:val="24"/>
        </w:rPr>
        <w:t>s</w:t>
      </w:r>
      <w:r w:rsidR="00C360FC" w:rsidRPr="00C30F3B">
        <w:rPr>
          <w:rFonts w:ascii="Bookman Old Style" w:hAnsi="Bookman Old Style"/>
          <w:sz w:val="24"/>
          <w:szCs w:val="24"/>
        </w:rPr>
        <w:t xml:space="preserve"> de ge</w:t>
      </w:r>
      <w:r w:rsidR="00B036B8" w:rsidRPr="00C30F3B">
        <w:rPr>
          <w:rFonts w:ascii="Bookman Old Style" w:hAnsi="Bookman Old Style"/>
          <w:sz w:val="24"/>
          <w:szCs w:val="24"/>
        </w:rPr>
        <w:t>ne</w:t>
      </w:r>
      <w:r w:rsidR="00C360FC" w:rsidRPr="00C30F3B">
        <w:rPr>
          <w:rFonts w:ascii="Bookman Old Style" w:hAnsi="Bookman Old Style"/>
          <w:sz w:val="24"/>
          <w:szCs w:val="24"/>
        </w:rPr>
        <w:t>ración</w:t>
      </w:r>
      <w:r w:rsidR="00110712" w:rsidRPr="00C30F3B">
        <w:rPr>
          <w:rFonts w:ascii="Bookman Old Style" w:hAnsi="Bookman Old Style"/>
          <w:sz w:val="24"/>
          <w:szCs w:val="24"/>
        </w:rPr>
        <w:t xml:space="preserve">, siempre </w:t>
      </w:r>
      <w:r w:rsidR="00E8403C" w:rsidRPr="00C30F3B">
        <w:rPr>
          <w:rFonts w:ascii="Bookman Old Style" w:hAnsi="Bookman Old Style"/>
          <w:sz w:val="24"/>
          <w:szCs w:val="24"/>
        </w:rPr>
        <w:t>y</w:t>
      </w:r>
      <w:r w:rsidR="00110712" w:rsidRPr="00C30F3B">
        <w:rPr>
          <w:rFonts w:ascii="Bookman Old Style" w:hAnsi="Bookman Old Style"/>
          <w:sz w:val="24"/>
          <w:szCs w:val="24"/>
        </w:rPr>
        <w:t xml:space="preserve"> cuando permanezcan las mis</w:t>
      </w:r>
      <w:r w:rsidR="00A21E30" w:rsidRPr="00C30F3B">
        <w:rPr>
          <w:rFonts w:ascii="Bookman Old Style" w:hAnsi="Bookman Old Style"/>
          <w:sz w:val="24"/>
          <w:szCs w:val="24"/>
        </w:rPr>
        <w:t>ma</w:t>
      </w:r>
      <w:r w:rsidR="00E8403C" w:rsidRPr="00C30F3B">
        <w:rPr>
          <w:rFonts w:ascii="Bookman Old Style" w:hAnsi="Bookman Old Style"/>
          <w:sz w:val="24"/>
          <w:szCs w:val="24"/>
        </w:rPr>
        <w:t>s</w:t>
      </w:r>
      <w:r w:rsidR="00A21E30" w:rsidRPr="00C30F3B">
        <w:rPr>
          <w:rFonts w:ascii="Bookman Old Style" w:hAnsi="Bookman Old Style"/>
          <w:sz w:val="24"/>
          <w:szCs w:val="24"/>
        </w:rPr>
        <w:t xml:space="preserve"> condiciones técnicas </w:t>
      </w:r>
      <w:r w:rsidR="00E8403C" w:rsidRPr="00C30F3B">
        <w:rPr>
          <w:rFonts w:ascii="Bookman Old Style" w:hAnsi="Bookman Old Style"/>
          <w:sz w:val="24"/>
          <w:szCs w:val="24"/>
        </w:rPr>
        <w:t>con las que se viabilizó su ampliación de capacidad.</w:t>
      </w:r>
    </w:p>
    <w:p w14:paraId="70402A4C" w14:textId="43718159" w:rsidR="00497F44" w:rsidRDefault="00497F44" w:rsidP="00497F44">
      <w:pPr>
        <w:tabs>
          <w:tab w:val="left" w:pos="1701"/>
          <w:tab w:val="num" w:pos="2150"/>
        </w:tabs>
        <w:spacing w:before="240" w:after="240"/>
        <w:ind w:left="490"/>
        <w:jc w:val="both"/>
        <w:rPr>
          <w:rFonts w:ascii="Bookman Old Style" w:hAnsi="Bookman Old Style" w:cs="Arial"/>
        </w:rPr>
      </w:pPr>
      <w:r w:rsidRPr="00527E4B">
        <w:rPr>
          <w:rFonts w:ascii="Bookman Old Style" w:hAnsi="Bookman Old Style" w:cs="Arial"/>
        </w:rPr>
        <w:lastRenderedPageBreak/>
        <w:t xml:space="preserve">La </w:t>
      </w:r>
      <w:r>
        <w:rPr>
          <w:rFonts w:ascii="Bookman Old Style" w:hAnsi="Bookman Old Style" w:cs="Arial"/>
        </w:rPr>
        <w:t>respuesta a las solicitudes se emitirá a través de un concepto</w:t>
      </w:r>
      <w:r w:rsidR="00900603">
        <w:rPr>
          <w:rFonts w:ascii="Bookman Old Style" w:hAnsi="Bookman Old Style" w:cs="Arial"/>
        </w:rPr>
        <w:t xml:space="preserve"> de conexión, y e</w:t>
      </w:r>
      <w:r>
        <w:rPr>
          <w:rFonts w:ascii="Bookman Old Style" w:hAnsi="Bookman Old Style" w:cs="Arial"/>
        </w:rPr>
        <w:t>n caso de que la solicitud sea aprobada</w:t>
      </w:r>
      <w:r w:rsidR="00900603">
        <w:rPr>
          <w:rFonts w:ascii="Bookman Old Style" w:hAnsi="Bookman Old Style" w:cs="Arial"/>
        </w:rPr>
        <w:t xml:space="preserve"> o favorable</w:t>
      </w:r>
      <w:r>
        <w:rPr>
          <w:rFonts w:ascii="Bookman Old Style" w:hAnsi="Bookman Old Style" w:cs="Arial"/>
        </w:rPr>
        <w:t xml:space="preserve">, en el concepto se indicará </w:t>
      </w:r>
      <w:r w:rsidR="00900603">
        <w:rPr>
          <w:rFonts w:ascii="Bookman Old Style" w:hAnsi="Bookman Old Style" w:cs="Arial"/>
        </w:rPr>
        <w:t xml:space="preserve">la </w:t>
      </w:r>
      <w:r w:rsidR="00D20DC8">
        <w:rPr>
          <w:rFonts w:ascii="Bookman Old Style" w:hAnsi="Bookman Old Style" w:cs="Arial"/>
        </w:rPr>
        <w:t>cantidad que</w:t>
      </w:r>
      <w:r>
        <w:rPr>
          <w:rFonts w:ascii="Bookman Old Style" w:hAnsi="Bookman Old Style" w:cs="Arial"/>
        </w:rPr>
        <w:t xml:space="preserve"> </w:t>
      </w:r>
      <w:r w:rsidR="00D20DC8">
        <w:rPr>
          <w:rFonts w:ascii="Bookman Old Style" w:hAnsi="Bookman Old Style" w:cs="Arial"/>
        </w:rPr>
        <w:t>se</w:t>
      </w:r>
      <w:r w:rsidR="00825DA5">
        <w:rPr>
          <w:rFonts w:ascii="Bookman Old Style" w:hAnsi="Bookman Old Style" w:cs="Arial"/>
        </w:rPr>
        <w:t xml:space="preserve"> ha</w:t>
      </w:r>
      <w:r w:rsidR="00D20DC8">
        <w:rPr>
          <w:rFonts w:ascii="Bookman Old Style" w:hAnsi="Bookman Old Style" w:cs="Arial"/>
        </w:rPr>
        <w:t xml:space="preserve"> </w:t>
      </w:r>
      <w:r>
        <w:rPr>
          <w:rFonts w:ascii="Bookman Old Style" w:hAnsi="Bookman Old Style" w:cs="Arial"/>
        </w:rPr>
        <w:t xml:space="preserve">adicionado </w:t>
      </w:r>
      <w:r w:rsidR="00D20DC8">
        <w:rPr>
          <w:rFonts w:ascii="Bookman Old Style" w:hAnsi="Bookman Old Style" w:cs="Arial"/>
        </w:rPr>
        <w:t xml:space="preserve">transitoriamente </w:t>
      </w:r>
      <w:r>
        <w:rPr>
          <w:rFonts w:ascii="Bookman Old Style" w:hAnsi="Bookman Old Style" w:cs="Arial"/>
        </w:rPr>
        <w:t>a la</w:t>
      </w:r>
      <w:r w:rsidRPr="00527E4B">
        <w:rPr>
          <w:rFonts w:ascii="Bookman Old Style" w:hAnsi="Bookman Old Style" w:cs="Arial"/>
        </w:rPr>
        <w:t xml:space="preserve"> capacidad de transporte </w:t>
      </w:r>
      <w:r>
        <w:rPr>
          <w:rFonts w:ascii="Bookman Old Style" w:hAnsi="Bookman Old Style" w:cs="Arial"/>
        </w:rPr>
        <w:t>de</w:t>
      </w:r>
      <w:r w:rsidR="00850225">
        <w:rPr>
          <w:rFonts w:ascii="Bookman Old Style" w:hAnsi="Bookman Old Style" w:cs="Arial"/>
        </w:rPr>
        <w:t xml:space="preserve"> </w:t>
      </w:r>
      <w:r>
        <w:rPr>
          <w:rFonts w:ascii="Bookman Old Style" w:hAnsi="Bookman Old Style" w:cs="Arial"/>
        </w:rPr>
        <w:t>l</w:t>
      </w:r>
      <w:r w:rsidR="00850225">
        <w:rPr>
          <w:rFonts w:ascii="Bookman Old Style" w:hAnsi="Bookman Old Style" w:cs="Arial"/>
        </w:rPr>
        <w:t>a planta</w:t>
      </w:r>
      <w:r w:rsidR="005D59D6">
        <w:rPr>
          <w:rFonts w:ascii="Bookman Old Style" w:hAnsi="Bookman Old Style" w:cs="Arial"/>
        </w:rPr>
        <w:t xml:space="preserve"> y </w:t>
      </w:r>
      <w:r w:rsidRPr="00527E4B">
        <w:rPr>
          <w:rFonts w:ascii="Bookman Old Style" w:hAnsi="Bookman Old Style" w:cs="Arial"/>
        </w:rPr>
        <w:t xml:space="preserve">la fecha </w:t>
      </w:r>
      <w:r>
        <w:rPr>
          <w:rFonts w:ascii="Bookman Old Style" w:hAnsi="Bookman Old Style" w:cs="Arial"/>
        </w:rPr>
        <w:t>inicial en que</w:t>
      </w:r>
      <w:r w:rsidRPr="00527E4B" w:rsidDel="00234848">
        <w:rPr>
          <w:rFonts w:ascii="Bookman Old Style" w:hAnsi="Bookman Old Style" w:cs="Arial"/>
        </w:rPr>
        <w:t xml:space="preserve"> </w:t>
      </w:r>
      <w:r>
        <w:rPr>
          <w:rFonts w:ascii="Bookman Old Style" w:hAnsi="Bookman Old Style" w:cs="Arial"/>
        </w:rPr>
        <w:t xml:space="preserve">hará </w:t>
      </w:r>
      <w:r w:rsidRPr="00527E4B">
        <w:rPr>
          <w:rFonts w:ascii="Bookman Old Style" w:hAnsi="Bookman Old Style" w:cs="Arial"/>
        </w:rPr>
        <w:t>la entrega de</w:t>
      </w:r>
      <w:r>
        <w:rPr>
          <w:rFonts w:ascii="Bookman Old Style" w:hAnsi="Bookman Old Style" w:cs="Arial"/>
        </w:rPr>
        <w:t xml:space="preserve"> excedentes de</w:t>
      </w:r>
      <w:r w:rsidRPr="00527E4B">
        <w:rPr>
          <w:rFonts w:ascii="Bookman Old Style" w:hAnsi="Bookman Old Style" w:cs="Arial"/>
        </w:rPr>
        <w:t xml:space="preserve"> energía </w:t>
      </w:r>
      <w:r w:rsidR="00E43D94">
        <w:rPr>
          <w:rFonts w:ascii="Bookman Old Style" w:hAnsi="Bookman Old Style" w:cs="Arial"/>
        </w:rPr>
        <w:t xml:space="preserve">adicionales </w:t>
      </w:r>
      <w:r w:rsidRPr="00527E4B">
        <w:rPr>
          <w:rFonts w:ascii="Bookman Old Style" w:hAnsi="Bookman Old Style" w:cs="Arial"/>
        </w:rPr>
        <w:t>al SIN</w:t>
      </w:r>
      <w:r>
        <w:rPr>
          <w:rFonts w:ascii="Bookman Old Style" w:hAnsi="Bookman Old Style" w:cs="Arial"/>
        </w:rPr>
        <w:t xml:space="preserve">, con base en las reglas definidas en esta resolución. La UPME </w:t>
      </w:r>
      <w:r w:rsidR="005D59D6">
        <w:rPr>
          <w:rFonts w:ascii="Bookman Old Style" w:hAnsi="Bookman Old Style" w:cs="Arial"/>
        </w:rPr>
        <w:t xml:space="preserve">comunicará </w:t>
      </w:r>
      <w:r>
        <w:rPr>
          <w:rFonts w:ascii="Bookman Old Style" w:hAnsi="Bookman Old Style" w:cs="Arial"/>
        </w:rPr>
        <w:t xml:space="preserve">el </w:t>
      </w:r>
      <w:r w:rsidR="00D12E33">
        <w:rPr>
          <w:rFonts w:ascii="Bookman Old Style" w:hAnsi="Bookman Old Style" w:cs="Arial"/>
        </w:rPr>
        <w:t xml:space="preserve">citado </w:t>
      </w:r>
      <w:r>
        <w:rPr>
          <w:rFonts w:ascii="Bookman Old Style" w:hAnsi="Bookman Old Style" w:cs="Arial"/>
        </w:rPr>
        <w:t>concepto al respectivo transportador</w:t>
      </w:r>
      <w:r w:rsidR="00E43D94">
        <w:rPr>
          <w:rFonts w:ascii="Bookman Old Style" w:hAnsi="Bookman Old Style" w:cs="Arial"/>
        </w:rPr>
        <w:t>,</w:t>
      </w:r>
      <w:r w:rsidR="005D59D6">
        <w:rPr>
          <w:rFonts w:ascii="Bookman Old Style" w:hAnsi="Bookman Old Style" w:cs="Arial"/>
        </w:rPr>
        <w:t xml:space="preserve"> al ASI</w:t>
      </w:r>
      <w:r w:rsidR="008F44F2">
        <w:rPr>
          <w:rFonts w:ascii="Bookman Old Style" w:hAnsi="Bookman Old Style" w:cs="Arial"/>
        </w:rPr>
        <w:t>C</w:t>
      </w:r>
      <w:r w:rsidR="00E43D94">
        <w:rPr>
          <w:rFonts w:ascii="Bookman Old Style" w:hAnsi="Bookman Old Style" w:cs="Arial"/>
        </w:rPr>
        <w:t xml:space="preserve"> y al CND</w:t>
      </w:r>
      <w:r>
        <w:rPr>
          <w:rFonts w:ascii="Bookman Old Style" w:hAnsi="Bookman Old Style" w:cs="Arial"/>
        </w:rPr>
        <w:t>, mediante el mecanismo que considere</w:t>
      </w:r>
      <w:r w:rsidR="00F069F8">
        <w:rPr>
          <w:rFonts w:ascii="Bookman Old Style" w:hAnsi="Bookman Old Style" w:cs="Arial"/>
        </w:rPr>
        <w:t xml:space="preserve"> idóneo</w:t>
      </w:r>
      <w:r>
        <w:rPr>
          <w:rFonts w:ascii="Bookman Old Style" w:hAnsi="Bookman Old Style" w:cs="Arial"/>
        </w:rPr>
        <w:t>.</w:t>
      </w:r>
    </w:p>
    <w:p w14:paraId="6884A0A0" w14:textId="571BF782" w:rsidR="00497F44" w:rsidRPr="00527E4B" w:rsidRDefault="00497F44" w:rsidP="00497F44">
      <w:pPr>
        <w:tabs>
          <w:tab w:val="left" w:pos="1701"/>
          <w:tab w:val="num" w:pos="2150"/>
        </w:tabs>
        <w:spacing w:before="240" w:after="240"/>
        <w:ind w:left="490"/>
        <w:jc w:val="both"/>
        <w:rPr>
          <w:rFonts w:ascii="Bookman Old Style" w:hAnsi="Bookman Old Style" w:cs="Arial"/>
        </w:rPr>
      </w:pPr>
      <w:r>
        <w:rPr>
          <w:rFonts w:ascii="Bookman Old Style" w:hAnsi="Bookman Old Style" w:cs="Arial"/>
        </w:rPr>
        <w:t xml:space="preserve">La UPME llevará el registro de las solicitudes recibidas y las respuestas </w:t>
      </w:r>
      <w:r w:rsidR="00F069F8">
        <w:rPr>
          <w:rFonts w:ascii="Bookman Old Style" w:hAnsi="Bookman Old Style" w:cs="Arial"/>
        </w:rPr>
        <w:t>emitidas</w:t>
      </w:r>
      <w:r>
        <w:rPr>
          <w:rFonts w:ascii="Bookman Old Style" w:hAnsi="Bookman Old Style" w:cs="Arial"/>
        </w:rPr>
        <w:t>, con el fin de hacer seguimiento al resultado de aplicación de esta medida. Este registro deberá ser enviado a la CREG dentro del mes siguiente a la fecha de finalización de la ventana de aplicación establecida en esta resolución.</w:t>
      </w:r>
    </w:p>
    <w:p w14:paraId="6BDFAD11" w14:textId="57712493" w:rsidR="00B64CB5" w:rsidRPr="00C30F3B" w:rsidRDefault="00230E72" w:rsidP="00D533E7">
      <w:pPr>
        <w:numPr>
          <w:ilvl w:val="0"/>
          <w:numId w:val="24"/>
        </w:numPr>
        <w:tabs>
          <w:tab w:val="left" w:pos="1701"/>
          <w:tab w:val="num" w:pos="2150"/>
        </w:tabs>
        <w:spacing w:before="240" w:after="240"/>
        <w:jc w:val="both"/>
        <w:rPr>
          <w:rFonts w:ascii="Bookman Old Style" w:hAnsi="Bookman Old Style"/>
        </w:rPr>
      </w:pPr>
      <w:r w:rsidRPr="00C30F3B">
        <w:rPr>
          <w:rFonts w:ascii="Bookman Old Style" w:hAnsi="Bookman Old Style" w:cs="Arial"/>
          <w:b/>
          <w:bCs/>
          <w:lang w:val="es-CO"/>
        </w:rPr>
        <w:t xml:space="preserve">Solicitudes remitidas al OR. </w:t>
      </w:r>
      <w:r w:rsidR="00F33017" w:rsidRPr="00D1467E">
        <w:rPr>
          <w:rFonts w:ascii="Bookman Old Style" w:hAnsi="Bookman Old Style"/>
        </w:rPr>
        <w:t xml:space="preserve">Mediante circular </w:t>
      </w:r>
      <w:r w:rsidR="00F55135">
        <w:rPr>
          <w:rFonts w:ascii="Bookman Old Style" w:hAnsi="Bookman Old Style"/>
        </w:rPr>
        <w:t>expedida</w:t>
      </w:r>
      <w:r w:rsidR="00654E58">
        <w:rPr>
          <w:rFonts w:ascii="Bookman Old Style" w:hAnsi="Bookman Old Style"/>
        </w:rPr>
        <w:t xml:space="preserve"> y aprobada</w:t>
      </w:r>
      <w:r w:rsidR="00F55135">
        <w:rPr>
          <w:rFonts w:ascii="Bookman Old Style" w:hAnsi="Bookman Old Style"/>
        </w:rPr>
        <w:t xml:space="preserve"> por el </w:t>
      </w:r>
      <w:proofErr w:type="gramStart"/>
      <w:r w:rsidR="00F55135">
        <w:rPr>
          <w:rFonts w:ascii="Bookman Old Style" w:hAnsi="Bookman Old Style"/>
        </w:rPr>
        <w:t>Director Ejecutivo</w:t>
      </w:r>
      <w:proofErr w:type="gramEnd"/>
      <w:r w:rsidR="00F55135">
        <w:rPr>
          <w:rFonts w:ascii="Bookman Old Style" w:hAnsi="Bookman Old Style"/>
        </w:rPr>
        <w:t xml:space="preserve"> </w:t>
      </w:r>
      <w:r w:rsidR="00F33017" w:rsidRPr="00D1467E">
        <w:rPr>
          <w:rFonts w:ascii="Bookman Old Style" w:hAnsi="Bookman Old Style"/>
        </w:rPr>
        <w:t>de la CREG se definirá la información, documentos y plazos a considerar por parte del OR para la aplicación de lo dispuesto en esta resolución.</w:t>
      </w:r>
    </w:p>
    <w:p w14:paraId="61BDA647" w14:textId="1769C79B" w:rsidR="00B64CB5" w:rsidRPr="00230E72" w:rsidRDefault="00230E72" w:rsidP="00C30F3B">
      <w:pPr>
        <w:tabs>
          <w:tab w:val="left" w:pos="1701"/>
        </w:tabs>
        <w:spacing w:before="240" w:after="240"/>
        <w:ind w:left="360"/>
        <w:jc w:val="both"/>
        <w:rPr>
          <w:rFonts w:ascii="Bookman Old Style" w:hAnsi="Bookman Old Style" w:cs="Arial"/>
          <w:lang w:val="es-CO"/>
        </w:rPr>
      </w:pPr>
      <w:r w:rsidRPr="00230E72">
        <w:rPr>
          <w:rFonts w:ascii="Bookman Old Style" w:hAnsi="Bookman Old Style" w:cs="Arial"/>
          <w:lang w:val="es-CO"/>
        </w:rPr>
        <w:t xml:space="preserve">En la respuesta a las solicitudes aprobadas </w:t>
      </w:r>
      <w:r w:rsidR="00B64CB5">
        <w:rPr>
          <w:rFonts w:ascii="Bookman Old Style" w:hAnsi="Bookman Old Style" w:cs="Arial"/>
          <w:lang w:val="es-CO"/>
        </w:rPr>
        <w:t xml:space="preserve">por cada OR, se </w:t>
      </w:r>
      <w:r w:rsidRPr="00230E72">
        <w:rPr>
          <w:rFonts w:ascii="Bookman Old Style" w:hAnsi="Bookman Old Style" w:cs="Arial"/>
          <w:lang w:val="es-CO"/>
        </w:rPr>
        <w:t>deberá indica</w:t>
      </w:r>
      <w:r w:rsidR="006F222C">
        <w:rPr>
          <w:rFonts w:ascii="Bookman Old Style" w:hAnsi="Bookman Old Style" w:cs="Arial"/>
          <w:lang w:val="es-CO"/>
        </w:rPr>
        <w:t>r</w:t>
      </w:r>
      <w:r w:rsidRPr="00230E72">
        <w:rPr>
          <w:rFonts w:ascii="Bookman Old Style" w:hAnsi="Bookman Old Style" w:cs="Arial"/>
          <w:lang w:val="es-CO"/>
        </w:rPr>
        <w:t xml:space="preserve"> </w:t>
      </w:r>
      <w:r w:rsidR="006F222C">
        <w:rPr>
          <w:rFonts w:ascii="Bookman Old Style" w:hAnsi="Bookman Old Style" w:cs="Arial"/>
          <w:lang w:val="es-CO"/>
        </w:rPr>
        <w:t>la cantidad</w:t>
      </w:r>
      <w:r w:rsidR="004E1590">
        <w:rPr>
          <w:rFonts w:ascii="Bookman Old Style" w:hAnsi="Bookman Old Style" w:cs="Arial"/>
          <w:lang w:val="es-CO"/>
        </w:rPr>
        <w:t xml:space="preserve"> temporal</w:t>
      </w:r>
      <w:r w:rsidR="006F222C">
        <w:rPr>
          <w:rFonts w:ascii="Bookman Old Style" w:hAnsi="Bookman Old Style" w:cs="Arial"/>
          <w:lang w:val="es-CO"/>
        </w:rPr>
        <w:t xml:space="preserve"> </w:t>
      </w:r>
      <w:r w:rsidRPr="00230E72">
        <w:rPr>
          <w:rFonts w:ascii="Bookman Old Style" w:hAnsi="Bookman Old Style" w:cs="Arial"/>
          <w:lang w:val="es-CO"/>
        </w:rPr>
        <w:t>adiciona</w:t>
      </w:r>
      <w:r w:rsidR="006F222C">
        <w:rPr>
          <w:rFonts w:ascii="Bookman Old Style" w:hAnsi="Bookman Old Style" w:cs="Arial"/>
          <w:lang w:val="es-CO"/>
        </w:rPr>
        <w:t>da</w:t>
      </w:r>
      <w:r w:rsidRPr="00230E72">
        <w:rPr>
          <w:rFonts w:ascii="Bookman Old Style" w:hAnsi="Bookman Old Style" w:cs="Arial"/>
          <w:lang w:val="es-CO"/>
        </w:rPr>
        <w:t xml:space="preserve"> a la potencia máxima declarada y la fecha inicial a partir de la cual la planta podrá empezar la entrega de excedentes de energía al SIN, con base en las reglas definidas en esta resolución.</w:t>
      </w:r>
    </w:p>
    <w:p w14:paraId="11DE5160" w14:textId="17326971" w:rsidR="00230E72" w:rsidRPr="00230E72" w:rsidRDefault="00230E72" w:rsidP="00C30F3B">
      <w:pPr>
        <w:tabs>
          <w:tab w:val="left" w:pos="1701"/>
        </w:tabs>
        <w:spacing w:before="240" w:after="240"/>
        <w:ind w:left="360"/>
        <w:jc w:val="both"/>
        <w:rPr>
          <w:rFonts w:ascii="Bookman Old Style" w:hAnsi="Bookman Old Style" w:cs="Arial"/>
          <w:lang w:val="es-CO"/>
        </w:rPr>
      </w:pPr>
      <w:r w:rsidRPr="00230E72">
        <w:rPr>
          <w:rFonts w:ascii="Bookman Old Style" w:hAnsi="Bookman Old Style" w:cs="Arial"/>
          <w:lang w:val="es-CO"/>
        </w:rPr>
        <w:t xml:space="preserve">Cada OR deberá llevar el registro de las solicitudes recibidas y las respuestas dadas, con el fin de hacer seguimiento al resultado de aplicación de esta medida. Este registro deberá ser enviado a la CREG y a la SSPD dentro del mes siguiente a la fecha de finalización de la ventana de aplicación establecida en el artículo </w:t>
      </w:r>
      <w:r w:rsidRPr="00230E72">
        <w:rPr>
          <w:rFonts w:ascii="Bookman Old Style" w:hAnsi="Bookman Old Style" w:cs="Arial"/>
          <w:iCs/>
          <w:lang w:val="es-CO"/>
        </w:rPr>
        <w:fldChar w:fldCharType="begin"/>
      </w:r>
      <w:r w:rsidRPr="00230E72">
        <w:rPr>
          <w:rFonts w:ascii="Bookman Old Style" w:hAnsi="Bookman Old Style" w:cs="Arial"/>
          <w:iCs/>
          <w:lang w:val="es-CO"/>
        </w:rPr>
        <w:instrText xml:space="preserve"> REF _Ref176856420 \r \h \t  \* MERGEFORMAT </w:instrText>
      </w:r>
      <w:r w:rsidRPr="00230E72">
        <w:rPr>
          <w:rFonts w:ascii="Bookman Old Style" w:hAnsi="Bookman Old Style" w:cs="Arial"/>
          <w:iCs/>
          <w:lang w:val="es-CO"/>
        </w:rPr>
      </w:r>
      <w:r w:rsidRPr="00230E72">
        <w:rPr>
          <w:rFonts w:ascii="Bookman Old Style" w:hAnsi="Bookman Old Style" w:cs="Arial"/>
          <w:iCs/>
          <w:lang w:val="es-CO"/>
        </w:rPr>
        <w:fldChar w:fldCharType="separate"/>
      </w:r>
      <w:r w:rsidR="00821DA0">
        <w:rPr>
          <w:rFonts w:ascii="Bookman Old Style" w:hAnsi="Bookman Old Style" w:cs="Arial"/>
          <w:iCs/>
          <w:lang w:val="es-CO"/>
        </w:rPr>
        <w:t>3</w:t>
      </w:r>
      <w:r w:rsidRPr="00230E72">
        <w:rPr>
          <w:rFonts w:ascii="Bookman Old Style" w:hAnsi="Bookman Old Style" w:cs="Arial"/>
          <w:iCs/>
          <w:lang w:val="es-CO"/>
        </w:rPr>
        <w:fldChar w:fldCharType="end"/>
      </w:r>
      <w:r w:rsidRPr="00230E72">
        <w:rPr>
          <w:rFonts w:ascii="Bookman Old Style" w:hAnsi="Bookman Old Style" w:cs="Arial"/>
          <w:b/>
          <w:bCs/>
          <w:iCs/>
          <w:lang w:val="es-CO"/>
        </w:rPr>
        <w:t xml:space="preserve"> </w:t>
      </w:r>
      <w:r w:rsidRPr="00230E72">
        <w:rPr>
          <w:rFonts w:ascii="Bookman Old Style" w:hAnsi="Bookman Old Style" w:cs="Arial"/>
          <w:lang w:val="es-CO"/>
        </w:rPr>
        <w:t>esta resolución.</w:t>
      </w:r>
    </w:p>
    <w:p w14:paraId="18E47DF5" w14:textId="77777777" w:rsidR="00230E72" w:rsidRPr="00230E72" w:rsidRDefault="00230E72" w:rsidP="00230E72">
      <w:pPr>
        <w:numPr>
          <w:ilvl w:val="0"/>
          <w:numId w:val="23"/>
        </w:numPr>
        <w:tabs>
          <w:tab w:val="num" w:pos="360"/>
        </w:tabs>
        <w:spacing w:before="240" w:after="240"/>
        <w:ind w:left="0" w:firstLine="0"/>
        <w:jc w:val="both"/>
        <w:rPr>
          <w:rFonts w:ascii="Bookman Old Style" w:hAnsi="Bookman Old Style" w:cs="Arial"/>
          <w:b/>
          <w:bCs/>
          <w:lang w:val="es-CO"/>
        </w:rPr>
      </w:pPr>
      <w:r w:rsidRPr="00230E72">
        <w:rPr>
          <w:rFonts w:ascii="Bookman Old Style" w:hAnsi="Bookman Old Style" w:cs="Arial"/>
          <w:b/>
          <w:bCs/>
          <w:lang w:val="es-CO"/>
        </w:rPr>
        <w:t xml:space="preserve">Registro de la frontera generación. </w:t>
      </w:r>
      <w:r w:rsidRPr="00230E72">
        <w:rPr>
          <w:rFonts w:ascii="Bookman Old Style" w:hAnsi="Bookman Old Style" w:cs="Arial"/>
          <w:lang w:val="es-CO"/>
        </w:rPr>
        <w:t>Si para la entrega de excedentes de generación de que trata esta resolución no se cuenta con frontera de generación, el agente deberá hacer el registro de dicha frontera aplicando las disposiciones de la Resolución CREG 157 de 2011, pero considerando lo siguiente:</w:t>
      </w:r>
    </w:p>
    <w:p w14:paraId="10C0EEAF" w14:textId="77777777" w:rsidR="00230E72" w:rsidRPr="00230E72" w:rsidRDefault="00230E72" w:rsidP="00230E72">
      <w:pPr>
        <w:numPr>
          <w:ilvl w:val="0"/>
          <w:numId w:val="25"/>
        </w:numPr>
        <w:tabs>
          <w:tab w:val="left" w:pos="1701"/>
        </w:tabs>
        <w:spacing w:before="240" w:after="240"/>
        <w:jc w:val="both"/>
        <w:rPr>
          <w:rFonts w:ascii="Bookman Old Style" w:hAnsi="Bookman Old Style" w:cs="Arial"/>
          <w:lang w:val="es-CO"/>
        </w:rPr>
      </w:pPr>
      <w:r w:rsidRPr="00230E72">
        <w:rPr>
          <w:rFonts w:ascii="Bookman Old Style" w:hAnsi="Bookman Old Style" w:cs="Arial"/>
          <w:lang w:val="es-CO"/>
        </w:rPr>
        <w:t>La solicitud de registro no tendrá que cumplir la antelación prevista en el artículo 4 de la Resolución CREG 157 de 2011.</w:t>
      </w:r>
    </w:p>
    <w:p w14:paraId="54915869" w14:textId="77777777" w:rsidR="00230E72" w:rsidRPr="00230E72" w:rsidRDefault="00230E72" w:rsidP="00230E72">
      <w:pPr>
        <w:numPr>
          <w:ilvl w:val="0"/>
          <w:numId w:val="25"/>
        </w:numPr>
        <w:tabs>
          <w:tab w:val="left" w:pos="1701"/>
        </w:tabs>
        <w:spacing w:before="240" w:after="240"/>
        <w:jc w:val="both"/>
        <w:rPr>
          <w:rFonts w:ascii="Bookman Old Style" w:hAnsi="Bookman Old Style" w:cs="Arial"/>
          <w:lang w:val="es-CO"/>
        </w:rPr>
      </w:pPr>
      <w:r w:rsidRPr="00230E72">
        <w:rPr>
          <w:rFonts w:ascii="Bookman Old Style" w:hAnsi="Bookman Old Style" w:cs="Arial"/>
          <w:lang w:val="es-CO"/>
        </w:rPr>
        <w:t>El agente que solicite el registro no estará obligado a cumplir con los requisitos señalados en los numerales 4 y 5 del artículo 4 de la Resolución CREG 157 de 2011.</w:t>
      </w:r>
    </w:p>
    <w:p w14:paraId="66F98DC2" w14:textId="77777777" w:rsidR="00230E72" w:rsidRPr="00230E72" w:rsidRDefault="00230E72" w:rsidP="00230E72">
      <w:pPr>
        <w:numPr>
          <w:ilvl w:val="0"/>
          <w:numId w:val="25"/>
        </w:numPr>
        <w:tabs>
          <w:tab w:val="left" w:pos="1701"/>
        </w:tabs>
        <w:spacing w:before="240" w:after="240"/>
        <w:jc w:val="both"/>
        <w:rPr>
          <w:rFonts w:ascii="Bookman Old Style" w:hAnsi="Bookman Old Style" w:cs="Arial"/>
          <w:lang w:val="es-CO"/>
        </w:rPr>
      </w:pPr>
      <w:r w:rsidRPr="00230E72">
        <w:rPr>
          <w:rFonts w:ascii="Bookman Old Style" w:hAnsi="Bookman Old Style" w:cs="Arial"/>
          <w:lang w:val="es-CO"/>
        </w:rPr>
        <w:t>Para realizar el registro de la frontera, el Administrador del Sistema de Intercambios Comerciales, ASIC, contará con un plazo máximo de dos (2) días hábiles desde que reciba la información completa requerida.</w:t>
      </w:r>
    </w:p>
    <w:p w14:paraId="0EC02E9C" w14:textId="77777777" w:rsidR="00230E72" w:rsidRPr="00230E72" w:rsidRDefault="00230E72" w:rsidP="00230E72">
      <w:pPr>
        <w:numPr>
          <w:ilvl w:val="0"/>
          <w:numId w:val="25"/>
        </w:numPr>
        <w:tabs>
          <w:tab w:val="left" w:pos="1701"/>
        </w:tabs>
        <w:spacing w:before="240" w:after="240"/>
        <w:jc w:val="both"/>
        <w:rPr>
          <w:rFonts w:ascii="Bookman Old Style" w:hAnsi="Bookman Old Style" w:cs="Arial"/>
          <w:lang w:val="es-CO"/>
        </w:rPr>
      </w:pPr>
      <w:r w:rsidRPr="00230E72">
        <w:rPr>
          <w:rFonts w:ascii="Bookman Old Style" w:hAnsi="Bookman Old Style" w:cs="Arial"/>
          <w:lang w:val="es-CO"/>
        </w:rPr>
        <w:t>Para el registro de estas fronteras no se aplicará lo dispuesto en los artículos 6 y 7 de la Resolución CREG 157 de 2011.</w:t>
      </w:r>
    </w:p>
    <w:p w14:paraId="7DC8D60F" w14:textId="77777777" w:rsidR="00230E72" w:rsidRPr="00230E72" w:rsidRDefault="00230E72" w:rsidP="00230E72">
      <w:pPr>
        <w:spacing w:before="240" w:after="240"/>
        <w:ind w:left="0"/>
        <w:jc w:val="both"/>
        <w:rPr>
          <w:rFonts w:ascii="Bookman Old Style" w:hAnsi="Bookman Old Style" w:cs="Arial"/>
          <w:lang w:val="es-CO"/>
        </w:rPr>
      </w:pPr>
      <w:r w:rsidRPr="00230E72">
        <w:rPr>
          <w:rFonts w:ascii="Bookman Old Style" w:hAnsi="Bookman Old Style" w:cs="Arial"/>
          <w:b/>
          <w:bCs/>
          <w:lang w:val="es-CO"/>
        </w:rPr>
        <w:t xml:space="preserve">Parágrafo 1. </w:t>
      </w:r>
      <w:r w:rsidRPr="00230E72">
        <w:rPr>
          <w:rFonts w:ascii="Bookman Old Style" w:hAnsi="Bookman Old Style" w:cs="Arial"/>
          <w:lang w:val="es-CO"/>
        </w:rPr>
        <w:t xml:space="preserve">Las medidas de generación se deberán afectar por los factores de pérdidas para referir la medida al STN. Para lo cual, en el momento del registro </w:t>
      </w:r>
      <w:r w:rsidRPr="00230E72">
        <w:rPr>
          <w:rFonts w:ascii="Bookman Old Style" w:hAnsi="Bookman Old Style" w:cs="Arial"/>
          <w:lang w:val="es-CO"/>
        </w:rPr>
        <w:lastRenderedPageBreak/>
        <w:t>de la frontera de generación, el agente generador que representa la planta reportará el factor para referir la medida al STN.</w:t>
      </w:r>
    </w:p>
    <w:p w14:paraId="1CC8F0EB" w14:textId="242C2820" w:rsidR="00230E72" w:rsidRPr="00230E72" w:rsidRDefault="00230E72" w:rsidP="00230E72">
      <w:pPr>
        <w:spacing w:before="240" w:after="240"/>
        <w:ind w:left="0"/>
        <w:jc w:val="both"/>
        <w:rPr>
          <w:rFonts w:ascii="Bookman Old Style" w:hAnsi="Bookman Old Style" w:cs="Arial"/>
          <w:lang w:val="es-CO"/>
        </w:rPr>
      </w:pPr>
      <w:r w:rsidRPr="00230E72">
        <w:rPr>
          <w:rFonts w:ascii="Bookman Old Style" w:hAnsi="Bookman Old Style" w:cs="Arial"/>
          <w:b/>
          <w:bCs/>
          <w:lang w:val="es-CO"/>
        </w:rPr>
        <w:t xml:space="preserve">Parágrafo 2. </w:t>
      </w:r>
      <w:r w:rsidRPr="00230E72">
        <w:rPr>
          <w:rFonts w:ascii="Bookman Old Style" w:hAnsi="Bookman Old Style" w:cs="Arial"/>
          <w:lang w:val="es-CO"/>
        </w:rPr>
        <w:t xml:space="preserve">Una vez finalice la ventana de aplicación establecida en el artículo  </w:t>
      </w:r>
      <w:r w:rsidRPr="00230E72">
        <w:rPr>
          <w:rFonts w:ascii="Bookman Old Style" w:hAnsi="Bookman Old Style" w:cs="Arial"/>
          <w:iCs/>
          <w:lang w:val="es-CO"/>
        </w:rPr>
        <w:fldChar w:fldCharType="begin"/>
      </w:r>
      <w:r w:rsidRPr="00230E72">
        <w:rPr>
          <w:rFonts w:ascii="Bookman Old Style" w:hAnsi="Bookman Old Style" w:cs="Arial"/>
          <w:iCs/>
          <w:lang w:val="es-CO"/>
        </w:rPr>
        <w:instrText xml:space="preserve"> REF _Ref176856420 \r \h \t  \* MERGEFORMAT </w:instrText>
      </w:r>
      <w:r w:rsidRPr="00230E72">
        <w:rPr>
          <w:rFonts w:ascii="Bookman Old Style" w:hAnsi="Bookman Old Style" w:cs="Arial"/>
          <w:iCs/>
          <w:lang w:val="es-CO"/>
        </w:rPr>
      </w:r>
      <w:r w:rsidRPr="00230E72">
        <w:rPr>
          <w:rFonts w:ascii="Bookman Old Style" w:hAnsi="Bookman Old Style" w:cs="Arial"/>
          <w:iCs/>
          <w:lang w:val="es-CO"/>
        </w:rPr>
        <w:fldChar w:fldCharType="separate"/>
      </w:r>
      <w:r w:rsidR="00821DA0">
        <w:rPr>
          <w:rFonts w:ascii="Bookman Old Style" w:hAnsi="Bookman Old Style" w:cs="Arial"/>
          <w:iCs/>
          <w:lang w:val="es-CO"/>
        </w:rPr>
        <w:t>3</w:t>
      </w:r>
      <w:r w:rsidRPr="00230E72">
        <w:rPr>
          <w:rFonts w:ascii="Bookman Old Style" w:hAnsi="Bookman Old Style" w:cs="Arial"/>
          <w:iCs/>
          <w:lang w:val="es-CO"/>
        </w:rPr>
        <w:fldChar w:fldCharType="end"/>
      </w:r>
      <w:r w:rsidRPr="00230E72">
        <w:rPr>
          <w:rFonts w:ascii="Bookman Old Style" w:hAnsi="Bookman Old Style" w:cs="Arial"/>
          <w:b/>
          <w:bCs/>
          <w:iCs/>
          <w:lang w:val="es-CO"/>
        </w:rPr>
        <w:t xml:space="preserve"> </w:t>
      </w:r>
      <w:r w:rsidRPr="00230E72">
        <w:rPr>
          <w:rFonts w:ascii="Bookman Old Style" w:hAnsi="Bookman Old Style" w:cs="Arial"/>
          <w:lang w:val="es-CO"/>
        </w:rPr>
        <w:t>de la presente resolución, el ASIC procederá a cancelar la frontera de generación que haya sido registrada para aplicar a las disposiciones temporales establecidas en esta resolución o, en el caso de que fuera una frontera preexistente, se deberá modificar la potencia máxima declarada o la capacidad efectiva neta a los valores registrados antes de la aplicación de las disposiciones establecidas en la presente resolución.</w:t>
      </w:r>
    </w:p>
    <w:p w14:paraId="63CF1766" w14:textId="77777777" w:rsidR="00230E72" w:rsidRPr="00230E72" w:rsidRDefault="00230E72" w:rsidP="00230E72">
      <w:pPr>
        <w:numPr>
          <w:ilvl w:val="0"/>
          <w:numId w:val="23"/>
        </w:numPr>
        <w:tabs>
          <w:tab w:val="num" w:pos="360"/>
        </w:tabs>
        <w:spacing w:before="240" w:after="240"/>
        <w:ind w:left="0" w:firstLine="0"/>
        <w:jc w:val="both"/>
        <w:rPr>
          <w:rFonts w:ascii="Bookman Old Style" w:hAnsi="Bookman Old Style" w:cs="Arial"/>
          <w:b/>
          <w:bCs/>
          <w:lang w:val="es-CO"/>
        </w:rPr>
      </w:pPr>
      <w:r w:rsidRPr="00230E72">
        <w:rPr>
          <w:rFonts w:ascii="Bookman Old Style" w:hAnsi="Bookman Old Style" w:cs="Arial"/>
          <w:b/>
          <w:bCs/>
          <w:lang w:val="es-CO"/>
        </w:rPr>
        <w:t xml:space="preserve">Requisitos de la medida. </w:t>
      </w:r>
      <w:r w:rsidRPr="00230E72">
        <w:rPr>
          <w:rFonts w:ascii="Bookman Old Style" w:hAnsi="Bookman Old Style" w:cs="Arial"/>
          <w:lang w:val="es-CO"/>
        </w:rPr>
        <w:t>Si para la entrega de excedentes de generación de que trata está presente resolución se requiere instalar equipos de medida de las fronteras de generación estos podrán ser de cualquiera de los tipos de puntos de medición establecidos en el artículo 9 de la Resolución CREG 038 de 2014. Adicionalmente, no se exigirá tener el dispositivo de interfaz de comunicación de que trata el literal j) del Anexo 1, ni la medición de respaldo señalada en el artículo 13, de la resolución mencionada. Sin perjuicio de lo anterior, las plantas que cuenten con medición horaria y dispositivo de interfaz de comunicaciones deberán reportar la información diaria en los plazos previstos en la regulación vigente</w:t>
      </w:r>
      <w:r w:rsidRPr="00230E72">
        <w:rPr>
          <w:rFonts w:ascii="Bookman Old Style" w:hAnsi="Bookman Old Style" w:cs="Arial"/>
          <w:b/>
          <w:bCs/>
          <w:lang w:val="es-CO"/>
        </w:rPr>
        <w:t>.</w:t>
      </w:r>
    </w:p>
    <w:p w14:paraId="1AC18E75" w14:textId="77777777" w:rsidR="00230E72" w:rsidRPr="00230E72" w:rsidRDefault="00230E72" w:rsidP="00230E72">
      <w:pPr>
        <w:spacing w:before="240" w:after="240"/>
        <w:ind w:left="0"/>
        <w:jc w:val="both"/>
        <w:rPr>
          <w:rFonts w:ascii="Bookman Old Style" w:hAnsi="Bookman Old Style" w:cs="Arial"/>
          <w:lang w:val="es-CO"/>
        </w:rPr>
      </w:pPr>
      <w:r w:rsidRPr="00230E72">
        <w:rPr>
          <w:rFonts w:ascii="Bookman Old Style" w:hAnsi="Bookman Old Style" w:cs="Arial"/>
          <w:lang w:val="es-CO"/>
        </w:rPr>
        <w:t>El reporte al ASIC de la lectura mensual de la frontera de generación de la planta que no cuente con interfaz de comunicación, debe ser enviado por el agente generador que la representa a más tardar el segundo día calendario del mes siguiente al de la entrega de energía. Si el agente generador no reporta oportunamente esta información, se tomará un valor de cero.</w:t>
      </w:r>
    </w:p>
    <w:p w14:paraId="0E82CF49" w14:textId="6419E3DA" w:rsidR="00230E72" w:rsidRPr="00230E72" w:rsidRDefault="00230E72" w:rsidP="00230E72">
      <w:pPr>
        <w:numPr>
          <w:ilvl w:val="0"/>
          <w:numId w:val="23"/>
        </w:numPr>
        <w:tabs>
          <w:tab w:val="num" w:pos="360"/>
        </w:tabs>
        <w:spacing w:before="240" w:after="240"/>
        <w:ind w:left="0" w:firstLine="0"/>
        <w:jc w:val="both"/>
        <w:rPr>
          <w:rFonts w:ascii="Bookman Old Style" w:hAnsi="Bookman Old Style" w:cs="Arial"/>
          <w:b/>
          <w:bCs/>
          <w:lang w:val="es-CO"/>
        </w:rPr>
      </w:pPr>
      <w:r w:rsidRPr="00230E72">
        <w:rPr>
          <w:rFonts w:ascii="Bookman Old Style" w:hAnsi="Bookman Old Style" w:cs="Arial"/>
          <w:b/>
          <w:bCs/>
          <w:lang w:val="es-CO"/>
        </w:rPr>
        <w:t>Restablecimiento de condiciones iniciales</w:t>
      </w:r>
      <w:r w:rsidRPr="00230E72">
        <w:rPr>
          <w:rFonts w:ascii="Bookman Old Style" w:hAnsi="Bookman Old Style" w:cs="Arial"/>
          <w:lang w:val="es-CO"/>
        </w:rPr>
        <w:t xml:space="preserve">. Cuando se cumpla la fecha de finalización de las presentes medidas, según lo establecido en el artículo  </w:t>
      </w:r>
      <w:r w:rsidRPr="00230E72">
        <w:rPr>
          <w:rFonts w:ascii="Bookman Old Style" w:hAnsi="Bookman Old Style" w:cs="Arial"/>
          <w:iCs/>
          <w:lang w:val="es-CO"/>
        </w:rPr>
        <w:fldChar w:fldCharType="begin"/>
      </w:r>
      <w:r w:rsidRPr="00230E72">
        <w:rPr>
          <w:rFonts w:ascii="Bookman Old Style" w:hAnsi="Bookman Old Style" w:cs="Arial"/>
          <w:iCs/>
          <w:lang w:val="es-CO"/>
        </w:rPr>
        <w:instrText xml:space="preserve"> REF _Ref176856420 \r \h \t  \* MERGEFORMAT </w:instrText>
      </w:r>
      <w:r w:rsidRPr="00230E72">
        <w:rPr>
          <w:rFonts w:ascii="Bookman Old Style" w:hAnsi="Bookman Old Style" w:cs="Arial"/>
          <w:iCs/>
          <w:lang w:val="es-CO"/>
        </w:rPr>
      </w:r>
      <w:r w:rsidRPr="00230E72">
        <w:rPr>
          <w:rFonts w:ascii="Bookman Old Style" w:hAnsi="Bookman Old Style" w:cs="Arial"/>
          <w:iCs/>
          <w:lang w:val="es-CO"/>
        </w:rPr>
        <w:fldChar w:fldCharType="separate"/>
      </w:r>
      <w:r w:rsidR="00821DA0">
        <w:rPr>
          <w:rFonts w:ascii="Bookman Old Style" w:hAnsi="Bookman Old Style" w:cs="Arial"/>
          <w:iCs/>
          <w:lang w:val="es-CO"/>
        </w:rPr>
        <w:t>3</w:t>
      </w:r>
      <w:r w:rsidRPr="00230E72">
        <w:rPr>
          <w:rFonts w:ascii="Bookman Old Style" w:hAnsi="Bookman Old Style" w:cs="Arial"/>
          <w:iCs/>
          <w:lang w:val="es-CO"/>
        </w:rPr>
        <w:fldChar w:fldCharType="end"/>
      </w:r>
      <w:r w:rsidRPr="00230E72">
        <w:rPr>
          <w:rFonts w:ascii="Bookman Old Style" w:hAnsi="Bookman Old Style" w:cs="Arial"/>
          <w:b/>
          <w:bCs/>
          <w:iCs/>
          <w:lang w:val="es-CO"/>
        </w:rPr>
        <w:t xml:space="preserve"> </w:t>
      </w:r>
      <w:r w:rsidRPr="00230E72">
        <w:rPr>
          <w:rFonts w:ascii="Bookman Old Style" w:hAnsi="Bookman Old Style" w:cs="Arial"/>
          <w:lang w:val="es-CO"/>
        </w:rPr>
        <w:t>de la presente resolución, las condiciones que fueron modificadas para atender lo dispuesto en esta norma deberán restablecerse a las condiciones existentes al momento de su aplicación.</w:t>
      </w:r>
      <w:r w:rsidRPr="00230E72">
        <w:rPr>
          <w:rFonts w:ascii="Bookman Old Style" w:hAnsi="Bookman Old Style" w:cs="Arial"/>
          <w:b/>
          <w:bCs/>
          <w:lang w:val="es-CO"/>
        </w:rPr>
        <w:t xml:space="preserve"> </w:t>
      </w:r>
    </w:p>
    <w:p w14:paraId="4B56E083" w14:textId="5324FE8E" w:rsidR="00230E72" w:rsidRPr="00230E72" w:rsidRDefault="00230E72" w:rsidP="00230E72">
      <w:pPr>
        <w:numPr>
          <w:ilvl w:val="0"/>
          <w:numId w:val="23"/>
        </w:numPr>
        <w:tabs>
          <w:tab w:val="num" w:pos="360"/>
          <w:tab w:val="left" w:pos="1560"/>
        </w:tabs>
        <w:spacing w:before="240" w:after="240"/>
        <w:ind w:left="0" w:firstLine="0"/>
        <w:jc w:val="both"/>
        <w:rPr>
          <w:rFonts w:ascii="Bookman Old Style" w:hAnsi="Bookman Old Style" w:cs="Arial"/>
          <w:b/>
          <w:bCs/>
          <w:lang w:val="es-CO"/>
        </w:rPr>
      </w:pPr>
      <w:r w:rsidRPr="00230E72">
        <w:rPr>
          <w:rFonts w:ascii="Bookman Old Style" w:hAnsi="Bookman Old Style" w:cs="Arial"/>
          <w:b/>
          <w:bCs/>
          <w:lang w:val="es-CO"/>
        </w:rPr>
        <w:t xml:space="preserve">Vigencias. </w:t>
      </w:r>
      <w:r w:rsidRPr="00230E72">
        <w:rPr>
          <w:rFonts w:ascii="Bookman Old Style" w:hAnsi="Bookman Old Style" w:cs="Arial"/>
          <w:lang w:val="es-CO"/>
        </w:rPr>
        <w:t xml:space="preserve">La presente resolución rige a partir de la fecha de su publicación en el </w:t>
      </w:r>
      <w:r w:rsidRPr="00230E72">
        <w:rPr>
          <w:rFonts w:ascii="Bookman Old Style" w:hAnsi="Bookman Old Style" w:cs="Arial"/>
          <w:i/>
          <w:iCs/>
          <w:lang w:val="es-CO"/>
        </w:rPr>
        <w:t xml:space="preserve">Diario Oficial. </w:t>
      </w:r>
      <w:r w:rsidRPr="00230E72">
        <w:rPr>
          <w:rFonts w:ascii="Bookman Old Style" w:hAnsi="Bookman Old Style" w:cs="Arial"/>
          <w:lang w:val="es-CO"/>
        </w:rPr>
        <w:t xml:space="preserve">y se mantendrá vigente según las condiciones establecidas para la ventana de aplicación de que trata el artículo </w:t>
      </w:r>
      <w:r w:rsidRPr="00230E72">
        <w:rPr>
          <w:rFonts w:ascii="Bookman Old Style" w:hAnsi="Bookman Old Style" w:cs="Arial"/>
          <w:iCs/>
          <w:lang w:val="es-CO"/>
        </w:rPr>
        <w:fldChar w:fldCharType="begin"/>
      </w:r>
      <w:r w:rsidRPr="00230E72">
        <w:rPr>
          <w:rFonts w:ascii="Bookman Old Style" w:hAnsi="Bookman Old Style" w:cs="Arial"/>
          <w:iCs/>
          <w:lang w:val="es-CO"/>
        </w:rPr>
        <w:instrText xml:space="preserve"> REF _Ref176856420 \r \h \t  \* MERGEFORMAT </w:instrText>
      </w:r>
      <w:r w:rsidRPr="00230E72">
        <w:rPr>
          <w:rFonts w:ascii="Bookman Old Style" w:hAnsi="Bookman Old Style" w:cs="Arial"/>
          <w:iCs/>
          <w:lang w:val="es-CO"/>
        </w:rPr>
      </w:r>
      <w:r w:rsidRPr="00230E72">
        <w:rPr>
          <w:rFonts w:ascii="Bookman Old Style" w:hAnsi="Bookman Old Style" w:cs="Arial"/>
          <w:iCs/>
          <w:lang w:val="es-CO"/>
        </w:rPr>
        <w:fldChar w:fldCharType="separate"/>
      </w:r>
      <w:r w:rsidR="00821DA0">
        <w:rPr>
          <w:rFonts w:ascii="Bookman Old Style" w:hAnsi="Bookman Old Style" w:cs="Arial"/>
          <w:iCs/>
          <w:lang w:val="es-CO"/>
        </w:rPr>
        <w:t>3</w:t>
      </w:r>
      <w:r w:rsidRPr="00230E72">
        <w:rPr>
          <w:rFonts w:ascii="Bookman Old Style" w:hAnsi="Bookman Old Style" w:cs="Arial"/>
          <w:iCs/>
          <w:lang w:val="es-CO"/>
        </w:rPr>
        <w:fldChar w:fldCharType="end"/>
      </w:r>
      <w:r w:rsidRPr="00230E72">
        <w:rPr>
          <w:rFonts w:ascii="Bookman Old Style" w:hAnsi="Bookman Old Style" w:cs="Arial"/>
          <w:lang w:val="es-CO"/>
        </w:rPr>
        <w:t xml:space="preserve"> de la presente resolución.</w:t>
      </w:r>
    </w:p>
    <w:p w14:paraId="1A65BDF4" w14:textId="77777777" w:rsidR="00045D3D" w:rsidRPr="00230E72" w:rsidRDefault="00045D3D" w:rsidP="00230E72">
      <w:pPr>
        <w:ind w:left="0"/>
        <w:jc w:val="both"/>
        <w:rPr>
          <w:rFonts w:ascii="Bookman Old Style" w:hAnsi="Bookman Old Style"/>
          <w:iCs/>
          <w:szCs w:val="28"/>
        </w:rPr>
      </w:pPr>
    </w:p>
    <w:p w14:paraId="4C3505C4" w14:textId="77777777" w:rsidR="00045D3D" w:rsidRPr="00C435C3" w:rsidRDefault="00045D3D" w:rsidP="00045D3D">
      <w:pPr>
        <w:ind w:left="0"/>
        <w:rPr>
          <w:rFonts w:ascii="Bookman Old Style" w:hAnsi="Bookman Old Style"/>
        </w:rPr>
      </w:pPr>
    </w:p>
    <w:p w14:paraId="292B1F06" w14:textId="2047FE45" w:rsidR="00045D3D" w:rsidRPr="00C435C3" w:rsidRDefault="00045D3D" w:rsidP="00045D3D">
      <w:pPr>
        <w:jc w:val="center"/>
        <w:rPr>
          <w:rFonts w:ascii="Bookman Old Style" w:hAnsi="Bookman Old Style"/>
          <w:b/>
        </w:rPr>
      </w:pPr>
      <w:r w:rsidRPr="00C435C3">
        <w:rPr>
          <w:rFonts w:ascii="Bookman Old Style" w:hAnsi="Bookman Old Style"/>
          <w:b/>
        </w:rPr>
        <w:t>PU</w:t>
      </w:r>
      <w:r w:rsidR="00CA03C8">
        <w:rPr>
          <w:rFonts w:ascii="Bookman Old Style" w:hAnsi="Bookman Old Style"/>
          <w:b/>
        </w:rPr>
        <w:t>B</w:t>
      </w:r>
      <w:r w:rsidRPr="00C435C3">
        <w:rPr>
          <w:rFonts w:ascii="Bookman Old Style" w:hAnsi="Bookman Old Style"/>
          <w:b/>
        </w:rPr>
        <w:t>LÍQUESE Y CÚMPLASE</w:t>
      </w:r>
    </w:p>
    <w:sectPr w:rsidR="00045D3D" w:rsidRPr="00C435C3" w:rsidSect="005A59EF">
      <w:headerReference w:type="default" r:id="rId14"/>
      <w:headerReference w:type="first" r:id="rId15"/>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F2B03" w14:textId="77777777" w:rsidR="00DB0A04" w:rsidRDefault="00DB0A04">
      <w:r>
        <w:separator/>
      </w:r>
    </w:p>
  </w:endnote>
  <w:endnote w:type="continuationSeparator" w:id="0">
    <w:p w14:paraId="1EF02074" w14:textId="77777777" w:rsidR="00DB0A04" w:rsidRDefault="00DB0A04">
      <w:r>
        <w:continuationSeparator/>
      </w:r>
    </w:p>
  </w:endnote>
  <w:endnote w:type="continuationNotice" w:id="1">
    <w:p w14:paraId="619ADA90" w14:textId="77777777" w:rsidR="00DB0A04" w:rsidRDefault="00DB0A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1F018" w14:textId="77777777" w:rsidR="00DB0A04" w:rsidRDefault="00DB0A04">
      <w:r>
        <w:separator/>
      </w:r>
    </w:p>
  </w:footnote>
  <w:footnote w:type="continuationSeparator" w:id="0">
    <w:p w14:paraId="6437B526" w14:textId="77777777" w:rsidR="00DB0A04" w:rsidRDefault="00DB0A04">
      <w:r>
        <w:continuationSeparator/>
      </w:r>
    </w:p>
  </w:footnote>
  <w:footnote w:type="continuationNotice" w:id="1">
    <w:p w14:paraId="10E17994" w14:textId="77777777" w:rsidR="00DB0A04" w:rsidRDefault="00DB0A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87ED" w14:textId="77777777" w:rsidR="00CC51D4" w:rsidRDefault="00CC51D4" w:rsidP="00951F79">
    <w:pPr>
      <w:pStyle w:val="Ttulo1"/>
      <w:ind w:right="6"/>
      <w:jc w:val="left"/>
      <w:rPr>
        <w:rFonts w:ascii="Bookman Old Style" w:hAnsi="Bookman Old Style" w:cs="Arial"/>
        <w:b w:val="0"/>
        <w:sz w:val="22"/>
        <w:szCs w:val="22"/>
      </w:rPr>
    </w:pPr>
  </w:p>
  <w:p w14:paraId="267D8AF5" w14:textId="42F68575" w:rsidR="0087657D" w:rsidRPr="00951F79" w:rsidRDefault="00EE0215" w:rsidP="009F4BEC">
    <w:pPr>
      <w:pStyle w:val="Ttulo1"/>
      <w:ind w:left="0" w:right="6"/>
      <w:jc w:val="left"/>
      <w:rPr>
        <w:rFonts w:ascii="Bookman Old Style" w:hAnsi="Bookman Old Style" w:cs="Arial"/>
        <w:b w:val="0"/>
        <w:sz w:val="22"/>
        <w:szCs w:val="22"/>
      </w:rPr>
    </w:pPr>
    <w:r>
      <w:rPr>
        <w:rFonts w:ascii="Bookman Old Style" w:hAnsi="Bookman Old Style" w:cs="Arial"/>
        <w:b w:val="0"/>
        <w:sz w:val="22"/>
        <w:szCs w:val="22"/>
      </w:rPr>
      <w:t xml:space="preserve">PROYECTO DE </w:t>
    </w:r>
    <w:r w:rsidR="00725FA4" w:rsidRPr="00654384">
      <w:rPr>
        <w:rFonts w:ascii="Bookman Old Style" w:hAnsi="Bookman Old Style" w:cs="Arial"/>
        <w:b w:val="0"/>
        <w:sz w:val="22"/>
        <w:szCs w:val="22"/>
      </w:rPr>
      <w:t xml:space="preserve">RESOLUCIÓN </w:t>
    </w:r>
    <w:proofErr w:type="gramStart"/>
    <w:r w:rsidR="00725FA4" w:rsidRPr="00654384">
      <w:rPr>
        <w:rFonts w:ascii="Bookman Old Style" w:hAnsi="Bookman Old Style" w:cs="Arial"/>
        <w:b w:val="0"/>
        <w:sz w:val="22"/>
        <w:szCs w:val="22"/>
      </w:rPr>
      <w:t>No.</w:t>
    </w:r>
    <w:r w:rsidR="00951F79">
      <w:rPr>
        <w:rFonts w:ascii="Bookman Old Style" w:hAnsi="Bookman Old Style" w:cs="Arial"/>
        <w:b w:val="0"/>
        <w:sz w:val="22"/>
        <w:szCs w:val="22"/>
      </w:rPr>
      <w:t xml:space="preserve">  </w:t>
    </w:r>
    <w:r w:rsidR="006A6166" w:rsidRPr="006A6166">
      <w:rPr>
        <w:rFonts w:ascii="Bookman Old Style" w:hAnsi="Bookman Old Style" w:cs="Arial"/>
        <w:bCs/>
        <w:sz w:val="22"/>
        <w:szCs w:val="22"/>
        <w:u w:val="single"/>
      </w:rPr>
      <w:t>701</w:t>
    </w:r>
    <w:proofErr w:type="gramEnd"/>
    <w:r w:rsidR="006A6166" w:rsidRPr="006A6166">
      <w:rPr>
        <w:rFonts w:ascii="Bookman Old Style" w:hAnsi="Bookman Old Style" w:cs="Arial"/>
        <w:bCs/>
        <w:sz w:val="22"/>
        <w:szCs w:val="22"/>
        <w:u w:val="single"/>
      </w:rPr>
      <w:t xml:space="preserve"> 064</w:t>
    </w:r>
    <w:r w:rsidR="00725FA4" w:rsidRPr="00654384">
      <w:rPr>
        <w:rFonts w:ascii="Bookman Old Style" w:hAnsi="Bookman Old Style" w:cs="Arial"/>
        <w:b w:val="0"/>
        <w:sz w:val="22"/>
        <w:szCs w:val="22"/>
      </w:rPr>
      <w:tab/>
    </w:r>
    <w:r w:rsidR="00886EE1">
      <w:rPr>
        <w:rFonts w:ascii="Bookman Old Style" w:hAnsi="Bookman Old Style" w:cs="Arial"/>
        <w:b w:val="0"/>
        <w:sz w:val="22"/>
        <w:szCs w:val="22"/>
      </w:rPr>
      <w:t>DE</w:t>
    </w:r>
    <w:r w:rsidR="000D26F8">
      <w:rPr>
        <w:rFonts w:ascii="Bookman Old Style" w:hAnsi="Bookman Old Style" w:cs="Arial"/>
        <w:b w:val="0"/>
        <w:sz w:val="22"/>
        <w:szCs w:val="22"/>
      </w:rPr>
      <w:t xml:space="preserve"> </w:t>
    </w:r>
    <w:r w:rsidR="006A6166" w:rsidRPr="006A6166">
      <w:rPr>
        <w:rFonts w:ascii="Bookman Old Style" w:hAnsi="Bookman Old Style"/>
        <w:bCs/>
        <w:szCs w:val="24"/>
        <w:u w:val="single"/>
      </w:rPr>
      <w:t>12 SEP.2024</w:t>
    </w:r>
    <w:r w:rsidR="003D076C">
      <w:rPr>
        <w:rFonts w:ascii="Bookman Old Style" w:hAnsi="Bookman Old Style" w:cs="Arial"/>
        <w:b w:val="0"/>
        <w:sz w:val="22"/>
        <w:szCs w:val="22"/>
      </w:rPr>
      <w:tab/>
    </w:r>
    <w:r w:rsidR="00725FA4"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F77D2D">
      <w:rPr>
        <w:rFonts w:ascii="Bookman Old Style" w:hAnsi="Bookman Old Style" w:cs="Arial"/>
        <w:b w:val="0"/>
        <w:noProof/>
        <w:sz w:val="22"/>
        <w:szCs w:val="22"/>
      </w:rPr>
      <w:t>2</w:t>
    </w:r>
    <w:r w:rsidR="0042068C" w:rsidRPr="00654384">
      <w:rPr>
        <w:rFonts w:ascii="Bookman Old Style" w:hAnsi="Bookman Old Style" w:cs="Arial"/>
        <w:b w:val="0"/>
        <w:sz w:val="22"/>
        <w:szCs w:val="22"/>
      </w:rPr>
      <w:fldChar w:fldCharType="end"/>
    </w:r>
    <w:r w:rsidR="00725FA4" w:rsidRPr="00654384">
      <w:rPr>
        <w:rFonts w:ascii="Bookman Old Style" w:hAnsi="Bookman Old Style" w:cs="Arial"/>
        <w:b w:val="0"/>
        <w:sz w:val="22"/>
        <w:szCs w:val="22"/>
      </w:rPr>
      <w:t>/</w:t>
    </w:r>
    <w:fldSimple w:instr=" NUMPAGES  \* MERGEFORMAT ">
      <w:r w:rsidR="00F77D2D" w:rsidRPr="00F77D2D">
        <w:rPr>
          <w:rFonts w:ascii="Bookman Old Style" w:hAnsi="Bookman Old Style" w:cs="Arial"/>
          <w:b w:val="0"/>
          <w:noProof/>
          <w:sz w:val="22"/>
          <w:szCs w:val="22"/>
        </w:rPr>
        <w:t>2</w:t>
      </w:r>
    </w:fldSimple>
  </w:p>
  <w:p w14:paraId="39489639" w14:textId="4A2B8A3C" w:rsidR="006F6D95" w:rsidRDefault="00DF16F5" w:rsidP="00AD01E4">
    <w:pPr>
      <w:ind w:left="142" w:right="148"/>
      <w:rPr>
        <w:rFonts w:ascii="Bookman Old Style" w:hAnsi="Bookman Old Style" w:cs="Arial"/>
      </w:rPr>
    </w:pPr>
    <w:r w:rsidRPr="0042068C">
      <w:rPr>
        <w:noProof/>
      </w:rPr>
      <mc:AlternateContent>
        <mc:Choice Requires="wps">
          <w:drawing>
            <wp:anchor distT="0" distB="0" distL="114300" distR="114300" simplePos="0" relativeHeight="251658240"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0E73C70F"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1C6991BF" w14:textId="6912A036" w:rsidR="006A6166" w:rsidRDefault="006A6166" w:rsidP="006A6166">
    <w:pPr>
      <w:ind w:left="0"/>
      <w:jc w:val="both"/>
      <w:rPr>
        <w:rFonts w:ascii="Bookman Old Style" w:hAnsi="Bookman Old Style"/>
        <w:sz w:val="22"/>
        <w:szCs w:val="22"/>
      </w:rPr>
    </w:pPr>
    <w:r>
      <w:rPr>
        <w:rFonts w:ascii="Bookman Old Style" w:hAnsi="Bookman Old Style"/>
        <w:sz w:val="22"/>
        <w:szCs w:val="22"/>
      </w:rPr>
      <w:t>_____________________________________________________________________________________</w:t>
    </w:r>
  </w:p>
  <w:p w14:paraId="3A8A20F6" w14:textId="77777777" w:rsidR="006A6166" w:rsidRDefault="006A6166" w:rsidP="006A6166">
    <w:pPr>
      <w:ind w:left="0"/>
      <w:jc w:val="both"/>
      <w:rPr>
        <w:rFonts w:ascii="Bookman Old Style" w:hAnsi="Bookman Old Style"/>
        <w:sz w:val="22"/>
        <w:szCs w:val="22"/>
      </w:rPr>
    </w:pPr>
  </w:p>
  <w:p w14:paraId="49327DAA" w14:textId="77777777" w:rsidR="006A6166" w:rsidRPr="006A6166" w:rsidRDefault="006A6166" w:rsidP="006A6166">
    <w:pPr>
      <w:ind w:left="0"/>
      <w:jc w:val="both"/>
      <w:rPr>
        <w:rFonts w:ascii="Bookman Old Style" w:hAnsi="Bookman Old Style"/>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DA16" w14:textId="77777777" w:rsidR="00725FA4" w:rsidRDefault="00025383" w:rsidP="00025383">
    <w:pPr>
      <w:pStyle w:val="Encabezado"/>
      <w:jc w:val="both"/>
      <w:rPr>
        <w:rFonts w:ascii="Arial" w:hAnsi="Arial" w:cs="Arial"/>
        <w:spacing w:val="20"/>
        <w:sz w:val="20"/>
      </w:rPr>
    </w:pPr>
    <w:r>
      <w:rPr>
        <w:rFonts w:ascii="Arial" w:hAnsi="Arial" w:cs="Arial"/>
        <w:spacing w:val="20"/>
        <w:sz w:val="20"/>
      </w:rPr>
      <w:t xml:space="preserve">                                   </w:t>
    </w:r>
    <w:r w:rsidR="00725FA4">
      <w:rPr>
        <w:rFonts w:ascii="Arial" w:hAnsi="Arial" w:cs="Arial"/>
        <w:spacing w:val="20"/>
        <w:sz w:val="20"/>
      </w:rPr>
      <w:t>República de Colombia</w:t>
    </w:r>
  </w:p>
  <w:p w14:paraId="273850B7" w14:textId="77777777" w:rsidR="00725FA4" w:rsidRDefault="00725FA4">
    <w:pPr>
      <w:pStyle w:val="Encabezado"/>
      <w:jc w:val="center"/>
      <w:rPr>
        <w:rFonts w:ascii="Arial" w:hAnsi="Arial" w:cs="Arial"/>
        <w:spacing w:val="20"/>
        <w:sz w:val="20"/>
      </w:rPr>
    </w:pPr>
  </w:p>
  <w:p w14:paraId="367D4456" w14:textId="76DA3229" w:rsidR="00725FA4" w:rsidRDefault="00DF16F5"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1"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56678AB"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94A5656"/>
    <w:multiLevelType w:val="hybridMultilevel"/>
    <w:tmpl w:val="358CBE10"/>
    <w:lvl w:ilvl="0" w:tplc="1070E830">
      <w:start w:val="1"/>
      <w:numFmt w:val="decimal"/>
      <w:pStyle w:val="Artculo"/>
      <w:lvlText w:val="Artículo %1."/>
      <w:lvlJc w:val="left"/>
      <w:pPr>
        <w:ind w:left="360" w:hanging="360"/>
      </w:pPr>
      <w:rPr>
        <w:rFonts w:hint="default"/>
        <w:b/>
        <w:bCs/>
        <w:i w:val="0"/>
        <w:iCs w:val="0"/>
      </w:rPr>
    </w:lvl>
    <w:lvl w:ilvl="1" w:tplc="7A34908E">
      <w:start w:val="1"/>
      <w:numFmt w:val="decimal"/>
      <w:lvlText w:val="%2."/>
      <w:lvlJc w:val="left"/>
      <w:pPr>
        <w:ind w:left="1080" w:hanging="360"/>
      </w:pPr>
      <w:rPr>
        <w:rFonts w:hint="default"/>
      </w:rPr>
    </w:lvl>
    <w:lvl w:ilvl="2" w:tplc="EA86B228">
      <w:start w:val="1"/>
      <w:numFmt w:val="lowerLetter"/>
      <w:lvlText w:val="%3."/>
      <w:lvlJc w:val="left"/>
      <w:pPr>
        <w:ind w:left="1980" w:hanging="360"/>
      </w:pPr>
      <w:rPr>
        <w:rFonts w:hint="default"/>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32CA1ECD"/>
    <w:multiLevelType w:val="hybridMultilevel"/>
    <w:tmpl w:val="93FCD3FA"/>
    <w:lvl w:ilvl="0" w:tplc="C0DC45D0">
      <w:start w:val="1"/>
      <w:numFmt w:val="lowerLetter"/>
      <w:lvlText w:val="%1)"/>
      <w:lvlJc w:val="left"/>
      <w:pPr>
        <w:ind w:left="360" w:hanging="360"/>
      </w:pPr>
      <w:rPr>
        <w:b w:val="0"/>
        <w:bCs w:val="0"/>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1"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4"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6"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7" w15:restartNumberingAfterBreak="0">
    <w:nsid w:val="5669324E"/>
    <w:multiLevelType w:val="hybridMultilevel"/>
    <w:tmpl w:val="36D4C224"/>
    <w:lvl w:ilvl="0" w:tplc="240A0017">
      <w:start w:val="1"/>
      <w:numFmt w:val="lowerLetter"/>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8"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2"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0953670">
    <w:abstractNumId w:val="13"/>
  </w:num>
  <w:num w:numId="2" w16cid:durableId="1497382030">
    <w:abstractNumId w:val="5"/>
  </w:num>
  <w:num w:numId="3" w16cid:durableId="1643658739">
    <w:abstractNumId w:val="23"/>
  </w:num>
  <w:num w:numId="4" w16cid:durableId="1416053916">
    <w:abstractNumId w:val="7"/>
  </w:num>
  <w:num w:numId="5" w16cid:durableId="1460681335">
    <w:abstractNumId w:val="18"/>
  </w:num>
  <w:num w:numId="6" w16cid:durableId="432214895">
    <w:abstractNumId w:val="4"/>
  </w:num>
  <w:num w:numId="7" w16cid:durableId="845751384">
    <w:abstractNumId w:val="3"/>
  </w:num>
  <w:num w:numId="8" w16cid:durableId="29301030">
    <w:abstractNumId w:val="20"/>
  </w:num>
  <w:num w:numId="9" w16cid:durableId="2003662021">
    <w:abstractNumId w:val="19"/>
  </w:num>
  <w:num w:numId="10" w16cid:durableId="2014674860">
    <w:abstractNumId w:val="14"/>
  </w:num>
  <w:num w:numId="11" w16cid:durableId="958032325">
    <w:abstractNumId w:val="24"/>
  </w:num>
  <w:num w:numId="12" w16cid:durableId="1838691975">
    <w:abstractNumId w:val="22"/>
  </w:num>
  <w:num w:numId="13" w16cid:durableId="273679532">
    <w:abstractNumId w:val="12"/>
  </w:num>
  <w:num w:numId="14" w16cid:durableId="2070683866">
    <w:abstractNumId w:val="2"/>
  </w:num>
  <w:num w:numId="15" w16cid:durableId="1975476040">
    <w:abstractNumId w:val="15"/>
  </w:num>
  <w:num w:numId="16" w16cid:durableId="83963299">
    <w:abstractNumId w:val="1"/>
  </w:num>
  <w:num w:numId="17" w16cid:durableId="353533871">
    <w:abstractNumId w:val="11"/>
  </w:num>
  <w:num w:numId="18" w16cid:durableId="788664195">
    <w:abstractNumId w:val="0"/>
  </w:num>
  <w:num w:numId="19" w16cid:durableId="1454788596">
    <w:abstractNumId w:val="21"/>
  </w:num>
  <w:num w:numId="20" w16cid:durableId="1999069271">
    <w:abstractNumId w:val="16"/>
  </w:num>
  <w:num w:numId="21" w16cid:durableId="1075667280">
    <w:abstractNumId w:val="8"/>
  </w:num>
  <w:num w:numId="22" w16cid:durableId="40371620">
    <w:abstractNumId w:val="9"/>
  </w:num>
  <w:num w:numId="23" w16cid:durableId="286787741">
    <w:abstractNumId w:val="6"/>
  </w:num>
  <w:num w:numId="24" w16cid:durableId="122236007">
    <w:abstractNumId w:val="10"/>
  </w:num>
  <w:num w:numId="25" w16cid:durableId="17008136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1FE1"/>
    <w:rsid w:val="00005F61"/>
    <w:rsid w:val="00006AE2"/>
    <w:rsid w:val="000076A1"/>
    <w:rsid w:val="00012259"/>
    <w:rsid w:val="00017E85"/>
    <w:rsid w:val="00025383"/>
    <w:rsid w:val="00027E77"/>
    <w:rsid w:val="000304F0"/>
    <w:rsid w:val="000353FE"/>
    <w:rsid w:val="00042EBD"/>
    <w:rsid w:val="00045D3D"/>
    <w:rsid w:val="00045FA4"/>
    <w:rsid w:val="0005170F"/>
    <w:rsid w:val="00063283"/>
    <w:rsid w:val="00063657"/>
    <w:rsid w:val="00073559"/>
    <w:rsid w:val="00076680"/>
    <w:rsid w:val="00076A1D"/>
    <w:rsid w:val="0008073E"/>
    <w:rsid w:val="0008360D"/>
    <w:rsid w:val="00083BEC"/>
    <w:rsid w:val="00086EB9"/>
    <w:rsid w:val="00087263"/>
    <w:rsid w:val="00091CDB"/>
    <w:rsid w:val="000A19AC"/>
    <w:rsid w:val="000B2EC9"/>
    <w:rsid w:val="000B4921"/>
    <w:rsid w:val="000B5E9F"/>
    <w:rsid w:val="000C2CF2"/>
    <w:rsid w:val="000C30D5"/>
    <w:rsid w:val="000C7CD9"/>
    <w:rsid w:val="000D24CF"/>
    <w:rsid w:val="000D26F8"/>
    <w:rsid w:val="000D3EBE"/>
    <w:rsid w:val="000D7A58"/>
    <w:rsid w:val="000F64AB"/>
    <w:rsid w:val="00106654"/>
    <w:rsid w:val="00110712"/>
    <w:rsid w:val="00113C62"/>
    <w:rsid w:val="00125479"/>
    <w:rsid w:val="00131304"/>
    <w:rsid w:val="0013526C"/>
    <w:rsid w:val="001405C6"/>
    <w:rsid w:val="00141013"/>
    <w:rsid w:val="00154AB0"/>
    <w:rsid w:val="0016042B"/>
    <w:rsid w:val="00163A35"/>
    <w:rsid w:val="00180B83"/>
    <w:rsid w:val="00182D6B"/>
    <w:rsid w:val="00192796"/>
    <w:rsid w:val="00192CBF"/>
    <w:rsid w:val="00192FF1"/>
    <w:rsid w:val="001A1400"/>
    <w:rsid w:val="001A405C"/>
    <w:rsid w:val="001A5F1B"/>
    <w:rsid w:val="001B1C22"/>
    <w:rsid w:val="001B34C6"/>
    <w:rsid w:val="001B6E4F"/>
    <w:rsid w:val="001C756F"/>
    <w:rsid w:val="001D7832"/>
    <w:rsid w:val="001E08E4"/>
    <w:rsid w:val="001E7081"/>
    <w:rsid w:val="001F3A9C"/>
    <w:rsid w:val="001F7595"/>
    <w:rsid w:val="00210DC1"/>
    <w:rsid w:val="00211D34"/>
    <w:rsid w:val="00214F04"/>
    <w:rsid w:val="00217085"/>
    <w:rsid w:val="002202FC"/>
    <w:rsid w:val="00225337"/>
    <w:rsid w:val="00230E72"/>
    <w:rsid w:val="00234494"/>
    <w:rsid w:val="002352B9"/>
    <w:rsid w:val="002417D2"/>
    <w:rsid w:val="0025542B"/>
    <w:rsid w:val="00256305"/>
    <w:rsid w:val="00266A8C"/>
    <w:rsid w:val="00266CD6"/>
    <w:rsid w:val="002673AC"/>
    <w:rsid w:val="00275DAB"/>
    <w:rsid w:val="00284F7A"/>
    <w:rsid w:val="002903C0"/>
    <w:rsid w:val="002A3C1A"/>
    <w:rsid w:val="002A574F"/>
    <w:rsid w:val="002A782A"/>
    <w:rsid w:val="002B11E2"/>
    <w:rsid w:val="002B24B8"/>
    <w:rsid w:val="002B7808"/>
    <w:rsid w:val="002C6FB9"/>
    <w:rsid w:val="002D1705"/>
    <w:rsid w:val="002D3A53"/>
    <w:rsid w:val="002D3AE9"/>
    <w:rsid w:val="002D4510"/>
    <w:rsid w:val="002E086C"/>
    <w:rsid w:val="002F0734"/>
    <w:rsid w:val="002F175F"/>
    <w:rsid w:val="002F42CD"/>
    <w:rsid w:val="002F46E7"/>
    <w:rsid w:val="003101DA"/>
    <w:rsid w:val="003111C3"/>
    <w:rsid w:val="00314757"/>
    <w:rsid w:val="0031606F"/>
    <w:rsid w:val="003163BC"/>
    <w:rsid w:val="003211CE"/>
    <w:rsid w:val="003229EC"/>
    <w:rsid w:val="00336349"/>
    <w:rsid w:val="00337617"/>
    <w:rsid w:val="00340186"/>
    <w:rsid w:val="003477B3"/>
    <w:rsid w:val="0035403A"/>
    <w:rsid w:val="003561DF"/>
    <w:rsid w:val="0036394B"/>
    <w:rsid w:val="00366DB6"/>
    <w:rsid w:val="003709B5"/>
    <w:rsid w:val="003759C2"/>
    <w:rsid w:val="00386848"/>
    <w:rsid w:val="00397365"/>
    <w:rsid w:val="003A31F6"/>
    <w:rsid w:val="003C3447"/>
    <w:rsid w:val="003D076C"/>
    <w:rsid w:val="003D2C57"/>
    <w:rsid w:val="003D5E04"/>
    <w:rsid w:val="003E78B5"/>
    <w:rsid w:val="003F7135"/>
    <w:rsid w:val="004027BA"/>
    <w:rsid w:val="00404DA2"/>
    <w:rsid w:val="00407FFC"/>
    <w:rsid w:val="00415BAB"/>
    <w:rsid w:val="00415ED2"/>
    <w:rsid w:val="0042068C"/>
    <w:rsid w:val="0044318E"/>
    <w:rsid w:val="00443B35"/>
    <w:rsid w:val="00445544"/>
    <w:rsid w:val="00445E95"/>
    <w:rsid w:val="0045488D"/>
    <w:rsid w:val="0047122B"/>
    <w:rsid w:val="00473B7A"/>
    <w:rsid w:val="00476387"/>
    <w:rsid w:val="004836F0"/>
    <w:rsid w:val="004960E9"/>
    <w:rsid w:val="00497F44"/>
    <w:rsid w:val="004A0FFD"/>
    <w:rsid w:val="004A2664"/>
    <w:rsid w:val="004A2E88"/>
    <w:rsid w:val="004A5305"/>
    <w:rsid w:val="004B2DA9"/>
    <w:rsid w:val="004D7634"/>
    <w:rsid w:val="004E1590"/>
    <w:rsid w:val="004E4CBD"/>
    <w:rsid w:val="004E611A"/>
    <w:rsid w:val="004E6FB8"/>
    <w:rsid w:val="004F6460"/>
    <w:rsid w:val="00505BE2"/>
    <w:rsid w:val="00524D8A"/>
    <w:rsid w:val="005269D5"/>
    <w:rsid w:val="005300D3"/>
    <w:rsid w:val="0053534B"/>
    <w:rsid w:val="00535850"/>
    <w:rsid w:val="00542540"/>
    <w:rsid w:val="00542A10"/>
    <w:rsid w:val="00544F82"/>
    <w:rsid w:val="00545727"/>
    <w:rsid w:val="005509D2"/>
    <w:rsid w:val="00564B2A"/>
    <w:rsid w:val="00570E23"/>
    <w:rsid w:val="00593C4F"/>
    <w:rsid w:val="005946A8"/>
    <w:rsid w:val="00594F23"/>
    <w:rsid w:val="005A25E9"/>
    <w:rsid w:val="005A4407"/>
    <w:rsid w:val="005A59EF"/>
    <w:rsid w:val="005A7AEA"/>
    <w:rsid w:val="005B1C7E"/>
    <w:rsid w:val="005B246D"/>
    <w:rsid w:val="005C053C"/>
    <w:rsid w:val="005C2A9F"/>
    <w:rsid w:val="005C6976"/>
    <w:rsid w:val="005D59D6"/>
    <w:rsid w:val="005F2A09"/>
    <w:rsid w:val="005F591D"/>
    <w:rsid w:val="005F6F41"/>
    <w:rsid w:val="00601E52"/>
    <w:rsid w:val="00607235"/>
    <w:rsid w:val="00622DBF"/>
    <w:rsid w:val="00625DC6"/>
    <w:rsid w:val="00627DAB"/>
    <w:rsid w:val="00637C14"/>
    <w:rsid w:val="00640909"/>
    <w:rsid w:val="0064391D"/>
    <w:rsid w:val="00651821"/>
    <w:rsid w:val="00651D41"/>
    <w:rsid w:val="00653FE5"/>
    <w:rsid w:val="00654384"/>
    <w:rsid w:val="00654E58"/>
    <w:rsid w:val="006603A3"/>
    <w:rsid w:val="00661F04"/>
    <w:rsid w:val="006675CD"/>
    <w:rsid w:val="00672DA4"/>
    <w:rsid w:val="006768CB"/>
    <w:rsid w:val="00684D9B"/>
    <w:rsid w:val="0068510A"/>
    <w:rsid w:val="00687499"/>
    <w:rsid w:val="00687533"/>
    <w:rsid w:val="00697556"/>
    <w:rsid w:val="006A6166"/>
    <w:rsid w:val="006B4647"/>
    <w:rsid w:val="006B4C2B"/>
    <w:rsid w:val="006B6194"/>
    <w:rsid w:val="006B667D"/>
    <w:rsid w:val="006B6D47"/>
    <w:rsid w:val="006B7F7A"/>
    <w:rsid w:val="006C210B"/>
    <w:rsid w:val="006C24BA"/>
    <w:rsid w:val="006C5AFE"/>
    <w:rsid w:val="006C5DFD"/>
    <w:rsid w:val="006D1C5E"/>
    <w:rsid w:val="006E61F8"/>
    <w:rsid w:val="006E698B"/>
    <w:rsid w:val="006F1390"/>
    <w:rsid w:val="006F222C"/>
    <w:rsid w:val="006F2EC8"/>
    <w:rsid w:val="006F3388"/>
    <w:rsid w:val="006F6D95"/>
    <w:rsid w:val="00706F13"/>
    <w:rsid w:val="007072E8"/>
    <w:rsid w:val="00712697"/>
    <w:rsid w:val="007151FE"/>
    <w:rsid w:val="0071618D"/>
    <w:rsid w:val="00725FA4"/>
    <w:rsid w:val="00740446"/>
    <w:rsid w:val="0074203B"/>
    <w:rsid w:val="007438A9"/>
    <w:rsid w:val="00744164"/>
    <w:rsid w:val="0074491E"/>
    <w:rsid w:val="007452E7"/>
    <w:rsid w:val="007605E4"/>
    <w:rsid w:val="00761FC8"/>
    <w:rsid w:val="0076247A"/>
    <w:rsid w:val="00770CB5"/>
    <w:rsid w:val="00772651"/>
    <w:rsid w:val="00775964"/>
    <w:rsid w:val="007765FE"/>
    <w:rsid w:val="00794E2E"/>
    <w:rsid w:val="00795BFB"/>
    <w:rsid w:val="007A360D"/>
    <w:rsid w:val="007A6181"/>
    <w:rsid w:val="007B2760"/>
    <w:rsid w:val="007B5A60"/>
    <w:rsid w:val="007C20BF"/>
    <w:rsid w:val="007D2E53"/>
    <w:rsid w:val="007E7594"/>
    <w:rsid w:val="007F3D6D"/>
    <w:rsid w:val="00804AB7"/>
    <w:rsid w:val="00806C01"/>
    <w:rsid w:val="0081061D"/>
    <w:rsid w:val="008148CC"/>
    <w:rsid w:val="008211A4"/>
    <w:rsid w:val="00821DA0"/>
    <w:rsid w:val="00825DA5"/>
    <w:rsid w:val="00826ED8"/>
    <w:rsid w:val="0084693A"/>
    <w:rsid w:val="00850225"/>
    <w:rsid w:val="0085146A"/>
    <w:rsid w:val="00863BD3"/>
    <w:rsid w:val="00873150"/>
    <w:rsid w:val="00875917"/>
    <w:rsid w:val="0087657D"/>
    <w:rsid w:val="008807D5"/>
    <w:rsid w:val="00880832"/>
    <w:rsid w:val="00886EE1"/>
    <w:rsid w:val="0088727D"/>
    <w:rsid w:val="00893839"/>
    <w:rsid w:val="00897C75"/>
    <w:rsid w:val="008A0603"/>
    <w:rsid w:val="008A7ABF"/>
    <w:rsid w:val="008B1E0C"/>
    <w:rsid w:val="008C1130"/>
    <w:rsid w:val="008D07AA"/>
    <w:rsid w:val="008D18E6"/>
    <w:rsid w:val="008D208F"/>
    <w:rsid w:val="008D7A9B"/>
    <w:rsid w:val="008E0060"/>
    <w:rsid w:val="008E61C2"/>
    <w:rsid w:val="008E7091"/>
    <w:rsid w:val="008E76AC"/>
    <w:rsid w:val="008F1048"/>
    <w:rsid w:val="008F2114"/>
    <w:rsid w:val="008F21F6"/>
    <w:rsid w:val="008F44F2"/>
    <w:rsid w:val="008F633F"/>
    <w:rsid w:val="008F7C62"/>
    <w:rsid w:val="00900603"/>
    <w:rsid w:val="00940BB3"/>
    <w:rsid w:val="00951F79"/>
    <w:rsid w:val="00974AB5"/>
    <w:rsid w:val="00982F95"/>
    <w:rsid w:val="0098706D"/>
    <w:rsid w:val="009935FB"/>
    <w:rsid w:val="009B1BE6"/>
    <w:rsid w:val="009D118B"/>
    <w:rsid w:val="009E5FCB"/>
    <w:rsid w:val="009F4A54"/>
    <w:rsid w:val="009F4BEC"/>
    <w:rsid w:val="009F5874"/>
    <w:rsid w:val="00A02BF6"/>
    <w:rsid w:val="00A06511"/>
    <w:rsid w:val="00A06BB4"/>
    <w:rsid w:val="00A07E13"/>
    <w:rsid w:val="00A21E30"/>
    <w:rsid w:val="00A25FD7"/>
    <w:rsid w:val="00A30508"/>
    <w:rsid w:val="00A36CF2"/>
    <w:rsid w:val="00A43AFF"/>
    <w:rsid w:val="00A45A28"/>
    <w:rsid w:val="00A622E0"/>
    <w:rsid w:val="00A7197C"/>
    <w:rsid w:val="00A73E82"/>
    <w:rsid w:val="00A74496"/>
    <w:rsid w:val="00A7793A"/>
    <w:rsid w:val="00A8593F"/>
    <w:rsid w:val="00A90883"/>
    <w:rsid w:val="00AA0067"/>
    <w:rsid w:val="00AA4CC7"/>
    <w:rsid w:val="00AA5E8E"/>
    <w:rsid w:val="00AB2BAD"/>
    <w:rsid w:val="00AB6CA7"/>
    <w:rsid w:val="00AD01E4"/>
    <w:rsid w:val="00AD0858"/>
    <w:rsid w:val="00AE02E3"/>
    <w:rsid w:val="00AE7340"/>
    <w:rsid w:val="00AF1BBD"/>
    <w:rsid w:val="00AF4E09"/>
    <w:rsid w:val="00B036B8"/>
    <w:rsid w:val="00B048EF"/>
    <w:rsid w:val="00B06A32"/>
    <w:rsid w:val="00B10207"/>
    <w:rsid w:val="00B11ECF"/>
    <w:rsid w:val="00B139E1"/>
    <w:rsid w:val="00B141E7"/>
    <w:rsid w:val="00B25292"/>
    <w:rsid w:val="00B3133E"/>
    <w:rsid w:val="00B351B4"/>
    <w:rsid w:val="00B4008B"/>
    <w:rsid w:val="00B42D9B"/>
    <w:rsid w:val="00B46BCA"/>
    <w:rsid w:val="00B478AA"/>
    <w:rsid w:val="00B6359A"/>
    <w:rsid w:val="00B64CB5"/>
    <w:rsid w:val="00B87806"/>
    <w:rsid w:val="00B87EC9"/>
    <w:rsid w:val="00B933FB"/>
    <w:rsid w:val="00BB3802"/>
    <w:rsid w:val="00BC126D"/>
    <w:rsid w:val="00BC38FD"/>
    <w:rsid w:val="00BC56A6"/>
    <w:rsid w:val="00C034CB"/>
    <w:rsid w:val="00C051A8"/>
    <w:rsid w:val="00C054BC"/>
    <w:rsid w:val="00C067D5"/>
    <w:rsid w:val="00C1299F"/>
    <w:rsid w:val="00C17713"/>
    <w:rsid w:val="00C17897"/>
    <w:rsid w:val="00C30F3B"/>
    <w:rsid w:val="00C360FC"/>
    <w:rsid w:val="00C409D5"/>
    <w:rsid w:val="00C435C3"/>
    <w:rsid w:val="00C4361B"/>
    <w:rsid w:val="00C44E5F"/>
    <w:rsid w:val="00C46398"/>
    <w:rsid w:val="00C506FD"/>
    <w:rsid w:val="00C51B7C"/>
    <w:rsid w:val="00C6234B"/>
    <w:rsid w:val="00C63EAE"/>
    <w:rsid w:val="00C726FA"/>
    <w:rsid w:val="00C73260"/>
    <w:rsid w:val="00C74AD5"/>
    <w:rsid w:val="00C7629F"/>
    <w:rsid w:val="00C77DC4"/>
    <w:rsid w:val="00C8661B"/>
    <w:rsid w:val="00CA03C8"/>
    <w:rsid w:val="00CA139A"/>
    <w:rsid w:val="00CA2899"/>
    <w:rsid w:val="00CA3A3D"/>
    <w:rsid w:val="00CA3AA6"/>
    <w:rsid w:val="00CA77FB"/>
    <w:rsid w:val="00CB379B"/>
    <w:rsid w:val="00CB5DD0"/>
    <w:rsid w:val="00CC51D4"/>
    <w:rsid w:val="00CC65DA"/>
    <w:rsid w:val="00CC7D13"/>
    <w:rsid w:val="00CD3CD9"/>
    <w:rsid w:val="00CE2FA1"/>
    <w:rsid w:val="00CE7A8B"/>
    <w:rsid w:val="00CF21B9"/>
    <w:rsid w:val="00CF6BF9"/>
    <w:rsid w:val="00D03800"/>
    <w:rsid w:val="00D057EB"/>
    <w:rsid w:val="00D065D3"/>
    <w:rsid w:val="00D12E33"/>
    <w:rsid w:val="00D13D4C"/>
    <w:rsid w:val="00D1467E"/>
    <w:rsid w:val="00D14C94"/>
    <w:rsid w:val="00D20DC8"/>
    <w:rsid w:val="00D2452C"/>
    <w:rsid w:val="00D25705"/>
    <w:rsid w:val="00D342A6"/>
    <w:rsid w:val="00D45CA6"/>
    <w:rsid w:val="00D464BF"/>
    <w:rsid w:val="00D46AF4"/>
    <w:rsid w:val="00D511BC"/>
    <w:rsid w:val="00D533E7"/>
    <w:rsid w:val="00D53E26"/>
    <w:rsid w:val="00D73060"/>
    <w:rsid w:val="00D83F43"/>
    <w:rsid w:val="00D92EDC"/>
    <w:rsid w:val="00DA359D"/>
    <w:rsid w:val="00DB0A04"/>
    <w:rsid w:val="00DB182C"/>
    <w:rsid w:val="00DD1ACC"/>
    <w:rsid w:val="00DD4F0E"/>
    <w:rsid w:val="00DE1867"/>
    <w:rsid w:val="00DF0BF0"/>
    <w:rsid w:val="00DF16F5"/>
    <w:rsid w:val="00DF3CA2"/>
    <w:rsid w:val="00DF753F"/>
    <w:rsid w:val="00E01463"/>
    <w:rsid w:val="00E0518B"/>
    <w:rsid w:val="00E05E0A"/>
    <w:rsid w:val="00E060BE"/>
    <w:rsid w:val="00E07FAE"/>
    <w:rsid w:val="00E274E0"/>
    <w:rsid w:val="00E3269C"/>
    <w:rsid w:val="00E4105D"/>
    <w:rsid w:val="00E43D94"/>
    <w:rsid w:val="00E534CF"/>
    <w:rsid w:val="00E63920"/>
    <w:rsid w:val="00E73B99"/>
    <w:rsid w:val="00E7696F"/>
    <w:rsid w:val="00E81CB4"/>
    <w:rsid w:val="00E8403C"/>
    <w:rsid w:val="00E8585B"/>
    <w:rsid w:val="00E87F41"/>
    <w:rsid w:val="00E93BF0"/>
    <w:rsid w:val="00EA3F15"/>
    <w:rsid w:val="00EA7847"/>
    <w:rsid w:val="00EB47FB"/>
    <w:rsid w:val="00EB4C2F"/>
    <w:rsid w:val="00EC6732"/>
    <w:rsid w:val="00ED1E7C"/>
    <w:rsid w:val="00EE0215"/>
    <w:rsid w:val="00EE2E6E"/>
    <w:rsid w:val="00EE4BA9"/>
    <w:rsid w:val="00EE78AF"/>
    <w:rsid w:val="00EF152F"/>
    <w:rsid w:val="00F069F8"/>
    <w:rsid w:val="00F0759E"/>
    <w:rsid w:val="00F16A43"/>
    <w:rsid w:val="00F33017"/>
    <w:rsid w:val="00F46780"/>
    <w:rsid w:val="00F548AC"/>
    <w:rsid w:val="00F55135"/>
    <w:rsid w:val="00F55DB1"/>
    <w:rsid w:val="00F578D8"/>
    <w:rsid w:val="00F67D67"/>
    <w:rsid w:val="00F7578E"/>
    <w:rsid w:val="00F75BE5"/>
    <w:rsid w:val="00F77D2D"/>
    <w:rsid w:val="00F821A3"/>
    <w:rsid w:val="00F87CE4"/>
    <w:rsid w:val="00F92046"/>
    <w:rsid w:val="00F9314A"/>
    <w:rsid w:val="00F940B2"/>
    <w:rsid w:val="00F975EA"/>
    <w:rsid w:val="00FA0A3D"/>
    <w:rsid w:val="00FA0F1E"/>
    <w:rsid w:val="00FA777D"/>
    <w:rsid w:val="00FC1DFA"/>
    <w:rsid w:val="00FC25DD"/>
    <w:rsid w:val="00FC2CC9"/>
    <w:rsid w:val="00FC3414"/>
    <w:rsid w:val="00FC58EF"/>
    <w:rsid w:val="00FD33DF"/>
    <w:rsid w:val="00FE215F"/>
    <w:rsid w:val="00FE39D7"/>
    <w:rsid w:val="00FE467B"/>
    <w:rsid w:val="00FF33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C91D7E5B-3329-4568-8EF0-FCEA2C72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qFormat/>
    <w:rsid w:val="001405C6"/>
    <w:pPr>
      <w:ind w:left="708"/>
    </w:pPr>
    <w:rPr>
      <w:sz w:val="20"/>
      <w:szCs w:val="20"/>
      <w:lang w:val="es-CO"/>
    </w:rPr>
  </w:style>
  <w:style w:type="character" w:customStyle="1" w:styleId="PrrafodelistaCar">
    <w:name w:val="Párrafo de lista Car"/>
    <w:link w:val="Prrafodelista"/>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customStyle="1" w:styleId="Artculo">
    <w:name w:val="Artículo"/>
    <w:basedOn w:val="Normal"/>
    <w:link w:val="ArtculoCar"/>
    <w:qFormat/>
    <w:rsid w:val="00230E72"/>
    <w:pPr>
      <w:numPr>
        <w:numId w:val="23"/>
      </w:numPr>
      <w:spacing w:before="240" w:after="240"/>
      <w:jc w:val="both"/>
    </w:pPr>
    <w:rPr>
      <w:rFonts w:ascii="Bookman Old Style" w:hAnsi="Bookman Old Style" w:cs="Arial"/>
      <w:b/>
      <w:bCs/>
      <w:lang w:val="es-CO"/>
    </w:rPr>
  </w:style>
  <w:style w:type="character" w:customStyle="1" w:styleId="ArtculoCar">
    <w:name w:val="Artículo Car"/>
    <w:basedOn w:val="Fuentedeprrafopredeter"/>
    <w:link w:val="Artculo"/>
    <w:rsid w:val="00230E72"/>
    <w:rPr>
      <w:rFonts w:ascii="Bookman Old Style" w:hAnsi="Bookman Old Style" w:cs="Arial"/>
      <w:b/>
      <w:bCs/>
      <w:sz w:val="24"/>
      <w:szCs w:val="24"/>
      <w:lang w:eastAsia="es-ES"/>
    </w:rPr>
  </w:style>
  <w:style w:type="paragraph" w:styleId="Revisin">
    <w:name w:val="Revision"/>
    <w:hidden/>
    <w:uiPriority w:val="99"/>
    <w:semiHidden/>
    <w:rsid w:val="003477B3"/>
    <w:rPr>
      <w:sz w:val="24"/>
      <w:szCs w:val="24"/>
      <w:lang w:val="es-ES" w:eastAsia="es-ES"/>
    </w:rPr>
  </w:style>
  <w:style w:type="character" w:styleId="Refdecomentario">
    <w:name w:val="annotation reference"/>
    <w:basedOn w:val="Fuentedeprrafopredeter"/>
    <w:uiPriority w:val="99"/>
    <w:semiHidden/>
    <w:unhideWhenUsed/>
    <w:rsid w:val="003477B3"/>
    <w:rPr>
      <w:sz w:val="16"/>
      <w:szCs w:val="16"/>
    </w:rPr>
  </w:style>
  <w:style w:type="paragraph" w:styleId="Textocomentario">
    <w:name w:val="annotation text"/>
    <w:basedOn w:val="Normal"/>
    <w:link w:val="TextocomentarioCar"/>
    <w:uiPriority w:val="99"/>
    <w:unhideWhenUsed/>
    <w:rsid w:val="003477B3"/>
    <w:rPr>
      <w:sz w:val="20"/>
      <w:szCs w:val="20"/>
    </w:rPr>
  </w:style>
  <w:style w:type="character" w:customStyle="1" w:styleId="TextocomentarioCar">
    <w:name w:val="Texto comentario Car"/>
    <w:basedOn w:val="Fuentedeprrafopredeter"/>
    <w:link w:val="Textocomentario"/>
    <w:uiPriority w:val="99"/>
    <w:rsid w:val="003477B3"/>
    <w:rPr>
      <w:lang w:val="es-ES" w:eastAsia="es-ES"/>
    </w:rPr>
  </w:style>
  <w:style w:type="paragraph" w:styleId="Asuntodelcomentario">
    <w:name w:val="annotation subject"/>
    <w:basedOn w:val="Textocomentario"/>
    <w:next w:val="Textocomentario"/>
    <w:link w:val="AsuntodelcomentarioCar"/>
    <w:uiPriority w:val="99"/>
    <w:semiHidden/>
    <w:unhideWhenUsed/>
    <w:rsid w:val="003477B3"/>
    <w:rPr>
      <w:b/>
      <w:bCs/>
    </w:rPr>
  </w:style>
  <w:style w:type="character" w:customStyle="1" w:styleId="AsuntodelcomentarioCar">
    <w:name w:val="Asunto del comentario Car"/>
    <w:basedOn w:val="TextocomentarioCar"/>
    <w:link w:val="Asuntodelcomentario"/>
    <w:uiPriority w:val="99"/>
    <w:semiHidden/>
    <w:rsid w:val="003477B3"/>
    <w:rPr>
      <w:b/>
      <w:bCs/>
      <w:lang w:val="es-ES" w:eastAsia="es-ES"/>
    </w:rPr>
  </w:style>
  <w:style w:type="character" w:styleId="Hipervnculo">
    <w:name w:val="Hyperlink"/>
    <w:basedOn w:val="Fuentedeprrafopredeter"/>
    <w:uiPriority w:val="99"/>
    <w:unhideWhenUsed/>
    <w:rsid w:val="003477B3"/>
    <w:rPr>
      <w:color w:val="0563C1" w:themeColor="hyperlink"/>
      <w:u w:val="single"/>
    </w:rPr>
  </w:style>
  <w:style w:type="character" w:styleId="Mencinsinresolver">
    <w:name w:val="Unresolved Mention"/>
    <w:basedOn w:val="Fuentedeprrafopredeter"/>
    <w:uiPriority w:val="99"/>
    <w:semiHidden/>
    <w:unhideWhenUsed/>
    <w:rsid w:val="00347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519644">
      <w:bodyDiv w:val="1"/>
      <w:marLeft w:val="0"/>
      <w:marRight w:val="0"/>
      <w:marTop w:val="0"/>
      <w:marBottom w:val="0"/>
      <w:divBdr>
        <w:top w:val="none" w:sz="0" w:space="0" w:color="auto"/>
        <w:left w:val="none" w:sz="0" w:space="0" w:color="auto"/>
        <w:bottom w:val="none" w:sz="0" w:space="0" w:color="auto"/>
        <w:right w:val="none" w:sz="0" w:space="0" w:color="auto"/>
      </w:divBdr>
      <w:divsChild>
        <w:div w:id="1711489925">
          <w:marLeft w:val="0"/>
          <w:marRight w:val="0"/>
          <w:marTop w:val="0"/>
          <w:marBottom w:val="0"/>
          <w:divBdr>
            <w:top w:val="none" w:sz="0" w:space="0" w:color="auto"/>
            <w:left w:val="none" w:sz="0" w:space="0" w:color="auto"/>
            <w:bottom w:val="none" w:sz="0" w:space="0" w:color="auto"/>
            <w:right w:val="none" w:sz="0" w:space="0" w:color="auto"/>
          </w:divBdr>
          <w:divsChild>
            <w:div w:id="1266377697">
              <w:marLeft w:val="0"/>
              <w:marRight w:val="0"/>
              <w:marTop w:val="0"/>
              <w:marBottom w:val="0"/>
              <w:divBdr>
                <w:top w:val="none" w:sz="0" w:space="0" w:color="auto"/>
                <w:left w:val="none" w:sz="0" w:space="0" w:color="auto"/>
                <w:bottom w:val="none" w:sz="0" w:space="0" w:color="auto"/>
                <w:right w:val="none" w:sz="0" w:space="0" w:color="auto"/>
              </w:divBdr>
              <w:divsChild>
                <w:div w:id="106311932">
                  <w:marLeft w:val="0"/>
                  <w:marRight w:val="0"/>
                  <w:marTop w:val="0"/>
                  <w:marBottom w:val="0"/>
                  <w:divBdr>
                    <w:top w:val="none" w:sz="0" w:space="0" w:color="auto"/>
                    <w:left w:val="none" w:sz="0" w:space="0" w:color="auto"/>
                    <w:bottom w:val="none" w:sz="0" w:space="0" w:color="auto"/>
                    <w:right w:val="none" w:sz="0" w:space="0" w:color="auto"/>
                  </w:divBdr>
                  <w:divsChild>
                    <w:div w:id="9666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971897">
      <w:bodyDiv w:val="1"/>
      <w:marLeft w:val="0"/>
      <w:marRight w:val="0"/>
      <w:marTop w:val="0"/>
      <w:marBottom w:val="0"/>
      <w:divBdr>
        <w:top w:val="none" w:sz="0" w:space="0" w:color="auto"/>
        <w:left w:val="none" w:sz="0" w:space="0" w:color="auto"/>
        <w:bottom w:val="none" w:sz="0" w:space="0" w:color="auto"/>
        <w:right w:val="none" w:sz="0" w:space="0" w:color="auto"/>
      </w:divBdr>
      <w:divsChild>
        <w:div w:id="1223172036">
          <w:marLeft w:val="0"/>
          <w:marRight w:val="0"/>
          <w:marTop w:val="0"/>
          <w:marBottom w:val="0"/>
          <w:divBdr>
            <w:top w:val="none" w:sz="0" w:space="0" w:color="auto"/>
            <w:left w:val="none" w:sz="0" w:space="0" w:color="auto"/>
            <w:bottom w:val="none" w:sz="0" w:space="0" w:color="auto"/>
            <w:right w:val="none" w:sz="0" w:space="0" w:color="auto"/>
          </w:divBdr>
          <w:divsChild>
            <w:div w:id="1121530418">
              <w:marLeft w:val="0"/>
              <w:marRight w:val="0"/>
              <w:marTop w:val="0"/>
              <w:marBottom w:val="0"/>
              <w:divBdr>
                <w:top w:val="none" w:sz="0" w:space="0" w:color="auto"/>
                <w:left w:val="none" w:sz="0" w:space="0" w:color="auto"/>
                <w:bottom w:val="none" w:sz="0" w:space="0" w:color="auto"/>
                <w:right w:val="none" w:sz="0" w:space="0" w:color="auto"/>
              </w:divBdr>
              <w:divsChild>
                <w:div w:id="514001419">
                  <w:marLeft w:val="0"/>
                  <w:marRight w:val="0"/>
                  <w:marTop w:val="0"/>
                  <w:marBottom w:val="0"/>
                  <w:divBdr>
                    <w:top w:val="none" w:sz="0" w:space="0" w:color="auto"/>
                    <w:left w:val="none" w:sz="0" w:space="0" w:color="auto"/>
                    <w:bottom w:val="none" w:sz="0" w:space="0" w:color="auto"/>
                    <w:right w:val="none" w:sz="0" w:space="0" w:color="auto"/>
                  </w:divBdr>
                  <w:divsChild>
                    <w:div w:id="514540915">
                      <w:marLeft w:val="0"/>
                      <w:marRight w:val="0"/>
                      <w:marTop w:val="0"/>
                      <w:marBottom w:val="0"/>
                      <w:divBdr>
                        <w:top w:val="none" w:sz="0" w:space="0" w:color="auto"/>
                        <w:left w:val="none" w:sz="0" w:space="0" w:color="auto"/>
                        <w:bottom w:val="none" w:sz="0" w:space="0" w:color="auto"/>
                        <w:right w:val="none" w:sz="0" w:space="0" w:color="auto"/>
                      </w:divBdr>
                    </w:div>
                    <w:div w:id="18620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eg@creg.gov.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5" ma:contentTypeDescription="Crear nuevo documento." ma:contentTypeScope="" ma:versionID="dff8ae948c4bd22059ddfa6d0b8561e9">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1e03938b67e8d7b01cb6c96024269efc"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02a0a591-6e08-4792-bc2c-079f6227fde3}"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90cc45-9d06-4234-8034-eeec6c0c7cc1">
      <Terms xmlns="http://schemas.microsoft.com/office/infopath/2007/PartnerControls"/>
    </lcf76f155ced4ddcb4097134ff3c332f>
    <TaxCatchAll xmlns="309f6219-a73f-4366-a00d-6bacb1e9f8e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444F2D-5F55-40CC-8F4E-5AD9B616A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C7A4FB-1CC6-41D5-A992-9697C2B2787B}">
  <ds:schemaRefs>
    <ds:schemaRef ds:uri="http://schemas.openxmlformats.org/officeDocument/2006/bibliography"/>
  </ds:schemaRefs>
</ds:datastoreItem>
</file>

<file path=customXml/itemProps3.xml><?xml version="1.0" encoding="utf-8"?>
<ds:datastoreItem xmlns:ds="http://schemas.openxmlformats.org/officeDocument/2006/customXml" ds:itemID="{0613F506-9803-474B-86C1-81D09DAF8201}">
  <ds:schemaRefs>
    <ds:schemaRef ds:uri="http://schemas.microsoft.com/office/2006/metadata/properties"/>
    <ds:schemaRef ds:uri="http://schemas.microsoft.com/office/infopath/2007/PartnerControls"/>
    <ds:schemaRef ds:uri="0f90cc45-9d06-4234-8034-eeec6c0c7cc1"/>
    <ds:schemaRef ds:uri="309f6219-a73f-4366-a00d-6bacb1e9f8e0"/>
  </ds:schemaRefs>
</ds:datastoreItem>
</file>

<file path=customXml/itemProps4.xml><?xml version="1.0" encoding="utf-8"?>
<ds:datastoreItem xmlns:ds="http://schemas.openxmlformats.org/officeDocument/2006/customXml" ds:itemID="{285B8717-7DE6-4220-8B76-0CB7C65FD7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PLANTILLA1</Template>
  <TotalTime>175</TotalTime>
  <Pages>1</Pages>
  <Words>3427</Words>
  <Characters>18850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22233</CharactersWithSpaces>
  <SharedDoc>false</SharedDoc>
  <HLinks>
    <vt:vector size="6" baseType="variant">
      <vt:variant>
        <vt:i4>4390966</vt:i4>
      </vt:variant>
      <vt:variant>
        <vt:i4>6</vt:i4>
      </vt:variant>
      <vt:variant>
        <vt:i4>0</vt:i4>
      </vt:variant>
      <vt:variant>
        <vt:i4>5</vt:i4>
      </vt:variant>
      <vt:variant>
        <vt:lpwstr>mailto:creg@creg.gov.co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Jonathan Ramirez Ochoa</cp:lastModifiedBy>
  <cp:revision>63</cp:revision>
  <cp:lastPrinted>2024-09-13T20:40:00Z</cp:lastPrinted>
  <dcterms:created xsi:type="dcterms:W3CDTF">2022-05-18T22:58:00Z</dcterms:created>
  <dcterms:modified xsi:type="dcterms:W3CDTF">2024-09-13T20:40:00Z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