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C3A75" w14:textId="77777777" w:rsidR="002801B2" w:rsidRDefault="002801B2" w:rsidP="00BA6D78">
      <w:pPr>
        <w:rPr>
          <w:rFonts w:ascii="Arial" w:hAnsi="Arial" w:cs="Arial"/>
          <w:lang w:val="es-MX"/>
        </w:rPr>
      </w:pPr>
    </w:p>
    <w:p w14:paraId="43F8BB7E" w14:textId="3E1A1D20" w:rsidR="00BA6D78" w:rsidRPr="002801B2" w:rsidRDefault="00BA6D78" w:rsidP="00BA6D78">
      <w:pPr>
        <w:rPr>
          <w:rFonts w:ascii="Arial" w:hAnsi="Arial" w:cs="Arial"/>
          <w:lang w:val="es-MX"/>
        </w:rPr>
      </w:pPr>
      <w:r w:rsidRPr="002801B2">
        <w:rPr>
          <w:rFonts w:ascii="Arial" w:hAnsi="Arial" w:cs="Arial"/>
          <w:lang w:val="es-MX"/>
        </w:rPr>
        <w:t xml:space="preserve">Bogotá, D. C.,  </w:t>
      </w:r>
      <w:r w:rsidRPr="002801B2">
        <w:rPr>
          <w:rFonts w:ascii="Arial" w:hAnsi="Arial" w:cs="Arial"/>
          <w:lang w:val="es-MX"/>
        </w:rPr>
        <w:fldChar w:fldCharType="begin"/>
      </w:r>
      <w:r w:rsidRPr="002801B2">
        <w:rPr>
          <w:rFonts w:ascii="Arial" w:hAnsi="Arial" w:cs="Arial"/>
          <w:lang w:val="es-MX"/>
        </w:rPr>
        <w:instrText xml:space="preserve"> MERGEFIELD  Fecha  \* MERGEFORMAT </w:instrText>
      </w:r>
      <w:r w:rsidRPr="002801B2">
        <w:rPr>
          <w:rFonts w:ascii="Arial" w:hAnsi="Arial" w:cs="Arial"/>
          <w:lang w:val="es-MX"/>
        </w:rPr>
        <w:fldChar w:fldCharType="separate"/>
      </w:r>
      <w:r w:rsidRPr="002801B2">
        <w:rPr>
          <w:rFonts w:ascii="Arial" w:hAnsi="Arial" w:cs="Arial"/>
          <w:noProof/>
          <w:lang w:val="es-MX"/>
        </w:rPr>
        <w:t>06 de septiembre de 2024</w:t>
      </w:r>
      <w:r w:rsidRPr="002801B2">
        <w:rPr>
          <w:rFonts w:ascii="Arial" w:hAnsi="Arial" w:cs="Arial"/>
          <w:lang w:val="es-MX"/>
        </w:rPr>
        <w:fldChar w:fldCharType="end"/>
      </w:r>
    </w:p>
    <w:p w14:paraId="4BF6BC04" w14:textId="77777777" w:rsidR="00BA6D78" w:rsidRPr="002801B2" w:rsidRDefault="00BA6D78" w:rsidP="00BA6D78">
      <w:pPr>
        <w:rPr>
          <w:rFonts w:ascii="Arial" w:hAnsi="Arial" w:cs="Arial"/>
          <w:lang w:val="es-MX"/>
        </w:rPr>
      </w:pPr>
    </w:p>
    <w:p w14:paraId="2DF36FC6" w14:textId="33257262" w:rsidR="00BA6D78" w:rsidRPr="002801B2" w:rsidRDefault="00BA6D78" w:rsidP="00BA6D78">
      <w:pPr>
        <w:pStyle w:val="Ttulo5"/>
        <w:spacing w:before="0" w:line="220" w:lineRule="atLeast"/>
        <w:ind w:left="720"/>
        <w:jc w:val="center"/>
        <w:rPr>
          <w:rFonts w:ascii="Arial" w:eastAsia="Times New Roman" w:hAnsi="Arial" w:cs="Arial"/>
          <w:b/>
          <w:bCs/>
          <w:i/>
          <w:iCs/>
          <w:noProof/>
          <w:color w:val="auto"/>
          <w:spacing w:val="-5"/>
          <w:kern w:val="60"/>
          <w:sz w:val="40"/>
          <w:szCs w:val="40"/>
        </w:rPr>
      </w:pPr>
      <w:r w:rsidRPr="002801B2">
        <w:rPr>
          <w:rFonts w:ascii="Arial" w:eastAsia="Times New Roman" w:hAnsi="Arial" w:cs="Arial"/>
          <w:b/>
          <w:bCs/>
          <w:i/>
          <w:iCs/>
          <w:noProof/>
          <w:color w:val="auto"/>
          <w:spacing w:val="-5"/>
          <w:kern w:val="60"/>
          <w:sz w:val="40"/>
          <w:szCs w:val="40"/>
        </w:rPr>
        <w:t xml:space="preserve">CIRCULAR No. </w:t>
      </w:r>
      <w:r w:rsidRPr="002801B2">
        <w:rPr>
          <w:rFonts w:ascii="Arial" w:eastAsia="Times New Roman" w:hAnsi="Arial" w:cs="Arial"/>
          <w:b/>
          <w:bCs/>
          <w:i/>
          <w:iCs/>
          <w:noProof/>
          <w:color w:val="auto"/>
          <w:spacing w:val="-5"/>
          <w:kern w:val="60"/>
          <w:sz w:val="40"/>
          <w:szCs w:val="40"/>
        </w:rPr>
        <w:fldChar w:fldCharType="begin"/>
      </w:r>
      <w:r w:rsidRPr="002801B2">
        <w:rPr>
          <w:rFonts w:ascii="Arial" w:eastAsia="Times New Roman" w:hAnsi="Arial" w:cs="Arial"/>
          <w:b/>
          <w:bCs/>
          <w:i/>
          <w:iCs/>
          <w:noProof/>
          <w:color w:val="auto"/>
          <w:spacing w:val="-5"/>
          <w:kern w:val="60"/>
          <w:sz w:val="40"/>
          <w:szCs w:val="40"/>
        </w:rPr>
        <w:instrText xml:space="preserve"> MERGEFIELD  NumeroCircular  \* MERGEFORMAT </w:instrText>
      </w:r>
      <w:r w:rsidRPr="002801B2">
        <w:rPr>
          <w:rFonts w:ascii="Arial" w:eastAsia="Times New Roman" w:hAnsi="Arial" w:cs="Arial"/>
          <w:b/>
          <w:bCs/>
          <w:i/>
          <w:iCs/>
          <w:noProof/>
          <w:color w:val="auto"/>
          <w:spacing w:val="-5"/>
          <w:kern w:val="60"/>
          <w:sz w:val="40"/>
          <w:szCs w:val="40"/>
        </w:rPr>
        <w:fldChar w:fldCharType="separate"/>
      </w:r>
      <w:r w:rsidRPr="002801B2">
        <w:rPr>
          <w:rFonts w:ascii="Arial" w:eastAsia="Times New Roman" w:hAnsi="Arial" w:cs="Arial"/>
          <w:b/>
          <w:bCs/>
          <w:i/>
          <w:iCs/>
          <w:noProof/>
          <w:color w:val="auto"/>
          <w:spacing w:val="-5"/>
          <w:kern w:val="60"/>
          <w:sz w:val="40"/>
          <w:szCs w:val="40"/>
        </w:rPr>
        <w:t>066 de 2024</w:t>
      </w:r>
      <w:r w:rsidRPr="002801B2">
        <w:rPr>
          <w:rFonts w:ascii="Arial" w:eastAsia="Times New Roman" w:hAnsi="Arial" w:cs="Arial"/>
          <w:b/>
          <w:bCs/>
          <w:i/>
          <w:iCs/>
          <w:noProof/>
          <w:color w:val="auto"/>
          <w:spacing w:val="-5"/>
          <w:kern w:val="60"/>
          <w:sz w:val="40"/>
          <w:szCs w:val="40"/>
        </w:rPr>
        <w:fldChar w:fldCharType="end"/>
      </w:r>
    </w:p>
    <w:p w14:paraId="6F13CDC0" w14:textId="77777777" w:rsidR="00BA6D78" w:rsidRPr="002801B2" w:rsidRDefault="00BA6D78" w:rsidP="00BA6D78">
      <w:pPr>
        <w:pStyle w:val="Ttulo5"/>
        <w:spacing w:before="0" w:line="220" w:lineRule="atLeast"/>
        <w:ind w:left="720"/>
        <w:jc w:val="center"/>
        <w:rPr>
          <w:rFonts w:ascii="Arial" w:eastAsia="Times New Roman" w:hAnsi="Arial" w:cs="Arial"/>
          <w:b/>
          <w:bCs/>
          <w:i/>
          <w:iCs/>
          <w:noProof/>
          <w:color w:val="auto"/>
          <w:spacing w:val="-5"/>
          <w:kern w:val="60"/>
        </w:rPr>
      </w:pPr>
    </w:p>
    <w:p w14:paraId="74FF62B2" w14:textId="545EC703" w:rsidR="00BA6D78" w:rsidRPr="002801B2" w:rsidRDefault="00BA6D78" w:rsidP="004142B1">
      <w:pPr>
        <w:tabs>
          <w:tab w:val="left" w:pos="709"/>
        </w:tabs>
        <w:ind w:left="1418" w:hanging="1418"/>
        <w:jc w:val="both"/>
        <w:rPr>
          <w:rFonts w:ascii="Arial" w:eastAsia="Times New Roman" w:hAnsi="Arial" w:cs="Arial"/>
          <w:spacing w:val="-5"/>
        </w:rPr>
      </w:pPr>
      <w:r w:rsidRPr="002801B2">
        <w:rPr>
          <w:rFonts w:ascii="Arial" w:hAnsi="Arial" w:cs="Arial"/>
          <w:b/>
        </w:rPr>
        <w:t>PARA:</w:t>
      </w:r>
      <w:r w:rsidRPr="002801B2">
        <w:rPr>
          <w:rFonts w:ascii="Arial" w:hAnsi="Arial" w:cs="Arial"/>
          <w:b/>
        </w:rPr>
        <w:tab/>
      </w:r>
      <w:r w:rsidRPr="002801B2">
        <w:rPr>
          <w:rFonts w:ascii="Arial" w:hAnsi="Arial" w:cs="Arial"/>
          <w:b/>
        </w:rPr>
        <w:fldChar w:fldCharType="begin"/>
      </w:r>
      <w:r w:rsidRPr="002801B2">
        <w:rPr>
          <w:rFonts w:ascii="Arial" w:hAnsi="Arial" w:cs="Arial"/>
          <w:b/>
        </w:rPr>
        <w:instrText xml:space="preserve"> MERGEFIELD  Destinatario  \* MERGEFORMAT </w:instrText>
      </w:r>
      <w:r w:rsidRPr="002801B2">
        <w:rPr>
          <w:rFonts w:ascii="Arial" w:hAnsi="Arial" w:cs="Arial"/>
          <w:b/>
        </w:rPr>
        <w:fldChar w:fldCharType="separate"/>
      </w:r>
      <w:r w:rsidRPr="002801B2">
        <w:rPr>
          <w:rFonts w:ascii="Arial" w:hAnsi="Arial" w:cs="Arial"/>
          <w:b/>
          <w:noProof/>
        </w:rPr>
        <w:t>GRUPOS DE VALOR Y PARTES INTERESADAS</w:t>
      </w:r>
      <w:r w:rsidRPr="002801B2">
        <w:rPr>
          <w:rFonts w:ascii="Arial" w:hAnsi="Arial" w:cs="Arial"/>
          <w:b/>
        </w:rPr>
        <w:fldChar w:fldCharType="end"/>
      </w:r>
    </w:p>
    <w:p w14:paraId="047A3184" w14:textId="77777777" w:rsidR="00BA6D78" w:rsidRPr="002801B2" w:rsidRDefault="00BA6D78" w:rsidP="00BA6D78">
      <w:pPr>
        <w:spacing w:line="216" w:lineRule="auto"/>
        <w:ind w:left="1410" w:hanging="1410"/>
        <w:rPr>
          <w:rFonts w:ascii="Arial" w:hAnsi="Arial" w:cs="Arial"/>
          <w:b/>
        </w:rPr>
      </w:pPr>
    </w:p>
    <w:p w14:paraId="5ECA4954" w14:textId="77777777" w:rsidR="00BA6D78" w:rsidRPr="002801B2" w:rsidRDefault="00BA6D78" w:rsidP="00BA6D78">
      <w:pPr>
        <w:pStyle w:val="Sangradetextonormal"/>
        <w:ind w:left="1410" w:hanging="1410"/>
        <w:rPr>
          <w:rFonts w:ascii="Arial" w:hAnsi="Arial" w:cs="Arial"/>
          <w:b/>
        </w:rPr>
      </w:pPr>
      <w:r w:rsidRPr="002801B2">
        <w:rPr>
          <w:rFonts w:ascii="Arial" w:hAnsi="Arial" w:cs="Arial"/>
          <w:b/>
        </w:rPr>
        <w:t>DE:</w:t>
      </w:r>
      <w:r w:rsidRPr="002801B2">
        <w:rPr>
          <w:rFonts w:ascii="Arial" w:hAnsi="Arial" w:cs="Arial"/>
          <w:b/>
        </w:rPr>
        <w:tab/>
      </w:r>
      <w:r w:rsidRPr="002801B2">
        <w:rPr>
          <w:rFonts w:ascii="Arial" w:hAnsi="Arial" w:cs="Arial"/>
          <w:b/>
        </w:rPr>
        <w:fldChar w:fldCharType="begin"/>
      </w:r>
      <w:r w:rsidRPr="002801B2">
        <w:rPr>
          <w:rFonts w:ascii="Arial" w:hAnsi="Arial" w:cs="Arial"/>
          <w:b/>
        </w:rPr>
        <w:instrText xml:space="preserve"> MERGEFIELD  Remitente  \* MERGEFORMAT </w:instrText>
      </w:r>
      <w:r w:rsidRPr="002801B2">
        <w:rPr>
          <w:rFonts w:ascii="Arial" w:hAnsi="Arial" w:cs="Arial"/>
          <w:b/>
        </w:rPr>
        <w:fldChar w:fldCharType="separate"/>
      </w:r>
      <w:r w:rsidRPr="002801B2">
        <w:rPr>
          <w:rFonts w:ascii="Arial" w:hAnsi="Arial" w:cs="Arial"/>
          <w:b/>
          <w:noProof/>
        </w:rPr>
        <w:t>DIRECCIÓN EJECUTIVA</w:t>
      </w:r>
      <w:r w:rsidRPr="002801B2">
        <w:rPr>
          <w:rFonts w:ascii="Arial" w:hAnsi="Arial" w:cs="Arial"/>
          <w:b/>
        </w:rPr>
        <w:fldChar w:fldCharType="end"/>
      </w:r>
    </w:p>
    <w:p w14:paraId="116BF416" w14:textId="77777777" w:rsidR="00BA6D78" w:rsidRPr="002801B2" w:rsidRDefault="00BA6D78" w:rsidP="00BA6D78">
      <w:pPr>
        <w:spacing w:line="216" w:lineRule="auto"/>
        <w:ind w:left="1410" w:hanging="1410"/>
        <w:rPr>
          <w:rFonts w:ascii="Arial" w:hAnsi="Arial" w:cs="Arial"/>
          <w:b/>
        </w:rPr>
      </w:pPr>
    </w:p>
    <w:p w14:paraId="757F97ED" w14:textId="77777777" w:rsidR="00BA6D78" w:rsidRPr="002801B2" w:rsidRDefault="00BA6D78" w:rsidP="00BA6D78">
      <w:pPr>
        <w:spacing w:line="216" w:lineRule="auto"/>
        <w:rPr>
          <w:rFonts w:ascii="Arial" w:hAnsi="Arial" w:cs="Arial"/>
        </w:rPr>
      </w:pPr>
    </w:p>
    <w:p w14:paraId="3AF4582F" w14:textId="77777777" w:rsidR="00BA6D78" w:rsidRPr="002801B2" w:rsidRDefault="00BA6D78" w:rsidP="00BA6D78">
      <w:pPr>
        <w:pStyle w:val="Sangradetextonormal"/>
        <w:ind w:left="1410" w:hanging="1410"/>
        <w:rPr>
          <w:rFonts w:ascii="Arial" w:hAnsi="Arial" w:cs="Arial"/>
          <w:b/>
        </w:rPr>
      </w:pPr>
      <w:r w:rsidRPr="002801B2">
        <w:rPr>
          <w:rFonts w:ascii="Arial" w:hAnsi="Arial" w:cs="Arial"/>
          <w:b/>
        </w:rPr>
        <w:t>ASUNTO:</w:t>
      </w:r>
      <w:r w:rsidRPr="002801B2">
        <w:rPr>
          <w:rFonts w:ascii="Arial" w:hAnsi="Arial" w:cs="Arial"/>
          <w:b/>
        </w:rPr>
        <w:tab/>
      </w:r>
      <w:r w:rsidRPr="002801B2">
        <w:rPr>
          <w:rFonts w:ascii="Arial" w:hAnsi="Arial" w:cs="Arial"/>
          <w:b/>
        </w:rPr>
        <w:fldChar w:fldCharType="begin"/>
      </w:r>
      <w:r w:rsidRPr="002801B2">
        <w:rPr>
          <w:rFonts w:ascii="Arial" w:hAnsi="Arial" w:cs="Arial"/>
          <w:b/>
        </w:rPr>
        <w:instrText xml:space="preserve"> MERGEFIELD  Asunto  \* MERGEFORMAT </w:instrText>
      </w:r>
      <w:r w:rsidRPr="002801B2">
        <w:rPr>
          <w:rFonts w:ascii="Arial" w:hAnsi="Arial" w:cs="Arial"/>
          <w:b/>
        </w:rPr>
        <w:fldChar w:fldCharType="separate"/>
      </w:r>
      <w:r w:rsidRPr="002801B2">
        <w:rPr>
          <w:rFonts w:ascii="Arial" w:hAnsi="Arial" w:cs="Arial"/>
          <w:b/>
          <w:noProof/>
        </w:rPr>
        <w:t>PUBLICACIÓN DE PRECIOS DE REFERENCIA DE VENTA AL PÚBLICO DE LOS COMBUSTIBLES</w:t>
      </w:r>
      <w:r w:rsidRPr="002801B2">
        <w:rPr>
          <w:rFonts w:ascii="Arial" w:hAnsi="Arial" w:cs="Arial"/>
          <w:b/>
        </w:rPr>
        <w:fldChar w:fldCharType="end"/>
      </w:r>
    </w:p>
    <w:p w14:paraId="4AE7CAEE" w14:textId="77777777" w:rsidR="00BA6D78" w:rsidRPr="002801B2" w:rsidRDefault="00BA6D78" w:rsidP="00BA6D78">
      <w:pPr>
        <w:pStyle w:val="Textoindependiente"/>
        <w:spacing w:after="0" w:line="240" w:lineRule="auto"/>
        <w:ind w:left="1410" w:hanging="1410"/>
        <w:rPr>
          <w:rFonts w:cs="Arial"/>
          <w:sz w:val="24"/>
          <w:szCs w:val="24"/>
        </w:rPr>
      </w:pPr>
    </w:p>
    <w:p w14:paraId="31A573EE" w14:textId="179B4599" w:rsidR="009C3D24" w:rsidRPr="002801B2" w:rsidRDefault="009C3D24" w:rsidP="009C3D24">
      <w:pPr>
        <w:pStyle w:val="Textoindependiente"/>
        <w:spacing w:after="0" w:line="360" w:lineRule="auto"/>
        <w:rPr>
          <w:rFonts w:cs="Arial"/>
          <w:sz w:val="24"/>
          <w:szCs w:val="24"/>
        </w:rPr>
      </w:pPr>
      <w:r w:rsidRPr="002801B2">
        <w:rPr>
          <w:rFonts w:cs="Arial"/>
          <w:sz w:val="24"/>
          <w:szCs w:val="24"/>
        </w:rPr>
        <w:t xml:space="preserve">La Dirección Ejecutiva de la Comisión de Regulación de Energía y Gas, CREG, de conformidad con lo establecido en la Resolución CREG 104 001 de 2022 y las funciones delegadas por el Ministerio de Hacienda y Crédito Público y el Ministerio de Minas y Energía mediante la Resolución 40193 de 2021, hace pública la estimación de los precios de referencia de venta al público de la Gasolina Motor Corriente, la Gasolina Motor Corriente Oxigenada, el ACPM-Diésel y la mezcla de ACPM-Diésel y biodiésel que rigen en el territorio nacional a partir del </w:t>
      </w:r>
      <w:r w:rsidR="005E240F" w:rsidRPr="002801B2">
        <w:rPr>
          <w:rFonts w:cs="Arial"/>
          <w:sz w:val="24"/>
          <w:szCs w:val="24"/>
        </w:rPr>
        <w:t>siete</w:t>
      </w:r>
      <w:r w:rsidRPr="002801B2">
        <w:rPr>
          <w:rFonts w:cs="Arial"/>
          <w:sz w:val="24"/>
          <w:szCs w:val="24"/>
        </w:rPr>
        <w:t xml:space="preserve"> (</w:t>
      </w:r>
      <w:r w:rsidR="005E240F" w:rsidRPr="002801B2">
        <w:rPr>
          <w:rFonts w:cs="Arial"/>
          <w:sz w:val="24"/>
          <w:szCs w:val="24"/>
        </w:rPr>
        <w:t>7</w:t>
      </w:r>
      <w:r w:rsidRPr="002801B2">
        <w:rPr>
          <w:rFonts w:cs="Arial"/>
          <w:sz w:val="24"/>
          <w:szCs w:val="24"/>
        </w:rPr>
        <w:t xml:space="preserve">) de </w:t>
      </w:r>
      <w:r w:rsidR="005E240F" w:rsidRPr="002801B2">
        <w:rPr>
          <w:rFonts w:cs="Arial"/>
          <w:sz w:val="24"/>
          <w:szCs w:val="24"/>
        </w:rPr>
        <w:t>septiembre</w:t>
      </w:r>
      <w:r w:rsidRPr="002801B2">
        <w:rPr>
          <w:rFonts w:cs="Arial"/>
          <w:sz w:val="24"/>
          <w:szCs w:val="24"/>
        </w:rPr>
        <w:t xml:space="preserve"> de 2024. </w:t>
      </w:r>
    </w:p>
    <w:p w14:paraId="669E2B81" w14:textId="335D46A8" w:rsidR="00BA6D78" w:rsidRPr="002801B2" w:rsidRDefault="009C3D24" w:rsidP="009C3D24">
      <w:pPr>
        <w:pStyle w:val="Textoindependiente"/>
        <w:spacing w:after="0" w:line="360" w:lineRule="auto"/>
        <w:rPr>
          <w:rFonts w:cs="Arial"/>
          <w:sz w:val="24"/>
          <w:szCs w:val="24"/>
        </w:rPr>
      </w:pPr>
      <w:r w:rsidRPr="002801B2">
        <w:rPr>
          <w:rFonts w:cs="Arial"/>
          <w:sz w:val="24"/>
          <w:szCs w:val="24"/>
        </w:rPr>
        <w:t>La presente publicación se efectúa considerando el valor del ingreso al productor o importador de la Gasolina Motor Corriente, el del ACPM-Diésel y el de los biocombustibles destinados a la mezcla con combustibles fósiles, fijados por los Ministerios de Hacienda y Crédito Público y de Minas y Energía. Lo anterior, de acuerdo con lo establecido en el numeral 4 del artículo 1 de la Resolución 40193 de 2021.</w:t>
      </w:r>
    </w:p>
    <w:p w14:paraId="28883C7E" w14:textId="77777777" w:rsidR="009C3D24" w:rsidRPr="002801B2" w:rsidRDefault="009C3D24" w:rsidP="009C3D24">
      <w:pPr>
        <w:pStyle w:val="Textoindependiente"/>
        <w:spacing w:after="0" w:line="360" w:lineRule="auto"/>
        <w:rPr>
          <w:rFonts w:cs="Arial"/>
          <w:sz w:val="24"/>
          <w:szCs w:val="24"/>
        </w:rPr>
      </w:pPr>
      <w:r w:rsidRPr="002801B2">
        <w:rPr>
          <w:rFonts w:cs="Arial"/>
          <w:sz w:val="24"/>
          <w:szCs w:val="24"/>
        </w:rPr>
        <w:lastRenderedPageBreak/>
        <w:t>El documento técnico de la estructura de precios de gasolina motor corriente y ACPM-Diésel, así como de sus respectivas mezclas con biocombustibles, y el de precios de referencia por ciudades, se anexan a la presente circular, y pueden ser consultados en el siguiente enlace:</w:t>
      </w:r>
    </w:p>
    <w:p w14:paraId="0D857063" w14:textId="77777777" w:rsidR="009C3D24" w:rsidRPr="002801B2" w:rsidRDefault="00000000" w:rsidP="009C3D24">
      <w:pPr>
        <w:pStyle w:val="Textoindependiente"/>
        <w:spacing w:after="0" w:line="360" w:lineRule="auto"/>
        <w:rPr>
          <w:rFonts w:cs="Arial"/>
          <w:sz w:val="24"/>
          <w:szCs w:val="24"/>
        </w:rPr>
      </w:pPr>
      <w:hyperlink r:id="rId7" w:history="1">
        <w:r w:rsidR="009C3D24" w:rsidRPr="002801B2">
          <w:rPr>
            <w:rStyle w:val="Hipervnculo"/>
            <w:rFonts w:cs="Arial"/>
            <w:sz w:val="24"/>
            <w:szCs w:val="24"/>
          </w:rPr>
          <w:t>https://creg.gov.co/publicaciones/15089/estructura-tarifaria/</w:t>
        </w:r>
      </w:hyperlink>
    </w:p>
    <w:p w14:paraId="53354BCC" w14:textId="77777777" w:rsidR="009C3D24" w:rsidRPr="002801B2" w:rsidRDefault="009C3D24" w:rsidP="009C3D24">
      <w:pPr>
        <w:pStyle w:val="Textoindependiente"/>
        <w:spacing w:after="0" w:line="360" w:lineRule="auto"/>
        <w:rPr>
          <w:rFonts w:cs="Arial"/>
          <w:sz w:val="24"/>
          <w:szCs w:val="24"/>
        </w:rPr>
      </w:pPr>
      <w:r w:rsidRPr="002801B2">
        <w:rPr>
          <w:rFonts w:cs="Arial"/>
          <w:sz w:val="24"/>
          <w:szCs w:val="24"/>
        </w:rPr>
        <w:t>al seleccionar la opción: Precios de los combustibles</w:t>
      </w:r>
    </w:p>
    <w:p w14:paraId="5CF7E72D" w14:textId="77777777" w:rsidR="00BA6D78" w:rsidRPr="002801B2" w:rsidRDefault="00BA6D78" w:rsidP="00BA6D78">
      <w:pPr>
        <w:pStyle w:val="Textoindependiente"/>
        <w:spacing w:after="0" w:line="240" w:lineRule="auto"/>
        <w:rPr>
          <w:rFonts w:cs="Arial"/>
          <w:sz w:val="24"/>
          <w:szCs w:val="24"/>
        </w:rPr>
      </w:pPr>
    </w:p>
    <w:p w14:paraId="2D6C9818" w14:textId="77777777" w:rsidR="00BA6D78" w:rsidRPr="002801B2" w:rsidRDefault="00BA6D78" w:rsidP="00BA6D78">
      <w:pPr>
        <w:pStyle w:val="Textoindependiente"/>
        <w:spacing w:after="0" w:line="240" w:lineRule="auto"/>
        <w:rPr>
          <w:rFonts w:cs="Arial"/>
          <w:sz w:val="24"/>
          <w:szCs w:val="24"/>
        </w:rPr>
      </w:pPr>
      <w:r w:rsidRPr="002801B2">
        <w:rPr>
          <w:rFonts w:cs="Arial"/>
          <w:sz w:val="24"/>
          <w:szCs w:val="24"/>
        </w:rPr>
        <w:t>Cordialmente,</w:t>
      </w:r>
    </w:p>
    <w:p w14:paraId="5D3B937D" w14:textId="77777777" w:rsidR="00BA6D78" w:rsidRPr="002801B2" w:rsidRDefault="00BA6D78" w:rsidP="00BA6D78">
      <w:pPr>
        <w:pStyle w:val="Textoindependiente"/>
        <w:spacing w:after="0" w:line="240" w:lineRule="auto"/>
        <w:rPr>
          <w:rFonts w:cs="Arial"/>
          <w:sz w:val="24"/>
          <w:szCs w:val="24"/>
        </w:rPr>
      </w:pPr>
    </w:p>
    <w:p w14:paraId="519602C4" w14:textId="77777777" w:rsidR="00BA6D78" w:rsidRPr="002801B2" w:rsidRDefault="00BA6D78" w:rsidP="00BA6D78">
      <w:pPr>
        <w:pStyle w:val="Textoindependiente"/>
        <w:spacing w:after="0" w:line="240" w:lineRule="auto"/>
        <w:rPr>
          <w:rFonts w:cs="Arial"/>
          <w:sz w:val="24"/>
          <w:szCs w:val="24"/>
        </w:rPr>
      </w:pPr>
    </w:p>
    <w:p w14:paraId="75127582" w14:textId="77777777" w:rsidR="009C3D24" w:rsidRPr="002801B2" w:rsidRDefault="009C3D24" w:rsidP="009C3D24">
      <w:pPr>
        <w:pStyle w:val="Textoindependiente"/>
        <w:spacing w:after="0" w:line="240" w:lineRule="auto"/>
        <w:jc w:val="center"/>
        <w:rPr>
          <w:rFonts w:cs="Arial"/>
          <w:b/>
          <w:bCs/>
          <w:sz w:val="24"/>
          <w:szCs w:val="24"/>
        </w:rPr>
      </w:pPr>
      <w:r w:rsidRPr="002801B2">
        <w:rPr>
          <w:rFonts w:cs="Arial"/>
          <w:b/>
          <w:bCs/>
          <w:sz w:val="24"/>
          <w:szCs w:val="24"/>
        </w:rPr>
        <w:t>ANTONIO JIMENEZ RIVERA</w:t>
      </w:r>
    </w:p>
    <w:p w14:paraId="6032FBC1" w14:textId="77777777" w:rsidR="009C3D24" w:rsidRPr="002801B2" w:rsidRDefault="009C3D24" w:rsidP="009C3D24">
      <w:pPr>
        <w:pStyle w:val="Textoindependiente"/>
        <w:spacing w:after="0" w:line="240" w:lineRule="auto"/>
        <w:jc w:val="center"/>
        <w:rPr>
          <w:rFonts w:cs="Arial"/>
          <w:sz w:val="24"/>
          <w:szCs w:val="24"/>
        </w:rPr>
      </w:pPr>
      <w:r w:rsidRPr="002801B2">
        <w:rPr>
          <w:rFonts w:cs="Arial"/>
          <w:sz w:val="24"/>
          <w:szCs w:val="24"/>
        </w:rPr>
        <w:t>Director Ejecutivo</w:t>
      </w:r>
    </w:p>
    <w:p w14:paraId="0D80D79D" w14:textId="77777777" w:rsidR="00BA6D78" w:rsidRPr="002801B2" w:rsidRDefault="00BA6D78" w:rsidP="00BA6D78">
      <w:pPr>
        <w:pStyle w:val="Textoindependiente"/>
        <w:spacing w:after="0" w:line="240" w:lineRule="auto"/>
        <w:rPr>
          <w:rFonts w:cs="Arial"/>
          <w:sz w:val="24"/>
          <w:szCs w:val="24"/>
        </w:rPr>
      </w:pPr>
    </w:p>
    <w:p w14:paraId="081EEA68" w14:textId="77777777" w:rsidR="009C3D24" w:rsidRPr="002801B2" w:rsidRDefault="009C3D24" w:rsidP="009C3D24">
      <w:pPr>
        <w:pStyle w:val="Textoindependiente"/>
        <w:spacing w:after="0" w:line="240" w:lineRule="auto"/>
        <w:rPr>
          <w:rFonts w:cs="Arial"/>
          <w:sz w:val="24"/>
          <w:szCs w:val="24"/>
        </w:rPr>
      </w:pPr>
      <w:r w:rsidRPr="002801B2">
        <w:rPr>
          <w:rFonts w:cs="Arial"/>
          <w:sz w:val="24"/>
          <w:szCs w:val="24"/>
        </w:rPr>
        <w:t xml:space="preserve">Anexo: </w:t>
      </w:r>
      <w:r w:rsidRPr="002801B2">
        <w:rPr>
          <w:rFonts w:cs="Arial"/>
          <w:sz w:val="24"/>
          <w:szCs w:val="24"/>
        </w:rPr>
        <w:tab/>
        <w:t>Precios vigentes 13 ciudades principales.</w:t>
      </w:r>
    </w:p>
    <w:p w14:paraId="25135CB8" w14:textId="3DBB4836" w:rsidR="009C3D24" w:rsidRDefault="009C3D24" w:rsidP="009C3D24">
      <w:pPr>
        <w:pStyle w:val="Textoindependiente"/>
        <w:spacing w:after="0" w:line="240" w:lineRule="auto"/>
        <w:rPr>
          <w:rFonts w:cs="Arial"/>
          <w:sz w:val="24"/>
          <w:szCs w:val="24"/>
        </w:rPr>
      </w:pPr>
      <w:r w:rsidRPr="002801B2">
        <w:rPr>
          <w:rFonts w:cs="Arial"/>
          <w:sz w:val="24"/>
          <w:szCs w:val="24"/>
        </w:rPr>
        <w:tab/>
      </w:r>
      <w:r w:rsidR="002801B2">
        <w:rPr>
          <w:rFonts w:cs="Arial"/>
          <w:sz w:val="24"/>
          <w:szCs w:val="24"/>
        </w:rPr>
        <w:tab/>
      </w:r>
      <w:r w:rsidRPr="002801B2">
        <w:rPr>
          <w:rFonts w:cs="Arial"/>
          <w:sz w:val="24"/>
          <w:szCs w:val="24"/>
        </w:rPr>
        <w:t>Documento soporte.</w:t>
      </w:r>
    </w:p>
    <w:p w14:paraId="665D75F2" w14:textId="77777777" w:rsidR="002801B2" w:rsidRDefault="002801B2" w:rsidP="009C3D24">
      <w:pPr>
        <w:pStyle w:val="Textoindependiente"/>
        <w:spacing w:after="0" w:line="240" w:lineRule="auto"/>
        <w:rPr>
          <w:rFonts w:cs="Arial"/>
          <w:sz w:val="24"/>
          <w:szCs w:val="24"/>
        </w:rPr>
      </w:pPr>
    </w:p>
    <w:p w14:paraId="713319D2" w14:textId="298A9A13" w:rsidR="006A4065" w:rsidRPr="002801B2" w:rsidRDefault="006A4065" w:rsidP="002801B2">
      <w:pPr>
        <w:autoSpaceDE w:val="0"/>
        <w:autoSpaceDN w:val="0"/>
        <w:adjustRightInd w:val="0"/>
        <w:spacing w:before="240" w:after="0" w:line="276" w:lineRule="auto"/>
        <w:rPr>
          <w:rFonts w:ascii="Helvetica" w:hAnsi="Helvetica" w:cs="Helvetica"/>
        </w:rPr>
      </w:pPr>
      <w:r w:rsidRPr="002801B2">
        <w:rPr>
          <w:rFonts w:cs="Arial"/>
        </w:rPr>
        <w:br w:type="page"/>
      </w:r>
    </w:p>
    <w:p w14:paraId="2FE07E45" w14:textId="77777777" w:rsidR="006A4065" w:rsidRPr="002801B2" w:rsidRDefault="006A4065" w:rsidP="006A4065">
      <w:pPr>
        <w:pStyle w:val="NormalWeb"/>
        <w:shd w:val="clear" w:color="auto" w:fill="FFFFFF"/>
        <w:spacing w:before="0" w:beforeAutospacing="0" w:after="150" w:afterAutospacing="0"/>
        <w:jc w:val="center"/>
        <w:rPr>
          <w:rFonts w:ascii="Arial" w:hAnsi="Arial" w:cs="Arial"/>
          <w:b/>
          <w:bCs/>
        </w:rPr>
      </w:pPr>
      <w:r w:rsidRPr="002801B2">
        <w:rPr>
          <w:rFonts w:ascii="Arial" w:hAnsi="Arial" w:cs="Arial"/>
          <w:b/>
          <w:bCs/>
        </w:rPr>
        <w:lastRenderedPageBreak/>
        <w:t>Precios vigentes a partir del 7 de septiembre del 2024</w:t>
      </w:r>
    </w:p>
    <w:p w14:paraId="5258EBBE" w14:textId="60653DB8" w:rsidR="006A4065" w:rsidRPr="002801B2" w:rsidRDefault="006A4065" w:rsidP="006A4065">
      <w:pPr>
        <w:pStyle w:val="NormalWeb"/>
        <w:shd w:val="clear" w:color="auto" w:fill="FFFFFF"/>
        <w:spacing w:before="0" w:beforeAutospacing="0" w:after="150" w:afterAutospacing="0"/>
        <w:jc w:val="center"/>
        <w:rPr>
          <w:rFonts w:ascii="Arial" w:hAnsi="Arial" w:cs="Arial"/>
          <w:b/>
          <w:bCs/>
        </w:rPr>
      </w:pPr>
      <w:r w:rsidRPr="002801B2">
        <w:rPr>
          <w:rFonts w:ascii="Arial" w:hAnsi="Arial" w:cs="Arial"/>
          <w:b/>
          <w:bCs/>
        </w:rPr>
        <w:t>(13 ciudades Principales)</w:t>
      </w:r>
    </w:p>
    <w:tbl>
      <w:tblPr>
        <w:tblW w:w="8483" w:type="dxa"/>
        <w:jc w:val="center"/>
        <w:tblCellMar>
          <w:left w:w="70" w:type="dxa"/>
          <w:right w:w="70" w:type="dxa"/>
        </w:tblCellMar>
        <w:tblLook w:val="04A0" w:firstRow="1" w:lastRow="0" w:firstColumn="1" w:lastColumn="0" w:noHBand="0" w:noVBand="1"/>
      </w:tblPr>
      <w:tblGrid>
        <w:gridCol w:w="3402"/>
        <w:gridCol w:w="2552"/>
        <w:gridCol w:w="2529"/>
      </w:tblGrid>
      <w:tr w:rsidR="006A4065" w:rsidRPr="002801B2" w14:paraId="689C9FEB" w14:textId="77777777" w:rsidTr="00A731FB">
        <w:trPr>
          <w:trHeight w:val="340"/>
          <w:jc w:val="center"/>
        </w:trPr>
        <w:tc>
          <w:tcPr>
            <w:tcW w:w="340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858A739" w14:textId="77777777" w:rsidR="006A4065" w:rsidRPr="002801B2" w:rsidRDefault="006A4065" w:rsidP="00A731FB">
            <w:pPr>
              <w:spacing w:before="0" w:after="0" w:line="240" w:lineRule="auto"/>
              <w:rPr>
                <w:rFonts w:eastAsia="Times New Roman" w:cs="Arial"/>
                <w:color w:val="000000"/>
                <w:lang w:eastAsia="es-CO"/>
              </w:rPr>
            </w:pPr>
            <w:r w:rsidRPr="002801B2">
              <w:rPr>
                <w:rFonts w:eastAsia="Times New Roman" w:cs="Arial"/>
                <w:color w:val="000000"/>
                <w:lang w:eastAsia="es-CO"/>
              </w:rPr>
              <w:t>Precios de referencia por ciudades</w:t>
            </w:r>
          </w:p>
        </w:tc>
        <w:tc>
          <w:tcPr>
            <w:tcW w:w="5081" w:type="dxa"/>
            <w:gridSpan w:val="2"/>
            <w:tcBorders>
              <w:top w:val="single" w:sz="4" w:space="0" w:color="auto"/>
              <w:left w:val="nil"/>
              <w:bottom w:val="single" w:sz="4" w:space="0" w:color="auto"/>
              <w:right w:val="single" w:sz="4" w:space="0" w:color="auto"/>
            </w:tcBorders>
            <w:shd w:val="clear" w:color="000000" w:fill="002060"/>
            <w:noWrap/>
            <w:vAlign w:val="center"/>
            <w:hideMark/>
          </w:tcPr>
          <w:p w14:paraId="3C140F52" w14:textId="77777777" w:rsidR="006A4065" w:rsidRPr="002801B2" w:rsidRDefault="006A4065" w:rsidP="00A731FB">
            <w:pPr>
              <w:spacing w:before="0" w:after="0" w:line="240" w:lineRule="auto"/>
              <w:jc w:val="center"/>
              <w:rPr>
                <w:rFonts w:eastAsia="Times New Roman" w:cs="Arial"/>
                <w:color w:val="FFFFFF"/>
                <w:lang w:eastAsia="es-CO"/>
              </w:rPr>
            </w:pPr>
            <w:r w:rsidRPr="002801B2">
              <w:rPr>
                <w:rFonts w:eastAsia="Times New Roman" w:cs="Arial"/>
                <w:color w:val="FFFFFF"/>
                <w:lang w:eastAsia="es-CO"/>
              </w:rPr>
              <w:t>Vigencia 7 de septiembre del 2024</w:t>
            </w:r>
          </w:p>
        </w:tc>
      </w:tr>
      <w:tr w:rsidR="006A4065" w:rsidRPr="002801B2" w14:paraId="7B4E60E4" w14:textId="77777777" w:rsidTr="00A731FB">
        <w:trPr>
          <w:trHeight w:val="340"/>
          <w:jc w:val="center"/>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5BAFE01F" w14:textId="77777777" w:rsidR="006A4065" w:rsidRPr="002801B2" w:rsidRDefault="006A4065" w:rsidP="00A731FB">
            <w:pPr>
              <w:spacing w:before="0" w:after="0" w:line="240" w:lineRule="auto"/>
              <w:rPr>
                <w:rFonts w:eastAsia="Times New Roman" w:cs="Arial"/>
                <w:color w:val="000000"/>
                <w:lang w:eastAsia="es-CO"/>
              </w:rPr>
            </w:pPr>
          </w:p>
        </w:tc>
        <w:tc>
          <w:tcPr>
            <w:tcW w:w="2552" w:type="dxa"/>
            <w:tcBorders>
              <w:top w:val="nil"/>
              <w:left w:val="nil"/>
              <w:bottom w:val="single" w:sz="4" w:space="0" w:color="auto"/>
              <w:right w:val="single" w:sz="4" w:space="0" w:color="auto"/>
            </w:tcBorders>
            <w:shd w:val="clear" w:color="000000" w:fill="F2F2F2"/>
            <w:noWrap/>
            <w:vAlign w:val="center"/>
            <w:hideMark/>
          </w:tcPr>
          <w:p w14:paraId="0535F8BB" w14:textId="77777777" w:rsidR="006A4065" w:rsidRPr="002801B2" w:rsidRDefault="006A4065" w:rsidP="00A731FB">
            <w:pPr>
              <w:spacing w:before="0" w:after="0" w:line="240" w:lineRule="auto"/>
              <w:jc w:val="center"/>
              <w:rPr>
                <w:rFonts w:eastAsia="Times New Roman" w:cs="Arial"/>
                <w:b/>
                <w:bCs/>
                <w:color w:val="000000"/>
                <w:lang w:eastAsia="es-CO"/>
              </w:rPr>
            </w:pPr>
            <w:r w:rsidRPr="002801B2">
              <w:rPr>
                <w:rFonts w:eastAsia="Times New Roman" w:cs="Arial"/>
                <w:b/>
                <w:bCs/>
                <w:color w:val="000000"/>
                <w:lang w:eastAsia="es-CO"/>
              </w:rPr>
              <w:t>Gasolina MC ($/gal)</w:t>
            </w:r>
          </w:p>
        </w:tc>
        <w:tc>
          <w:tcPr>
            <w:tcW w:w="2529" w:type="dxa"/>
            <w:tcBorders>
              <w:top w:val="nil"/>
              <w:left w:val="nil"/>
              <w:bottom w:val="single" w:sz="4" w:space="0" w:color="auto"/>
              <w:right w:val="single" w:sz="4" w:space="0" w:color="auto"/>
            </w:tcBorders>
            <w:shd w:val="clear" w:color="000000" w:fill="F2F2F2"/>
            <w:noWrap/>
            <w:vAlign w:val="center"/>
            <w:hideMark/>
          </w:tcPr>
          <w:p w14:paraId="0293CDE4" w14:textId="77777777" w:rsidR="006A4065" w:rsidRPr="002801B2" w:rsidRDefault="006A4065" w:rsidP="00A731FB">
            <w:pPr>
              <w:spacing w:before="0" w:after="0" w:line="240" w:lineRule="auto"/>
              <w:jc w:val="center"/>
              <w:rPr>
                <w:rFonts w:eastAsia="Times New Roman" w:cs="Arial"/>
                <w:b/>
                <w:bCs/>
                <w:color w:val="000000"/>
                <w:lang w:eastAsia="es-CO"/>
              </w:rPr>
            </w:pPr>
            <w:r w:rsidRPr="002801B2">
              <w:rPr>
                <w:rFonts w:eastAsia="Times New Roman" w:cs="Arial"/>
                <w:b/>
                <w:bCs/>
                <w:color w:val="000000"/>
                <w:lang w:eastAsia="es-CO"/>
              </w:rPr>
              <w:t>ACPM ($/gal)</w:t>
            </w:r>
          </w:p>
        </w:tc>
      </w:tr>
      <w:tr w:rsidR="006A4065" w:rsidRPr="002801B2" w14:paraId="2E4D0CEF" w14:textId="77777777" w:rsidTr="00A731FB">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8E80C76" w14:textId="77777777" w:rsidR="006A4065" w:rsidRPr="002801B2" w:rsidRDefault="006A4065" w:rsidP="00A731FB">
            <w:pPr>
              <w:spacing w:before="0" w:after="0" w:line="240" w:lineRule="auto"/>
              <w:rPr>
                <w:rFonts w:eastAsia="Times New Roman" w:cs="Arial"/>
                <w:color w:val="000000"/>
                <w:lang w:eastAsia="es-CO"/>
              </w:rPr>
            </w:pPr>
            <w:r w:rsidRPr="002801B2">
              <w:rPr>
                <w:rFonts w:eastAsia="Times New Roman" w:cs="Arial"/>
                <w:color w:val="000000"/>
                <w:lang w:eastAsia="es-CO"/>
              </w:rPr>
              <w:t>Bogotá</w:t>
            </w:r>
          </w:p>
        </w:tc>
        <w:tc>
          <w:tcPr>
            <w:tcW w:w="2552" w:type="dxa"/>
            <w:tcBorders>
              <w:top w:val="nil"/>
              <w:left w:val="nil"/>
              <w:bottom w:val="single" w:sz="4" w:space="0" w:color="auto"/>
              <w:right w:val="single" w:sz="4" w:space="0" w:color="auto"/>
            </w:tcBorders>
            <w:shd w:val="clear" w:color="auto" w:fill="auto"/>
            <w:noWrap/>
            <w:vAlign w:val="center"/>
            <w:hideMark/>
          </w:tcPr>
          <w:p w14:paraId="4932B833" w14:textId="77777777" w:rsidR="006A4065" w:rsidRPr="002801B2" w:rsidRDefault="006A4065" w:rsidP="00A731FB">
            <w:pPr>
              <w:spacing w:before="0" w:after="0" w:line="240" w:lineRule="auto"/>
              <w:jc w:val="center"/>
              <w:rPr>
                <w:rFonts w:eastAsia="Times New Roman" w:cs="Arial"/>
                <w:color w:val="000000"/>
                <w:lang w:eastAsia="es-CO"/>
              </w:rPr>
            </w:pPr>
            <w:r w:rsidRPr="002801B2">
              <w:rPr>
                <w:rFonts w:eastAsia="Times New Roman" w:cs="Arial"/>
                <w:color w:val="000000"/>
                <w:lang w:eastAsia="es-CO"/>
              </w:rPr>
              <w:t>15.993</w:t>
            </w:r>
          </w:p>
        </w:tc>
        <w:tc>
          <w:tcPr>
            <w:tcW w:w="2529" w:type="dxa"/>
            <w:tcBorders>
              <w:top w:val="nil"/>
              <w:left w:val="nil"/>
              <w:bottom w:val="single" w:sz="4" w:space="0" w:color="auto"/>
              <w:right w:val="single" w:sz="4" w:space="0" w:color="auto"/>
            </w:tcBorders>
            <w:shd w:val="clear" w:color="auto" w:fill="auto"/>
            <w:noWrap/>
            <w:vAlign w:val="center"/>
            <w:hideMark/>
          </w:tcPr>
          <w:p w14:paraId="39D1523F" w14:textId="77777777" w:rsidR="006A4065" w:rsidRPr="002801B2" w:rsidRDefault="006A4065" w:rsidP="00A731FB">
            <w:pPr>
              <w:spacing w:before="0" w:after="0" w:line="240" w:lineRule="auto"/>
              <w:jc w:val="center"/>
              <w:rPr>
                <w:rFonts w:eastAsia="Times New Roman" w:cs="Arial"/>
                <w:color w:val="000000"/>
                <w:lang w:eastAsia="es-CO"/>
              </w:rPr>
            </w:pPr>
            <w:r w:rsidRPr="002801B2">
              <w:rPr>
                <w:rFonts w:eastAsia="Times New Roman" w:cs="Arial"/>
                <w:color w:val="000000"/>
                <w:lang w:eastAsia="es-CO"/>
              </w:rPr>
              <w:t>10.156</w:t>
            </w:r>
          </w:p>
        </w:tc>
      </w:tr>
      <w:tr w:rsidR="006A4065" w:rsidRPr="002801B2" w14:paraId="2381922D" w14:textId="77777777" w:rsidTr="00A731FB">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CF602B1" w14:textId="77777777" w:rsidR="006A4065" w:rsidRPr="002801B2" w:rsidRDefault="006A4065" w:rsidP="00A731FB">
            <w:pPr>
              <w:spacing w:before="0" w:after="0" w:line="240" w:lineRule="auto"/>
              <w:rPr>
                <w:rFonts w:eastAsia="Times New Roman" w:cs="Arial"/>
                <w:color w:val="000000"/>
                <w:lang w:eastAsia="es-CO"/>
              </w:rPr>
            </w:pPr>
            <w:r w:rsidRPr="002801B2">
              <w:rPr>
                <w:rFonts w:eastAsia="Times New Roman" w:cs="Arial"/>
                <w:color w:val="000000"/>
                <w:lang w:eastAsia="es-CO"/>
              </w:rPr>
              <w:t>Medellín</w:t>
            </w:r>
          </w:p>
        </w:tc>
        <w:tc>
          <w:tcPr>
            <w:tcW w:w="2552" w:type="dxa"/>
            <w:tcBorders>
              <w:top w:val="nil"/>
              <w:left w:val="nil"/>
              <w:bottom w:val="single" w:sz="4" w:space="0" w:color="auto"/>
              <w:right w:val="single" w:sz="4" w:space="0" w:color="auto"/>
            </w:tcBorders>
            <w:shd w:val="clear" w:color="auto" w:fill="auto"/>
            <w:noWrap/>
            <w:vAlign w:val="center"/>
            <w:hideMark/>
          </w:tcPr>
          <w:p w14:paraId="64D22048" w14:textId="77777777" w:rsidR="006A4065" w:rsidRPr="002801B2" w:rsidRDefault="006A4065" w:rsidP="00A731FB">
            <w:pPr>
              <w:spacing w:before="0" w:after="0" w:line="240" w:lineRule="auto"/>
              <w:jc w:val="center"/>
              <w:rPr>
                <w:rFonts w:eastAsia="Times New Roman" w:cs="Arial"/>
                <w:color w:val="000000"/>
                <w:lang w:eastAsia="es-CO"/>
              </w:rPr>
            </w:pPr>
            <w:r w:rsidRPr="002801B2">
              <w:rPr>
                <w:rFonts w:eastAsia="Times New Roman" w:cs="Arial"/>
                <w:color w:val="000000"/>
                <w:lang w:eastAsia="es-CO"/>
              </w:rPr>
              <w:t>15.918</w:t>
            </w:r>
          </w:p>
        </w:tc>
        <w:tc>
          <w:tcPr>
            <w:tcW w:w="2529" w:type="dxa"/>
            <w:tcBorders>
              <w:top w:val="nil"/>
              <w:left w:val="nil"/>
              <w:bottom w:val="single" w:sz="4" w:space="0" w:color="auto"/>
              <w:right w:val="single" w:sz="4" w:space="0" w:color="auto"/>
            </w:tcBorders>
            <w:shd w:val="clear" w:color="auto" w:fill="auto"/>
            <w:noWrap/>
            <w:vAlign w:val="center"/>
            <w:hideMark/>
          </w:tcPr>
          <w:p w14:paraId="6C2D5E25" w14:textId="77777777" w:rsidR="006A4065" w:rsidRPr="002801B2" w:rsidRDefault="006A4065" w:rsidP="00A731FB">
            <w:pPr>
              <w:spacing w:before="0" w:after="0" w:line="240" w:lineRule="auto"/>
              <w:jc w:val="center"/>
              <w:rPr>
                <w:rFonts w:eastAsia="Times New Roman" w:cs="Arial"/>
                <w:color w:val="000000"/>
                <w:lang w:eastAsia="es-CO"/>
              </w:rPr>
            </w:pPr>
            <w:r w:rsidRPr="002801B2">
              <w:rPr>
                <w:rFonts w:eastAsia="Times New Roman" w:cs="Arial"/>
                <w:color w:val="000000"/>
                <w:lang w:eastAsia="es-CO"/>
              </w:rPr>
              <w:t>10.177</w:t>
            </w:r>
          </w:p>
        </w:tc>
      </w:tr>
      <w:tr w:rsidR="006A4065" w:rsidRPr="002801B2" w14:paraId="6E3AB2A0" w14:textId="77777777" w:rsidTr="00A731FB">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D18F01" w14:textId="77777777" w:rsidR="006A4065" w:rsidRPr="002801B2" w:rsidRDefault="006A4065" w:rsidP="00A731FB">
            <w:pPr>
              <w:spacing w:before="0" w:after="0" w:line="240" w:lineRule="auto"/>
              <w:rPr>
                <w:rFonts w:eastAsia="Times New Roman" w:cs="Arial"/>
                <w:color w:val="000000"/>
                <w:lang w:eastAsia="es-CO"/>
              </w:rPr>
            </w:pPr>
            <w:r w:rsidRPr="002801B2">
              <w:rPr>
                <w:rFonts w:eastAsia="Times New Roman" w:cs="Arial"/>
                <w:color w:val="000000"/>
                <w:lang w:eastAsia="es-CO"/>
              </w:rPr>
              <w:t>Cali</w:t>
            </w:r>
          </w:p>
        </w:tc>
        <w:tc>
          <w:tcPr>
            <w:tcW w:w="2552" w:type="dxa"/>
            <w:tcBorders>
              <w:top w:val="nil"/>
              <w:left w:val="nil"/>
              <w:bottom w:val="single" w:sz="4" w:space="0" w:color="auto"/>
              <w:right w:val="single" w:sz="4" w:space="0" w:color="auto"/>
            </w:tcBorders>
            <w:shd w:val="clear" w:color="auto" w:fill="auto"/>
            <w:noWrap/>
            <w:vAlign w:val="center"/>
            <w:hideMark/>
          </w:tcPr>
          <w:p w14:paraId="4E67FE37" w14:textId="77777777" w:rsidR="006A4065" w:rsidRPr="002801B2" w:rsidRDefault="006A4065" w:rsidP="00A731FB">
            <w:pPr>
              <w:spacing w:before="0" w:after="0" w:line="240" w:lineRule="auto"/>
              <w:jc w:val="center"/>
              <w:rPr>
                <w:rFonts w:eastAsia="Times New Roman" w:cs="Arial"/>
                <w:color w:val="000000"/>
                <w:lang w:eastAsia="es-CO"/>
              </w:rPr>
            </w:pPr>
            <w:r w:rsidRPr="002801B2">
              <w:rPr>
                <w:rFonts w:eastAsia="Times New Roman" w:cs="Arial"/>
                <w:color w:val="000000"/>
                <w:lang w:eastAsia="es-CO"/>
              </w:rPr>
              <w:t>16.003</w:t>
            </w:r>
          </w:p>
        </w:tc>
        <w:tc>
          <w:tcPr>
            <w:tcW w:w="2529" w:type="dxa"/>
            <w:tcBorders>
              <w:top w:val="nil"/>
              <w:left w:val="nil"/>
              <w:bottom w:val="single" w:sz="4" w:space="0" w:color="auto"/>
              <w:right w:val="single" w:sz="4" w:space="0" w:color="auto"/>
            </w:tcBorders>
            <w:shd w:val="clear" w:color="auto" w:fill="auto"/>
            <w:noWrap/>
            <w:vAlign w:val="center"/>
            <w:hideMark/>
          </w:tcPr>
          <w:p w14:paraId="0690708E" w14:textId="77777777" w:rsidR="006A4065" w:rsidRPr="002801B2" w:rsidRDefault="006A4065" w:rsidP="00A731FB">
            <w:pPr>
              <w:spacing w:before="0" w:after="0" w:line="240" w:lineRule="auto"/>
              <w:jc w:val="center"/>
              <w:rPr>
                <w:rFonts w:eastAsia="Times New Roman" w:cs="Arial"/>
                <w:color w:val="000000"/>
                <w:lang w:eastAsia="es-CO"/>
              </w:rPr>
            </w:pPr>
            <w:r w:rsidRPr="002801B2">
              <w:rPr>
                <w:rFonts w:eastAsia="Times New Roman" w:cs="Arial"/>
                <w:color w:val="000000"/>
                <w:lang w:eastAsia="es-CO"/>
              </w:rPr>
              <w:t>10.292</w:t>
            </w:r>
          </w:p>
        </w:tc>
      </w:tr>
      <w:tr w:rsidR="006A4065" w:rsidRPr="002801B2" w14:paraId="2EC8C8EC" w14:textId="77777777" w:rsidTr="00A731FB">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CE3A96C" w14:textId="77777777" w:rsidR="006A4065" w:rsidRPr="002801B2" w:rsidRDefault="006A4065" w:rsidP="00A731FB">
            <w:pPr>
              <w:spacing w:before="0" w:after="0" w:line="240" w:lineRule="auto"/>
              <w:rPr>
                <w:rFonts w:eastAsia="Times New Roman" w:cs="Arial"/>
                <w:color w:val="000000"/>
                <w:lang w:eastAsia="es-CO"/>
              </w:rPr>
            </w:pPr>
            <w:r w:rsidRPr="002801B2">
              <w:rPr>
                <w:rFonts w:eastAsia="Times New Roman" w:cs="Arial"/>
                <w:color w:val="000000"/>
                <w:lang w:eastAsia="es-CO"/>
              </w:rPr>
              <w:t>Barranquilla</w:t>
            </w:r>
          </w:p>
        </w:tc>
        <w:tc>
          <w:tcPr>
            <w:tcW w:w="2552" w:type="dxa"/>
            <w:tcBorders>
              <w:top w:val="nil"/>
              <w:left w:val="nil"/>
              <w:bottom w:val="single" w:sz="4" w:space="0" w:color="auto"/>
              <w:right w:val="single" w:sz="4" w:space="0" w:color="auto"/>
            </w:tcBorders>
            <w:shd w:val="clear" w:color="auto" w:fill="auto"/>
            <w:noWrap/>
            <w:vAlign w:val="center"/>
            <w:hideMark/>
          </w:tcPr>
          <w:p w14:paraId="24E77378" w14:textId="77777777" w:rsidR="006A4065" w:rsidRPr="002801B2" w:rsidRDefault="006A4065" w:rsidP="00A731FB">
            <w:pPr>
              <w:spacing w:before="0" w:after="0" w:line="240" w:lineRule="auto"/>
              <w:jc w:val="center"/>
              <w:rPr>
                <w:rFonts w:eastAsia="Times New Roman" w:cs="Arial"/>
                <w:color w:val="000000"/>
                <w:lang w:eastAsia="es-CO"/>
              </w:rPr>
            </w:pPr>
            <w:r w:rsidRPr="002801B2">
              <w:rPr>
                <w:rFonts w:eastAsia="Times New Roman" w:cs="Arial"/>
                <w:color w:val="000000"/>
                <w:lang w:eastAsia="es-CO"/>
              </w:rPr>
              <w:t>15.649</w:t>
            </w:r>
          </w:p>
        </w:tc>
        <w:tc>
          <w:tcPr>
            <w:tcW w:w="2529" w:type="dxa"/>
            <w:tcBorders>
              <w:top w:val="nil"/>
              <w:left w:val="nil"/>
              <w:bottom w:val="single" w:sz="4" w:space="0" w:color="auto"/>
              <w:right w:val="single" w:sz="4" w:space="0" w:color="auto"/>
            </w:tcBorders>
            <w:shd w:val="clear" w:color="auto" w:fill="auto"/>
            <w:noWrap/>
            <w:vAlign w:val="center"/>
            <w:hideMark/>
          </w:tcPr>
          <w:p w14:paraId="5E459743" w14:textId="77777777" w:rsidR="006A4065" w:rsidRPr="002801B2" w:rsidRDefault="006A4065" w:rsidP="00A731FB">
            <w:pPr>
              <w:spacing w:before="0" w:after="0" w:line="240" w:lineRule="auto"/>
              <w:jc w:val="center"/>
              <w:rPr>
                <w:rFonts w:eastAsia="Times New Roman" w:cs="Arial"/>
                <w:color w:val="000000"/>
                <w:lang w:eastAsia="es-CO"/>
              </w:rPr>
            </w:pPr>
            <w:r w:rsidRPr="002801B2">
              <w:rPr>
                <w:rFonts w:eastAsia="Times New Roman" w:cs="Arial"/>
                <w:color w:val="000000"/>
                <w:lang w:eastAsia="es-CO"/>
              </w:rPr>
              <w:t>9.850</w:t>
            </w:r>
          </w:p>
        </w:tc>
      </w:tr>
      <w:tr w:rsidR="006A4065" w:rsidRPr="002801B2" w14:paraId="41914339" w14:textId="77777777" w:rsidTr="00A731FB">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D0C891" w14:textId="77777777" w:rsidR="006A4065" w:rsidRPr="002801B2" w:rsidRDefault="006A4065" w:rsidP="00A731FB">
            <w:pPr>
              <w:spacing w:before="0" w:after="0" w:line="240" w:lineRule="auto"/>
              <w:rPr>
                <w:rFonts w:eastAsia="Times New Roman" w:cs="Arial"/>
                <w:color w:val="000000"/>
                <w:lang w:eastAsia="es-CO"/>
              </w:rPr>
            </w:pPr>
            <w:r w:rsidRPr="002801B2">
              <w:rPr>
                <w:rFonts w:eastAsia="Times New Roman" w:cs="Arial"/>
                <w:color w:val="000000"/>
                <w:lang w:eastAsia="es-CO"/>
              </w:rPr>
              <w:t>Cartagena</w:t>
            </w:r>
          </w:p>
        </w:tc>
        <w:tc>
          <w:tcPr>
            <w:tcW w:w="2552" w:type="dxa"/>
            <w:tcBorders>
              <w:top w:val="nil"/>
              <w:left w:val="nil"/>
              <w:bottom w:val="single" w:sz="4" w:space="0" w:color="auto"/>
              <w:right w:val="single" w:sz="4" w:space="0" w:color="auto"/>
            </w:tcBorders>
            <w:shd w:val="clear" w:color="auto" w:fill="auto"/>
            <w:noWrap/>
            <w:vAlign w:val="center"/>
            <w:hideMark/>
          </w:tcPr>
          <w:p w14:paraId="4FAB63C7" w14:textId="77777777" w:rsidR="006A4065" w:rsidRPr="002801B2" w:rsidRDefault="006A4065" w:rsidP="00A731FB">
            <w:pPr>
              <w:spacing w:before="0" w:after="0" w:line="240" w:lineRule="auto"/>
              <w:jc w:val="center"/>
              <w:rPr>
                <w:rFonts w:eastAsia="Times New Roman" w:cs="Arial"/>
                <w:color w:val="000000"/>
                <w:lang w:eastAsia="es-CO"/>
              </w:rPr>
            </w:pPr>
            <w:r w:rsidRPr="002801B2">
              <w:rPr>
                <w:rFonts w:eastAsia="Times New Roman" w:cs="Arial"/>
                <w:color w:val="000000"/>
                <w:lang w:eastAsia="es-CO"/>
              </w:rPr>
              <w:t>15.608</w:t>
            </w:r>
          </w:p>
        </w:tc>
        <w:tc>
          <w:tcPr>
            <w:tcW w:w="2529" w:type="dxa"/>
            <w:tcBorders>
              <w:top w:val="nil"/>
              <w:left w:val="nil"/>
              <w:bottom w:val="single" w:sz="4" w:space="0" w:color="auto"/>
              <w:right w:val="single" w:sz="4" w:space="0" w:color="auto"/>
            </w:tcBorders>
            <w:shd w:val="clear" w:color="auto" w:fill="auto"/>
            <w:noWrap/>
            <w:vAlign w:val="center"/>
            <w:hideMark/>
          </w:tcPr>
          <w:p w14:paraId="7D1FA1DB" w14:textId="77777777" w:rsidR="006A4065" w:rsidRPr="002801B2" w:rsidRDefault="006A4065" w:rsidP="00A731FB">
            <w:pPr>
              <w:spacing w:before="0" w:after="0" w:line="240" w:lineRule="auto"/>
              <w:jc w:val="center"/>
              <w:rPr>
                <w:rFonts w:eastAsia="Times New Roman" w:cs="Arial"/>
                <w:color w:val="000000"/>
                <w:lang w:eastAsia="es-CO"/>
              </w:rPr>
            </w:pPr>
            <w:r w:rsidRPr="002801B2">
              <w:rPr>
                <w:rFonts w:eastAsia="Times New Roman" w:cs="Arial"/>
                <w:color w:val="000000"/>
                <w:lang w:eastAsia="es-CO"/>
              </w:rPr>
              <w:t>9.817</w:t>
            </w:r>
          </w:p>
        </w:tc>
      </w:tr>
      <w:tr w:rsidR="006A4065" w:rsidRPr="002801B2" w14:paraId="2710D247" w14:textId="77777777" w:rsidTr="00A731FB">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CCB480" w14:textId="77777777" w:rsidR="006A4065" w:rsidRPr="002801B2" w:rsidRDefault="006A4065" w:rsidP="00A731FB">
            <w:pPr>
              <w:spacing w:before="0" w:after="0" w:line="240" w:lineRule="auto"/>
              <w:rPr>
                <w:rFonts w:eastAsia="Times New Roman" w:cs="Arial"/>
                <w:color w:val="000000"/>
                <w:lang w:eastAsia="es-CO"/>
              </w:rPr>
            </w:pPr>
            <w:r w:rsidRPr="002801B2">
              <w:rPr>
                <w:rFonts w:eastAsia="Times New Roman" w:cs="Arial"/>
                <w:color w:val="000000"/>
                <w:lang w:eastAsia="es-CO"/>
              </w:rPr>
              <w:t>Montería</w:t>
            </w:r>
          </w:p>
        </w:tc>
        <w:tc>
          <w:tcPr>
            <w:tcW w:w="2552" w:type="dxa"/>
            <w:tcBorders>
              <w:top w:val="nil"/>
              <w:left w:val="nil"/>
              <w:bottom w:val="single" w:sz="4" w:space="0" w:color="auto"/>
              <w:right w:val="single" w:sz="4" w:space="0" w:color="auto"/>
            </w:tcBorders>
            <w:shd w:val="clear" w:color="auto" w:fill="auto"/>
            <w:noWrap/>
            <w:vAlign w:val="center"/>
            <w:hideMark/>
          </w:tcPr>
          <w:p w14:paraId="543587B0" w14:textId="77777777" w:rsidR="006A4065" w:rsidRPr="002801B2" w:rsidRDefault="006A4065" w:rsidP="00A731FB">
            <w:pPr>
              <w:spacing w:before="0" w:after="0" w:line="240" w:lineRule="auto"/>
              <w:jc w:val="center"/>
              <w:rPr>
                <w:rFonts w:eastAsia="Times New Roman" w:cs="Arial"/>
                <w:color w:val="000000"/>
                <w:lang w:eastAsia="es-CO"/>
              </w:rPr>
            </w:pPr>
            <w:r w:rsidRPr="002801B2">
              <w:rPr>
                <w:rFonts w:eastAsia="Times New Roman" w:cs="Arial"/>
                <w:color w:val="000000"/>
                <w:lang w:eastAsia="es-CO"/>
              </w:rPr>
              <w:t>15.858</w:t>
            </w:r>
          </w:p>
        </w:tc>
        <w:tc>
          <w:tcPr>
            <w:tcW w:w="2529" w:type="dxa"/>
            <w:tcBorders>
              <w:top w:val="nil"/>
              <w:left w:val="nil"/>
              <w:bottom w:val="single" w:sz="4" w:space="0" w:color="auto"/>
              <w:right w:val="single" w:sz="4" w:space="0" w:color="auto"/>
            </w:tcBorders>
            <w:shd w:val="clear" w:color="auto" w:fill="auto"/>
            <w:noWrap/>
            <w:vAlign w:val="center"/>
            <w:hideMark/>
          </w:tcPr>
          <w:p w14:paraId="24A34813" w14:textId="77777777" w:rsidR="006A4065" w:rsidRPr="002801B2" w:rsidRDefault="006A4065" w:rsidP="00A731FB">
            <w:pPr>
              <w:spacing w:before="0" w:after="0" w:line="240" w:lineRule="auto"/>
              <w:jc w:val="center"/>
              <w:rPr>
                <w:rFonts w:eastAsia="Times New Roman" w:cs="Arial"/>
                <w:color w:val="000000"/>
                <w:lang w:eastAsia="es-CO"/>
              </w:rPr>
            </w:pPr>
            <w:r w:rsidRPr="002801B2">
              <w:rPr>
                <w:rFonts w:eastAsia="Times New Roman" w:cs="Arial"/>
                <w:color w:val="000000"/>
                <w:lang w:eastAsia="es-CO"/>
              </w:rPr>
              <w:t>10.067</w:t>
            </w:r>
          </w:p>
        </w:tc>
      </w:tr>
      <w:tr w:rsidR="006A4065" w:rsidRPr="002801B2" w14:paraId="66DA451E" w14:textId="77777777" w:rsidTr="00A731FB">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5FAB4F" w14:textId="77777777" w:rsidR="006A4065" w:rsidRPr="002801B2" w:rsidRDefault="006A4065" w:rsidP="00A731FB">
            <w:pPr>
              <w:spacing w:before="0" w:after="0" w:line="240" w:lineRule="auto"/>
              <w:rPr>
                <w:rFonts w:eastAsia="Times New Roman" w:cs="Arial"/>
                <w:color w:val="000000"/>
                <w:lang w:eastAsia="es-CO"/>
              </w:rPr>
            </w:pPr>
            <w:r w:rsidRPr="002801B2">
              <w:rPr>
                <w:rFonts w:eastAsia="Times New Roman" w:cs="Arial"/>
                <w:color w:val="000000"/>
                <w:lang w:eastAsia="es-CO"/>
              </w:rPr>
              <w:t>Bucaramanga</w:t>
            </w:r>
          </w:p>
        </w:tc>
        <w:tc>
          <w:tcPr>
            <w:tcW w:w="2552" w:type="dxa"/>
            <w:tcBorders>
              <w:top w:val="nil"/>
              <w:left w:val="nil"/>
              <w:bottom w:val="single" w:sz="4" w:space="0" w:color="auto"/>
              <w:right w:val="single" w:sz="4" w:space="0" w:color="auto"/>
            </w:tcBorders>
            <w:shd w:val="clear" w:color="auto" w:fill="auto"/>
            <w:noWrap/>
            <w:vAlign w:val="center"/>
            <w:hideMark/>
          </w:tcPr>
          <w:p w14:paraId="303BD469" w14:textId="77777777" w:rsidR="006A4065" w:rsidRPr="002801B2" w:rsidRDefault="006A4065" w:rsidP="00A731FB">
            <w:pPr>
              <w:spacing w:before="0" w:after="0" w:line="240" w:lineRule="auto"/>
              <w:jc w:val="center"/>
              <w:rPr>
                <w:rFonts w:eastAsia="Times New Roman" w:cs="Arial"/>
                <w:color w:val="000000"/>
                <w:lang w:eastAsia="es-CO"/>
              </w:rPr>
            </w:pPr>
            <w:r w:rsidRPr="002801B2">
              <w:rPr>
                <w:rFonts w:eastAsia="Times New Roman" w:cs="Arial"/>
                <w:color w:val="000000"/>
                <w:lang w:eastAsia="es-CO"/>
              </w:rPr>
              <w:t>15.763</w:t>
            </w:r>
          </w:p>
        </w:tc>
        <w:tc>
          <w:tcPr>
            <w:tcW w:w="2529" w:type="dxa"/>
            <w:tcBorders>
              <w:top w:val="nil"/>
              <w:left w:val="nil"/>
              <w:bottom w:val="single" w:sz="4" w:space="0" w:color="auto"/>
              <w:right w:val="single" w:sz="4" w:space="0" w:color="auto"/>
            </w:tcBorders>
            <w:shd w:val="clear" w:color="auto" w:fill="auto"/>
            <w:noWrap/>
            <w:vAlign w:val="center"/>
            <w:hideMark/>
          </w:tcPr>
          <w:p w14:paraId="02508A67" w14:textId="77777777" w:rsidR="006A4065" w:rsidRPr="002801B2" w:rsidRDefault="006A4065" w:rsidP="00A731FB">
            <w:pPr>
              <w:spacing w:before="0" w:after="0" w:line="240" w:lineRule="auto"/>
              <w:jc w:val="center"/>
              <w:rPr>
                <w:rFonts w:eastAsia="Times New Roman" w:cs="Arial"/>
                <w:color w:val="000000"/>
                <w:lang w:eastAsia="es-CO"/>
              </w:rPr>
            </w:pPr>
            <w:r w:rsidRPr="002801B2">
              <w:rPr>
                <w:rFonts w:eastAsia="Times New Roman" w:cs="Arial"/>
                <w:color w:val="000000"/>
                <w:lang w:eastAsia="es-CO"/>
              </w:rPr>
              <w:t>9.919</w:t>
            </w:r>
          </w:p>
        </w:tc>
      </w:tr>
      <w:tr w:rsidR="006A4065" w:rsidRPr="002801B2" w14:paraId="43B23332" w14:textId="77777777" w:rsidTr="00A731FB">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E9A767A" w14:textId="77777777" w:rsidR="006A4065" w:rsidRPr="002801B2" w:rsidRDefault="006A4065" w:rsidP="00A731FB">
            <w:pPr>
              <w:spacing w:before="0" w:after="0" w:line="240" w:lineRule="auto"/>
              <w:rPr>
                <w:rFonts w:eastAsia="Times New Roman" w:cs="Arial"/>
                <w:color w:val="000000"/>
                <w:lang w:eastAsia="es-CO"/>
              </w:rPr>
            </w:pPr>
            <w:r w:rsidRPr="002801B2">
              <w:rPr>
                <w:rFonts w:eastAsia="Times New Roman" w:cs="Arial"/>
                <w:color w:val="000000"/>
                <w:lang w:eastAsia="es-CO"/>
              </w:rPr>
              <w:t>Villavicencio</w:t>
            </w:r>
          </w:p>
        </w:tc>
        <w:tc>
          <w:tcPr>
            <w:tcW w:w="2552" w:type="dxa"/>
            <w:tcBorders>
              <w:top w:val="nil"/>
              <w:left w:val="nil"/>
              <w:bottom w:val="single" w:sz="4" w:space="0" w:color="auto"/>
              <w:right w:val="single" w:sz="4" w:space="0" w:color="auto"/>
            </w:tcBorders>
            <w:shd w:val="clear" w:color="auto" w:fill="auto"/>
            <w:noWrap/>
            <w:vAlign w:val="center"/>
            <w:hideMark/>
          </w:tcPr>
          <w:p w14:paraId="66C00A59" w14:textId="77777777" w:rsidR="006A4065" w:rsidRPr="002801B2" w:rsidRDefault="006A4065" w:rsidP="00A731FB">
            <w:pPr>
              <w:spacing w:before="0" w:after="0" w:line="240" w:lineRule="auto"/>
              <w:jc w:val="center"/>
              <w:rPr>
                <w:rFonts w:eastAsia="Times New Roman" w:cs="Arial"/>
                <w:color w:val="000000"/>
                <w:lang w:eastAsia="es-CO"/>
              </w:rPr>
            </w:pPr>
            <w:r w:rsidRPr="002801B2">
              <w:rPr>
                <w:rFonts w:eastAsia="Times New Roman" w:cs="Arial"/>
                <w:color w:val="000000"/>
                <w:lang w:eastAsia="es-CO"/>
              </w:rPr>
              <w:t>16.093</w:t>
            </w:r>
          </w:p>
        </w:tc>
        <w:tc>
          <w:tcPr>
            <w:tcW w:w="2529" w:type="dxa"/>
            <w:tcBorders>
              <w:top w:val="nil"/>
              <w:left w:val="nil"/>
              <w:bottom w:val="single" w:sz="4" w:space="0" w:color="auto"/>
              <w:right w:val="single" w:sz="4" w:space="0" w:color="auto"/>
            </w:tcBorders>
            <w:shd w:val="clear" w:color="auto" w:fill="auto"/>
            <w:noWrap/>
            <w:vAlign w:val="center"/>
            <w:hideMark/>
          </w:tcPr>
          <w:p w14:paraId="7059E4FA" w14:textId="77777777" w:rsidR="006A4065" w:rsidRPr="002801B2" w:rsidRDefault="006A4065" w:rsidP="00A731FB">
            <w:pPr>
              <w:spacing w:before="0" w:after="0" w:line="240" w:lineRule="auto"/>
              <w:jc w:val="center"/>
              <w:rPr>
                <w:rFonts w:eastAsia="Times New Roman" w:cs="Arial"/>
                <w:color w:val="000000"/>
                <w:lang w:eastAsia="es-CO"/>
              </w:rPr>
            </w:pPr>
            <w:r w:rsidRPr="002801B2">
              <w:rPr>
                <w:rFonts w:eastAsia="Times New Roman" w:cs="Arial"/>
                <w:color w:val="000000"/>
                <w:lang w:eastAsia="es-CO"/>
              </w:rPr>
              <w:t>10.256</w:t>
            </w:r>
          </w:p>
        </w:tc>
      </w:tr>
      <w:tr w:rsidR="006A4065" w:rsidRPr="002801B2" w14:paraId="5C53C175" w14:textId="77777777" w:rsidTr="00A731FB">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62E00E" w14:textId="77777777" w:rsidR="006A4065" w:rsidRPr="002801B2" w:rsidRDefault="006A4065" w:rsidP="00A731FB">
            <w:pPr>
              <w:spacing w:before="0" w:after="0" w:line="240" w:lineRule="auto"/>
              <w:rPr>
                <w:rFonts w:eastAsia="Times New Roman" w:cs="Arial"/>
                <w:color w:val="000000"/>
                <w:lang w:eastAsia="es-CO"/>
              </w:rPr>
            </w:pPr>
            <w:r w:rsidRPr="002801B2">
              <w:rPr>
                <w:rFonts w:eastAsia="Times New Roman" w:cs="Arial"/>
                <w:color w:val="000000"/>
                <w:lang w:eastAsia="es-CO"/>
              </w:rPr>
              <w:t>Pereira</w:t>
            </w:r>
          </w:p>
        </w:tc>
        <w:tc>
          <w:tcPr>
            <w:tcW w:w="2552" w:type="dxa"/>
            <w:tcBorders>
              <w:top w:val="nil"/>
              <w:left w:val="nil"/>
              <w:bottom w:val="single" w:sz="4" w:space="0" w:color="auto"/>
              <w:right w:val="single" w:sz="4" w:space="0" w:color="auto"/>
            </w:tcBorders>
            <w:shd w:val="clear" w:color="auto" w:fill="auto"/>
            <w:noWrap/>
            <w:vAlign w:val="center"/>
            <w:hideMark/>
          </w:tcPr>
          <w:p w14:paraId="3A3A393A" w14:textId="77777777" w:rsidR="006A4065" w:rsidRPr="002801B2" w:rsidRDefault="006A4065" w:rsidP="00A731FB">
            <w:pPr>
              <w:spacing w:before="0" w:after="0" w:line="240" w:lineRule="auto"/>
              <w:jc w:val="center"/>
              <w:rPr>
                <w:rFonts w:eastAsia="Times New Roman" w:cs="Arial"/>
                <w:color w:val="000000"/>
                <w:lang w:eastAsia="es-CO"/>
              </w:rPr>
            </w:pPr>
            <w:r w:rsidRPr="002801B2">
              <w:rPr>
                <w:rFonts w:eastAsia="Times New Roman" w:cs="Arial"/>
                <w:color w:val="000000"/>
                <w:lang w:eastAsia="es-CO"/>
              </w:rPr>
              <w:t>15.943</w:t>
            </w:r>
          </w:p>
        </w:tc>
        <w:tc>
          <w:tcPr>
            <w:tcW w:w="2529" w:type="dxa"/>
            <w:tcBorders>
              <w:top w:val="nil"/>
              <w:left w:val="nil"/>
              <w:bottom w:val="single" w:sz="4" w:space="0" w:color="auto"/>
              <w:right w:val="single" w:sz="4" w:space="0" w:color="auto"/>
            </w:tcBorders>
            <w:shd w:val="clear" w:color="auto" w:fill="auto"/>
            <w:noWrap/>
            <w:vAlign w:val="center"/>
            <w:hideMark/>
          </w:tcPr>
          <w:p w14:paraId="66B22C20" w14:textId="77777777" w:rsidR="006A4065" w:rsidRPr="002801B2" w:rsidRDefault="006A4065" w:rsidP="00A731FB">
            <w:pPr>
              <w:spacing w:before="0" w:after="0" w:line="240" w:lineRule="auto"/>
              <w:jc w:val="center"/>
              <w:rPr>
                <w:rFonts w:eastAsia="Times New Roman" w:cs="Arial"/>
                <w:color w:val="000000"/>
                <w:lang w:eastAsia="es-CO"/>
              </w:rPr>
            </w:pPr>
            <w:r w:rsidRPr="002801B2">
              <w:rPr>
                <w:rFonts w:eastAsia="Times New Roman" w:cs="Arial"/>
                <w:color w:val="000000"/>
                <w:lang w:eastAsia="es-CO"/>
              </w:rPr>
              <w:t>10.235</w:t>
            </w:r>
          </w:p>
        </w:tc>
      </w:tr>
      <w:tr w:rsidR="006A4065" w:rsidRPr="002801B2" w14:paraId="47393C69" w14:textId="77777777" w:rsidTr="00A731FB">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318CAF" w14:textId="77777777" w:rsidR="006A4065" w:rsidRPr="002801B2" w:rsidRDefault="006A4065" w:rsidP="00A731FB">
            <w:pPr>
              <w:spacing w:before="0" w:after="0" w:line="240" w:lineRule="auto"/>
              <w:rPr>
                <w:rFonts w:eastAsia="Times New Roman" w:cs="Arial"/>
                <w:color w:val="000000"/>
                <w:lang w:eastAsia="es-CO"/>
              </w:rPr>
            </w:pPr>
            <w:r w:rsidRPr="002801B2">
              <w:rPr>
                <w:rFonts w:eastAsia="Times New Roman" w:cs="Arial"/>
                <w:color w:val="000000"/>
                <w:lang w:eastAsia="es-CO"/>
              </w:rPr>
              <w:t>Manizales</w:t>
            </w:r>
          </w:p>
        </w:tc>
        <w:tc>
          <w:tcPr>
            <w:tcW w:w="2552" w:type="dxa"/>
            <w:tcBorders>
              <w:top w:val="nil"/>
              <w:left w:val="nil"/>
              <w:bottom w:val="single" w:sz="4" w:space="0" w:color="auto"/>
              <w:right w:val="single" w:sz="4" w:space="0" w:color="auto"/>
            </w:tcBorders>
            <w:shd w:val="clear" w:color="auto" w:fill="auto"/>
            <w:noWrap/>
            <w:vAlign w:val="center"/>
            <w:hideMark/>
          </w:tcPr>
          <w:p w14:paraId="4BEECD9F" w14:textId="77777777" w:rsidR="006A4065" w:rsidRPr="002801B2" w:rsidRDefault="006A4065" w:rsidP="00A731FB">
            <w:pPr>
              <w:spacing w:before="0" w:after="0" w:line="240" w:lineRule="auto"/>
              <w:jc w:val="center"/>
              <w:rPr>
                <w:rFonts w:eastAsia="Times New Roman" w:cs="Arial"/>
                <w:color w:val="000000"/>
                <w:lang w:eastAsia="es-CO"/>
              </w:rPr>
            </w:pPr>
            <w:r w:rsidRPr="002801B2">
              <w:rPr>
                <w:rFonts w:eastAsia="Times New Roman" w:cs="Arial"/>
                <w:color w:val="000000"/>
                <w:lang w:eastAsia="es-CO"/>
              </w:rPr>
              <w:t>15.969</w:t>
            </w:r>
          </w:p>
        </w:tc>
        <w:tc>
          <w:tcPr>
            <w:tcW w:w="2529" w:type="dxa"/>
            <w:tcBorders>
              <w:top w:val="nil"/>
              <w:left w:val="nil"/>
              <w:bottom w:val="single" w:sz="4" w:space="0" w:color="auto"/>
              <w:right w:val="single" w:sz="4" w:space="0" w:color="auto"/>
            </w:tcBorders>
            <w:shd w:val="clear" w:color="auto" w:fill="auto"/>
            <w:noWrap/>
            <w:vAlign w:val="center"/>
            <w:hideMark/>
          </w:tcPr>
          <w:p w14:paraId="23532182" w14:textId="77777777" w:rsidR="006A4065" w:rsidRPr="002801B2" w:rsidRDefault="006A4065" w:rsidP="00A731FB">
            <w:pPr>
              <w:spacing w:before="0" w:after="0" w:line="240" w:lineRule="auto"/>
              <w:jc w:val="center"/>
              <w:rPr>
                <w:rFonts w:eastAsia="Times New Roman" w:cs="Arial"/>
                <w:color w:val="000000"/>
                <w:lang w:eastAsia="es-CO"/>
              </w:rPr>
            </w:pPr>
            <w:r w:rsidRPr="002801B2">
              <w:rPr>
                <w:rFonts w:eastAsia="Times New Roman" w:cs="Arial"/>
                <w:color w:val="000000"/>
                <w:lang w:eastAsia="es-CO"/>
              </w:rPr>
              <w:t>10.222</w:t>
            </w:r>
          </w:p>
        </w:tc>
      </w:tr>
      <w:tr w:rsidR="006A4065" w:rsidRPr="002801B2" w14:paraId="3D3203F0" w14:textId="77777777" w:rsidTr="00A731FB">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9CF6D38" w14:textId="77777777" w:rsidR="006A4065" w:rsidRPr="002801B2" w:rsidRDefault="006A4065" w:rsidP="00A731FB">
            <w:pPr>
              <w:spacing w:before="0" w:after="0" w:line="240" w:lineRule="auto"/>
              <w:rPr>
                <w:rFonts w:eastAsia="Times New Roman" w:cs="Arial"/>
                <w:color w:val="000000"/>
                <w:lang w:eastAsia="es-CO"/>
              </w:rPr>
            </w:pPr>
            <w:r w:rsidRPr="002801B2">
              <w:rPr>
                <w:rFonts w:eastAsia="Times New Roman" w:cs="Arial"/>
                <w:color w:val="000000"/>
                <w:lang w:eastAsia="es-CO"/>
              </w:rPr>
              <w:t>Ibagué</w:t>
            </w:r>
          </w:p>
        </w:tc>
        <w:tc>
          <w:tcPr>
            <w:tcW w:w="2552" w:type="dxa"/>
            <w:tcBorders>
              <w:top w:val="nil"/>
              <w:left w:val="nil"/>
              <w:bottom w:val="single" w:sz="4" w:space="0" w:color="auto"/>
              <w:right w:val="single" w:sz="4" w:space="0" w:color="auto"/>
            </w:tcBorders>
            <w:shd w:val="clear" w:color="auto" w:fill="auto"/>
            <w:noWrap/>
            <w:vAlign w:val="center"/>
            <w:hideMark/>
          </w:tcPr>
          <w:p w14:paraId="259DFED2" w14:textId="77777777" w:rsidR="006A4065" w:rsidRPr="002801B2" w:rsidRDefault="006A4065" w:rsidP="00A731FB">
            <w:pPr>
              <w:spacing w:before="0" w:after="0" w:line="240" w:lineRule="auto"/>
              <w:jc w:val="center"/>
              <w:rPr>
                <w:rFonts w:eastAsia="Times New Roman" w:cs="Arial"/>
                <w:color w:val="000000"/>
                <w:lang w:eastAsia="es-CO"/>
              </w:rPr>
            </w:pPr>
            <w:r w:rsidRPr="002801B2">
              <w:rPr>
                <w:rFonts w:eastAsia="Times New Roman" w:cs="Arial"/>
                <w:color w:val="000000"/>
                <w:lang w:eastAsia="es-CO"/>
              </w:rPr>
              <w:t>15.914</w:t>
            </w:r>
          </w:p>
        </w:tc>
        <w:tc>
          <w:tcPr>
            <w:tcW w:w="2529" w:type="dxa"/>
            <w:tcBorders>
              <w:top w:val="nil"/>
              <w:left w:val="nil"/>
              <w:bottom w:val="single" w:sz="4" w:space="0" w:color="auto"/>
              <w:right w:val="single" w:sz="4" w:space="0" w:color="auto"/>
            </w:tcBorders>
            <w:shd w:val="clear" w:color="auto" w:fill="auto"/>
            <w:noWrap/>
            <w:vAlign w:val="center"/>
            <w:hideMark/>
          </w:tcPr>
          <w:p w14:paraId="39459355" w14:textId="77777777" w:rsidR="006A4065" w:rsidRPr="002801B2" w:rsidRDefault="006A4065" w:rsidP="00A731FB">
            <w:pPr>
              <w:spacing w:before="0" w:after="0" w:line="240" w:lineRule="auto"/>
              <w:jc w:val="center"/>
              <w:rPr>
                <w:rFonts w:eastAsia="Times New Roman" w:cs="Arial"/>
                <w:color w:val="000000"/>
                <w:lang w:eastAsia="es-CO"/>
              </w:rPr>
            </w:pPr>
            <w:r w:rsidRPr="002801B2">
              <w:rPr>
                <w:rFonts w:eastAsia="Times New Roman" w:cs="Arial"/>
                <w:color w:val="000000"/>
                <w:lang w:eastAsia="es-CO"/>
              </w:rPr>
              <w:t>10.148</w:t>
            </w:r>
          </w:p>
        </w:tc>
      </w:tr>
      <w:tr w:rsidR="006A4065" w:rsidRPr="002801B2" w14:paraId="2C5F4D9F" w14:textId="77777777" w:rsidTr="00A731FB">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2CDE2C8" w14:textId="77777777" w:rsidR="006A4065" w:rsidRPr="002801B2" w:rsidRDefault="006A4065" w:rsidP="00A731FB">
            <w:pPr>
              <w:spacing w:before="0" w:after="0" w:line="240" w:lineRule="auto"/>
              <w:rPr>
                <w:rFonts w:eastAsia="Times New Roman" w:cs="Arial"/>
                <w:color w:val="000000"/>
                <w:lang w:eastAsia="es-CO"/>
              </w:rPr>
            </w:pPr>
            <w:r w:rsidRPr="002801B2">
              <w:rPr>
                <w:rFonts w:eastAsia="Times New Roman" w:cs="Arial"/>
                <w:color w:val="000000"/>
                <w:lang w:eastAsia="es-CO"/>
              </w:rPr>
              <w:t>Pasto</w:t>
            </w:r>
          </w:p>
        </w:tc>
        <w:tc>
          <w:tcPr>
            <w:tcW w:w="2552" w:type="dxa"/>
            <w:tcBorders>
              <w:top w:val="nil"/>
              <w:left w:val="nil"/>
              <w:bottom w:val="single" w:sz="4" w:space="0" w:color="auto"/>
              <w:right w:val="single" w:sz="4" w:space="0" w:color="auto"/>
            </w:tcBorders>
            <w:shd w:val="clear" w:color="auto" w:fill="auto"/>
            <w:noWrap/>
            <w:vAlign w:val="center"/>
            <w:hideMark/>
          </w:tcPr>
          <w:p w14:paraId="6F81EF44" w14:textId="77777777" w:rsidR="006A4065" w:rsidRPr="002801B2" w:rsidRDefault="006A4065" w:rsidP="00A731FB">
            <w:pPr>
              <w:spacing w:before="0" w:after="0" w:line="240" w:lineRule="auto"/>
              <w:jc w:val="center"/>
              <w:rPr>
                <w:rFonts w:eastAsia="Times New Roman" w:cs="Arial"/>
                <w:color w:val="000000"/>
                <w:lang w:eastAsia="es-CO"/>
              </w:rPr>
            </w:pPr>
            <w:r w:rsidRPr="002801B2">
              <w:rPr>
                <w:rFonts w:eastAsia="Times New Roman" w:cs="Arial"/>
                <w:color w:val="000000"/>
                <w:lang w:eastAsia="es-CO"/>
              </w:rPr>
              <w:t>13.725</w:t>
            </w:r>
          </w:p>
        </w:tc>
        <w:tc>
          <w:tcPr>
            <w:tcW w:w="2529" w:type="dxa"/>
            <w:tcBorders>
              <w:top w:val="nil"/>
              <w:left w:val="nil"/>
              <w:bottom w:val="single" w:sz="4" w:space="0" w:color="auto"/>
              <w:right w:val="single" w:sz="4" w:space="0" w:color="auto"/>
            </w:tcBorders>
            <w:shd w:val="clear" w:color="auto" w:fill="auto"/>
            <w:noWrap/>
            <w:vAlign w:val="center"/>
            <w:hideMark/>
          </w:tcPr>
          <w:p w14:paraId="66C4F105" w14:textId="77777777" w:rsidR="006A4065" w:rsidRPr="002801B2" w:rsidRDefault="006A4065" w:rsidP="00A731FB">
            <w:pPr>
              <w:spacing w:before="0" w:after="0" w:line="240" w:lineRule="auto"/>
              <w:jc w:val="center"/>
              <w:rPr>
                <w:rFonts w:eastAsia="Times New Roman" w:cs="Arial"/>
                <w:color w:val="000000"/>
                <w:lang w:eastAsia="es-CO"/>
              </w:rPr>
            </w:pPr>
            <w:r w:rsidRPr="002801B2">
              <w:rPr>
                <w:rFonts w:eastAsia="Times New Roman" w:cs="Arial"/>
                <w:color w:val="000000"/>
                <w:lang w:eastAsia="es-CO"/>
              </w:rPr>
              <w:t>9.148</w:t>
            </w:r>
          </w:p>
        </w:tc>
      </w:tr>
      <w:tr w:rsidR="006A4065" w:rsidRPr="002801B2" w14:paraId="0245EDBC" w14:textId="77777777" w:rsidTr="00A731FB">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318974" w14:textId="77777777" w:rsidR="006A4065" w:rsidRPr="002801B2" w:rsidRDefault="006A4065" w:rsidP="00A731FB">
            <w:pPr>
              <w:spacing w:before="0" w:after="0" w:line="240" w:lineRule="auto"/>
              <w:rPr>
                <w:rFonts w:eastAsia="Times New Roman" w:cs="Arial"/>
                <w:color w:val="000000"/>
                <w:lang w:eastAsia="es-CO"/>
              </w:rPr>
            </w:pPr>
            <w:r w:rsidRPr="002801B2">
              <w:rPr>
                <w:rFonts w:eastAsia="Times New Roman" w:cs="Arial"/>
                <w:color w:val="000000"/>
                <w:lang w:eastAsia="es-CO"/>
              </w:rPr>
              <w:t>Cúcuta</w:t>
            </w:r>
          </w:p>
        </w:tc>
        <w:tc>
          <w:tcPr>
            <w:tcW w:w="2552" w:type="dxa"/>
            <w:tcBorders>
              <w:top w:val="nil"/>
              <w:left w:val="nil"/>
              <w:bottom w:val="single" w:sz="4" w:space="0" w:color="auto"/>
              <w:right w:val="single" w:sz="4" w:space="0" w:color="auto"/>
            </w:tcBorders>
            <w:shd w:val="clear" w:color="auto" w:fill="auto"/>
            <w:noWrap/>
            <w:vAlign w:val="center"/>
            <w:hideMark/>
          </w:tcPr>
          <w:p w14:paraId="0A7305EE" w14:textId="77777777" w:rsidR="006A4065" w:rsidRPr="002801B2" w:rsidRDefault="006A4065" w:rsidP="00A731FB">
            <w:pPr>
              <w:spacing w:before="0" w:after="0" w:line="240" w:lineRule="auto"/>
              <w:jc w:val="center"/>
              <w:rPr>
                <w:rFonts w:eastAsia="Times New Roman" w:cs="Arial"/>
                <w:color w:val="000000"/>
                <w:lang w:eastAsia="es-CO"/>
              </w:rPr>
            </w:pPr>
            <w:r w:rsidRPr="002801B2">
              <w:rPr>
                <w:rFonts w:eastAsia="Times New Roman" w:cs="Arial"/>
                <w:color w:val="000000"/>
                <w:lang w:eastAsia="es-CO"/>
              </w:rPr>
              <w:t>14.052</w:t>
            </w:r>
          </w:p>
        </w:tc>
        <w:tc>
          <w:tcPr>
            <w:tcW w:w="2529" w:type="dxa"/>
            <w:tcBorders>
              <w:top w:val="nil"/>
              <w:left w:val="nil"/>
              <w:bottom w:val="single" w:sz="4" w:space="0" w:color="auto"/>
              <w:right w:val="single" w:sz="4" w:space="0" w:color="auto"/>
            </w:tcBorders>
            <w:shd w:val="clear" w:color="auto" w:fill="auto"/>
            <w:noWrap/>
            <w:vAlign w:val="center"/>
            <w:hideMark/>
          </w:tcPr>
          <w:p w14:paraId="79B72651" w14:textId="77777777" w:rsidR="006A4065" w:rsidRPr="002801B2" w:rsidRDefault="006A4065" w:rsidP="00A731FB">
            <w:pPr>
              <w:spacing w:before="0" w:after="0" w:line="240" w:lineRule="auto"/>
              <w:jc w:val="center"/>
              <w:rPr>
                <w:rFonts w:eastAsia="Times New Roman" w:cs="Arial"/>
                <w:color w:val="000000"/>
                <w:lang w:eastAsia="es-CO"/>
              </w:rPr>
            </w:pPr>
            <w:r w:rsidRPr="002801B2">
              <w:rPr>
                <w:rFonts w:eastAsia="Times New Roman" w:cs="Arial"/>
                <w:color w:val="000000"/>
                <w:lang w:eastAsia="es-CO"/>
              </w:rPr>
              <w:t>7.841</w:t>
            </w:r>
          </w:p>
        </w:tc>
      </w:tr>
      <w:tr w:rsidR="006A4065" w:rsidRPr="002801B2" w14:paraId="6A596373" w14:textId="77777777" w:rsidTr="00A731FB">
        <w:trPr>
          <w:trHeight w:val="567"/>
          <w:jc w:val="center"/>
        </w:trPr>
        <w:tc>
          <w:tcPr>
            <w:tcW w:w="3402" w:type="dxa"/>
            <w:tcBorders>
              <w:top w:val="nil"/>
              <w:left w:val="single" w:sz="4" w:space="0" w:color="auto"/>
              <w:bottom w:val="single" w:sz="4" w:space="0" w:color="auto"/>
              <w:right w:val="single" w:sz="4" w:space="0" w:color="auto"/>
            </w:tcBorders>
            <w:shd w:val="clear" w:color="auto" w:fill="DEEAF6"/>
            <w:vAlign w:val="center"/>
            <w:hideMark/>
          </w:tcPr>
          <w:p w14:paraId="4FBE05F6" w14:textId="77777777" w:rsidR="006A4065" w:rsidRPr="002801B2" w:rsidRDefault="006A4065" w:rsidP="00A731FB">
            <w:pPr>
              <w:spacing w:before="0" w:after="0" w:line="240" w:lineRule="auto"/>
              <w:rPr>
                <w:rFonts w:eastAsia="Times New Roman" w:cs="Arial"/>
                <w:color w:val="000000"/>
                <w:lang w:eastAsia="es-CO"/>
              </w:rPr>
            </w:pPr>
            <w:r w:rsidRPr="002801B2">
              <w:rPr>
                <w:rFonts w:eastAsia="Times New Roman" w:cs="Arial"/>
                <w:color w:val="000000"/>
                <w:lang w:eastAsia="es-CO"/>
              </w:rPr>
              <w:t xml:space="preserve">Promedio PVP precio </w:t>
            </w:r>
            <w:r w:rsidRPr="002801B2">
              <w:rPr>
                <w:rFonts w:eastAsia="Times New Roman" w:cs="Arial"/>
                <w:color w:val="000000"/>
                <w:lang w:eastAsia="es-CO"/>
              </w:rPr>
              <w:br/>
            </w:r>
            <w:r w:rsidRPr="002801B2">
              <w:rPr>
                <w:rFonts w:eastAsia="Times New Roman" w:cs="Arial"/>
                <w:b/>
                <w:bCs/>
                <w:color w:val="000000"/>
                <w:lang w:eastAsia="es-CO"/>
              </w:rPr>
              <w:t>(13 ciudades principales)</w:t>
            </w:r>
          </w:p>
        </w:tc>
        <w:tc>
          <w:tcPr>
            <w:tcW w:w="2552" w:type="dxa"/>
            <w:tcBorders>
              <w:top w:val="nil"/>
              <w:left w:val="nil"/>
              <w:bottom w:val="single" w:sz="4" w:space="0" w:color="auto"/>
              <w:right w:val="single" w:sz="4" w:space="0" w:color="auto"/>
            </w:tcBorders>
            <w:shd w:val="clear" w:color="auto" w:fill="DEEAF6"/>
            <w:noWrap/>
            <w:vAlign w:val="center"/>
            <w:hideMark/>
          </w:tcPr>
          <w:p w14:paraId="47F77ED8" w14:textId="77777777" w:rsidR="006A4065" w:rsidRPr="002801B2" w:rsidRDefault="006A4065" w:rsidP="00A731FB">
            <w:pPr>
              <w:spacing w:before="0" w:after="0" w:line="240" w:lineRule="auto"/>
              <w:jc w:val="center"/>
              <w:rPr>
                <w:rFonts w:eastAsia="Times New Roman" w:cs="Arial"/>
                <w:b/>
                <w:bCs/>
                <w:color w:val="000000"/>
                <w:lang w:eastAsia="es-CO"/>
              </w:rPr>
            </w:pPr>
            <w:r w:rsidRPr="002801B2">
              <w:rPr>
                <w:rFonts w:eastAsia="Times New Roman" w:cs="Arial"/>
                <w:b/>
                <w:bCs/>
                <w:color w:val="000000"/>
                <w:lang w:eastAsia="es-CO"/>
              </w:rPr>
              <w:t>15.576</w:t>
            </w:r>
          </w:p>
        </w:tc>
        <w:tc>
          <w:tcPr>
            <w:tcW w:w="2529" w:type="dxa"/>
            <w:tcBorders>
              <w:top w:val="nil"/>
              <w:left w:val="nil"/>
              <w:bottom w:val="single" w:sz="4" w:space="0" w:color="auto"/>
              <w:right w:val="single" w:sz="4" w:space="0" w:color="auto"/>
            </w:tcBorders>
            <w:shd w:val="clear" w:color="auto" w:fill="DEEAF6"/>
            <w:noWrap/>
            <w:vAlign w:val="center"/>
            <w:hideMark/>
          </w:tcPr>
          <w:p w14:paraId="7CC9F217" w14:textId="77777777" w:rsidR="006A4065" w:rsidRPr="002801B2" w:rsidRDefault="006A4065" w:rsidP="00A731FB">
            <w:pPr>
              <w:spacing w:before="0" w:after="0" w:line="240" w:lineRule="auto"/>
              <w:jc w:val="center"/>
              <w:rPr>
                <w:rFonts w:eastAsia="Times New Roman" w:cs="Arial"/>
                <w:b/>
                <w:bCs/>
                <w:color w:val="000000"/>
                <w:lang w:eastAsia="es-CO"/>
              </w:rPr>
            </w:pPr>
            <w:r w:rsidRPr="002801B2">
              <w:rPr>
                <w:rFonts w:eastAsia="Times New Roman" w:cs="Arial"/>
                <w:b/>
                <w:bCs/>
                <w:color w:val="000000"/>
                <w:lang w:eastAsia="es-CO"/>
              </w:rPr>
              <w:t>9.856</w:t>
            </w:r>
          </w:p>
        </w:tc>
      </w:tr>
    </w:tbl>
    <w:p w14:paraId="02491FCD" w14:textId="77777777" w:rsidR="006A4065" w:rsidRPr="002801B2" w:rsidRDefault="006A4065" w:rsidP="006A4065">
      <w:pPr>
        <w:spacing w:before="0" w:after="0"/>
        <w:jc w:val="both"/>
        <w:rPr>
          <w:rFonts w:cs="Arial"/>
        </w:rPr>
      </w:pPr>
    </w:p>
    <w:p w14:paraId="40AA741F" w14:textId="0E00359A" w:rsidR="006A4065" w:rsidRPr="002801B2" w:rsidRDefault="006A4065">
      <w:pPr>
        <w:spacing w:before="0" w:after="0"/>
        <w:rPr>
          <w:rFonts w:ascii="Arial" w:eastAsia="Times New Roman" w:hAnsi="Arial" w:cs="Arial"/>
          <w:spacing w:val="-5"/>
        </w:rPr>
      </w:pPr>
      <w:r w:rsidRPr="002801B2">
        <w:rPr>
          <w:rFonts w:cs="Arial"/>
        </w:rPr>
        <w:br w:type="page"/>
      </w:r>
    </w:p>
    <w:p w14:paraId="54C81396" w14:textId="77777777" w:rsidR="006A4065" w:rsidRPr="002801B2" w:rsidRDefault="006A4065" w:rsidP="006A4065">
      <w:pPr>
        <w:autoSpaceDE w:val="0"/>
        <w:autoSpaceDN w:val="0"/>
        <w:adjustRightInd w:val="0"/>
        <w:spacing w:before="0" w:after="0"/>
        <w:rPr>
          <w:rFonts w:ascii="Arial" w:eastAsia="Arial" w:hAnsi="Arial" w:cs="Arial"/>
          <w:b/>
          <w:bCs/>
          <w:highlight w:val="yellow"/>
        </w:rPr>
      </w:pPr>
      <w:r w:rsidRPr="002801B2">
        <w:rPr>
          <w:rFonts w:ascii="Arial" w:eastAsia="Arial" w:hAnsi="Arial" w:cs="Arial"/>
          <w:b/>
          <w:bCs/>
        </w:rPr>
        <w:lastRenderedPageBreak/>
        <w:t>Documento técnico de la estructura de precios de gasolina motor corriente y ACPM, así como de sus respectivas mezclas con biocombustibles, en virtud de lo establecido en la Resolución MME 40112 del 12 de abril de 2021, la Resolución CREG 104 001 de 2022 y demás modificatorias que regirán a partir del 7 de septiembre del 2024.</w:t>
      </w:r>
    </w:p>
    <w:p w14:paraId="1AA44586" w14:textId="77777777" w:rsidR="006A4065" w:rsidRPr="002801B2" w:rsidRDefault="006A4065" w:rsidP="006A4065">
      <w:pPr>
        <w:autoSpaceDE w:val="0"/>
        <w:autoSpaceDN w:val="0"/>
        <w:adjustRightInd w:val="0"/>
        <w:spacing w:before="0" w:after="0"/>
        <w:rPr>
          <w:rFonts w:ascii="Arial" w:eastAsia="Arial" w:hAnsi="Arial" w:cs="Arial"/>
          <w:b/>
          <w:bCs/>
        </w:rPr>
      </w:pPr>
    </w:p>
    <w:p w14:paraId="06DA5C48" w14:textId="179523DD" w:rsidR="006A4065" w:rsidRPr="002801B2" w:rsidRDefault="006A4065" w:rsidP="006A4065">
      <w:pPr>
        <w:autoSpaceDE w:val="0"/>
        <w:autoSpaceDN w:val="0"/>
        <w:adjustRightInd w:val="0"/>
        <w:spacing w:before="0" w:after="0"/>
        <w:rPr>
          <w:rFonts w:ascii="Arial" w:eastAsia="Arial" w:hAnsi="Arial" w:cs="Arial"/>
        </w:rPr>
      </w:pPr>
      <w:r w:rsidRPr="002801B2">
        <w:rPr>
          <w:rFonts w:ascii="Arial" w:eastAsia="Arial" w:hAnsi="Arial" w:cs="Arial"/>
        </w:rPr>
        <w:t>La Comisión de Regulación de Energía y Gas (CREG) informa que el Ingreso al</w:t>
      </w:r>
      <w:r w:rsidR="006E6096" w:rsidRPr="002801B2">
        <w:rPr>
          <w:rFonts w:ascii="Arial" w:eastAsia="Arial" w:hAnsi="Arial" w:cs="Arial"/>
        </w:rPr>
        <w:t xml:space="preserve"> </w:t>
      </w:r>
      <w:r w:rsidRPr="002801B2">
        <w:rPr>
          <w:rFonts w:ascii="Arial" w:eastAsia="Arial" w:hAnsi="Arial" w:cs="Arial"/>
        </w:rPr>
        <w:t>Productor previsto en la estructura de precios de la gasolina motor corriente se</w:t>
      </w:r>
      <w:r w:rsidR="006E6096" w:rsidRPr="002801B2">
        <w:rPr>
          <w:rFonts w:ascii="Arial" w:eastAsia="Arial" w:hAnsi="Arial" w:cs="Arial"/>
        </w:rPr>
        <w:t xml:space="preserve"> </w:t>
      </w:r>
      <w:r w:rsidRPr="002801B2">
        <w:rPr>
          <w:rFonts w:ascii="Arial" w:eastAsia="Arial" w:hAnsi="Arial" w:cs="Arial"/>
        </w:rPr>
        <w:t>mantiene en diez mil trescientos ochenta pesos con cuarenta y cuatro centavos</w:t>
      </w:r>
      <w:r w:rsidR="006E6096" w:rsidRPr="002801B2">
        <w:rPr>
          <w:rFonts w:ascii="Arial" w:eastAsia="Arial" w:hAnsi="Arial" w:cs="Arial"/>
        </w:rPr>
        <w:t xml:space="preserve"> </w:t>
      </w:r>
      <w:r w:rsidRPr="002801B2">
        <w:rPr>
          <w:rFonts w:ascii="Arial" w:eastAsia="Arial" w:hAnsi="Arial" w:cs="Arial"/>
        </w:rPr>
        <w:t>($10.380,44) M/Cte. por galón.</w:t>
      </w:r>
    </w:p>
    <w:p w14:paraId="0212D9FA" w14:textId="77777777" w:rsidR="006A4065" w:rsidRPr="002801B2" w:rsidRDefault="006A4065" w:rsidP="006A4065">
      <w:pPr>
        <w:autoSpaceDE w:val="0"/>
        <w:autoSpaceDN w:val="0"/>
        <w:adjustRightInd w:val="0"/>
        <w:spacing w:before="0" w:after="0"/>
        <w:rPr>
          <w:rFonts w:ascii="Arial" w:eastAsia="Arial" w:hAnsi="Arial" w:cs="Arial"/>
        </w:rPr>
      </w:pPr>
    </w:p>
    <w:p w14:paraId="2840F88E" w14:textId="77777777" w:rsidR="006A4065" w:rsidRPr="002801B2" w:rsidRDefault="006A4065" w:rsidP="006A4065">
      <w:pPr>
        <w:autoSpaceDE w:val="0"/>
        <w:autoSpaceDN w:val="0"/>
        <w:adjustRightInd w:val="0"/>
        <w:spacing w:before="0" w:after="0"/>
        <w:rPr>
          <w:rFonts w:ascii="Arial" w:eastAsia="Arial" w:hAnsi="Arial" w:cs="Arial"/>
        </w:rPr>
      </w:pPr>
      <w:r w:rsidRPr="002801B2">
        <w:rPr>
          <w:rFonts w:ascii="Arial" w:eastAsia="Arial" w:hAnsi="Arial" w:cs="Arial"/>
        </w:rPr>
        <w:t>Así mismo, y según lo establecido en el artículo 1º de la Resolución 40372 de 2024, se informa que, a partir del 7 de septiembre del 2024, el Ingreso al Productor previsto en la estructura de precios del ACPM será de cinco mil doscientos cincuenta y nueve pesos con setenta y seis centavos ($5,259.76) M/Cte. por galón.</w:t>
      </w:r>
    </w:p>
    <w:p w14:paraId="5F8C23EC" w14:textId="77777777" w:rsidR="006A4065" w:rsidRPr="002801B2" w:rsidRDefault="006A4065" w:rsidP="006A4065">
      <w:pPr>
        <w:autoSpaceDE w:val="0"/>
        <w:autoSpaceDN w:val="0"/>
        <w:adjustRightInd w:val="0"/>
        <w:spacing w:before="0" w:after="0"/>
        <w:rPr>
          <w:rFonts w:ascii="Arial" w:eastAsia="Arial" w:hAnsi="Arial" w:cs="Arial"/>
        </w:rPr>
      </w:pPr>
    </w:p>
    <w:p w14:paraId="3D8194F8" w14:textId="0C9EB1CB" w:rsidR="006A4065" w:rsidRPr="002801B2" w:rsidRDefault="006A4065" w:rsidP="006A4065">
      <w:pPr>
        <w:autoSpaceDE w:val="0"/>
        <w:autoSpaceDN w:val="0"/>
        <w:adjustRightInd w:val="0"/>
        <w:spacing w:before="0" w:after="0"/>
        <w:rPr>
          <w:rFonts w:ascii="Arial" w:eastAsia="Arial" w:hAnsi="Arial" w:cs="Arial"/>
        </w:rPr>
      </w:pPr>
      <w:r w:rsidRPr="002801B2">
        <w:rPr>
          <w:rFonts w:ascii="Arial" w:eastAsia="Arial" w:hAnsi="Arial" w:cs="Arial"/>
        </w:rPr>
        <w:t>Además, el ingreso al productor del alcohol</w:t>
      </w:r>
      <w:r w:rsidR="00B408F2" w:rsidRPr="002801B2">
        <w:rPr>
          <w:rFonts w:ascii="Arial" w:eastAsia="Arial" w:hAnsi="Arial" w:cs="Arial"/>
        </w:rPr>
        <w:t xml:space="preserve"> </w:t>
      </w:r>
      <w:r w:rsidRPr="002801B2">
        <w:rPr>
          <w:rFonts w:ascii="Arial" w:eastAsia="Arial" w:hAnsi="Arial" w:cs="Arial"/>
        </w:rPr>
        <w:t>carburante se mantiene en quince mil novecientos ochenta y cinco pesos ($15.985,00) M/Cte. por galón y, por su parte, el ingreso al productor del biocombustible para uso en</w:t>
      </w:r>
      <w:r w:rsidR="00B408F2" w:rsidRPr="002801B2">
        <w:rPr>
          <w:rFonts w:ascii="Arial" w:eastAsia="Arial" w:hAnsi="Arial" w:cs="Arial"/>
        </w:rPr>
        <w:t xml:space="preserve"> </w:t>
      </w:r>
      <w:r w:rsidRPr="002801B2">
        <w:rPr>
          <w:rFonts w:ascii="Arial" w:eastAsia="Arial" w:hAnsi="Arial" w:cs="Arial"/>
        </w:rPr>
        <w:t>motores diésel se mantiene en diecisiete mil ciento seis pesos con sesenta y ocho centavos ($17.106,68) M/Cte.</w:t>
      </w:r>
    </w:p>
    <w:p w14:paraId="2F3CC709" w14:textId="77777777" w:rsidR="006A4065" w:rsidRPr="002801B2" w:rsidRDefault="006A4065" w:rsidP="006A4065">
      <w:pPr>
        <w:autoSpaceDE w:val="0"/>
        <w:autoSpaceDN w:val="0"/>
        <w:adjustRightInd w:val="0"/>
        <w:spacing w:before="0" w:after="0"/>
        <w:rPr>
          <w:rFonts w:ascii="Arial" w:eastAsia="Arial" w:hAnsi="Arial" w:cs="Arial"/>
        </w:rPr>
      </w:pPr>
    </w:p>
    <w:p w14:paraId="49AC6F0C" w14:textId="77777777" w:rsidR="006A4065" w:rsidRPr="002801B2" w:rsidRDefault="006A4065" w:rsidP="006A4065">
      <w:pPr>
        <w:autoSpaceDE w:val="0"/>
        <w:autoSpaceDN w:val="0"/>
        <w:adjustRightInd w:val="0"/>
        <w:spacing w:before="0" w:after="0"/>
        <w:rPr>
          <w:rFonts w:ascii="Arial" w:eastAsia="Arial" w:hAnsi="Arial" w:cs="Arial"/>
        </w:rPr>
      </w:pPr>
      <w:r w:rsidRPr="002801B2">
        <w:rPr>
          <w:rFonts w:ascii="Arial" w:eastAsia="Arial" w:hAnsi="Arial" w:cs="Arial"/>
        </w:rPr>
        <w:t xml:space="preserve">Por otra parte, de acuerdo con la Ley 2093 del 29 de junio de 2021, deben considerarse los criterios para la base gravable y el valor de la tarifa tanto para el cálculo de la sobretasa de la gasolina motor corriente como del ACPM-Diésel. </w:t>
      </w:r>
    </w:p>
    <w:p w14:paraId="772D03D6" w14:textId="77777777" w:rsidR="006A4065" w:rsidRPr="002801B2" w:rsidRDefault="006A4065" w:rsidP="006A4065">
      <w:pPr>
        <w:autoSpaceDE w:val="0"/>
        <w:autoSpaceDN w:val="0"/>
        <w:adjustRightInd w:val="0"/>
        <w:spacing w:before="0" w:after="0"/>
        <w:rPr>
          <w:rFonts w:ascii="Arial" w:eastAsia="Arial" w:hAnsi="Arial" w:cs="Arial"/>
        </w:rPr>
      </w:pPr>
    </w:p>
    <w:p w14:paraId="14F918D6" w14:textId="77777777" w:rsidR="006A4065" w:rsidRPr="002801B2" w:rsidRDefault="006A4065" w:rsidP="006A4065">
      <w:pPr>
        <w:autoSpaceDE w:val="0"/>
        <w:autoSpaceDN w:val="0"/>
        <w:adjustRightInd w:val="0"/>
        <w:spacing w:before="0" w:after="0"/>
        <w:rPr>
          <w:rFonts w:ascii="Arial" w:eastAsia="Arial" w:hAnsi="Arial" w:cs="Arial"/>
        </w:rPr>
      </w:pPr>
      <w:r w:rsidRPr="002801B2">
        <w:rPr>
          <w:rFonts w:ascii="Arial" w:eastAsia="Arial" w:hAnsi="Arial" w:cs="Arial"/>
        </w:rPr>
        <w:t xml:space="preserve">Adicionalmente, la Ley 1819 del 29 de diciembre de 2016, según lo establecido en los artículos 183, 218, 219, 220, 221, 222, incorpora componentes a la estructura de </w:t>
      </w:r>
      <w:r w:rsidRPr="002801B2">
        <w:rPr>
          <w:rFonts w:ascii="Arial" w:eastAsia="Arial" w:hAnsi="Arial" w:cs="Arial"/>
        </w:rPr>
        <w:lastRenderedPageBreak/>
        <w:t>precios de la gasolina motor corriente, gasolina motor corriente oxigenada, ACPM y de la mezcla ACPM con biocombustible para uso en motores diésel.</w:t>
      </w:r>
    </w:p>
    <w:p w14:paraId="333A9964" w14:textId="77777777" w:rsidR="006A4065" w:rsidRPr="002801B2" w:rsidRDefault="006A4065" w:rsidP="006A4065">
      <w:pPr>
        <w:autoSpaceDE w:val="0"/>
        <w:autoSpaceDN w:val="0"/>
        <w:adjustRightInd w:val="0"/>
        <w:spacing w:before="0" w:after="0"/>
        <w:rPr>
          <w:rFonts w:ascii="Arial" w:eastAsia="Arial" w:hAnsi="Arial" w:cs="Arial"/>
        </w:rPr>
      </w:pPr>
    </w:p>
    <w:p w14:paraId="6A1B6E63" w14:textId="77777777" w:rsidR="006A4065" w:rsidRPr="002801B2" w:rsidRDefault="006A4065" w:rsidP="006A4065">
      <w:pPr>
        <w:autoSpaceDE w:val="0"/>
        <w:autoSpaceDN w:val="0"/>
        <w:adjustRightInd w:val="0"/>
        <w:spacing w:before="0" w:after="0"/>
        <w:rPr>
          <w:rFonts w:ascii="Arial" w:eastAsia="Arial" w:hAnsi="Arial" w:cs="Arial"/>
        </w:rPr>
      </w:pPr>
      <w:r w:rsidRPr="002801B2">
        <w:rPr>
          <w:rFonts w:ascii="Arial" w:eastAsia="Arial" w:hAnsi="Arial" w:cs="Arial"/>
        </w:rPr>
        <w:t>Por lo anteriormente indicado y en virtud de la Resolución 40112 del 12 de abril del 2021, a continuación, se detallan los diferentes ítems que conforman la estructura de precios de referencia para la gasolina motor corriente, gasolina motor corriente oxigenada, ACPM y ACPM con mezcla de biocombustible para uso en motores diésel, bajo el régimen de libertad regulada.</w:t>
      </w:r>
    </w:p>
    <w:p w14:paraId="3966BCBC" w14:textId="77777777" w:rsidR="006A4065" w:rsidRPr="002801B2" w:rsidRDefault="006A4065" w:rsidP="006A4065">
      <w:pPr>
        <w:autoSpaceDE w:val="0"/>
        <w:autoSpaceDN w:val="0"/>
        <w:adjustRightInd w:val="0"/>
        <w:spacing w:before="0" w:after="0"/>
        <w:rPr>
          <w:rFonts w:ascii="Arial" w:eastAsia="Arial" w:hAnsi="Arial" w:cs="Arial"/>
        </w:rPr>
      </w:pPr>
    </w:p>
    <w:p w14:paraId="356339EF" w14:textId="77777777" w:rsidR="006A4065" w:rsidRPr="002801B2" w:rsidRDefault="006A4065" w:rsidP="006A4065">
      <w:pPr>
        <w:spacing w:after="0"/>
        <w:rPr>
          <w:rFonts w:ascii="Arial" w:eastAsia="Times New Roman" w:hAnsi="Arial" w:cs="Arial"/>
          <w:b/>
          <w:bCs/>
          <w:spacing w:val="-5"/>
          <w:u w:val="single"/>
        </w:rPr>
      </w:pPr>
      <w:r w:rsidRPr="002801B2">
        <w:rPr>
          <w:rFonts w:ascii="Arial" w:eastAsia="Times New Roman" w:hAnsi="Arial" w:cs="Arial"/>
          <w:b/>
          <w:bCs/>
          <w:spacing w:val="-5"/>
          <w:u w:val="single"/>
        </w:rPr>
        <w:t>GASOLINA MOTOR CORRIENTE</w:t>
      </w:r>
    </w:p>
    <w:p w14:paraId="3AB26429" w14:textId="77777777" w:rsidR="006A4065" w:rsidRPr="002801B2" w:rsidRDefault="006A4065" w:rsidP="006A4065">
      <w:pPr>
        <w:spacing w:before="0" w:after="0" w:line="220" w:lineRule="atLeast"/>
        <w:rPr>
          <w:rFonts w:ascii="Arial" w:eastAsia="Times New Roman" w:hAnsi="Arial" w:cs="Arial"/>
          <w:b/>
          <w:bCs/>
          <w:spacing w:val="-5"/>
        </w:rPr>
      </w:pPr>
    </w:p>
    <w:tbl>
      <w:tblPr>
        <w:tblStyle w:val="Tablaconcuadrcula"/>
        <w:tblW w:w="9375" w:type="dxa"/>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938"/>
        <w:gridCol w:w="2437"/>
      </w:tblGrid>
      <w:tr w:rsidR="006A4065" w:rsidRPr="002801B2" w14:paraId="186448A1" w14:textId="77777777" w:rsidTr="006A4065">
        <w:trPr>
          <w:trHeight w:val="567"/>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8B946AB" w14:textId="77777777" w:rsidR="006A4065" w:rsidRPr="002801B2" w:rsidRDefault="006A4065" w:rsidP="006A4065">
            <w:pPr>
              <w:spacing w:before="0" w:after="0"/>
              <w:rPr>
                <w:b/>
                <w:bCs/>
              </w:rPr>
            </w:pPr>
            <w:r w:rsidRPr="002801B2">
              <w:rPr>
                <w:b/>
                <w:bCs/>
              </w:rPr>
              <w:t>Estructura de precio gasolina motor corriente</w:t>
            </w:r>
          </w:p>
          <w:p w14:paraId="26D8FCCB" w14:textId="77777777" w:rsidR="006A4065" w:rsidRPr="002801B2" w:rsidRDefault="006A4065" w:rsidP="006A4065">
            <w:pPr>
              <w:spacing w:before="0" w:after="0"/>
              <w:rPr>
                <w:b/>
                <w:bCs/>
              </w:rPr>
            </w:pPr>
            <w:r w:rsidRPr="002801B2">
              <w:rPr>
                <w:b/>
                <w:bCs/>
              </w:rPr>
              <w:t>(Pesos por galón)</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2060"/>
            <w:vAlign w:val="center"/>
            <w:hideMark/>
          </w:tcPr>
          <w:p w14:paraId="6D66B616" w14:textId="77777777" w:rsidR="006A4065" w:rsidRPr="002801B2" w:rsidRDefault="006A4065" w:rsidP="006A4065">
            <w:pPr>
              <w:spacing w:before="0" w:after="0"/>
              <w:rPr>
                <w:b/>
                <w:bCs/>
              </w:rPr>
            </w:pPr>
            <w:r w:rsidRPr="002801B2">
              <w:rPr>
                <w:b/>
                <w:bCs/>
              </w:rPr>
              <w:t>Componentes</w:t>
            </w:r>
          </w:p>
        </w:tc>
      </w:tr>
      <w:tr w:rsidR="006A4065" w:rsidRPr="002801B2" w14:paraId="4B0A6DA1" w14:textId="77777777" w:rsidTr="006A4065">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5A430BD9" w14:textId="77777777" w:rsidR="006A4065" w:rsidRPr="002801B2" w:rsidRDefault="006A4065" w:rsidP="006A4065">
            <w:pPr>
              <w:spacing w:before="0" w:after="0"/>
              <w:rPr>
                <w:b/>
                <w:bCs/>
              </w:rPr>
            </w:pPr>
            <w:r w:rsidRPr="002801B2">
              <w:rPr>
                <w:b/>
                <w:bCs/>
              </w:rPr>
              <w:t>1, Ingreso al productor</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592A68FC" w14:textId="77777777" w:rsidR="006A4065" w:rsidRPr="002801B2" w:rsidRDefault="006A4065" w:rsidP="006A4065">
            <w:pPr>
              <w:spacing w:before="0" w:after="0"/>
              <w:rPr>
                <w:b/>
                <w:bCs/>
              </w:rPr>
            </w:pPr>
            <w:r w:rsidRPr="002801B2">
              <w:rPr>
                <w:b/>
                <w:bCs/>
              </w:rPr>
              <w:t xml:space="preserve">10.380,44 </w:t>
            </w:r>
          </w:p>
        </w:tc>
      </w:tr>
      <w:tr w:rsidR="006A4065" w:rsidRPr="002801B2" w14:paraId="0BFA04D7" w14:textId="77777777" w:rsidTr="006A4065">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A1C8A69" w14:textId="77777777" w:rsidR="006A4065" w:rsidRPr="002801B2" w:rsidRDefault="006A4065" w:rsidP="006A4065">
            <w:pPr>
              <w:spacing w:before="0" w:after="0"/>
            </w:pPr>
            <w:r w:rsidRPr="002801B2">
              <w:t xml:space="preserve">2, Impuesto nacional </w:t>
            </w:r>
            <w:r w:rsidRPr="002801B2">
              <w:rPr>
                <w:b/>
                <w:bCs/>
              </w:rPr>
              <w: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3F6BE93" w14:textId="77777777" w:rsidR="006A4065" w:rsidRPr="002801B2" w:rsidRDefault="006A4065" w:rsidP="006A4065">
            <w:pPr>
              <w:spacing w:before="0" w:after="0"/>
            </w:pPr>
            <w:r w:rsidRPr="002801B2">
              <w:t xml:space="preserve"> 724,70 </w:t>
            </w:r>
          </w:p>
        </w:tc>
      </w:tr>
      <w:tr w:rsidR="006A4065" w:rsidRPr="002801B2" w14:paraId="6590EFE7" w14:textId="77777777" w:rsidTr="006A4065">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198741D" w14:textId="77777777" w:rsidR="006A4065" w:rsidRPr="002801B2" w:rsidRDefault="006A4065" w:rsidP="006A4065">
            <w:pPr>
              <w:spacing w:before="0" w:after="0"/>
            </w:pPr>
            <w:r w:rsidRPr="002801B2">
              <w:t>3, IVA del fósil</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0AB455E" w14:textId="77777777" w:rsidR="006A4065" w:rsidRPr="002801B2" w:rsidRDefault="006A4065" w:rsidP="006A4065">
            <w:pPr>
              <w:spacing w:before="0" w:after="0"/>
            </w:pPr>
            <w:r w:rsidRPr="002801B2">
              <w:t>(b)</w:t>
            </w:r>
          </w:p>
        </w:tc>
      </w:tr>
      <w:tr w:rsidR="006A4065" w:rsidRPr="002801B2" w14:paraId="57577A4F" w14:textId="77777777" w:rsidTr="006A4065">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4505912" w14:textId="77777777" w:rsidR="006A4065" w:rsidRPr="002801B2" w:rsidRDefault="006A4065" w:rsidP="006A4065">
            <w:pPr>
              <w:spacing w:before="0" w:after="0"/>
            </w:pPr>
            <w:r w:rsidRPr="002801B2">
              <w:t xml:space="preserve">4, Impuesto al carbono </w:t>
            </w:r>
            <w:r w:rsidRPr="002801B2">
              <w:rPr>
                <w:b/>
                <w:bCs/>
              </w:rPr>
              <w:t>(c)</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975CD73" w14:textId="77777777" w:rsidR="006A4065" w:rsidRPr="002801B2" w:rsidRDefault="006A4065" w:rsidP="006A4065">
            <w:pPr>
              <w:spacing w:before="0" w:after="0"/>
            </w:pPr>
            <w:r w:rsidRPr="002801B2">
              <w:t xml:space="preserve"> 186,37 </w:t>
            </w:r>
          </w:p>
        </w:tc>
      </w:tr>
      <w:tr w:rsidR="006A4065" w:rsidRPr="002801B2" w14:paraId="68BF8DBC" w14:textId="77777777" w:rsidTr="006A4065">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1FC181E" w14:textId="77777777" w:rsidR="006A4065" w:rsidRPr="002801B2" w:rsidRDefault="006A4065" w:rsidP="006A4065">
            <w:pPr>
              <w:spacing w:before="0" w:after="0"/>
            </w:pPr>
            <w:r w:rsidRPr="002801B2">
              <w:t>5, Tarifa de marcación</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F36148F" w14:textId="77777777" w:rsidR="006A4065" w:rsidRPr="002801B2" w:rsidRDefault="006A4065" w:rsidP="006A4065">
            <w:pPr>
              <w:spacing w:before="0" w:after="0"/>
            </w:pPr>
            <w:r w:rsidRPr="002801B2">
              <w:t xml:space="preserve"> 9,16 </w:t>
            </w:r>
          </w:p>
        </w:tc>
      </w:tr>
      <w:tr w:rsidR="006A4065" w:rsidRPr="002801B2" w14:paraId="0C5EEBD2" w14:textId="77777777" w:rsidTr="006A4065">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7AD52B2" w14:textId="77777777" w:rsidR="006A4065" w:rsidRPr="002801B2" w:rsidRDefault="006A4065" w:rsidP="006A4065">
            <w:pPr>
              <w:spacing w:before="0" w:after="0"/>
            </w:pPr>
            <w:r w:rsidRPr="002801B2">
              <w:t>6, Tarifa de transporte por poliductos</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F4A31A1" w14:textId="77777777" w:rsidR="006A4065" w:rsidRPr="002801B2" w:rsidRDefault="006A4065" w:rsidP="006A4065">
            <w:pPr>
              <w:spacing w:before="0" w:after="0"/>
            </w:pPr>
            <w:r w:rsidRPr="002801B2">
              <w:t>(d)</w:t>
            </w:r>
          </w:p>
        </w:tc>
      </w:tr>
      <w:tr w:rsidR="006A4065" w:rsidRPr="002801B2" w14:paraId="7CB626C4" w14:textId="77777777" w:rsidTr="006A4065">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3089945B" w14:textId="77777777" w:rsidR="006A4065" w:rsidRPr="002801B2" w:rsidRDefault="006A4065" w:rsidP="006A4065">
            <w:pPr>
              <w:spacing w:before="0" w:after="0"/>
              <w:rPr>
                <w:b/>
                <w:bCs/>
              </w:rPr>
            </w:pPr>
            <w:r w:rsidRPr="002801B2">
              <w:rPr>
                <w:b/>
                <w:bCs/>
              </w:rPr>
              <w:t>7, Precio máximo de venta al distribuidor mayorista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290D4253" w14:textId="77777777" w:rsidR="006A4065" w:rsidRPr="002801B2" w:rsidRDefault="006A4065" w:rsidP="006A4065">
            <w:pPr>
              <w:spacing w:before="0" w:after="0"/>
              <w:rPr>
                <w:b/>
                <w:bCs/>
              </w:rPr>
            </w:pPr>
            <w:r w:rsidRPr="002801B2">
              <w:rPr>
                <w:b/>
                <w:bCs/>
              </w:rPr>
              <w:t>(f)</w:t>
            </w:r>
          </w:p>
        </w:tc>
      </w:tr>
      <w:tr w:rsidR="006A4065" w:rsidRPr="002801B2" w14:paraId="16F2D08F" w14:textId="77777777" w:rsidTr="006A4065">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2FA2B61" w14:textId="77777777" w:rsidR="006A4065" w:rsidRPr="002801B2" w:rsidRDefault="006A4065" w:rsidP="006A4065">
            <w:pPr>
              <w:spacing w:before="0" w:after="0"/>
            </w:pPr>
            <w:r w:rsidRPr="002801B2">
              <w:t>8, Margen al distribuidor mayorista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25F23F3" w14:textId="77777777" w:rsidR="006A4065" w:rsidRPr="002801B2" w:rsidRDefault="006A4065" w:rsidP="006A4065">
            <w:pPr>
              <w:spacing w:before="0" w:after="0"/>
            </w:pPr>
            <w:r w:rsidRPr="002801B2">
              <w:t>(g)</w:t>
            </w:r>
          </w:p>
        </w:tc>
      </w:tr>
      <w:tr w:rsidR="006A4065" w:rsidRPr="002801B2" w14:paraId="30F61850" w14:textId="77777777" w:rsidTr="006A4065">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C37C907" w14:textId="77777777" w:rsidR="006A4065" w:rsidRPr="002801B2" w:rsidRDefault="006A4065" w:rsidP="006A4065">
            <w:pPr>
              <w:spacing w:before="0" w:after="0"/>
            </w:pPr>
            <w:r w:rsidRPr="002801B2">
              <w:t>9, IVA sobre el margen al distribuidor mayorista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328028A" w14:textId="77777777" w:rsidR="006A4065" w:rsidRPr="002801B2" w:rsidRDefault="006A4065" w:rsidP="006A4065">
            <w:pPr>
              <w:spacing w:before="0" w:after="0"/>
            </w:pPr>
            <w:r w:rsidRPr="002801B2">
              <w:t>(h)</w:t>
            </w:r>
          </w:p>
        </w:tc>
      </w:tr>
      <w:tr w:rsidR="006A4065" w:rsidRPr="002801B2" w14:paraId="14765506" w14:textId="77777777" w:rsidTr="006A4065">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C0F8709" w14:textId="77777777" w:rsidR="006A4065" w:rsidRPr="002801B2" w:rsidRDefault="006A4065" w:rsidP="006A4065">
            <w:pPr>
              <w:spacing w:before="0" w:after="0"/>
            </w:pPr>
            <w:r w:rsidRPr="002801B2">
              <w:t>10, Sobretasa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ABC4A2C" w14:textId="77777777" w:rsidR="006A4065" w:rsidRPr="002801B2" w:rsidRDefault="006A4065" w:rsidP="006A4065">
            <w:pPr>
              <w:spacing w:before="0" w:after="0"/>
            </w:pPr>
            <w:r w:rsidRPr="002801B2">
              <w:t xml:space="preserve">1.574,00 </w:t>
            </w:r>
          </w:p>
        </w:tc>
      </w:tr>
      <w:tr w:rsidR="006A4065" w:rsidRPr="002801B2" w14:paraId="5DA7B9F7" w14:textId="77777777" w:rsidTr="006A4065">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1AA89542" w14:textId="77777777" w:rsidR="006A4065" w:rsidRPr="002801B2" w:rsidRDefault="006A4065" w:rsidP="006A4065">
            <w:pPr>
              <w:spacing w:before="0" w:after="0"/>
              <w:rPr>
                <w:b/>
                <w:bCs/>
              </w:rPr>
            </w:pPr>
            <w:r w:rsidRPr="002801B2">
              <w:rPr>
                <w:b/>
                <w:bCs/>
              </w:rPr>
              <w:t>11, Precio máximo en planta de abastecimiento mayorista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5072C2CB" w14:textId="77777777" w:rsidR="006A4065" w:rsidRPr="002801B2" w:rsidRDefault="006A4065" w:rsidP="006A4065">
            <w:pPr>
              <w:spacing w:before="0" w:after="0"/>
              <w:rPr>
                <w:b/>
                <w:bCs/>
              </w:rPr>
            </w:pPr>
            <w:r w:rsidRPr="002801B2">
              <w:rPr>
                <w:b/>
                <w:bCs/>
              </w:rPr>
              <w:t>(i)</w:t>
            </w:r>
          </w:p>
        </w:tc>
      </w:tr>
      <w:tr w:rsidR="006A4065" w:rsidRPr="002801B2" w14:paraId="3167AA53" w14:textId="77777777" w:rsidTr="006A4065">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69618DE" w14:textId="77777777" w:rsidR="006A4065" w:rsidRPr="002801B2" w:rsidRDefault="006A4065" w:rsidP="006A4065">
            <w:pPr>
              <w:spacing w:before="0" w:after="0"/>
            </w:pPr>
            <w:r w:rsidRPr="002801B2">
              <w:t>12, Margen del distribuidor minorista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744B1D9" w14:textId="77777777" w:rsidR="006A4065" w:rsidRPr="002801B2" w:rsidRDefault="006A4065" w:rsidP="006A4065">
            <w:pPr>
              <w:spacing w:before="0" w:after="0"/>
            </w:pPr>
            <w:r w:rsidRPr="002801B2">
              <w:t>(j)</w:t>
            </w:r>
          </w:p>
        </w:tc>
      </w:tr>
      <w:tr w:rsidR="006A4065" w:rsidRPr="002801B2" w14:paraId="1EB85263" w14:textId="77777777" w:rsidTr="006A4065">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0FDF97B" w14:textId="77777777" w:rsidR="006A4065" w:rsidRPr="002801B2" w:rsidRDefault="006A4065" w:rsidP="006A4065">
            <w:pPr>
              <w:spacing w:before="0" w:after="0"/>
            </w:pPr>
            <w:r w:rsidRPr="002801B2">
              <w:t>13, Perdida por evaporación</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A58E0E3" w14:textId="77777777" w:rsidR="006A4065" w:rsidRPr="002801B2" w:rsidRDefault="006A4065" w:rsidP="006A4065">
            <w:pPr>
              <w:spacing w:before="0" w:after="0"/>
            </w:pPr>
            <w:r w:rsidRPr="002801B2">
              <w:t>(k)</w:t>
            </w:r>
          </w:p>
        </w:tc>
      </w:tr>
      <w:tr w:rsidR="006A4065" w:rsidRPr="002801B2" w14:paraId="56A15977" w14:textId="77777777" w:rsidTr="006A4065">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03D655A" w14:textId="77777777" w:rsidR="006A4065" w:rsidRPr="002801B2" w:rsidRDefault="006A4065" w:rsidP="006A4065">
            <w:pPr>
              <w:spacing w:before="0" w:after="0"/>
            </w:pPr>
            <w:r w:rsidRPr="002801B2">
              <w:t>14, Transporte de la planta de abastecimiento mayorista a estación</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E65E8D0" w14:textId="77777777" w:rsidR="006A4065" w:rsidRPr="002801B2" w:rsidRDefault="006A4065" w:rsidP="006A4065">
            <w:pPr>
              <w:spacing w:before="0" w:after="0"/>
            </w:pPr>
            <w:r w:rsidRPr="002801B2">
              <w:t>(l)</w:t>
            </w:r>
          </w:p>
        </w:tc>
      </w:tr>
      <w:tr w:rsidR="006A4065" w:rsidRPr="002801B2" w14:paraId="3EAFA742" w14:textId="77777777" w:rsidTr="006A4065">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06F20546" w14:textId="77777777" w:rsidR="006A4065" w:rsidRPr="002801B2" w:rsidRDefault="006A4065" w:rsidP="006A4065">
            <w:pPr>
              <w:spacing w:before="0" w:after="0"/>
              <w:rPr>
                <w:b/>
                <w:bCs/>
              </w:rPr>
            </w:pPr>
            <w:r w:rsidRPr="002801B2">
              <w:rPr>
                <w:b/>
                <w:bCs/>
              </w:rPr>
              <w:t>15, Precio máximo de venta por galón incluida la sobretasa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0DC0F625" w14:textId="77777777" w:rsidR="006A4065" w:rsidRPr="002801B2" w:rsidRDefault="006A4065" w:rsidP="006A4065">
            <w:pPr>
              <w:spacing w:before="0" w:after="0"/>
              <w:rPr>
                <w:b/>
                <w:bCs/>
              </w:rPr>
            </w:pPr>
            <w:r w:rsidRPr="002801B2">
              <w:rPr>
                <w:b/>
                <w:bCs/>
              </w:rPr>
              <w:t>(m)</w:t>
            </w:r>
          </w:p>
        </w:tc>
      </w:tr>
    </w:tbl>
    <w:p w14:paraId="73B06331" w14:textId="77777777" w:rsidR="006A4065" w:rsidRPr="002801B2" w:rsidRDefault="006A4065" w:rsidP="006A4065">
      <w:pPr>
        <w:spacing w:before="0" w:after="0" w:line="220" w:lineRule="atLeast"/>
        <w:rPr>
          <w:rFonts w:ascii="Arial" w:eastAsia="Times New Roman" w:hAnsi="Arial" w:cs="Arial"/>
          <w:b/>
          <w:bCs/>
          <w:spacing w:val="-5"/>
        </w:rPr>
      </w:pPr>
    </w:p>
    <w:p w14:paraId="50DA554C" w14:textId="77777777" w:rsidR="006A4065" w:rsidRPr="002801B2" w:rsidRDefault="006A4065" w:rsidP="006A4065">
      <w:pPr>
        <w:spacing w:before="0" w:after="0" w:line="220" w:lineRule="atLeast"/>
        <w:rPr>
          <w:rFonts w:ascii="Arial" w:eastAsia="Times New Roman" w:hAnsi="Arial" w:cs="Arial"/>
          <w:b/>
          <w:bCs/>
          <w:spacing w:val="-5"/>
        </w:rPr>
      </w:pPr>
    </w:p>
    <w:tbl>
      <w:tblPr>
        <w:tblStyle w:val="Tablaconcuadrcula"/>
        <w:tblW w:w="4990" w:type="pct"/>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738"/>
        <w:gridCol w:w="1656"/>
      </w:tblGrid>
      <w:tr w:rsidR="006A4065" w:rsidRPr="002801B2" w14:paraId="210B30B7" w14:textId="77777777" w:rsidTr="006A4065">
        <w:trPr>
          <w:trHeight w:val="567"/>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307203F" w14:textId="77777777" w:rsidR="006A4065" w:rsidRPr="002801B2" w:rsidRDefault="006A4065" w:rsidP="006A4065">
            <w:pPr>
              <w:spacing w:before="0" w:after="0" w:line="220" w:lineRule="atLeast"/>
              <w:rPr>
                <w:b/>
                <w:bCs/>
              </w:rPr>
            </w:pPr>
            <w:r w:rsidRPr="002801B2">
              <w:rPr>
                <w:b/>
                <w:bCs/>
              </w:rPr>
              <w:t xml:space="preserve">Estructura de precio gasolina motor corriente oxigenada E10 </w:t>
            </w:r>
          </w:p>
          <w:p w14:paraId="236CF059" w14:textId="77777777" w:rsidR="006A4065" w:rsidRPr="002801B2" w:rsidRDefault="006A4065" w:rsidP="006A4065">
            <w:pPr>
              <w:spacing w:before="0" w:after="0" w:line="220" w:lineRule="atLeast"/>
              <w:rPr>
                <w:b/>
                <w:bCs/>
              </w:rPr>
            </w:pPr>
            <w:r w:rsidRPr="002801B2">
              <w:rPr>
                <w:b/>
                <w:bCs/>
              </w:rPr>
              <w:t>(Pesos por Galón)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2060"/>
            <w:vAlign w:val="center"/>
            <w:hideMark/>
          </w:tcPr>
          <w:p w14:paraId="254D498B" w14:textId="77777777" w:rsidR="006A4065" w:rsidRPr="002801B2" w:rsidRDefault="006A4065" w:rsidP="006A4065">
            <w:pPr>
              <w:spacing w:before="0" w:after="0" w:line="220" w:lineRule="atLeast"/>
              <w:rPr>
                <w:b/>
                <w:bCs/>
              </w:rPr>
            </w:pPr>
            <w:r w:rsidRPr="002801B2">
              <w:rPr>
                <w:b/>
                <w:bCs/>
              </w:rPr>
              <w:t>Componentes</w:t>
            </w:r>
          </w:p>
        </w:tc>
      </w:tr>
      <w:tr w:rsidR="006A4065" w:rsidRPr="002801B2" w14:paraId="1FF3752F"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558A071" w14:textId="77777777" w:rsidR="006A4065" w:rsidRPr="002801B2" w:rsidRDefault="006A4065" w:rsidP="006A4065">
            <w:pPr>
              <w:spacing w:before="0" w:after="0" w:line="220" w:lineRule="atLeast"/>
            </w:pPr>
            <w:r w:rsidRPr="002801B2">
              <w:lastRenderedPageBreak/>
              <w:t>1, Proporción - Ingreso al productor de la Gasolina Motor Corriente (90%)</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40FDF39" w14:textId="77777777" w:rsidR="006A4065" w:rsidRPr="002801B2" w:rsidRDefault="006A4065" w:rsidP="006A4065">
            <w:pPr>
              <w:spacing w:before="0" w:after="0" w:line="220" w:lineRule="atLeast"/>
            </w:pPr>
            <w:r w:rsidRPr="002801B2">
              <w:t xml:space="preserve">9.342,40 </w:t>
            </w:r>
          </w:p>
        </w:tc>
      </w:tr>
      <w:tr w:rsidR="006A4065" w:rsidRPr="002801B2" w14:paraId="4DBF1021"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9E36011" w14:textId="77777777" w:rsidR="006A4065" w:rsidRPr="002801B2" w:rsidRDefault="006A4065" w:rsidP="006A4065">
            <w:pPr>
              <w:spacing w:before="0" w:after="0" w:line="220" w:lineRule="atLeast"/>
            </w:pPr>
            <w:r w:rsidRPr="002801B2">
              <w:t>2, Proporción - Ingreso al productor del Alcohol Carburante (10%)</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2E95DC5" w14:textId="77777777" w:rsidR="006A4065" w:rsidRPr="002801B2" w:rsidRDefault="006A4065" w:rsidP="006A4065">
            <w:pPr>
              <w:spacing w:before="0" w:after="0" w:line="220" w:lineRule="atLeast"/>
            </w:pPr>
            <w:r w:rsidRPr="002801B2">
              <w:t xml:space="preserve">1.598,50 </w:t>
            </w:r>
          </w:p>
        </w:tc>
      </w:tr>
      <w:tr w:rsidR="006A4065" w:rsidRPr="002801B2" w14:paraId="370F3C3C"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35DA995C" w14:textId="77777777" w:rsidR="006A4065" w:rsidRPr="002801B2" w:rsidRDefault="006A4065" w:rsidP="006A4065">
            <w:pPr>
              <w:spacing w:before="0" w:after="0" w:line="220" w:lineRule="atLeast"/>
              <w:rPr>
                <w:b/>
                <w:bCs/>
              </w:rPr>
            </w:pPr>
            <w:r w:rsidRPr="002801B2">
              <w:rPr>
                <w:b/>
                <w:bCs/>
              </w:rPr>
              <w:t>3, Ingreso al productor de la Gasolina Motor Corriente Oxigenada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1E3A20F6" w14:textId="77777777" w:rsidR="006A4065" w:rsidRPr="002801B2" w:rsidRDefault="006A4065" w:rsidP="006A4065">
            <w:pPr>
              <w:spacing w:before="0" w:after="0" w:line="220" w:lineRule="atLeast"/>
              <w:rPr>
                <w:b/>
                <w:bCs/>
              </w:rPr>
            </w:pPr>
            <w:r w:rsidRPr="002801B2">
              <w:rPr>
                <w:b/>
                <w:bCs/>
              </w:rPr>
              <w:t xml:space="preserve">10.940,90 </w:t>
            </w:r>
          </w:p>
        </w:tc>
      </w:tr>
      <w:tr w:rsidR="006A4065" w:rsidRPr="002801B2" w14:paraId="1EF98EA4"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E868C7B" w14:textId="77777777" w:rsidR="006A4065" w:rsidRPr="002801B2" w:rsidRDefault="006A4065" w:rsidP="006A4065">
            <w:pPr>
              <w:spacing w:before="0" w:after="0" w:line="220" w:lineRule="atLeast"/>
            </w:pPr>
            <w:r w:rsidRPr="002801B2">
              <w:t>4, Impuesto nacional (a)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AC83DD9" w14:textId="77777777" w:rsidR="006A4065" w:rsidRPr="002801B2" w:rsidRDefault="006A4065" w:rsidP="006A4065">
            <w:pPr>
              <w:spacing w:before="0" w:after="0" w:line="220" w:lineRule="atLeast"/>
            </w:pPr>
            <w:r w:rsidRPr="002801B2">
              <w:t xml:space="preserve"> 652,23 </w:t>
            </w:r>
          </w:p>
        </w:tc>
      </w:tr>
      <w:tr w:rsidR="006A4065" w:rsidRPr="002801B2" w14:paraId="788864D0"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6E1F720" w14:textId="77777777" w:rsidR="006A4065" w:rsidRPr="002801B2" w:rsidRDefault="006A4065" w:rsidP="006A4065">
            <w:pPr>
              <w:spacing w:before="0" w:after="0" w:line="220" w:lineRule="atLeast"/>
            </w:pPr>
            <w:r w:rsidRPr="002801B2">
              <w:t xml:space="preserve">5, IVA del fósil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5D286C2" w14:textId="77777777" w:rsidR="006A4065" w:rsidRPr="002801B2" w:rsidRDefault="006A4065" w:rsidP="006A4065">
            <w:pPr>
              <w:spacing w:before="0" w:after="0" w:line="220" w:lineRule="atLeast"/>
            </w:pPr>
            <w:r w:rsidRPr="002801B2">
              <w:t>(b)</w:t>
            </w:r>
          </w:p>
        </w:tc>
      </w:tr>
      <w:tr w:rsidR="006A4065" w:rsidRPr="002801B2" w14:paraId="3352D668"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3908370" w14:textId="77777777" w:rsidR="006A4065" w:rsidRPr="002801B2" w:rsidRDefault="006A4065" w:rsidP="006A4065">
            <w:pPr>
              <w:spacing w:before="0" w:after="0" w:line="220" w:lineRule="atLeast"/>
            </w:pPr>
            <w:r w:rsidRPr="002801B2">
              <w:t xml:space="preserve">6, Impuesto al carbono (c)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A0F2D89" w14:textId="77777777" w:rsidR="006A4065" w:rsidRPr="002801B2" w:rsidRDefault="006A4065" w:rsidP="006A4065">
            <w:pPr>
              <w:spacing w:before="0" w:after="0" w:line="220" w:lineRule="atLeast"/>
            </w:pPr>
            <w:r w:rsidRPr="002801B2">
              <w:t xml:space="preserve"> 167,73 </w:t>
            </w:r>
          </w:p>
        </w:tc>
      </w:tr>
      <w:tr w:rsidR="006A4065" w:rsidRPr="002801B2" w14:paraId="3B4DCFA8"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BF83484" w14:textId="77777777" w:rsidR="006A4065" w:rsidRPr="002801B2" w:rsidRDefault="006A4065" w:rsidP="006A4065">
            <w:pPr>
              <w:spacing w:before="0" w:after="0" w:line="220" w:lineRule="atLeast"/>
            </w:pPr>
            <w:r w:rsidRPr="002801B2">
              <w:t>7, Tarifa de marcación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C037289" w14:textId="77777777" w:rsidR="006A4065" w:rsidRPr="002801B2" w:rsidRDefault="006A4065" w:rsidP="006A4065">
            <w:pPr>
              <w:spacing w:before="0" w:after="0" w:line="220" w:lineRule="atLeast"/>
            </w:pPr>
            <w:r w:rsidRPr="002801B2">
              <w:t xml:space="preserve"> 9,16 </w:t>
            </w:r>
          </w:p>
        </w:tc>
      </w:tr>
      <w:tr w:rsidR="006A4065" w:rsidRPr="002801B2" w14:paraId="19710099"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3242A5C" w14:textId="77777777" w:rsidR="006A4065" w:rsidRPr="002801B2" w:rsidRDefault="006A4065" w:rsidP="006A4065">
            <w:pPr>
              <w:spacing w:before="0" w:after="0" w:line="220" w:lineRule="atLeast"/>
            </w:pPr>
            <w:r w:rsidRPr="002801B2">
              <w:t xml:space="preserve">8, Proporción-Tarifa Transporte por poliductos Gasolina Motor Corriente (90%)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D79EC75" w14:textId="77777777" w:rsidR="006A4065" w:rsidRPr="002801B2" w:rsidRDefault="006A4065" w:rsidP="006A4065">
            <w:pPr>
              <w:spacing w:before="0" w:after="0" w:line="220" w:lineRule="atLeast"/>
            </w:pPr>
            <w:r w:rsidRPr="002801B2">
              <w:t>(d)</w:t>
            </w:r>
          </w:p>
        </w:tc>
      </w:tr>
      <w:tr w:rsidR="006A4065" w:rsidRPr="002801B2" w14:paraId="3A4732D2"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F30BAFC" w14:textId="77777777" w:rsidR="006A4065" w:rsidRPr="002801B2" w:rsidRDefault="006A4065" w:rsidP="006A4065">
            <w:pPr>
              <w:spacing w:before="0" w:after="0" w:line="220" w:lineRule="atLeast"/>
            </w:pPr>
            <w:r w:rsidRPr="002801B2">
              <w:t xml:space="preserve">9, Proporción-Tarifa Transporte del Alcohol Carburante (10%)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B822160" w14:textId="77777777" w:rsidR="006A4065" w:rsidRPr="002801B2" w:rsidRDefault="006A4065" w:rsidP="006A4065">
            <w:pPr>
              <w:spacing w:before="0" w:after="0" w:line="220" w:lineRule="atLeast"/>
            </w:pPr>
            <w:r w:rsidRPr="002801B2">
              <w:t>(e)</w:t>
            </w:r>
          </w:p>
        </w:tc>
      </w:tr>
      <w:tr w:rsidR="006A4065" w:rsidRPr="002801B2" w14:paraId="15108186"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58757F0D" w14:textId="77777777" w:rsidR="006A4065" w:rsidRPr="002801B2" w:rsidRDefault="006A4065" w:rsidP="006A4065">
            <w:pPr>
              <w:spacing w:before="0" w:after="0" w:line="220" w:lineRule="atLeast"/>
              <w:rPr>
                <w:b/>
                <w:bCs/>
              </w:rPr>
            </w:pPr>
            <w:r w:rsidRPr="002801B2">
              <w:rPr>
                <w:b/>
                <w:bCs/>
              </w:rPr>
              <w:t xml:space="preserve">10, Precio máximo de venta al distribuidor mayorista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2E97EA9E" w14:textId="77777777" w:rsidR="006A4065" w:rsidRPr="002801B2" w:rsidRDefault="006A4065" w:rsidP="006A4065">
            <w:pPr>
              <w:spacing w:before="0" w:after="0" w:line="220" w:lineRule="atLeast"/>
              <w:rPr>
                <w:b/>
                <w:bCs/>
              </w:rPr>
            </w:pPr>
            <w:r w:rsidRPr="002801B2">
              <w:rPr>
                <w:b/>
                <w:bCs/>
              </w:rPr>
              <w:t>(f)</w:t>
            </w:r>
          </w:p>
        </w:tc>
      </w:tr>
      <w:tr w:rsidR="006A4065" w:rsidRPr="002801B2" w14:paraId="504A4CE8"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545A827" w14:textId="77777777" w:rsidR="006A4065" w:rsidRPr="002801B2" w:rsidRDefault="006A4065" w:rsidP="006A4065">
            <w:pPr>
              <w:spacing w:before="0" w:after="0" w:line="220" w:lineRule="atLeast"/>
            </w:pPr>
            <w:r w:rsidRPr="002801B2">
              <w:t>11, Margen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C50BC08" w14:textId="77777777" w:rsidR="006A4065" w:rsidRPr="002801B2" w:rsidRDefault="006A4065" w:rsidP="006A4065">
            <w:pPr>
              <w:spacing w:before="0" w:after="0" w:line="220" w:lineRule="atLeast"/>
            </w:pPr>
            <w:r w:rsidRPr="002801B2">
              <w:t>(g)</w:t>
            </w:r>
          </w:p>
        </w:tc>
      </w:tr>
      <w:tr w:rsidR="006A4065" w:rsidRPr="002801B2" w14:paraId="0D49AF4C"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D753D7E" w14:textId="77777777" w:rsidR="006A4065" w:rsidRPr="002801B2" w:rsidRDefault="006A4065" w:rsidP="006A4065">
            <w:pPr>
              <w:spacing w:before="0" w:after="0" w:line="220" w:lineRule="atLeast"/>
            </w:pPr>
            <w:r w:rsidRPr="002801B2">
              <w:t>12, IVA sobre el margen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5C4E31E" w14:textId="77777777" w:rsidR="006A4065" w:rsidRPr="002801B2" w:rsidRDefault="006A4065" w:rsidP="006A4065">
            <w:pPr>
              <w:spacing w:before="0" w:after="0" w:line="220" w:lineRule="atLeast"/>
            </w:pPr>
            <w:r w:rsidRPr="002801B2">
              <w:t>(h)</w:t>
            </w:r>
          </w:p>
        </w:tc>
      </w:tr>
      <w:tr w:rsidR="006A4065" w:rsidRPr="002801B2" w14:paraId="439D4A7E"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ED6AF54" w14:textId="77777777" w:rsidR="006A4065" w:rsidRPr="002801B2" w:rsidRDefault="006A4065" w:rsidP="006A4065">
            <w:pPr>
              <w:spacing w:before="0" w:after="0" w:line="220" w:lineRule="atLeast"/>
            </w:pPr>
            <w:r w:rsidRPr="002801B2">
              <w:t>13,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D11169C" w14:textId="77777777" w:rsidR="006A4065" w:rsidRPr="002801B2" w:rsidRDefault="006A4065" w:rsidP="006A4065">
            <w:pPr>
              <w:spacing w:before="0" w:after="0" w:line="220" w:lineRule="atLeast"/>
            </w:pPr>
            <w:r w:rsidRPr="002801B2">
              <w:t xml:space="preserve">1.416,60 </w:t>
            </w:r>
          </w:p>
        </w:tc>
      </w:tr>
      <w:tr w:rsidR="006A4065" w:rsidRPr="002801B2" w14:paraId="3A3048B7"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043FAC4D" w14:textId="77777777" w:rsidR="006A4065" w:rsidRPr="002801B2" w:rsidRDefault="006A4065" w:rsidP="006A4065">
            <w:pPr>
              <w:spacing w:before="0" w:after="0" w:line="220" w:lineRule="atLeast"/>
              <w:rPr>
                <w:b/>
                <w:bCs/>
              </w:rPr>
            </w:pPr>
            <w:r w:rsidRPr="002801B2">
              <w:rPr>
                <w:b/>
                <w:bCs/>
              </w:rPr>
              <w:t>14, Precio máximo en planta de abastecimiento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19C1C85D" w14:textId="77777777" w:rsidR="006A4065" w:rsidRPr="002801B2" w:rsidRDefault="006A4065" w:rsidP="006A4065">
            <w:pPr>
              <w:spacing w:before="0" w:after="0" w:line="220" w:lineRule="atLeast"/>
              <w:rPr>
                <w:b/>
                <w:bCs/>
              </w:rPr>
            </w:pPr>
            <w:r w:rsidRPr="002801B2">
              <w:rPr>
                <w:b/>
                <w:bCs/>
              </w:rPr>
              <w:t>(i)</w:t>
            </w:r>
          </w:p>
        </w:tc>
      </w:tr>
      <w:tr w:rsidR="006A4065" w:rsidRPr="002801B2" w14:paraId="70016503"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9625F68" w14:textId="77777777" w:rsidR="006A4065" w:rsidRPr="002801B2" w:rsidRDefault="006A4065" w:rsidP="006A4065">
            <w:pPr>
              <w:spacing w:before="0" w:after="0" w:line="220" w:lineRule="atLeast"/>
            </w:pPr>
            <w:r w:rsidRPr="002801B2">
              <w:t xml:space="preserve">15, Margen del distribuidor minorista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DF30B31" w14:textId="77777777" w:rsidR="006A4065" w:rsidRPr="002801B2" w:rsidRDefault="006A4065" w:rsidP="006A4065">
            <w:pPr>
              <w:spacing w:before="0" w:after="0" w:line="220" w:lineRule="atLeast"/>
            </w:pPr>
            <w:r w:rsidRPr="002801B2">
              <w:t>(j)</w:t>
            </w:r>
          </w:p>
        </w:tc>
      </w:tr>
      <w:tr w:rsidR="006A4065" w:rsidRPr="002801B2" w14:paraId="194E0031"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08D1B01" w14:textId="77777777" w:rsidR="006A4065" w:rsidRPr="002801B2" w:rsidRDefault="006A4065" w:rsidP="006A4065">
            <w:pPr>
              <w:spacing w:before="0" w:after="0" w:line="220" w:lineRule="atLeast"/>
            </w:pPr>
            <w:r w:rsidRPr="002801B2">
              <w:t xml:space="preserve">16, Perdida por evaporación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051B308" w14:textId="77777777" w:rsidR="006A4065" w:rsidRPr="002801B2" w:rsidRDefault="006A4065" w:rsidP="006A4065">
            <w:pPr>
              <w:spacing w:before="0" w:after="0" w:line="220" w:lineRule="atLeast"/>
            </w:pPr>
            <w:r w:rsidRPr="002801B2">
              <w:t>(k)</w:t>
            </w:r>
          </w:p>
        </w:tc>
      </w:tr>
      <w:tr w:rsidR="006A4065" w:rsidRPr="002801B2" w14:paraId="19D55AAF"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06A2546" w14:textId="77777777" w:rsidR="006A4065" w:rsidRPr="002801B2" w:rsidRDefault="006A4065" w:rsidP="006A4065">
            <w:pPr>
              <w:spacing w:before="0" w:after="0" w:line="220" w:lineRule="atLeast"/>
            </w:pPr>
            <w:r w:rsidRPr="002801B2">
              <w:t xml:space="preserve">17, Transporte de la planta de abastecimiento mayorista a estación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324E796" w14:textId="77777777" w:rsidR="006A4065" w:rsidRPr="002801B2" w:rsidRDefault="006A4065" w:rsidP="006A4065">
            <w:pPr>
              <w:spacing w:before="0" w:after="0" w:line="220" w:lineRule="atLeast"/>
            </w:pPr>
            <w:r w:rsidRPr="002801B2">
              <w:t>(l)</w:t>
            </w:r>
          </w:p>
        </w:tc>
      </w:tr>
      <w:tr w:rsidR="006A4065" w:rsidRPr="002801B2" w14:paraId="53AF3A45"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2904A259" w14:textId="77777777" w:rsidR="006A4065" w:rsidRPr="002801B2" w:rsidRDefault="006A4065" w:rsidP="006A4065">
            <w:pPr>
              <w:spacing w:before="0" w:after="0" w:line="220" w:lineRule="atLeast"/>
              <w:rPr>
                <w:b/>
                <w:bCs/>
              </w:rPr>
            </w:pPr>
            <w:r w:rsidRPr="002801B2">
              <w:rPr>
                <w:b/>
                <w:bCs/>
              </w:rPr>
              <w:t>18, Precio máximo de venta por galón incluida la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31D501B5" w14:textId="77777777" w:rsidR="006A4065" w:rsidRPr="002801B2" w:rsidRDefault="006A4065" w:rsidP="006A4065">
            <w:pPr>
              <w:spacing w:before="0" w:after="0" w:line="220" w:lineRule="atLeast"/>
              <w:rPr>
                <w:b/>
                <w:bCs/>
              </w:rPr>
            </w:pPr>
            <w:r w:rsidRPr="002801B2">
              <w:rPr>
                <w:b/>
                <w:bCs/>
              </w:rPr>
              <w:t>(m)</w:t>
            </w:r>
          </w:p>
        </w:tc>
      </w:tr>
    </w:tbl>
    <w:p w14:paraId="045B47C8" w14:textId="77777777" w:rsidR="006A4065" w:rsidRPr="002801B2" w:rsidRDefault="006A4065" w:rsidP="006A4065">
      <w:pPr>
        <w:spacing w:after="0"/>
        <w:rPr>
          <w:rFonts w:ascii="Arial" w:eastAsia="Times New Roman" w:hAnsi="Arial" w:cs="Arial"/>
          <w:b/>
          <w:bCs/>
          <w:spacing w:val="-5"/>
          <w:u w:val="single"/>
        </w:rPr>
      </w:pPr>
    </w:p>
    <w:p w14:paraId="3CDD678C" w14:textId="77777777" w:rsidR="006A4065" w:rsidRPr="002801B2" w:rsidRDefault="006A4065" w:rsidP="006A4065">
      <w:pPr>
        <w:tabs>
          <w:tab w:val="left" w:pos="7088"/>
        </w:tabs>
        <w:spacing w:after="0"/>
        <w:rPr>
          <w:rFonts w:ascii="Arial" w:eastAsia="Times New Roman" w:hAnsi="Arial" w:cs="Arial"/>
          <w:b/>
          <w:bCs/>
          <w:spacing w:val="-5"/>
          <w:u w:val="single"/>
        </w:rPr>
      </w:pPr>
      <w:r w:rsidRPr="002801B2">
        <w:rPr>
          <w:rFonts w:ascii="Arial" w:eastAsia="Times New Roman" w:hAnsi="Arial" w:cs="Arial"/>
          <w:b/>
          <w:bCs/>
          <w:spacing w:val="-5"/>
          <w:u w:val="single"/>
        </w:rPr>
        <w:t>ACPM</w:t>
      </w:r>
    </w:p>
    <w:p w14:paraId="14DA3FED" w14:textId="77777777" w:rsidR="006A4065" w:rsidRPr="002801B2" w:rsidRDefault="006A4065" w:rsidP="006A4065">
      <w:pPr>
        <w:spacing w:before="0" w:after="0" w:line="220" w:lineRule="atLeast"/>
        <w:rPr>
          <w:rFonts w:ascii="Arial" w:eastAsia="Times New Roman" w:hAnsi="Arial" w:cs="Arial"/>
          <w:b/>
          <w:bCs/>
          <w:spacing w:val="-5"/>
        </w:rPr>
      </w:pPr>
    </w:p>
    <w:tbl>
      <w:tblPr>
        <w:tblStyle w:val="Tablaconcuadrcula"/>
        <w:tblW w:w="4991" w:type="pct"/>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367"/>
        <w:gridCol w:w="2010"/>
      </w:tblGrid>
      <w:tr w:rsidR="006A4065" w:rsidRPr="002801B2" w14:paraId="21E5DAF2" w14:textId="77777777" w:rsidTr="006A4065">
        <w:trPr>
          <w:trHeight w:val="567"/>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3D32750" w14:textId="77777777" w:rsidR="006A4065" w:rsidRPr="002801B2" w:rsidRDefault="006A4065" w:rsidP="006A4065">
            <w:pPr>
              <w:spacing w:before="0" w:after="0"/>
              <w:rPr>
                <w:b/>
                <w:bCs/>
              </w:rPr>
            </w:pPr>
            <w:r w:rsidRPr="002801B2">
              <w:rPr>
                <w:b/>
                <w:bCs/>
              </w:rPr>
              <w:t>Componentes de la estructura de precio del ACPM</w:t>
            </w:r>
          </w:p>
          <w:p w14:paraId="2697F517" w14:textId="77777777" w:rsidR="006A4065" w:rsidRPr="002801B2" w:rsidRDefault="006A4065" w:rsidP="006A4065">
            <w:pPr>
              <w:spacing w:before="0" w:after="0"/>
              <w:rPr>
                <w:b/>
                <w:bCs/>
              </w:rPr>
            </w:pPr>
            <w:r w:rsidRPr="002801B2">
              <w:rPr>
                <w:b/>
                <w:bCs/>
              </w:rPr>
              <w:t>(Pesos por Galón)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2060"/>
            <w:vAlign w:val="center"/>
            <w:hideMark/>
          </w:tcPr>
          <w:p w14:paraId="2EA242B5" w14:textId="77777777" w:rsidR="006A4065" w:rsidRPr="002801B2" w:rsidRDefault="006A4065" w:rsidP="006A4065">
            <w:pPr>
              <w:spacing w:before="0" w:after="0"/>
              <w:rPr>
                <w:b/>
                <w:bCs/>
              </w:rPr>
            </w:pPr>
            <w:r w:rsidRPr="002801B2">
              <w:rPr>
                <w:b/>
                <w:bCs/>
              </w:rPr>
              <w:t>Componentes</w:t>
            </w:r>
          </w:p>
        </w:tc>
      </w:tr>
      <w:tr w:rsidR="006A4065" w:rsidRPr="002801B2" w14:paraId="4F2EAADC"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0A0D2A71" w14:textId="77777777" w:rsidR="006A4065" w:rsidRPr="002801B2" w:rsidRDefault="006A4065" w:rsidP="006A4065">
            <w:pPr>
              <w:spacing w:before="0" w:after="0"/>
              <w:rPr>
                <w:b/>
                <w:bCs/>
              </w:rPr>
            </w:pPr>
            <w:r w:rsidRPr="002801B2">
              <w:rPr>
                <w:b/>
                <w:bCs/>
              </w:rPr>
              <w:t>1, Ingreso al productor</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3621F131" w14:textId="77777777" w:rsidR="006A4065" w:rsidRPr="002801B2" w:rsidRDefault="006A4065" w:rsidP="006A4065">
            <w:pPr>
              <w:spacing w:before="0" w:after="0"/>
              <w:rPr>
                <w:b/>
                <w:bCs/>
              </w:rPr>
            </w:pPr>
            <w:r w:rsidRPr="002801B2">
              <w:rPr>
                <w:b/>
                <w:bCs/>
              </w:rPr>
              <w:t xml:space="preserve">5.259,76 </w:t>
            </w:r>
          </w:p>
        </w:tc>
      </w:tr>
      <w:tr w:rsidR="006A4065" w:rsidRPr="002801B2" w14:paraId="51805F46"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C5D8D64" w14:textId="77777777" w:rsidR="006A4065" w:rsidRPr="002801B2" w:rsidRDefault="006A4065" w:rsidP="006A4065">
            <w:pPr>
              <w:spacing w:before="0" w:after="0"/>
            </w:pPr>
            <w:r w:rsidRPr="002801B2">
              <w:t xml:space="preserve">2, Impuesto nacional </w:t>
            </w:r>
            <w:r w:rsidRPr="002801B2">
              <w:rPr>
                <w:b/>
                <w:bCs/>
              </w:rPr>
              <w: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C061C81" w14:textId="77777777" w:rsidR="006A4065" w:rsidRPr="002801B2" w:rsidRDefault="006A4065" w:rsidP="006A4065">
            <w:pPr>
              <w:spacing w:before="0" w:after="0"/>
            </w:pPr>
            <w:r w:rsidRPr="002801B2">
              <w:t xml:space="preserve"> 693,65 </w:t>
            </w:r>
          </w:p>
        </w:tc>
      </w:tr>
      <w:tr w:rsidR="006A4065" w:rsidRPr="002801B2" w14:paraId="3016BD7C"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4D3D52C" w14:textId="77777777" w:rsidR="006A4065" w:rsidRPr="002801B2" w:rsidRDefault="006A4065" w:rsidP="006A4065">
            <w:pPr>
              <w:spacing w:before="0" w:after="0"/>
            </w:pPr>
            <w:r w:rsidRPr="002801B2">
              <w:t>3, IVA del fósil</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DA5E389" w14:textId="77777777" w:rsidR="006A4065" w:rsidRPr="002801B2" w:rsidRDefault="006A4065" w:rsidP="006A4065">
            <w:pPr>
              <w:spacing w:before="0" w:after="0"/>
            </w:pPr>
            <w:r w:rsidRPr="002801B2">
              <w:t>(b)</w:t>
            </w:r>
          </w:p>
        </w:tc>
      </w:tr>
      <w:tr w:rsidR="006A4065" w:rsidRPr="002801B2" w14:paraId="4E83ED52"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3701928" w14:textId="77777777" w:rsidR="006A4065" w:rsidRPr="002801B2" w:rsidRDefault="006A4065" w:rsidP="006A4065">
            <w:pPr>
              <w:spacing w:before="0" w:after="0"/>
            </w:pPr>
            <w:r w:rsidRPr="002801B2">
              <w:t xml:space="preserve">4, Impuesto al carbono </w:t>
            </w:r>
            <w:r w:rsidRPr="002801B2">
              <w:rPr>
                <w:b/>
                <w:bCs/>
              </w:rPr>
              <w:t>(c)</w:t>
            </w:r>
            <w:r w:rsidRPr="002801B2">
              <w:t xml:space="preserve">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E820EF1" w14:textId="77777777" w:rsidR="006A4065" w:rsidRPr="002801B2" w:rsidRDefault="006A4065" w:rsidP="006A4065">
            <w:pPr>
              <w:spacing w:before="0" w:after="0"/>
            </w:pPr>
            <w:r w:rsidRPr="002801B2">
              <w:t xml:space="preserve"> 210,63 </w:t>
            </w:r>
          </w:p>
        </w:tc>
      </w:tr>
      <w:tr w:rsidR="006A4065" w:rsidRPr="002801B2" w14:paraId="3F0D87C5"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6343E5A" w14:textId="77777777" w:rsidR="006A4065" w:rsidRPr="002801B2" w:rsidRDefault="006A4065" w:rsidP="006A4065">
            <w:pPr>
              <w:spacing w:before="0" w:after="0"/>
            </w:pPr>
            <w:r w:rsidRPr="002801B2">
              <w:t>5, Tarifa de marcación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D48DB30" w14:textId="77777777" w:rsidR="006A4065" w:rsidRPr="002801B2" w:rsidRDefault="006A4065" w:rsidP="006A4065">
            <w:pPr>
              <w:spacing w:before="0" w:after="0"/>
            </w:pPr>
            <w:r w:rsidRPr="002801B2">
              <w:t xml:space="preserve"> 9,16 </w:t>
            </w:r>
          </w:p>
        </w:tc>
      </w:tr>
      <w:tr w:rsidR="006A4065" w:rsidRPr="002801B2" w14:paraId="7FDC54E6"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51E676A" w14:textId="77777777" w:rsidR="006A4065" w:rsidRPr="002801B2" w:rsidRDefault="006A4065" w:rsidP="006A4065">
            <w:pPr>
              <w:spacing w:before="0" w:after="0"/>
            </w:pPr>
            <w:r w:rsidRPr="002801B2">
              <w:t>6, Tarifa de transporte por poliductos</w:t>
            </w:r>
            <w:r w:rsidRPr="002801B2">
              <w:rPr>
                <w:b/>
                <w:bCs/>
              </w:rPr>
              <w:t xml:space="preserve">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A71EE9F" w14:textId="77777777" w:rsidR="006A4065" w:rsidRPr="002801B2" w:rsidRDefault="006A4065" w:rsidP="006A4065">
            <w:pPr>
              <w:spacing w:before="0" w:after="0"/>
            </w:pPr>
            <w:r w:rsidRPr="002801B2">
              <w:t>(d)</w:t>
            </w:r>
          </w:p>
        </w:tc>
      </w:tr>
      <w:tr w:rsidR="006A4065" w:rsidRPr="002801B2" w14:paraId="49A7ACCA"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42B20799" w14:textId="77777777" w:rsidR="006A4065" w:rsidRPr="002801B2" w:rsidRDefault="006A4065" w:rsidP="006A4065">
            <w:pPr>
              <w:spacing w:before="0" w:after="0"/>
              <w:rPr>
                <w:b/>
                <w:bCs/>
              </w:rPr>
            </w:pPr>
            <w:r w:rsidRPr="002801B2">
              <w:rPr>
                <w:b/>
                <w:bCs/>
              </w:rPr>
              <w:t xml:space="preserve">7, Precio máximo de venta al distribuidor mayorista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42DA3ECA" w14:textId="77777777" w:rsidR="006A4065" w:rsidRPr="002801B2" w:rsidRDefault="006A4065" w:rsidP="006A4065">
            <w:pPr>
              <w:spacing w:before="0" w:after="0"/>
              <w:rPr>
                <w:b/>
                <w:bCs/>
              </w:rPr>
            </w:pPr>
            <w:r w:rsidRPr="002801B2">
              <w:rPr>
                <w:b/>
                <w:bCs/>
              </w:rPr>
              <w:t>(f)</w:t>
            </w:r>
          </w:p>
        </w:tc>
      </w:tr>
      <w:tr w:rsidR="006A4065" w:rsidRPr="002801B2" w14:paraId="669EA231"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09CA051" w14:textId="77777777" w:rsidR="006A4065" w:rsidRPr="002801B2" w:rsidRDefault="006A4065" w:rsidP="006A4065">
            <w:pPr>
              <w:spacing w:before="0" w:after="0"/>
            </w:pPr>
            <w:r w:rsidRPr="002801B2">
              <w:t>8, Margen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3BF2295" w14:textId="77777777" w:rsidR="006A4065" w:rsidRPr="002801B2" w:rsidRDefault="006A4065" w:rsidP="006A4065">
            <w:pPr>
              <w:spacing w:before="0" w:after="0"/>
            </w:pPr>
            <w:r w:rsidRPr="002801B2">
              <w:t>(g)</w:t>
            </w:r>
          </w:p>
        </w:tc>
      </w:tr>
      <w:tr w:rsidR="006A4065" w:rsidRPr="002801B2" w14:paraId="653D4A7C"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EC11980" w14:textId="77777777" w:rsidR="006A4065" w:rsidRPr="002801B2" w:rsidRDefault="006A4065" w:rsidP="006A4065">
            <w:pPr>
              <w:spacing w:before="0" w:after="0"/>
            </w:pPr>
            <w:r w:rsidRPr="002801B2">
              <w:t xml:space="preserve">9, IVA sobre el margen al distribuidor mayorista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0FC2C54" w14:textId="77777777" w:rsidR="006A4065" w:rsidRPr="002801B2" w:rsidRDefault="006A4065" w:rsidP="006A4065">
            <w:pPr>
              <w:spacing w:before="0" w:after="0"/>
            </w:pPr>
            <w:r w:rsidRPr="002801B2">
              <w:t>(h)</w:t>
            </w:r>
          </w:p>
        </w:tc>
      </w:tr>
      <w:tr w:rsidR="006A4065" w:rsidRPr="002801B2" w14:paraId="0F02A218"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7B5F6B2F" w14:textId="77777777" w:rsidR="006A4065" w:rsidRPr="002801B2" w:rsidRDefault="006A4065" w:rsidP="006A4065">
            <w:pPr>
              <w:spacing w:before="0" w:after="0"/>
              <w:rPr>
                <w:b/>
                <w:bCs/>
              </w:rPr>
            </w:pPr>
            <w:r w:rsidRPr="002801B2">
              <w:rPr>
                <w:b/>
                <w:bCs/>
              </w:rPr>
              <w:t xml:space="preserve">10, Precio máximo en planta de abastecimiento mayorista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169FE436" w14:textId="77777777" w:rsidR="006A4065" w:rsidRPr="002801B2" w:rsidRDefault="006A4065" w:rsidP="006A4065">
            <w:pPr>
              <w:spacing w:before="0" w:after="0"/>
              <w:rPr>
                <w:b/>
                <w:bCs/>
              </w:rPr>
            </w:pPr>
            <w:r w:rsidRPr="002801B2">
              <w:rPr>
                <w:b/>
                <w:bCs/>
              </w:rPr>
              <w:t>(i)</w:t>
            </w:r>
          </w:p>
        </w:tc>
      </w:tr>
      <w:tr w:rsidR="006A4065" w:rsidRPr="002801B2" w14:paraId="72399F40"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3112837" w14:textId="77777777" w:rsidR="006A4065" w:rsidRPr="002801B2" w:rsidRDefault="006A4065" w:rsidP="006A4065">
            <w:pPr>
              <w:spacing w:before="0" w:after="0"/>
            </w:pPr>
            <w:r w:rsidRPr="002801B2">
              <w:t xml:space="preserve">11, Margen del distribuidor minorista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440BA57" w14:textId="77777777" w:rsidR="006A4065" w:rsidRPr="002801B2" w:rsidRDefault="006A4065" w:rsidP="006A4065">
            <w:pPr>
              <w:spacing w:before="0" w:after="0"/>
            </w:pPr>
            <w:r w:rsidRPr="002801B2">
              <w:t>(j)</w:t>
            </w:r>
          </w:p>
        </w:tc>
      </w:tr>
      <w:tr w:rsidR="006A4065" w:rsidRPr="002801B2" w14:paraId="38A3B1BC"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79F6000" w14:textId="77777777" w:rsidR="006A4065" w:rsidRPr="002801B2" w:rsidRDefault="006A4065" w:rsidP="006A4065">
            <w:pPr>
              <w:spacing w:before="0" w:after="0"/>
            </w:pPr>
            <w:r w:rsidRPr="002801B2">
              <w:t>12, Transporte de la planta de abastecimiento mayorista a estación</w:t>
            </w:r>
            <w:r w:rsidRPr="002801B2">
              <w:rPr>
                <w:b/>
                <w:bCs/>
              </w:rPr>
              <w:t xml:space="preserve">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8329C52" w14:textId="77777777" w:rsidR="006A4065" w:rsidRPr="002801B2" w:rsidRDefault="006A4065" w:rsidP="006A4065">
            <w:pPr>
              <w:spacing w:before="0" w:after="0"/>
            </w:pPr>
            <w:r w:rsidRPr="002801B2">
              <w:t>(l)</w:t>
            </w:r>
          </w:p>
        </w:tc>
      </w:tr>
      <w:tr w:rsidR="006A4065" w:rsidRPr="002801B2" w14:paraId="755810FD"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AE638C2" w14:textId="77777777" w:rsidR="006A4065" w:rsidRPr="002801B2" w:rsidRDefault="006A4065" w:rsidP="006A4065">
            <w:pPr>
              <w:spacing w:before="0" w:after="0"/>
            </w:pPr>
            <w:r w:rsidRPr="002801B2">
              <w:lastRenderedPageBreak/>
              <w:t>13,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D1C64E8" w14:textId="77777777" w:rsidR="006A4065" w:rsidRPr="002801B2" w:rsidRDefault="006A4065" w:rsidP="006A4065">
            <w:pPr>
              <w:spacing w:before="0" w:after="0"/>
            </w:pPr>
            <w:r w:rsidRPr="002801B2">
              <w:t xml:space="preserve"> 373,00 </w:t>
            </w:r>
          </w:p>
        </w:tc>
      </w:tr>
      <w:tr w:rsidR="006A4065" w:rsidRPr="002801B2" w14:paraId="16B48B82"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4E90ABBA" w14:textId="77777777" w:rsidR="006A4065" w:rsidRPr="002801B2" w:rsidRDefault="006A4065" w:rsidP="006A4065">
            <w:pPr>
              <w:spacing w:before="0" w:after="0"/>
              <w:rPr>
                <w:b/>
                <w:bCs/>
              </w:rPr>
            </w:pPr>
            <w:r w:rsidRPr="002801B2">
              <w:rPr>
                <w:b/>
                <w:bCs/>
              </w:rPr>
              <w:t>14, Precio máximo de venta por galón incluida la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1F18D51D" w14:textId="77777777" w:rsidR="006A4065" w:rsidRPr="002801B2" w:rsidRDefault="006A4065" w:rsidP="006A4065">
            <w:pPr>
              <w:spacing w:before="0" w:after="0"/>
              <w:rPr>
                <w:b/>
                <w:bCs/>
              </w:rPr>
            </w:pPr>
            <w:r w:rsidRPr="002801B2">
              <w:rPr>
                <w:b/>
                <w:bCs/>
              </w:rPr>
              <w:t>(m)</w:t>
            </w:r>
          </w:p>
        </w:tc>
      </w:tr>
    </w:tbl>
    <w:p w14:paraId="2758C921" w14:textId="77777777" w:rsidR="006A4065" w:rsidRPr="002801B2" w:rsidRDefault="006A4065" w:rsidP="006A4065">
      <w:pPr>
        <w:spacing w:before="0" w:after="0" w:line="220" w:lineRule="atLeast"/>
        <w:rPr>
          <w:rFonts w:ascii="Arial" w:eastAsia="Times New Roman" w:hAnsi="Arial" w:cs="Arial"/>
          <w:b/>
          <w:bCs/>
          <w:spacing w:val="-5"/>
        </w:rPr>
      </w:pPr>
    </w:p>
    <w:p w14:paraId="1428B4BB" w14:textId="77777777" w:rsidR="006A4065" w:rsidRPr="002801B2" w:rsidRDefault="006A4065" w:rsidP="006A4065">
      <w:pPr>
        <w:spacing w:before="0" w:after="0" w:line="220" w:lineRule="atLeast"/>
        <w:rPr>
          <w:rFonts w:ascii="Arial" w:eastAsia="Times New Roman" w:hAnsi="Arial" w:cs="Arial"/>
          <w:b/>
          <w:bCs/>
          <w:spacing w:val="-5"/>
        </w:rPr>
      </w:pPr>
    </w:p>
    <w:tbl>
      <w:tblPr>
        <w:tblStyle w:val="Tablaconcuadrcula"/>
        <w:tblW w:w="4991" w:type="pct"/>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603"/>
        <w:gridCol w:w="1791"/>
      </w:tblGrid>
      <w:tr w:rsidR="006A4065" w:rsidRPr="002801B2" w14:paraId="30965C25" w14:textId="77777777" w:rsidTr="006A4065">
        <w:trPr>
          <w:trHeight w:val="567"/>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78AA372E" w14:textId="77777777" w:rsidR="006A4065" w:rsidRPr="002801B2" w:rsidRDefault="006A4065" w:rsidP="006A4065">
            <w:pPr>
              <w:spacing w:before="0" w:after="0"/>
              <w:rPr>
                <w:b/>
                <w:bCs/>
              </w:rPr>
            </w:pPr>
            <w:r w:rsidRPr="002801B2">
              <w:rPr>
                <w:b/>
                <w:bCs/>
              </w:rPr>
              <w:t>Estructura de precio de la mezcla ACPM y biocombustible (B10)</w:t>
            </w:r>
          </w:p>
          <w:p w14:paraId="3513EA54" w14:textId="77777777" w:rsidR="006A4065" w:rsidRPr="002801B2" w:rsidRDefault="006A4065" w:rsidP="006A4065">
            <w:pPr>
              <w:spacing w:before="0" w:after="0"/>
              <w:rPr>
                <w:b/>
                <w:bCs/>
              </w:rPr>
            </w:pPr>
            <w:r w:rsidRPr="002801B2">
              <w:rPr>
                <w:b/>
                <w:bCs/>
              </w:rPr>
              <w:t>(Pesos por Galón)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2060"/>
            <w:vAlign w:val="center"/>
            <w:hideMark/>
          </w:tcPr>
          <w:p w14:paraId="581173DA" w14:textId="77777777" w:rsidR="006A4065" w:rsidRPr="002801B2" w:rsidRDefault="006A4065" w:rsidP="006A4065">
            <w:pPr>
              <w:spacing w:before="0" w:after="0"/>
              <w:rPr>
                <w:b/>
                <w:bCs/>
              </w:rPr>
            </w:pPr>
            <w:r w:rsidRPr="002801B2">
              <w:rPr>
                <w:b/>
                <w:bCs/>
              </w:rPr>
              <w:t>Componentes</w:t>
            </w:r>
          </w:p>
        </w:tc>
      </w:tr>
      <w:tr w:rsidR="006A4065" w:rsidRPr="002801B2" w14:paraId="11061B60"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1359CB24" w14:textId="77777777" w:rsidR="006A4065" w:rsidRPr="002801B2" w:rsidRDefault="006A4065" w:rsidP="006A4065">
            <w:pPr>
              <w:spacing w:before="0" w:after="0"/>
            </w:pPr>
            <w:r w:rsidRPr="002801B2">
              <w:t>1. Proporción - Ingreso al productor del ACPM (90%)</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6D2D36E" w14:textId="77777777" w:rsidR="006A4065" w:rsidRPr="002801B2" w:rsidRDefault="006A4065" w:rsidP="006A4065">
            <w:pPr>
              <w:spacing w:before="0" w:after="0"/>
            </w:pPr>
            <w:r w:rsidRPr="002801B2">
              <w:t xml:space="preserve">4.733,78 </w:t>
            </w:r>
          </w:p>
        </w:tc>
      </w:tr>
      <w:tr w:rsidR="006A4065" w:rsidRPr="002801B2" w14:paraId="01A8903A"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3254E175" w14:textId="77777777" w:rsidR="006A4065" w:rsidRPr="002801B2" w:rsidRDefault="006A4065" w:rsidP="006A4065">
            <w:pPr>
              <w:spacing w:before="0" w:after="0"/>
            </w:pPr>
            <w:r w:rsidRPr="002801B2">
              <w:t>2. Proporción - Ingreso al productor del biocombustible (10%)</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D5A0617" w14:textId="77777777" w:rsidR="006A4065" w:rsidRPr="002801B2" w:rsidRDefault="006A4065" w:rsidP="006A4065">
            <w:pPr>
              <w:spacing w:before="0" w:after="0"/>
            </w:pPr>
            <w:r w:rsidRPr="002801B2">
              <w:t xml:space="preserve">1.710,67 </w:t>
            </w:r>
          </w:p>
        </w:tc>
      </w:tr>
      <w:tr w:rsidR="006A4065" w:rsidRPr="002801B2" w14:paraId="450F3F8B"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hideMark/>
          </w:tcPr>
          <w:p w14:paraId="3AB1BBE4" w14:textId="77777777" w:rsidR="006A4065" w:rsidRPr="002801B2" w:rsidRDefault="006A4065" w:rsidP="006A4065">
            <w:pPr>
              <w:spacing w:before="0" w:after="0"/>
              <w:rPr>
                <w:b/>
                <w:bCs/>
              </w:rPr>
            </w:pPr>
            <w:r w:rsidRPr="002801B2">
              <w:rPr>
                <w:b/>
                <w:bCs/>
              </w:rPr>
              <w:t>3. Ingreso al productor de la mezcla ACPM - biocombustible (B10)</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4F81E3DC" w14:textId="77777777" w:rsidR="006A4065" w:rsidRPr="002801B2" w:rsidRDefault="006A4065" w:rsidP="006A4065">
            <w:pPr>
              <w:spacing w:before="0" w:after="0"/>
              <w:rPr>
                <w:b/>
                <w:bCs/>
              </w:rPr>
            </w:pPr>
            <w:r w:rsidRPr="002801B2">
              <w:rPr>
                <w:b/>
                <w:bCs/>
              </w:rPr>
              <w:t xml:space="preserve">6.444,45 </w:t>
            </w:r>
          </w:p>
        </w:tc>
      </w:tr>
      <w:tr w:rsidR="006A4065" w:rsidRPr="002801B2" w14:paraId="2760769F"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7505A26A" w14:textId="77777777" w:rsidR="006A4065" w:rsidRPr="002801B2" w:rsidRDefault="006A4065" w:rsidP="006A4065">
            <w:pPr>
              <w:spacing w:before="0" w:after="0"/>
            </w:pPr>
            <w:r w:rsidRPr="002801B2">
              <w:t xml:space="preserve">4. Impuesto nacional </w:t>
            </w:r>
            <w:r w:rsidRPr="002801B2">
              <w:rPr>
                <w:b/>
                <w:bCs/>
              </w:rPr>
              <w: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434C46D" w14:textId="77777777" w:rsidR="006A4065" w:rsidRPr="002801B2" w:rsidRDefault="006A4065" w:rsidP="006A4065">
            <w:pPr>
              <w:spacing w:before="0" w:after="0"/>
            </w:pPr>
            <w:r w:rsidRPr="002801B2">
              <w:t xml:space="preserve"> 624,29 </w:t>
            </w:r>
          </w:p>
        </w:tc>
      </w:tr>
      <w:tr w:rsidR="006A4065" w:rsidRPr="002801B2" w14:paraId="58A54A96"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3AB37054" w14:textId="77777777" w:rsidR="006A4065" w:rsidRPr="002801B2" w:rsidRDefault="006A4065" w:rsidP="006A4065">
            <w:pPr>
              <w:spacing w:before="0" w:after="0"/>
            </w:pPr>
            <w:r w:rsidRPr="002801B2">
              <w:t>5. IVA del fósil</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0E913B2" w14:textId="77777777" w:rsidR="006A4065" w:rsidRPr="002801B2" w:rsidRDefault="006A4065" w:rsidP="006A4065">
            <w:pPr>
              <w:spacing w:before="0" w:after="0"/>
              <w:rPr>
                <w:b/>
                <w:bCs/>
              </w:rPr>
            </w:pPr>
            <w:r w:rsidRPr="002801B2">
              <w:rPr>
                <w:b/>
                <w:bCs/>
              </w:rPr>
              <w:t>(b)</w:t>
            </w:r>
          </w:p>
        </w:tc>
      </w:tr>
      <w:tr w:rsidR="006A4065" w:rsidRPr="002801B2" w14:paraId="1B5E28A2"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582B3BCD" w14:textId="77777777" w:rsidR="006A4065" w:rsidRPr="002801B2" w:rsidRDefault="006A4065" w:rsidP="006A4065">
            <w:pPr>
              <w:spacing w:before="0" w:after="0"/>
            </w:pPr>
            <w:r w:rsidRPr="002801B2">
              <w:t xml:space="preserve">6. Impuesto al carbono </w:t>
            </w:r>
            <w:r w:rsidRPr="002801B2">
              <w:rPr>
                <w:b/>
                <w:bCs/>
              </w:rPr>
              <w:t>(c)</w:t>
            </w:r>
            <w:r w:rsidRPr="002801B2">
              <w:t xml:space="preserve">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DA2031D" w14:textId="77777777" w:rsidR="006A4065" w:rsidRPr="002801B2" w:rsidRDefault="006A4065" w:rsidP="006A4065">
            <w:pPr>
              <w:spacing w:before="0" w:after="0"/>
            </w:pPr>
            <w:r w:rsidRPr="002801B2">
              <w:t xml:space="preserve"> 189,57 </w:t>
            </w:r>
          </w:p>
        </w:tc>
      </w:tr>
      <w:tr w:rsidR="006A4065" w:rsidRPr="002801B2" w14:paraId="6132C1DD"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06499211" w14:textId="77777777" w:rsidR="006A4065" w:rsidRPr="002801B2" w:rsidRDefault="006A4065" w:rsidP="006A4065">
            <w:pPr>
              <w:spacing w:before="0" w:after="0"/>
            </w:pPr>
            <w:r w:rsidRPr="002801B2">
              <w:t>7. Tarifa de marcación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F754707" w14:textId="77777777" w:rsidR="006A4065" w:rsidRPr="002801B2" w:rsidRDefault="006A4065" w:rsidP="006A4065">
            <w:pPr>
              <w:spacing w:before="0" w:after="0"/>
            </w:pPr>
            <w:r w:rsidRPr="002801B2">
              <w:t xml:space="preserve"> 9,16 </w:t>
            </w:r>
          </w:p>
        </w:tc>
      </w:tr>
      <w:tr w:rsidR="006A4065" w:rsidRPr="002801B2" w14:paraId="781A2F32"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734431D2" w14:textId="77777777" w:rsidR="006A4065" w:rsidRPr="002801B2" w:rsidRDefault="006A4065" w:rsidP="006A4065">
            <w:pPr>
              <w:spacing w:before="0" w:after="0"/>
            </w:pPr>
            <w:r w:rsidRPr="002801B2">
              <w:t xml:space="preserve">8. Proporción - Tarifa de transporte por poliductos del ACPM (90%)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A382CC5" w14:textId="77777777" w:rsidR="006A4065" w:rsidRPr="002801B2" w:rsidRDefault="006A4065" w:rsidP="006A4065">
            <w:pPr>
              <w:spacing w:before="0" w:after="0"/>
            </w:pPr>
            <w:r w:rsidRPr="002801B2">
              <w:t>(d)</w:t>
            </w:r>
          </w:p>
        </w:tc>
      </w:tr>
      <w:tr w:rsidR="006A4065" w:rsidRPr="002801B2" w14:paraId="62F16CFF"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1F9182C2" w14:textId="77777777" w:rsidR="006A4065" w:rsidRPr="002801B2" w:rsidRDefault="006A4065" w:rsidP="006A4065">
            <w:pPr>
              <w:spacing w:before="0" w:after="0"/>
            </w:pPr>
            <w:r w:rsidRPr="002801B2">
              <w:t xml:space="preserve">9. Proporción - Tarifa de transporte del biocombustible (10%)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C520E0A" w14:textId="77777777" w:rsidR="006A4065" w:rsidRPr="002801B2" w:rsidRDefault="006A4065" w:rsidP="006A4065">
            <w:pPr>
              <w:spacing w:before="0" w:after="0"/>
            </w:pPr>
            <w:r w:rsidRPr="002801B2">
              <w:t>(e)</w:t>
            </w:r>
          </w:p>
        </w:tc>
      </w:tr>
      <w:tr w:rsidR="006A4065" w:rsidRPr="002801B2" w14:paraId="03DF9A47"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hideMark/>
          </w:tcPr>
          <w:p w14:paraId="62EF6AE5" w14:textId="77777777" w:rsidR="006A4065" w:rsidRPr="002801B2" w:rsidRDefault="006A4065" w:rsidP="006A4065">
            <w:pPr>
              <w:spacing w:before="0" w:after="0"/>
              <w:rPr>
                <w:b/>
                <w:bCs/>
              </w:rPr>
            </w:pPr>
            <w:r w:rsidRPr="002801B2">
              <w:rPr>
                <w:b/>
                <w:bCs/>
              </w:rPr>
              <w:t>10. Precio máximo de venta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15E4C17D" w14:textId="77777777" w:rsidR="006A4065" w:rsidRPr="002801B2" w:rsidRDefault="006A4065" w:rsidP="006A4065">
            <w:pPr>
              <w:spacing w:before="0" w:after="0"/>
              <w:rPr>
                <w:b/>
                <w:bCs/>
              </w:rPr>
            </w:pPr>
            <w:r w:rsidRPr="002801B2">
              <w:rPr>
                <w:b/>
                <w:bCs/>
              </w:rPr>
              <w:t>(f)</w:t>
            </w:r>
          </w:p>
        </w:tc>
      </w:tr>
      <w:tr w:rsidR="006A4065" w:rsidRPr="002801B2" w14:paraId="782975F6"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342E3C4F" w14:textId="77777777" w:rsidR="006A4065" w:rsidRPr="002801B2" w:rsidRDefault="006A4065" w:rsidP="006A4065">
            <w:pPr>
              <w:spacing w:before="0" w:after="0"/>
            </w:pPr>
            <w:r w:rsidRPr="002801B2">
              <w:t>11. Margen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CCC641C" w14:textId="77777777" w:rsidR="006A4065" w:rsidRPr="002801B2" w:rsidRDefault="006A4065" w:rsidP="006A4065">
            <w:pPr>
              <w:spacing w:before="0" w:after="0"/>
            </w:pPr>
            <w:r w:rsidRPr="002801B2">
              <w:t>(g)</w:t>
            </w:r>
          </w:p>
        </w:tc>
      </w:tr>
      <w:tr w:rsidR="006A4065" w:rsidRPr="002801B2" w14:paraId="0ED21EF1"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699F5EDE" w14:textId="77777777" w:rsidR="006A4065" w:rsidRPr="002801B2" w:rsidRDefault="006A4065" w:rsidP="006A4065">
            <w:pPr>
              <w:spacing w:before="0" w:after="0"/>
            </w:pPr>
            <w:r w:rsidRPr="002801B2">
              <w:t>12. IVA sobre el margen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2075845" w14:textId="77777777" w:rsidR="006A4065" w:rsidRPr="002801B2" w:rsidRDefault="006A4065" w:rsidP="006A4065">
            <w:pPr>
              <w:spacing w:before="0" w:after="0"/>
            </w:pPr>
            <w:r w:rsidRPr="002801B2">
              <w:t>(h)</w:t>
            </w:r>
          </w:p>
        </w:tc>
      </w:tr>
      <w:tr w:rsidR="006A4065" w:rsidRPr="002801B2" w14:paraId="30CF9D2A"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hideMark/>
          </w:tcPr>
          <w:p w14:paraId="2DF9CF28" w14:textId="77777777" w:rsidR="006A4065" w:rsidRPr="002801B2" w:rsidRDefault="006A4065" w:rsidP="006A4065">
            <w:pPr>
              <w:spacing w:before="0" w:after="0"/>
              <w:rPr>
                <w:b/>
                <w:bCs/>
              </w:rPr>
            </w:pPr>
            <w:r w:rsidRPr="002801B2">
              <w:rPr>
                <w:b/>
                <w:bCs/>
              </w:rPr>
              <w:t>13. Precio máximo en planta de abastecimiento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638CEF92" w14:textId="77777777" w:rsidR="006A4065" w:rsidRPr="002801B2" w:rsidRDefault="006A4065" w:rsidP="006A4065">
            <w:pPr>
              <w:spacing w:before="0" w:after="0"/>
              <w:rPr>
                <w:b/>
                <w:bCs/>
              </w:rPr>
            </w:pPr>
            <w:r w:rsidRPr="002801B2">
              <w:rPr>
                <w:b/>
                <w:bCs/>
              </w:rPr>
              <w:t>(i)</w:t>
            </w:r>
          </w:p>
        </w:tc>
      </w:tr>
      <w:tr w:rsidR="006A4065" w:rsidRPr="002801B2" w14:paraId="0E55B25D"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27CD2808" w14:textId="77777777" w:rsidR="006A4065" w:rsidRPr="002801B2" w:rsidRDefault="006A4065" w:rsidP="006A4065">
            <w:pPr>
              <w:spacing w:before="0" w:after="0"/>
            </w:pPr>
            <w:r w:rsidRPr="002801B2">
              <w:t>14. Margen del distribuidor minorista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485713C" w14:textId="77777777" w:rsidR="006A4065" w:rsidRPr="002801B2" w:rsidRDefault="006A4065" w:rsidP="006A4065">
            <w:pPr>
              <w:spacing w:before="0" w:after="0"/>
            </w:pPr>
            <w:r w:rsidRPr="002801B2">
              <w:t>(j)</w:t>
            </w:r>
          </w:p>
        </w:tc>
      </w:tr>
      <w:tr w:rsidR="006A4065" w:rsidRPr="002801B2" w14:paraId="29CCD2BB"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08A849AB" w14:textId="77777777" w:rsidR="006A4065" w:rsidRPr="002801B2" w:rsidRDefault="006A4065" w:rsidP="006A4065">
            <w:pPr>
              <w:spacing w:before="0" w:after="0"/>
            </w:pPr>
            <w:r w:rsidRPr="002801B2">
              <w:t>15. Transporte de la planta de abastecimiento mayorista a estación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B1EDB38" w14:textId="77777777" w:rsidR="006A4065" w:rsidRPr="002801B2" w:rsidRDefault="006A4065" w:rsidP="006A4065">
            <w:pPr>
              <w:spacing w:before="0" w:after="0"/>
            </w:pPr>
            <w:r w:rsidRPr="002801B2">
              <w:t>(l)</w:t>
            </w:r>
          </w:p>
        </w:tc>
      </w:tr>
      <w:tr w:rsidR="006A4065" w:rsidRPr="002801B2" w14:paraId="6D462485"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31BD0C2D" w14:textId="77777777" w:rsidR="006A4065" w:rsidRPr="002801B2" w:rsidRDefault="006A4065" w:rsidP="006A4065">
            <w:pPr>
              <w:spacing w:before="0" w:after="0"/>
            </w:pPr>
            <w:r w:rsidRPr="002801B2">
              <w:t>16.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C88F5B0" w14:textId="77777777" w:rsidR="006A4065" w:rsidRPr="002801B2" w:rsidRDefault="006A4065" w:rsidP="006A4065">
            <w:pPr>
              <w:spacing w:before="0" w:after="0"/>
            </w:pPr>
            <w:r w:rsidRPr="002801B2">
              <w:t xml:space="preserve"> 373,00 </w:t>
            </w:r>
          </w:p>
        </w:tc>
      </w:tr>
      <w:tr w:rsidR="006A4065" w:rsidRPr="002801B2" w14:paraId="48F6AD23" w14:textId="77777777" w:rsidTr="006A4065">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hideMark/>
          </w:tcPr>
          <w:p w14:paraId="36F3FC60" w14:textId="77777777" w:rsidR="006A4065" w:rsidRPr="002801B2" w:rsidRDefault="006A4065" w:rsidP="006A4065">
            <w:pPr>
              <w:spacing w:before="0" w:after="0"/>
              <w:rPr>
                <w:b/>
                <w:bCs/>
              </w:rPr>
            </w:pPr>
            <w:r w:rsidRPr="002801B2">
              <w:rPr>
                <w:b/>
                <w:bCs/>
              </w:rPr>
              <w:t>17. Precio máximo de venta por galón incluida la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4925C4AB" w14:textId="77777777" w:rsidR="006A4065" w:rsidRPr="002801B2" w:rsidRDefault="006A4065" w:rsidP="006A4065">
            <w:pPr>
              <w:spacing w:before="0" w:after="0"/>
              <w:rPr>
                <w:b/>
                <w:bCs/>
              </w:rPr>
            </w:pPr>
            <w:r w:rsidRPr="002801B2">
              <w:rPr>
                <w:b/>
                <w:bCs/>
              </w:rPr>
              <w:t>(m)</w:t>
            </w:r>
          </w:p>
        </w:tc>
      </w:tr>
    </w:tbl>
    <w:p w14:paraId="3A5CE976" w14:textId="77777777" w:rsidR="006A4065" w:rsidRPr="002801B2" w:rsidRDefault="006A4065" w:rsidP="006A4065">
      <w:pPr>
        <w:spacing w:before="0" w:after="0"/>
        <w:rPr>
          <w:rFonts w:ascii="Arial" w:eastAsia="Arial" w:hAnsi="Arial" w:cs="Arial"/>
        </w:rPr>
      </w:pPr>
    </w:p>
    <w:p w14:paraId="1975343A" w14:textId="77777777" w:rsidR="006A4065" w:rsidRPr="002801B2" w:rsidRDefault="006A4065" w:rsidP="006A4065">
      <w:pPr>
        <w:spacing w:before="0" w:after="0"/>
        <w:rPr>
          <w:rFonts w:ascii="Arial" w:eastAsia="Arial" w:hAnsi="Arial" w:cs="Arial"/>
        </w:rPr>
      </w:pPr>
      <w:r w:rsidRPr="002801B2">
        <w:rPr>
          <w:rFonts w:ascii="Arial" w:eastAsia="Arial" w:hAnsi="Arial" w:cs="Arial"/>
        </w:rPr>
        <w:t>Nota: Para estructuras de precios diferentes a E10 y B10, se deberá calcular, según corresponda, el porcentaje del ingreso al productor de gasolina motor corriente o de ACPM, y su respectivo complemento del ingreso al productor de alcohol carburante o del biocombustible para uso en motores diésel, así como el impuesto nacional, el impuesto al carbono y de la sobretasa si procede. En particular, las estructuras de precios deberán contener las disposiciones plasmadas por medio de la Resolución 40447 del 2022.</w:t>
      </w:r>
    </w:p>
    <w:p w14:paraId="40615F2D" w14:textId="77777777" w:rsidR="006A4065" w:rsidRPr="002801B2" w:rsidRDefault="006A4065" w:rsidP="006A4065">
      <w:pPr>
        <w:spacing w:before="0" w:after="0"/>
        <w:rPr>
          <w:rFonts w:ascii="Arial" w:eastAsia="Arial" w:hAnsi="Arial" w:cs="Arial"/>
        </w:rPr>
      </w:pPr>
    </w:p>
    <w:p w14:paraId="728D0D79" w14:textId="77777777" w:rsidR="006A4065" w:rsidRPr="002801B2" w:rsidRDefault="006A4065" w:rsidP="006A4065">
      <w:pPr>
        <w:spacing w:before="0" w:after="0"/>
        <w:rPr>
          <w:rFonts w:ascii="Arial" w:eastAsia="Arial" w:hAnsi="Arial" w:cs="Arial"/>
        </w:rPr>
      </w:pPr>
      <w:r w:rsidRPr="002801B2">
        <w:rPr>
          <w:rFonts w:ascii="Arial" w:eastAsia="Arial" w:hAnsi="Arial" w:cs="Arial"/>
        </w:rPr>
        <w:t>Así mismo, a continuación, se realizan las siguientes precisiones sobre los literales empleados en las tablas:</w:t>
      </w:r>
    </w:p>
    <w:p w14:paraId="284AC9C7" w14:textId="77777777" w:rsidR="006A4065" w:rsidRPr="002801B2" w:rsidRDefault="006A4065" w:rsidP="006A4065">
      <w:pPr>
        <w:spacing w:before="0" w:after="0"/>
        <w:rPr>
          <w:rFonts w:ascii="Arial" w:eastAsia="Arial" w:hAnsi="Arial" w:cs="Arial"/>
        </w:rPr>
      </w:pPr>
    </w:p>
    <w:p w14:paraId="582BA3A5" w14:textId="77777777" w:rsidR="006A4065" w:rsidRPr="002801B2" w:rsidRDefault="006A4065" w:rsidP="006A4065">
      <w:pPr>
        <w:spacing w:before="0" w:after="0"/>
        <w:rPr>
          <w:rFonts w:ascii="Arial" w:eastAsia="Arial" w:hAnsi="Arial" w:cs="Arial"/>
        </w:rPr>
      </w:pPr>
      <w:r w:rsidRPr="002801B2">
        <w:rPr>
          <w:rFonts w:ascii="Arial" w:eastAsia="Arial" w:hAnsi="Arial" w:cs="Arial"/>
          <w:b/>
          <w:bCs/>
        </w:rPr>
        <w:t>a:</w:t>
      </w:r>
      <w:r w:rsidRPr="002801B2">
        <w:rPr>
          <w:rFonts w:ascii="Arial" w:eastAsia="Arial" w:hAnsi="Arial" w:cs="Arial"/>
        </w:rPr>
        <w:t xml:space="preserve"> Será el valor correspondiente al pago del impuesto nacional a la gasolina y al ACPM, expresado en pesos por galón, establecido en los artículos 167, 168 y 173 de la Ley 1607 de 2012, modificados por los artículos 218, 219 y 220 de la Ley 1819 del 29 de diciembre de 2016, o las normas que lo modifiquen o sustituyan. De este impuesto se excluye el porcentaje de mezcla de alcohol carburante y el porcentaje de mezcla de biocombustible para uso en motores diésel.</w:t>
      </w:r>
    </w:p>
    <w:p w14:paraId="1D31CE4E" w14:textId="77777777" w:rsidR="006A4065" w:rsidRPr="002801B2" w:rsidRDefault="006A4065" w:rsidP="006A4065">
      <w:pPr>
        <w:spacing w:before="0" w:after="0"/>
        <w:rPr>
          <w:rFonts w:ascii="Arial" w:eastAsia="Arial" w:hAnsi="Arial" w:cs="Arial"/>
        </w:rPr>
      </w:pPr>
    </w:p>
    <w:p w14:paraId="1AC44641" w14:textId="77777777" w:rsidR="006A4065" w:rsidRPr="002801B2" w:rsidRDefault="006A4065" w:rsidP="006A4065">
      <w:pPr>
        <w:spacing w:before="0" w:after="0"/>
        <w:rPr>
          <w:rFonts w:ascii="Arial" w:eastAsia="Arial" w:hAnsi="Arial" w:cs="Arial"/>
        </w:rPr>
      </w:pPr>
      <w:r w:rsidRPr="002801B2">
        <w:rPr>
          <w:rFonts w:ascii="Arial" w:eastAsia="Arial" w:hAnsi="Arial" w:cs="Arial"/>
          <w:b/>
          <w:bCs/>
        </w:rPr>
        <w:t>b:</w:t>
      </w:r>
      <w:r w:rsidRPr="002801B2">
        <w:rPr>
          <w:rFonts w:ascii="Arial" w:eastAsia="Arial" w:hAnsi="Arial" w:cs="Arial"/>
        </w:rPr>
        <w:t xml:space="preserve"> Es el valor que se obtiene conforme se establece en el artículo 467 del Estatuto Tributario, modificado por los artículos 183, de la Ley 1819 del 29 de diciembre de 2016 y articulo 74 de la Ley 1955 del 25 de mayo de 2019, o las normas que lo modifiquen o sustituyan, considerando que dentro de los bienes gravados con la tarifa del cinco por ciento (5%) prevista en el artículo 468-1 del Estatuto Tributario se incluyó el ingreso al productor en la venta de Gasolina y ACPM. El valor final se obtiene aplicando dicha tarifa sobre el valor del IP Fósil considerando el nivel de mezcla con biocombustible respectivo, si hay lugar.</w:t>
      </w:r>
    </w:p>
    <w:p w14:paraId="76C7DCC3" w14:textId="77777777" w:rsidR="006A4065" w:rsidRPr="002801B2" w:rsidRDefault="006A4065" w:rsidP="006A4065">
      <w:pPr>
        <w:spacing w:before="0" w:after="0"/>
        <w:rPr>
          <w:rFonts w:ascii="Arial" w:eastAsia="Arial" w:hAnsi="Arial" w:cs="Arial"/>
        </w:rPr>
      </w:pPr>
    </w:p>
    <w:p w14:paraId="6C6D2B09" w14:textId="77777777" w:rsidR="006A4065" w:rsidRPr="002801B2" w:rsidRDefault="006A4065" w:rsidP="006A4065">
      <w:pPr>
        <w:spacing w:before="0" w:after="0"/>
        <w:rPr>
          <w:rFonts w:ascii="Arial" w:eastAsia="Arial" w:hAnsi="Arial" w:cs="Arial"/>
        </w:rPr>
      </w:pPr>
      <w:r w:rsidRPr="002801B2">
        <w:rPr>
          <w:rFonts w:ascii="Arial" w:eastAsia="Arial" w:hAnsi="Arial" w:cs="Arial"/>
          <w:b/>
          <w:bCs/>
        </w:rPr>
        <w:t>c:</w:t>
      </w:r>
      <w:r w:rsidRPr="002801B2">
        <w:rPr>
          <w:rFonts w:ascii="Arial" w:eastAsia="Arial" w:hAnsi="Arial" w:cs="Arial"/>
        </w:rPr>
        <w:t xml:space="preserve"> Será el valor correspondiente al pago de los impuestos al carbono de la gasolina como del ACPM, expresado en pesos por galón, establecido en los artículos 221 y 222 de la Ley 1819 de 2016 o las normas que lo modifiquen o sustituyan. Como lo señala el parágrafo 2 del artículo 222 de la Ley 1819 de 2016, la tarifa del impuesto al carbono por unidad de combustible de la que trata dicho artículo, para los combustibles listados en el inciso 1, será de cero pesos ($0), en Amazonas, Caquetá, Guainía, Guaviare, Putumayo, Vaupés, Vichada y los municipios de </w:t>
      </w:r>
      <w:proofErr w:type="spellStart"/>
      <w:r w:rsidRPr="002801B2">
        <w:rPr>
          <w:rFonts w:ascii="Arial" w:eastAsia="Arial" w:hAnsi="Arial" w:cs="Arial"/>
        </w:rPr>
        <w:t>Sipí</w:t>
      </w:r>
      <w:proofErr w:type="spellEnd"/>
      <w:r w:rsidRPr="002801B2">
        <w:rPr>
          <w:rFonts w:ascii="Arial" w:eastAsia="Arial" w:hAnsi="Arial" w:cs="Arial"/>
        </w:rPr>
        <w:t xml:space="preserve">, Río Sucio, Alto Baudó, Bajo Baudó, Acandí, </w:t>
      </w:r>
      <w:proofErr w:type="spellStart"/>
      <w:r w:rsidRPr="002801B2">
        <w:rPr>
          <w:rFonts w:ascii="Arial" w:eastAsia="Arial" w:hAnsi="Arial" w:cs="Arial"/>
        </w:rPr>
        <w:t>Unguía</w:t>
      </w:r>
      <w:proofErr w:type="spellEnd"/>
      <w:r w:rsidRPr="002801B2">
        <w:rPr>
          <w:rFonts w:ascii="Arial" w:eastAsia="Arial" w:hAnsi="Arial" w:cs="Arial"/>
        </w:rPr>
        <w:t xml:space="preserve">, Litoral de San Juan, Bojayá, Medio Atrato, </w:t>
      </w:r>
      <w:proofErr w:type="spellStart"/>
      <w:r w:rsidRPr="002801B2">
        <w:rPr>
          <w:rFonts w:ascii="Arial" w:eastAsia="Arial" w:hAnsi="Arial" w:cs="Arial"/>
        </w:rPr>
        <w:t>Iró</w:t>
      </w:r>
      <w:proofErr w:type="spellEnd"/>
      <w:r w:rsidRPr="002801B2">
        <w:rPr>
          <w:rFonts w:ascii="Arial" w:eastAsia="Arial" w:hAnsi="Arial" w:cs="Arial"/>
        </w:rPr>
        <w:t xml:space="preserve">, Bahía Solano, </w:t>
      </w:r>
      <w:proofErr w:type="spellStart"/>
      <w:r w:rsidRPr="002801B2">
        <w:rPr>
          <w:rFonts w:ascii="Arial" w:eastAsia="Arial" w:hAnsi="Arial" w:cs="Arial"/>
        </w:rPr>
        <w:t>Juradó</w:t>
      </w:r>
      <w:proofErr w:type="spellEnd"/>
      <w:r w:rsidRPr="002801B2">
        <w:rPr>
          <w:rFonts w:ascii="Arial" w:eastAsia="Arial" w:hAnsi="Arial" w:cs="Arial"/>
        </w:rPr>
        <w:t xml:space="preserve"> y Carmen del Darién del departamento del Chocó.</w:t>
      </w:r>
    </w:p>
    <w:p w14:paraId="3318DE66" w14:textId="77777777" w:rsidR="006A4065" w:rsidRPr="002801B2" w:rsidRDefault="006A4065" w:rsidP="006A4065">
      <w:pPr>
        <w:spacing w:before="0" w:after="0"/>
        <w:rPr>
          <w:rFonts w:ascii="Arial" w:eastAsia="Arial" w:hAnsi="Arial" w:cs="Arial"/>
        </w:rPr>
      </w:pPr>
    </w:p>
    <w:p w14:paraId="5C18B8B5" w14:textId="77777777" w:rsidR="006A4065" w:rsidRPr="002801B2" w:rsidRDefault="006A4065" w:rsidP="006A4065">
      <w:pPr>
        <w:spacing w:before="0" w:after="0"/>
        <w:rPr>
          <w:rFonts w:ascii="Arial" w:eastAsia="Arial" w:hAnsi="Arial" w:cs="Arial"/>
        </w:rPr>
      </w:pPr>
      <w:r w:rsidRPr="002801B2">
        <w:rPr>
          <w:rFonts w:ascii="Arial" w:eastAsia="Arial" w:hAnsi="Arial" w:cs="Arial"/>
          <w:b/>
          <w:bCs/>
        </w:rPr>
        <w:lastRenderedPageBreak/>
        <w:t>d:</w:t>
      </w:r>
      <w:r w:rsidRPr="002801B2">
        <w:rPr>
          <w:rFonts w:ascii="Arial" w:eastAsia="Arial" w:hAnsi="Arial" w:cs="Arial"/>
        </w:rPr>
        <w:t xml:space="preserve"> El Costo de transporte por poliductos se calculará en cada sitio de entrega como el 90%, 91%, 92%, 94%, 96%, 98% o 100%, según corresponda, sobre el costo máximo de transporte de biocombustibles en la Resolución 18 0088 del 30 de enero de 2003, modificada por las resoluciones 18 1701, 18 0230, 18 1300 y 18 0989, del 22 de diciembre de 2003, 27 de febrero de 2006, 23 de agosto de 2007 y 17 de junio de 2011, respectivamente y en particular, por la 41276 del 30 de diciembre de 2016.</w:t>
      </w:r>
    </w:p>
    <w:p w14:paraId="3B72E6CC" w14:textId="77777777" w:rsidR="006A4065" w:rsidRPr="002801B2" w:rsidRDefault="006A4065" w:rsidP="006A4065">
      <w:pPr>
        <w:spacing w:before="0" w:after="0"/>
        <w:rPr>
          <w:rFonts w:ascii="Arial" w:eastAsia="Arial" w:hAnsi="Arial" w:cs="Arial"/>
        </w:rPr>
      </w:pPr>
    </w:p>
    <w:p w14:paraId="420D014B" w14:textId="77777777" w:rsidR="006A4065" w:rsidRPr="002801B2" w:rsidRDefault="006A4065" w:rsidP="006A4065">
      <w:pPr>
        <w:spacing w:before="0" w:after="0"/>
        <w:rPr>
          <w:rFonts w:ascii="Arial" w:eastAsia="Arial" w:hAnsi="Arial" w:cs="Arial"/>
        </w:rPr>
      </w:pPr>
      <w:proofErr w:type="spellStart"/>
      <w:r w:rsidRPr="002801B2">
        <w:rPr>
          <w:rFonts w:ascii="Arial" w:eastAsia="Arial" w:hAnsi="Arial" w:cs="Arial"/>
          <w:b/>
          <w:bCs/>
        </w:rPr>
        <w:t>e</w:t>
      </w:r>
      <w:proofErr w:type="spellEnd"/>
      <w:r w:rsidRPr="002801B2">
        <w:rPr>
          <w:rFonts w:ascii="Arial" w:eastAsia="Arial" w:hAnsi="Arial" w:cs="Arial"/>
          <w:b/>
          <w:bCs/>
        </w:rPr>
        <w:t>:</w:t>
      </w:r>
      <w:r w:rsidRPr="002801B2">
        <w:rPr>
          <w:rFonts w:ascii="Arial" w:eastAsia="Arial" w:hAnsi="Arial" w:cs="Arial"/>
        </w:rPr>
        <w:t xml:space="preserve"> La tarifa de transporte de biocombustibles se calculará como la multiplicación de la proporción de la mezcla de biocombustible por el valor máximo del concepto de transporte terrestre, entre las plantas destiladoras y/o productoras de dichos productos o puntos de importación, y las plantas de abastecimiento mayorista en las cuales se realizará la mezcla. Para el caso del alcohol carburante sea aplicará en los términos definidos por la Resolución 40079 del 1 de febrero de 2018, y para el biocombustible para uso en motores diésel, lo definido por la Resolución 41277 del 30 de diciembre de 2016. </w:t>
      </w:r>
    </w:p>
    <w:p w14:paraId="07F76447" w14:textId="77777777" w:rsidR="006A4065" w:rsidRPr="002801B2" w:rsidRDefault="006A4065" w:rsidP="006A4065">
      <w:pPr>
        <w:spacing w:before="0" w:after="0"/>
        <w:rPr>
          <w:rFonts w:ascii="Arial" w:eastAsia="Arial" w:hAnsi="Arial" w:cs="Arial"/>
        </w:rPr>
      </w:pPr>
    </w:p>
    <w:p w14:paraId="38CEBCF4" w14:textId="77777777" w:rsidR="006A4065" w:rsidRPr="002801B2" w:rsidRDefault="006A4065" w:rsidP="006A4065">
      <w:pPr>
        <w:spacing w:before="0" w:after="0"/>
        <w:rPr>
          <w:rFonts w:ascii="Arial" w:eastAsia="Arial" w:hAnsi="Arial" w:cs="Arial"/>
        </w:rPr>
      </w:pPr>
      <w:r w:rsidRPr="002801B2">
        <w:rPr>
          <w:rFonts w:ascii="Arial" w:eastAsia="Arial" w:hAnsi="Arial" w:cs="Arial"/>
          <w:b/>
          <w:bCs/>
        </w:rPr>
        <w:t>f:</w:t>
      </w:r>
      <w:r w:rsidRPr="002801B2">
        <w:rPr>
          <w:rFonts w:ascii="Arial" w:eastAsia="Arial" w:hAnsi="Arial" w:cs="Arial"/>
        </w:rPr>
        <w:t xml:space="preserve"> Se calculará en cada sitio de entrega habilitado dependiendo de la tarifa por poliductos que le corresponda, y de las tarifas de transporte del biocombustible si aplica. En particular, debe considerarse lo establecido por los artículos 4, 8, 12 o 16 de la Resolución 40112 del 12 de abril del 2021, según el tipo de producto.</w:t>
      </w:r>
    </w:p>
    <w:p w14:paraId="6E33A937" w14:textId="77777777" w:rsidR="006A4065" w:rsidRPr="002801B2" w:rsidRDefault="006A4065" w:rsidP="006A4065">
      <w:pPr>
        <w:spacing w:before="0" w:after="0"/>
        <w:rPr>
          <w:rFonts w:ascii="Arial" w:eastAsia="Arial" w:hAnsi="Arial" w:cs="Arial"/>
        </w:rPr>
      </w:pPr>
    </w:p>
    <w:p w14:paraId="4EEF953F" w14:textId="77777777" w:rsidR="006A4065" w:rsidRPr="002801B2" w:rsidRDefault="006A4065" w:rsidP="006A4065">
      <w:pPr>
        <w:spacing w:before="0" w:after="0"/>
        <w:rPr>
          <w:rFonts w:ascii="Arial" w:eastAsia="Arial" w:hAnsi="Arial" w:cs="Arial"/>
        </w:rPr>
      </w:pPr>
      <w:r w:rsidRPr="002801B2">
        <w:rPr>
          <w:rFonts w:ascii="Arial" w:eastAsia="Arial" w:hAnsi="Arial" w:cs="Arial"/>
          <w:b/>
          <w:bCs/>
        </w:rPr>
        <w:t>g:</w:t>
      </w:r>
      <w:r w:rsidRPr="002801B2">
        <w:rPr>
          <w:rFonts w:ascii="Arial" w:eastAsia="Arial" w:hAnsi="Arial" w:cs="Arial"/>
        </w:rPr>
        <w:t xml:space="preserve"> Se calculará y ajustará a lo señalado en la Resolución 41278 del 30 de diciembre de 2016, o las disposiciones que lo modifiquen o sustituyan.</w:t>
      </w:r>
    </w:p>
    <w:p w14:paraId="583D6BE0" w14:textId="77777777" w:rsidR="006A4065" w:rsidRPr="002801B2" w:rsidRDefault="006A4065" w:rsidP="006A4065">
      <w:pPr>
        <w:spacing w:before="0" w:after="0"/>
        <w:rPr>
          <w:rFonts w:ascii="Arial" w:eastAsia="Arial" w:hAnsi="Arial" w:cs="Arial"/>
        </w:rPr>
      </w:pPr>
    </w:p>
    <w:p w14:paraId="47604FFC" w14:textId="77777777" w:rsidR="006A4065" w:rsidRPr="002801B2" w:rsidRDefault="006A4065" w:rsidP="006A4065">
      <w:pPr>
        <w:spacing w:before="0" w:after="0"/>
        <w:rPr>
          <w:rFonts w:ascii="Arial" w:eastAsia="Arial" w:hAnsi="Arial" w:cs="Arial"/>
        </w:rPr>
      </w:pPr>
      <w:r w:rsidRPr="002801B2">
        <w:rPr>
          <w:rFonts w:ascii="Arial" w:eastAsia="Arial" w:hAnsi="Arial" w:cs="Arial"/>
          <w:b/>
          <w:bCs/>
        </w:rPr>
        <w:t>h:</w:t>
      </w:r>
      <w:r w:rsidRPr="002801B2">
        <w:rPr>
          <w:rFonts w:ascii="Arial" w:eastAsia="Arial" w:hAnsi="Arial" w:cs="Arial"/>
        </w:rPr>
        <w:t xml:space="preserve"> Es el valor establecido según lo definido por el artículo 467 del Estatuto Tributario, modificado por el artículo 183 de la Ley 1819 del 29 de diciembre de 2016 o las demás normas que lo modifiquen o sustituyan, considerando la tarifa general del impuesto </w:t>
      </w:r>
      <w:r w:rsidRPr="002801B2">
        <w:rPr>
          <w:rFonts w:ascii="Arial" w:eastAsia="Arial" w:hAnsi="Arial" w:cs="Arial"/>
        </w:rPr>
        <w:lastRenderedPageBreak/>
        <w:t>sobre las ventas equivalente al 19%. El valor final se obtiene aplicando dicha tarifa sobre el valor del Margen de Distribución del Mayorista correspondiente.</w:t>
      </w:r>
    </w:p>
    <w:p w14:paraId="54E947B1" w14:textId="77777777" w:rsidR="006A4065" w:rsidRPr="002801B2" w:rsidRDefault="006A4065" w:rsidP="006A4065">
      <w:pPr>
        <w:spacing w:before="0" w:after="0"/>
        <w:rPr>
          <w:rFonts w:ascii="Arial" w:eastAsia="Arial" w:hAnsi="Arial" w:cs="Arial"/>
        </w:rPr>
      </w:pPr>
    </w:p>
    <w:p w14:paraId="147046A4" w14:textId="77777777" w:rsidR="006A4065" w:rsidRPr="002801B2" w:rsidRDefault="006A4065" w:rsidP="006A4065">
      <w:pPr>
        <w:spacing w:before="0" w:after="0"/>
        <w:rPr>
          <w:rFonts w:ascii="Arial" w:eastAsia="Arial" w:hAnsi="Arial" w:cs="Arial"/>
        </w:rPr>
      </w:pPr>
      <w:r w:rsidRPr="002801B2">
        <w:rPr>
          <w:rFonts w:ascii="Arial" w:eastAsia="Arial" w:hAnsi="Arial" w:cs="Arial"/>
          <w:b/>
          <w:bCs/>
        </w:rPr>
        <w:t>i:</w:t>
      </w:r>
      <w:r w:rsidRPr="002801B2">
        <w:rPr>
          <w:rFonts w:ascii="Arial" w:eastAsia="Arial" w:hAnsi="Arial" w:cs="Arial"/>
        </w:rPr>
        <w:t xml:space="preserve"> Se calculará en cada sitio de entrega habilitado dependiendo del margen de distribuidor mayorista a considerar. En particular, debe considerarse lo establecido en los artículos 5, 9, 13 o 17 de la Resolución 40112 del 12 de abril del 2021, según corresponda al tipo de producto.</w:t>
      </w:r>
    </w:p>
    <w:p w14:paraId="3252C64A" w14:textId="77777777" w:rsidR="006A4065" w:rsidRPr="002801B2" w:rsidRDefault="006A4065" w:rsidP="006A4065">
      <w:pPr>
        <w:spacing w:before="0" w:after="0"/>
        <w:rPr>
          <w:rFonts w:ascii="Arial" w:eastAsia="Arial" w:hAnsi="Arial" w:cs="Arial"/>
        </w:rPr>
      </w:pPr>
    </w:p>
    <w:p w14:paraId="2C8DCE04" w14:textId="77777777" w:rsidR="006A4065" w:rsidRPr="002801B2" w:rsidRDefault="006A4065" w:rsidP="006A4065">
      <w:pPr>
        <w:spacing w:before="0" w:after="0"/>
        <w:rPr>
          <w:rFonts w:ascii="Arial" w:eastAsia="Arial" w:hAnsi="Arial" w:cs="Arial"/>
        </w:rPr>
      </w:pPr>
      <w:r w:rsidRPr="002801B2">
        <w:rPr>
          <w:rFonts w:ascii="Arial" w:eastAsia="Arial" w:hAnsi="Arial" w:cs="Arial"/>
          <w:b/>
          <w:bCs/>
        </w:rPr>
        <w:t>j:</w:t>
      </w:r>
      <w:r w:rsidRPr="002801B2">
        <w:rPr>
          <w:rFonts w:ascii="Arial" w:eastAsia="Arial" w:hAnsi="Arial" w:cs="Arial"/>
        </w:rPr>
        <w:t xml:space="preserve"> Es el valor establecido por la Resolución 40222 del 22 de febrero de 2015, y las demás que la modifiquen o sustituyan. Adicionalmente, debe considerarse, lo dispuesto en la Resolución 181254 del 30 de julio de 2012, o las demás que la modifiquen o sustituyan, respecto al régimen de libertad vigilada o régimen de libertad regulada. </w:t>
      </w:r>
    </w:p>
    <w:p w14:paraId="57252DB8" w14:textId="77777777" w:rsidR="006A4065" w:rsidRPr="002801B2" w:rsidRDefault="006A4065" w:rsidP="006A4065">
      <w:pPr>
        <w:spacing w:before="0" w:after="0"/>
        <w:rPr>
          <w:rFonts w:ascii="Arial" w:eastAsia="Arial" w:hAnsi="Arial" w:cs="Arial"/>
        </w:rPr>
      </w:pPr>
    </w:p>
    <w:p w14:paraId="4857C382" w14:textId="77777777" w:rsidR="006A4065" w:rsidRPr="002801B2" w:rsidRDefault="006A4065" w:rsidP="006A4065">
      <w:pPr>
        <w:spacing w:before="0" w:after="0"/>
        <w:rPr>
          <w:rFonts w:ascii="Arial" w:eastAsia="Arial" w:hAnsi="Arial" w:cs="Arial"/>
        </w:rPr>
      </w:pPr>
      <w:r w:rsidRPr="002801B2">
        <w:rPr>
          <w:rFonts w:ascii="Arial" w:eastAsia="Arial" w:hAnsi="Arial" w:cs="Arial"/>
          <w:b/>
          <w:bCs/>
        </w:rPr>
        <w:t>k:</w:t>
      </w:r>
      <w:r w:rsidRPr="002801B2">
        <w:rPr>
          <w:rFonts w:ascii="Arial" w:eastAsia="Arial" w:hAnsi="Arial" w:cs="Arial"/>
        </w:rPr>
        <w:t xml:space="preserve"> Se calculará de acuerdo con lo señalado en el artículo 3 del Decreto 3322 del 25 de septiembre de 2006 y en el artículo 6 de la Resolución 18 1088 del 23 de agosto de 2005.</w:t>
      </w:r>
    </w:p>
    <w:p w14:paraId="69F43FFF" w14:textId="77777777" w:rsidR="006A4065" w:rsidRPr="002801B2" w:rsidRDefault="006A4065" w:rsidP="006A4065">
      <w:pPr>
        <w:spacing w:before="0" w:after="0"/>
        <w:rPr>
          <w:rFonts w:ascii="Arial" w:eastAsia="Arial" w:hAnsi="Arial" w:cs="Arial"/>
        </w:rPr>
      </w:pPr>
    </w:p>
    <w:p w14:paraId="5A47F772" w14:textId="77777777" w:rsidR="006A4065" w:rsidRPr="002801B2" w:rsidRDefault="006A4065" w:rsidP="006A4065">
      <w:pPr>
        <w:spacing w:before="0" w:after="0"/>
        <w:rPr>
          <w:rFonts w:ascii="Arial" w:eastAsia="Arial" w:hAnsi="Arial" w:cs="Arial"/>
        </w:rPr>
      </w:pPr>
      <w:r w:rsidRPr="002801B2">
        <w:rPr>
          <w:rFonts w:ascii="Arial" w:eastAsia="Arial" w:hAnsi="Arial" w:cs="Arial"/>
          <w:b/>
          <w:bCs/>
        </w:rPr>
        <w:t>l</w:t>
      </w:r>
      <w:r w:rsidRPr="002801B2">
        <w:rPr>
          <w:rFonts w:ascii="Arial" w:eastAsia="Arial" w:hAnsi="Arial" w:cs="Arial"/>
        </w:rPr>
        <w:t>: Se calcularán y ajustarán a lo señalado en la Resolución 90664 de 2014, y en la Resolución modificatoria 41280 del 30 de diciembre de 2016.</w:t>
      </w:r>
    </w:p>
    <w:p w14:paraId="15ECBA24" w14:textId="77777777" w:rsidR="006A4065" w:rsidRPr="002801B2" w:rsidRDefault="006A4065" w:rsidP="006A4065">
      <w:pPr>
        <w:spacing w:before="0" w:after="0"/>
        <w:rPr>
          <w:rFonts w:ascii="Arial" w:eastAsia="Arial" w:hAnsi="Arial" w:cs="Arial"/>
        </w:rPr>
      </w:pPr>
    </w:p>
    <w:p w14:paraId="39150473" w14:textId="07F81FDA" w:rsidR="008066FD" w:rsidRPr="002801B2" w:rsidRDefault="006A4065" w:rsidP="002801B2">
      <w:pPr>
        <w:spacing w:before="0" w:after="0"/>
        <w:rPr>
          <w:rFonts w:cs="Arial"/>
        </w:rPr>
      </w:pPr>
      <w:r w:rsidRPr="002801B2">
        <w:rPr>
          <w:rFonts w:ascii="Arial" w:eastAsia="Arial" w:hAnsi="Arial" w:cs="Arial"/>
          <w:b/>
          <w:bCs/>
        </w:rPr>
        <w:t>m</w:t>
      </w:r>
      <w:r w:rsidRPr="002801B2">
        <w:rPr>
          <w:rFonts w:ascii="Arial" w:eastAsia="Arial" w:hAnsi="Arial" w:cs="Arial"/>
        </w:rPr>
        <w:t xml:space="preserve">: Se calculará en cada sitio de entrega habilitado como la suma de: i) el Precio máximo en planta de abastecimiento mayorista, </w:t>
      </w:r>
      <w:proofErr w:type="spellStart"/>
      <w:r w:rsidRPr="002801B2">
        <w:rPr>
          <w:rFonts w:ascii="Arial" w:eastAsia="Arial" w:hAnsi="Arial" w:cs="Arial"/>
        </w:rPr>
        <w:t>ii</w:t>
      </w:r>
      <w:proofErr w:type="spellEnd"/>
      <w:r w:rsidRPr="002801B2">
        <w:rPr>
          <w:rFonts w:ascii="Arial" w:eastAsia="Arial" w:hAnsi="Arial" w:cs="Arial"/>
        </w:rPr>
        <w:t xml:space="preserve">) el margen de distribuidor minorista, </w:t>
      </w:r>
      <w:proofErr w:type="spellStart"/>
      <w:r w:rsidRPr="002801B2">
        <w:rPr>
          <w:rFonts w:ascii="Arial" w:eastAsia="Arial" w:hAnsi="Arial" w:cs="Arial"/>
        </w:rPr>
        <w:t>iii</w:t>
      </w:r>
      <w:proofErr w:type="spellEnd"/>
      <w:r w:rsidRPr="002801B2">
        <w:rPr>
          <w:rFonts w:ascii="Arial" w:eastAsia="Arial" w:hAnsi="Arial" w:cs="Arial"/>
        </w:rPr>
        <w:t xml:space="preserve">) los costos de transporte desde el sitio de abastecimiento a la estación de servicio, </w:t>
      </w:r>
      <w:proofErr w:type="spellStart"/>
      <w:r w:rsidRPr="002801B2">
        <w:rPr>
          <w:rFonts w:ascii="Arial" w:eastAsia="Arial" w:hAnsi="Arial" w:cs="Arial"/>
        </w:rPr>
        <w:t>iv</w:t>
      </w:r>
      <w:proofErr w:type="spellEnd"/>
      <w:r w:rsidRPr="002801B2">
        <w:rPr>
          <w:rFonts w:ascii="Arial" w:eastAsia="Arial" w:hAnsi="Arial" w:cs="Arial"/>
        </w:rPr>
        <w:t>) las pérdidas por evaporación (este solo aplica para gasolina motor corriente y gasolina motor corriente oxigenada), y v) la sobretasa (solo aplica para ACPM). En particular, debe considerarse lo establecido por los artículos 6, 10, 14 o 18 de la Resolución 40112 del 12 de abril del 2021, según corresponda al tipo de producto.</w:t>
      </w:r>
    </w:p>
    <w:sectPr w:rsidR="008066FD" w:rsidRPr="002801B2" w:rsidSect="008B0943">
      <w:headerReference w:type="default" r:id="rId8"/>
      <w:footerReference w:type="default" r:id="rId9"/>
      <w:headerReference w:type="first" r:id="rId10"/>
      <w:footerReference w:type="first" r:id="rId11"/>
      <w:pgSz w:w="12240" w:h="15840"/>
      <w:pgMar w:top="1979" w:right="1418" w:bottom="1985" w:left="1418" w:header="15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4DDD8" w14:textId="77777777" w:rsidR="00FD13EA" w:rsidRDefault="00FD13EA" w:rsidP="00AA0519">
      <w:r>
        <w:separator/>
      </w:r>
    </w:p>
  </w:endnote>
  <w:endnote w:type="continuationSeparator" w:id="0">
    <w:p w14:paraId="6FE21B9D" w14:textId="77777777" w:rsidR="00FD13EA" w:rsidRDefault="00FD13EA"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DF0D8" w14:textId="77777777" w:rsidR="009C3D24" w:rsidRDefault="009C3D24" w:rsidP="009C3D24">
    <w:pPr>
      <w:pStyle w:val="Piedepgina"/>
      <w:pBdr>
        <w:bottom w:val="single" w:sz="6" w:space="1" w:color="auto"/>
      </w:pBdr>
      <w:rPr>
        <w:b/>
        <w:bCs/>
      </w:rPr>
    </w:pPr>
  </w:p>
  <w:p w14:paraId="5DED98DC" w14:textId="77777777" w:rsidR="009C3D24" w:rsidRPr="005C0952" w:rsidRDefault="009C3D24" w:rsidP="009C3D24">
    <w:pPr>
      <w:pStyle w:val="Piedepgina"/>
      <w:rPr>
        <w:b/>
        <w:bCs/>
      </w:rPr>
    </w:pPr>
    <w:r>
      <w:rPr>
        <w:b/>
        <w:bCs/>
      </w:rPr>
      <w:t>C</w:t>
    </w:r>
    <w:r w:rsidRPr="005C0952">
      <w:rPr>
        <w:b/>
        <w:bCs/>
      </w:rPr>
      <w:t>omisión de Regulación de Energía y Gas</w:t>
    </w:r>
  </w:p>
  <w:p w14:paraId="7F0E1CA4" w14:textId="77777777" w:rsidR="009C3D24" w:rsidRPr="005C0952" w:rsidRDefault="009C3D24" w:rsidP="009C3D24">
    <w:pPr>
      <w:pStyle w:val="Piedepgina"/>
      <w:rPr>
        <w:b/>
        <w:bCs/>
      </w:rPr>
    </w:pPr>
    <w:r w:rsidRPr="005C0952">
      <w:rPr>
        <w:b/>
        <w:bCs/>
      </w:rPr>
      <w:t>Dirección: Calle 116 No.7 - 15, Bogotá D.C., Colombia</w:t>
    </w:r>
  </w:p>
  <w:p w14:paraId="5B6DAEEC" w14:textId="77777777" w:rsidR="009C3D24" w:rsidRPr="005C0952" w:rsidRDefault="009C3D24" w:rsidP="009C3D24">
    <w:pPr>
      <w:pStyle w:val="Piedepgina"/>
      <w:rPr>
        <w:b/>
        <w:bCs/>
      </w:rPr>
    </w:pPr>
    <w:r w:rsidRPr="005C0952">
      <w:rPr>
        <w:b/>
        <w:bCs/>
      </w:rPr>
      <w:t>Conmutador: (+57) 601 603 2020</w:t>
    </w:r>
  </w:p>
  <w:p w14:paraId="19DC6A94" w14:textId="77777777" w:rsidR="009C3D24" w:rsidRPr="005C0952" w:rsidRDefault="009C3D24" w:rsidP="009C3D24">
    <w:pPr>
      <w:pStyle w:val="Piedepgina"/>
      <w:rPr>
        <w:b/>
        <w:bCs/>
      </w:rPr>
    </w:pPr>
    <w:r w:rsidRPr="005C0952">
      <w:rPr>
        <w:b/>
        <w:bCs/>
      </w:rPr>
      <w:t>Línea Gratuita: (+57) 01 8000 512734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9240E" w14:textId="30A6CB65" w:rsidR="005C0952" w:rsidRDefault="005C0952" w:rsidP="005C0952">
    <w:pPr>
      <w:pStyle w:val="Piedepgina"/>
      <w:pBdr>
        <w:bottom w:val="single" w:sz="6" w:space="1" w:color="auto"/>
      </w:pBdr>
      <w:rPr>
        <w:b/>
        <w:bCs/>
      </w:rPr>
    </w:pPr>
  </w:p>
  <w:p w14:paraId="1A491D1B" w14:textId="62D3B844" w:rsidR="005C0952" w:rsidRPr="005C0952" w:rsidRDefault="005C0952" w:rsidP="005C0952">
    <w:pPr>
      <w:pStyle w:val="Piedepgina"/>
      <w:rPr>
        <w:b/>
        <w:bCs/>
      </w:rPr>
    </w:pPr>
    <w:r>
      <w:rPr>
        <w:b/>
        <w:bCs/>
      </w:rPr>
      <w:t>C</w:t>
    </w:r>
    <w:r w:rsidRPr="005C0952">
      <w:rPr>
        <w:b/>
        <w:bCs/>
      </w:rPr>
      <w:t>omisión de Regulación de Energía y Gas</w:t>
    </w:r>
  </w:p>
  <w:p w14:paraId="01EE5D91" w14:textId="77777777" w:rsidR="005C0952" w:rsidRPr="005C0952" w:rsidRDefault="005C0952" w:rsidP="005C0952">
    <w:pPr>
      <w:pStyle w:val="Piedepgina"/>
      <w:rPr>
        <w:b/>
        <w:bCs/>
      </w:rPr>
    </w:pPr>
    <w:r w:rsidRPr="005C0952">
      <w:rPr>
        <w:b/>
        <w:bCs/>
      </w:rPr>
      <w:t>Dirección: Calle 116 No.7 - 15, Bogotá D.C., Colombia</w:t>
    </w:r>
  </w:p>
  <w:p w14:paraId="30884577" w14:textId="77777777" w:rsidR="005C0952" w:rsidRPr="005C0952" w:rsidRDefault="005C0952" w:rsidP="005C0952">
    <w:pPr>
      <w:pStyle w:val="Piedepgina"/>
      <w:rPr>
        <w:b/>
        <w:bCs/>
      </w:rPr>
    </w:pPr>
    <w:r w:rsidRPr="005C0952">
      <w:rPr>
        <w:b/>
        <w:bCs/>
      </w:rPr>
      <w:t>Conmutador: (+57) 601 603 2020</w:t>
    </w:r>
  </w:p>
  <w:p w14:paraId="76DDAC23" w14:textId="77777777" w:rsidR="005C0952" w:rsidRPr="005C0952" w:rsidRDefault="005C0952" w:rsidP="005C0952">
    <w:pPr>
      <w:pStyle w:val="Piedepgina"/>
      <w:rPr>
        <w:b/>
        <w:bCs/>
      </w:rPr>
    </w:pPr>
    <w:r w:rsidRPr="005C0952">
      <w:rPr>
        <w:b/>
        <w:bCs/>
      </w:rPr>
      <w:t>Línea Gratuita: (+57) 01 8000 512734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BB0A5" w14:textId="77777777" w:rsidR="00FD13EA" w:rsidRDefault="00FD13EA" w:rsidP="00AA0519">
      <w:r>
        <w:separator/>
      </w:r>
    </w:p>
  </w:footnote>
  <w:footnote w:type="continuationSeparator" w:id="0">
    <w:p w14:paraId="310E805E" w14:textId="77777777" w:rsidR="00FD13EA" w:rsidRDefault="00FD13EA"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6ADE9" w14:textId="77777777" w:rsidR="009C3D24" w:rsidRPr="005C0952" w:rsidRDefault="009C3D24" w:rsidP="009C3D24">
    <w:pPr>
      <w:pStyle w:val="Encabezado"/>
    </w:pPr>
    <w:r w:rsidRPr="005C0952">
      <w:rPr>
        <w:noProof/>
      </w:rPr>
      <w:drawing>
        <wp:anchor distT="0" distB="0" distL="114300" distR="114300" simplePos="0" relativeHeight="251672576" behindDoc="0" locked="0" layoutInCell="1" allowOverlap="1" wp14:anchorId="79BA7505" wp14:editId="0128358F">
          <wp:simplePos x="0" y="0"/>
          <wp:positionH relativeFrom="margin">
            <wp:align>left</wp:align>
          </wp:positionH>
          <wp:positionV relativeFrom="margin">
            <wp:posOffset>-581025</wp:posOffset>
          </wp:positionV>
          <wp:extent cx="1033145" cy="359410"/>
          <wp:effectExtent l="0" t="0" r="0" b="2540"/>
          <wp:wrapSquare wrapText="bothSides"/>
          <wp:docPr id="1504527695" name="Imagen 4"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9333531" descr="Un dibujo de una cara feliz&#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359410"/>
                  </a:xfrm>
                  <a:prstGeom prst="rect">
                    <a:avLst/>
                  </a:prstGeom>
                  <a:noFill/>
                </pic:spPr>
              </pic:pic>
            </a:graphicData>
          </a:graphic>
          <wp14:sizeRelH relativeFrom="page">
            <wp14:pctWidth>0</wp14:pctWidth>
          </wp14:sizeRelH>
          <wp14:sizeRelV relativeFrom="page">
            <wp14:pctHeight>0</wp14:pctHeight>
          </wp14:sizeRelV>
        </wp:anchor>
      </w:drawing>
    </w:r>
    <w:r w:rsidRPr="005C0952">
      <w:rPr>
        <w:noProof/>
      </w:rPr>
      <w:drawing>
        <wp:anchor distT="0" distB="0" distL="114300" distR="114300" simplePos="0" relativeHeight="251671552" behindDoc="0" locked="0" layoutInCell="1" allowOverlap="1" wp14:anchorId="7E9B626C" wp14:editId="2A1BC146">
          <wp:simplePos x="0" y="0"/>
          <wp:positionH relativeFrom="margin">
            <wp:align>right</wp:align>
          </wp:positionH>
          <wp:positionV relativeFrom="margin">
            <wp:posOffset>-523875</wp:posOffset>
          </wp:positionV>
          <wp:extent cx="644525" cy="360045"/>
          <wp:effectExtent l="0" t="0" r="3175" b="1905"/>
          <wp:wrapSquare wrapText="bothSides"/>
          <wp:docPr id="616706160"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84011508" descr="Imagen que contiene 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4525" cy="3600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184C2" w14:textId="0ACA056F" w:rsidR="005C0952" w:rsidRPr="005C0952" w:rsidRDefault="005C0952" w:rsidP="005C0952">
    <w:pPr>
      <w:pStyle w:val="Encabezado"/>
    </w:pPr>
    <w:r w:rsidRPr="005C0952">
      <w:rPr>
        <w:noProof/>
      </w:rPr>
      <w:drawing>
        <wp:anchor distT="0" distB="0" distL="114300" distR="114300" simplePos="0" relativeHeight="251669504" behindDoc="0" locked="0" layoutInCell="1" allowOverlap="1" wp14:anchorId="1C83E56E" wp14:editId="73A7E35B">
          <wp:simplePos x="0" y="0"/>
          <wp:positionH relativeFrom="margin">
            <wp:align>left</wp:align>
          </wp:positionH>
          <wp:positionV relativeFrom="margin">
            <wp:posOffset>-581025</wp:posOffset>
          </wp:positionV>
          <wp:extent cx="1033145" cy="359410"/>
          <wp:effectExtent l="0" t="0" r="0" b="2540"/>
          <wp:wrapSquare wrapText="bothSides"/>
          <wp:docPr id="27228133" name="Imagen 4"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9333531" descr="Un dibujo de una cara feliz&#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359410"/>
                  </a:xfrm>
                  <a:prstGeom prst="rect">
                    <a:avLst/>
                  </a:prstGeom>
                  <a:noFill/>
                </pic:spPr>
              </pic:pic>
            </a:graphicData>
          </a:graphic>
          <wp14:sizeRelH relativeFrom="page">
            <wp14:pctWidth>0</wp14:pctWidth>
          </wp14:sizeRelH>
          <wp14:sizeRelV relativeFrom="page">
            <wp14:pctHeight>0</wp14:pctHeight>
          </wp14:sizeRelV>
        </wp:anchor>
      </w:drawing>
    </w:r>
    <w:r w:rsidRPr="005C0952">
      <w:rPr>
        <w:noProof/>
      </w:rPr>
      <w:drawing>
        <wp:anchor distT="0" distB="0" distL="114300" distR="114300" simplePos="0" relativeHeight="251668480" behindDoc="0" locked="0" layoutInCell="1" allowOverlap="1" wp14:anchorId="0B056CF4" wp14:editId="095D74C1">
          <wp:simplePos x="0" y="0"/>
          <wp:positionH relativeFrom="margin">
            <wp:align>right</wp:align>
          </wp:positionH>
          <wp:positionV relativeFrom="margin">
            <wp:posOffset>-523875</wp:posOffset>
          </wp:positionV>
          <wp:extent cx="644525" cy="360045"/>
          <wp:effectExtent l="0" t="0" r="3175" b="1905"/>
          <wp:wrapSquare wrapText="bothSides"/>
          <wp:docPr id="1824842347"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84011508" descr="Imagen que contiene 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4525" cy="3600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11EC2"/>
    <w:rsid w:val="00040E20"/>
    <w:rsid w:val="00046BDF"/>
    <w:rsid w:val="00071BA7"/>
    <w:rsid w:val="00074D17"/>
    <w:rsid w:val="000A7E88"/>
    <w:rsid w:val="000B439A"/>
    <w:rsid w:val="000F11F6"/>
    <w:rsid w:val="000F38B4"/>
    <w:rsid w:val="001215BB"/>
    <w:rsid w:val="00124C31"/>
    <w:rsid w:val="0014353D"/>
    <w:rsid w:val="00153BE7"/>
    <w:rsid w:val="001E2DD2"/>
    <w:rsid w:val="001F303A"/>
    <w:rsid w:val="001F47AB"/>
    <w:rsid w:val="00212267"/>
    <w:rsid w:val="0024085D"/>
    <w:rsid w:val="002801B2"/>
    <w:rsid w:val="002C26C3"/>
    <w:rsid w:val="00324760"/>
    <w:rsid w:val="00353D1D"/>
    <w:rsid w:val="0035632E"/>
    <w:rsid w:val="00361DFF"/>
    <w:rsid w:val="0038014E"/>
    <w:rsid w:val="003A7FC9"/>
    <w:rsid w:val="003B1FEC"/>
    <w:rsid w:val="003C7E1C"/>
    <w:rsid w:val="003F2F4B"/>
    <w:rsid w:val="00401E61"/>
    <w:rsid w:val="004142B1"/>
    <w:rsid w:val="004170AF"/>
    <w:rsid w:val="00456720"/>
    <w:rsid w:val="00457CC2"/>
    <w:rsid w:val="00483D6B"/>
    <w:rsid w:val="004A6CAB"/>
    <w:rsid w:val="004C0855"/>
    <w:rsid w:val="004C69B7"/>
    <w:rsid w:val="004E017D"/>
    <w:rsid w:val="00515BEF"/>
    <w:rsid w:val="0053330D"/>
    <w:rsid w:val="005604AC"/>
    <w:rsid w:val="005723D7"/>
    <w:rsid w:val="00587F12"/>
    <w:rsid w:val="005A4453"/>
    <w:rsid w:val="005B4F83"/>
    <w:rsid w:val="005B53D9"/>
    <w:rsid w:val="005B5736"/>
    <w:rsid w:val="005C0952"/>
    <w:rsid w:val="005C287A"/>
    <w:rsid w:val="005C42EC"/>
    <w:rsid w:val="005D7D66"/>
    <w:rsid w:val="005E240F"/>
    <w:rsid w:val="005E366C"/>
    <w:rsid w:val="005F6877"/>
    <w:rsid w:val="00602072"/>
    <w:rsid w:val="00651863"/>
    <w:rsid w:val="006629AD"/>
    <w:rsid w:val="006946CF"/>
    <w:rsid w:val="006A4065"/>
    <w:rsid w:val="006E1726"/>
    <w:rsid w:val="006E22E8"/>
    <w:rsid w:val="006E6096"/>
    <w:rsid w:val="00717096"/>
    <w:rsid w:val="007247FF"/>
    <w:rsid w:val="00735E1F"/>
    <w:rsid w:val="0074199A"/>
    <w:rsid w:val="00752DEC"/>
    <w:rsid w:val="00762CBD"/>
    <w:rsid w:val="0078631A"/>
    <w:rsid w:val="007A7C1D"/>
    <w:rsid w:val="007E02F8"/>
    <w:rsid w:val="007F42E3"/>
    <w:rsid w:val="007F4E31"/>
    <w:rsid w:val="008066FD"/>
    <w:rsid w:val="00823401"/>
    <w:rsid w:val="00847FE4"/>
    <w:rsid w:val="008776E3"/>
    <w:rsid w:val="008B0943"/>
    <w:rsid w:val="008C0A5F"/>
    <w:rsid w:val="00902889"/>
    <w:rsid w:val="00930F73"/>
    <w:rsid w:val="00957BE3"/>
    <w:rsid w:val="00976702"/>
    <w:rsid w:val="009A3312"/>
    <w:rsid w:val="009C3D24"/>
    <w:rsid w:val="009E7865"/>
    <w:rsid w:val="009F3478"/>
    <w:rsid w:val="009F5428"/>
    <w:rsid w:val="00A15CDD"/>
    <w:rsid w:val="00A15D55"/>
    <w:rsid w:val="00A84924"/>
    <w:rsid w:val="00A90A86"/>
    <w:rsid w:val="00A92B44"/>
    <w:rsid w:val="00AA0519"/>
    <w:rsid w:val="00AA7A5F"/>
    <w:rsid w:val="00B37FAA"/>
    <w:rsid w:val="00B408F2"/>
    <w:rsid w:val="00B74DFE"/>
    <w:rsid w:val="00BA6D78"/>
    <w:rsid w:val="00C81E1F"/>
    <w:rsid w:val="00C9169C"/>
    <w:rsid w:val="00C93328"/>
    <w:rsid w:val="00CB3666"/>
    <w:rsid w:val="00CD6394"/>
    <w:rsid w:val="00CE66F4"/>
    <w:rsid w:val="00D31768"/>
    <w:rsid w:val="00D754A1"/>
    <w:rsid w:val="00D915DC"/>
    <w:rsid w:val="00DD3020"/>
    <w:rsid w:val="00DF79E2"/>
    <w:rsid w:val="00E035CC"/>
    <w:rsid w:val="00E56853"/>
    <w:rsid w:val="00E77923"/>
    <w:rsid w:val="00EC5291"/>
    <w:rsid w:val="00F02D43"/>
    <w:rsid w:val="00F13D47"/>
    <w:rsid w:val="00F35EFC"/>
    <w:rsid w:val="00F64040"/>
    <w:rsid w:val="00F66BF3"/>
    <w:rsid w:val="00F80B1D"/>
    <w:rsid w:val="00F82573"/>
    <w:rsid w:val="00FA6661"/>
    <w:rsid w:val="00FB07C1"/>
    <w:rsid w:val="00FC759B"/>
    <w:rsid w:val="00FD13EA"/>
    <w:rsid w:val="00FD2A8B"/>
    <w:rsid w:val="00FD72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unhideWhenUsed/>
    <w:qFormat/>
    <w:rsid w:val="006E17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A84924"/>
    <w:pPr>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EC5291"/>
  </w:style>
  <w:style w:type="character" w:customStyle="1" w:styleId="DestinatariosegundapginaCar">
    <w:name w:val="Destinatario segunda página Car"/>
    <w:basedOn w:val="DestinarioCar"/>
    <w:link w:val="Destinatariosegundapgina"/>
    <w:rsid w:val="008B0943"/>
  </w:style>
  <w:style w:type="character" w:customStyle="1" w:styleId="Ttulo5Car">
    <w:name w:val="Título 5 Car"/>
    <w:basedOn w:val="Fuentedeprrafopredeter"/>
    <w:link w:val="Ttulo5"/>
    <w:rsid w:val="006E1726"/>
    <w:rPr>
      <w:rFonts w:asciiTheme="majorHAnsi" w:eastAsiaTheme="majorEastAsia" w:hAnsiTheme="majorHAnsi" w:cstheme="majorBidi"/>
      <w:color w:val="2E74B5" w:themeColor="accent1" w:themeShade="BF"/>
    </w:rPr>
  </w:style>
  <w:style w:type="paragraph" w:styleId="Sangradetextonormal">
    <w:name w:val="Body Text Indent"/>
    <w:basedOn w:val="Normal"/>
    <w:link w:val="SangradetextonormalCar"/>
    <w:uiPriority w:val="99"/>
    <w:semiHidden/>
    <w:unhideWhenUsed/>
    <w:rsid w:val="00BA6D78"/>
    <w:pPr>
      <w:spacing w:before="0" w:line="240" w:lineRule="auto"/>
      <w:ind w:left="283"/>
    </w:pPr>
    <w:rPr>
      <w:rFonts w:eastAsiaTheme="minorEastAsia"/>
      <w:lang w:val="es-ES_tradnl"/>
    </w:rPr>
  </w:style>
  <w:style w:type="character" w:customStyle="1" w:styleId="SangradetextonormalCar">
    <w:name w:val="Sangría de texto normal Car"/>
    <w:basedOn w:val="Fuentedeprrafopredeter"/>
    <w:link w:val="Sangradetextonormal"/>
    <w:uiPriority w:val="99"/>
    <w:semiHidden/>
    <w:rsid w:val="00BA6D78"/>
    <w:rPr>
      <w:rFonts w:eastAsiaTheme="minorEastAsia"/>
      <w:lang w:val="es-ES_tradnl"/>
    </w:rPr>
  </w:style>
  <w:style w:type="character" w:styleId="Hipervnculo">
    <w:name w:val="Hyperlink"/>
    <w:basedOn w:val="Fuentedeprrafopredeter"/>
    <w:uiPriority w:val="99"/>
    <w:unhideWhenUsed/>
    <w:rsid w:val="009C3D24"/>
    <w:rPr>
      <w:color w:val="0563C1" w:themeColor="hyperlink"/>
      <w:u w:val="single"/>
    </w:rPr>
  </w:style>
  <w:style w:type="paragraph" w:styleId="NormalWeb">
    <w:name w:val="Normal (Web)"/>
    <w:basedOn w:val="Normal"/>
    <w:uiPriority w:val="99"/>
    <w:unhideWhenUsed/>
    <w:rsid w:val="006A4065"/>
    <w:pPr>
      <w:spacing w:before="100" w:beforeAutospacing="1" w:after="100" w:afterAutospacing="1" w:line="240" w:lineRule="auto"/>
    </w:pPr>
    <w:rPr>
      <w:rFonts w:ascii="Times New Roman" w:eastAsia="Times New Roman" w:hAnsi="Times New Roman" w:cs="Times New Roman"/>
      <w:lang w:eastAsia="es-CO"/>
    </w:rPr>
  </w:style>
  <w:style w:type="table" w:styleId="Tablaconcuadrcula">
    <w:name w:val="Table Grid"/>
    <w:basedOn w:val="Tablanormal"/>
    <w:uiPriority w:val="39"/>
    <w:rsid w:val="006A4065"/>
    <w:pPr>
      <w:spacing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478">
      <w:bodyDiv w:val="1"/>
      <w:marLeft w:val="0"/>
      <w:marRight w:val="0"/>
      <w:marTop w:val="0"/>
      <w:marBottom w:val="0"/>
      <w:divBdr>
        <w:top w:val="none" w:sz="0" w:space="0" w:color="auto"/>
        <w:left w:val="none" w:sz="0" w:space="0" w:color="auto"/>
        <w:bottom w:val="none" w:sz="0" w:space="0" w:color="auto"/>
        <w:right w:val="none" w:sz="0" w:space="0" w:color="auto"/>
      </w:divBdr>
    </w:div>
    <w:div w:id="90857326">
      <w:bodyDiv w:val="1"/>
      <w:marLeft w:val="0"/>
      <w:marRight w:val="0"/>
      <w:marTop w:val="0"/>
      <w:marBottom w:val="0"/>
      <w:divBdr>
        <w:top w:val="none" w:sz="0" w:space="0" w:color="auto"/>
        <w:left w:val="none" w:sz="0" w:space="0" w:color="auto"/>
        <w:bottom w:val="none" w:sz="0" w:space="0" w:color="auto"/>
        <w:right w:val="none" w:sz="0" w:space="0" w:color="auto"/>
      </w:divBdr>
    </w:div>
    <w:div w:id="112329237">
      <w:bodyDiv w:val="1"/>
      <w:marLeft w:val="0"/>
      <w:marRight w:val="0"/>
      <w:marTop w:val="0"/>
      <w:marBottom w:val="0"/>
      <w:divBdr>
        <w:top w:val="none" w:sz="0" w:space="0" w:color="auto"/>
        <w:left w:val="none" w:sz="0" w:space="0" w:color="auto"/>
        <w:bottom w:val="none" w:sz="0" w:space="0" w:color="auto"/>
        <w:right w:val="none" w:sz="0" w:space="0" w:color="auto"/>
      </w:divBdr>
    </w:div>
    <w:div w:id="239173168">
      <w:bodyDiv w:val="1"/>
      <w:marLeft w:val="0"/>
      <w:marRight w:val="0"/>
      <w:marTop w:val="0"/>
      <w:marBottom w:val="0"/>
      <w:divBdr>
        <w:top w:val="none" w:sz="0" w:space="0" w:color="auto"/>
        <w:left w:val="none" w:sz="0" w:space="0" w:color="auto"/>
        <w:bottom w:val="none" w:sz="0" w:space="0" w:color="auto"/>
        <w:right w:val="none" w:sz="0" w:space="0" w:color="auto"/>
      </w:divBdr>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492572272">
      <w:bodyDiv w:val="1"/>
      <w:marLeft w:val="0"/>
      <w:marRight w:val="0"/>
      <w:marTop w:val="0"/>
      <w:marBottom w:val="0"/>
      <w:divBdr>
        <w:top w:val="none" w:sz="0" w:space="0" w:color="auto"/>
        <w:left w:val="none" w:sz="0" w:space="0" w:color="auto"/>
        <w:bottom w:val="none" w:sz="0" w:space="0" w:color="auto"/>
        <w:right w:val="none" w:sz="0" w:space="0" w:color="auto"/>
      </w:divBdr>
    </w:div>
    <w:div w:id="493375973">
      <w:bodyDiv w:val="1"/>
      <w:marLeft w:val="0"/>
      <w:marRight w:val="0"/>
      <w:marTop w:val="0"/>
      <w:marBottom w:val="0"/>
      <w:divBdr>
        <w:top w:val="none" w:sz="0" w:space="0" w:color="auto"/>
        <w:left w:val="none" w:sz="0" w:space="0" w:color="auto"/>
        <w:bottom w:val="none" w:sz="0" w:space="0" w:color="auto"/>
        <w:right w:val="none" w:sz="0" w:space="0" w:color="auto"/>
      </w:divBdr>
    </w:div>
    <w:div w:id="897125988">
      <w:bodyDiv w:val="1"/>
      <w:marLeft w:val="0"/>
      <w:marRight w:val="0"/>
      <w:marTop w:val="0"/>
      <w:marBottom w:val="0"/>
      <w:divBdr>
        <w:top w:val="none" w:sz="0" w:space="0" w:color="auto"/>
        <w:left w:val="none" w:sz="0" w:space="0" w:color="auto"/>
        <w:bottom w:val="none" w:sz="0" w:space="0" w:color="auto"/>
        <w:right w:val="none" w:sz="0" w:space="0" w:color="auto"/>
      </w:divBdr>
    </w:div>
    <w:div w:id="1188718314">
      <w:bodyDiv w:val="1"/>
      <w:marLeft w:val="0"/>
      <w:marRight w:val="0"/>
      <w:marTop w:val="0"/>
      <w:marBottom w:val="0"/>
      <w:divBdr>
        <w:top w:val="none" w:sz="0" w:space="0" w:color="auto"/>
        <w:left w:val="none" w:sz="0" w:space="0" w:color="auto"/>
        <w:bottom w:val="none" w:sz="0" w:space="0" w:color="auto"/>
        <w:right w:val="none" w:sz="0" w:space="0" w:color="auto"/>
      </w:divBdr>
    </w:div>
    <w:div w:id="1424452439">
      <w:bodyDiv w:val="1"/>
      <w:marLeft w:val="0"/>
      <w:marRight w:val="0"/>
      <w:marTop w:val="0"/>
      <w:marBottom w:val="0"/>
      <w:divBdr>
        <w:top w:val="none" w:sz="0" w:space="0" w:color="auto"/>
        <w:left w:val="none" w:sz="0" w:space="0" w:color="auto"/>
        <w:bottom w:val="none" w:sz="0" w:space="0" w:color="auto"/>
        <w:right w:val="none" w:sz="0" w:space="0" w:color="auto"/>
      </w:divBdr>
    </w:div>
    <w:div w:id="1703281306">
      <w:bodyDiv w:val="1"/>
      <w:marLeft w:val="0"/>
      <w:marRight w:val="0"/>
      <w:marTop w:val="0"/>
      <w:marBottom w:val="0"/>
      <w:divBdr>
        <w:top w:val="none" w:sz="0" w:space="0" w:color="auto"/>
        <w:left w:val="none" w:sz="0" w:space="0" w:color="auto"/>
        <w:bottom w:val="none" w:sz="0" w:space="0" w:color="auto"/>
        <w:right w:val="none" w:sz="0" w:space="0" w:color="auto"/>
      </w:divBdr>
    </w:div>
    <w:div w:id="201583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reg.gov.co/publicaciones/15089/estructura-tarifar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2195</Words>
  <Characters>12076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Wilson Sanchez Sanchez</cp:lastModifiedBy>
  <cp:revision>7</cp:revision>
  <cp:lastPrinted>2024-09-07T00:43:00Z</cp:lastPrinted>
  <dcterms:created xsi:type="dcterms:W3CDTF">2024-09-06T22:15:00Z</dcterms:created>
  <dcterms:modified xsi:type="dcterms:W3CDTF">2024-09-07T00:44:00Z</dcterms:modified>
</cp:coreProperties>
</file>