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3B2D6" w14:textId="77777777" w:rsidR="0000361B" w:rsidRPr="00131F23" w:rsidRDefault="00000000" w:rsidP="0000361B">
      <w:pPr>
        <w:pStyle w:val="Encabezado"/>
        <w:tabs>
          <w:tab w:val="clear" w:pos="8504"/>
          <w:tab w:val="right" w:pos="9356"/>
        </w:tabs>
        <w:ind w:left="0"/>
        <w:jc w:val="both"/>
        <w:rPr>
          <w:rFonts w:ascii="Bookman Old Style" w:hAnsi="Bookman Old Style"/>
          <w:sz w:val="23"/>
          <w:szCs w:val="23"/>
        </w:rPr>
      </w:pPr>
      <w:r>
        <w:rPr>
          <w:rFonts w:ascii="Bookman Old Style" w:hAnsi="Bookman Old Style"/>
          <w:noProof/>
          <w:sz w:val="23"/>
          <w:szCs w:val="23"/>
        </w:rPr>
        <w:object w:dxaOrig="1440" w:dyaOrig="1440" w14:anchorId="4C309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7.15pt;margin-top:-53.35pt;width:52.5pt;height:48.75pt;z-index:251659264" fillcolor="#0c9">
            <v:imagedata r:id="rId8" o:title=""/>
          </v:shape>
          <o:OLEObject Type="Embed" ProgID="PBrush" ShapeID="_x0000_s2051" DrawAspect="Content" ObjectID="_1787127123" r:id="rId9"/>
        </w:object>
      </w:r>
    </w:p>
    <w:p w14:paraId="3CAC7DFA" w14:textId="77777777" w:rsidR="005A0A41" w:rsidRPr="00131F23" w:rsidRDefault="005A0A41" w:rsidP="005A0A41">
      <w:pPr>
        <w:pStyle w:val="Ttulo4"/>
        <w:keepNext w:val="0"/>
        <w:tabs>
          <w:tab w:val="left" w:pos="0"/>
          <w:tab w:val="right" w:pos="9356"/>
        </w:tabs>
        <w:ind w:left="0"/>
        <w:rPr>
          <w:rFonts w:ascii="Bookman Old Style" w:hAnsi="Bookman Old Style"/>
          <w:b w:val="0"/>
          <w:bCs/>
          <w:noProof/>
          <w:sz w:val="24"/>
          <w:szCs w:val="24"/>
          <w:lang w:val="es-CO"/>
        </w:rPr>
      </w:pPr>
      <w:r w:rsidRPr="00131F23">
        <w:rPr>
          <w:rFonts w:ascii="Bookman Old Style" w:hAnsi="Bookman Old Style"/>
          <w:b w:val="0"/>
          <w:bCs/>
          <w:sz w:val="24"/>
          <w:szCs w:val="24"/>
          <w:lang w:val="es-CO"/>
        </w:rPr>
        <w:t>Ministerio de Minas y Energía</w:t>
      </w:r>
    </w:p>
    <w:p w14:paraId="4069C2CD" w14:textId="77777777" w:rsidR="005A0A41" w:rsidRPr="00131F23" w:rsidRDefault="005A0A41" w:rsidP="005A0A41">
      <w:pPr>
        <w:pStyle w:val="Ttulo4"/>
        <w:keepNext w:val="0"/>
        <w:tabs>
          <w:tab w:val="left" w:pos="0"/>
          <w:tab w:val="right" w:pos="9356"/>
        </w:tabs>
        <w:ind w:left="0"/>
        <w:rPr>
          <w:rFonts w:ascii="Bookman Old Style" w:hAnsi="Bookman Old Style"/>
          <w:b w:val="0"/>
          <w:bCs/>
          <w:sz w:val="24"/>
          <w:szCs w:val="24"/>
          <w:lang w:val="es-CO"/>
        </w:rPr>
      </w:pPr>
    </w:p>
    <w:p w14:paraId="34630A4A" w14:textId="77777777" w:rsidR="005A0A41" w:rsidRPr="00131F23" w:rsidRDefault="005A0A41" w:rsidP="005A0A41">
      <w:pPr>
        <w:pStyle w:val="Ttulo3"/>
        <w:keepNext w:val="0"/>
        <w:tabs>
          <w:tab w:val="left" w:pos="0"/>
          <w:tab w:val="right" w:pos="9356"/>
        </w:tabs>
        <w:ind w:left="0"/>
        <w:rPr>
          <w:rFonts w:ascii="Bookman Old Style" w:hAnsi="Bookman Old Style" w:cs="Arial"/>
          <w:spacing w:val="20"/>
          <w:szCs w:val="24"/>
          <w:lang w:val="es-CO"/>
        </w:rPr>
      </w:pPr>
      <w:r w:rsidRPr="00131F23">
        <w:rPr>
          <w:rFonts w:ascii="Bookman Old Style" w:hAnsi="Bookman Old Style" w:cs="Arial"/>
          <w:spacing w:val="20"/>
          <w:szCs w:val="24"/>
          <w:lang w:val="es-CO"/>
        </w:rPr>
        <w:t>COMISIÓN DE REGULACIÓN DE ENERGÍA Y GAS</w:t>
      </w:r>
    </w:p>
    <w:p w14:paraId="568E8E3A" w14:textId="77777777" w:rsidR="005A0A41" w:rsidRPr="00131F23" w:rsidRDefault="005A0A41" w:rsidP="005A0A41">
      <w:pPr>
        <w:pStyle w:val="Ttulo5"/>
        <w:keepNext w:val="0"/>
        <w:tabs>
          <w:tab w:val="left" w:pos="0"/>
          <w:tab w:val="right" w:pos="9356"/>
        </w:tabs>
        <w:ind w:left="0"/>
        <w:rPr>
          <w:rFonts w:ascii="Bookman Old Style" w:hAnsi="Bookman Old Style"/>
          <w:sz w:val="24"/>
          <w:szCs w:val="24"/>
          <w:lang w:val="es-CO"/>
        </w:rPr>
      </w:pPr>
    </w:p>
    <w:p w14:paraId="35F31CA4" w14:textId="77777777" w:rsidR="005A0A41" w:rsidRPr="00131F23" w:rsidRDefault="005A0A41" w:rsidP="005A0A41">
      <w:pPr>
        <w:pStyle w:val="Ttulo5"/>
        <w:keepNext w:val="0"/>
        <w:tabs>
          <w:tab w:val="left" w:pos="0"/>
          <w:tab w:val="right" w:pos="9356"/>
        </w:tabs>
        <w:ind w:left="0"/>
        <w:rPr>
          <w:rFonts w:ascii="Bookman Old Style" w:hAnsi="Bookman Old Style"/>
          <w:sz w:val="24"/>
          <w:szCs w:val="24"/>
          <w:lang w:val="es-CO"/>
        </w:rPr>
      </w:pPr>
    </w:p>
    <w:p w14:paraId="4A9E83B0" w14:textId="59AD9E7A" w:rsidR="005A0A41" w:rsidRPr="0002677F" w:rsidRDefault="005A0A41" w:rsidP="005A0A41">
      <w:pPr>
        <w:pStyle w:val="Ttulo5"/>
        <w:keepNext w:val="0"/>
        <w:tabs>
          <w:tab w:val="left" w:pos="0"/>
          <w:tab w:val="right" w:pos="9356"/>
        </w:tabs>
        <w:ind w:left="0"/>
        <w:rPr>
          <w:rFonts w:ascii="Bookman Old Style" w:hAnsi="Bookman Old Style"/>
          <w:sz w:val="32"/>
          <w:szCs w:val="32"/>
          <w:lang w:val="es-CO"/>
        </w:rPr>
      </w:pPr>
      <w:r w:rsidRPr="0002677F">
        <w:rPr>
          <w:rFonts w:ascii="Bookman Old Style" w:hAnsi="Bookman Old Style"/>
          <w:sz w:val="32"/>
          <w:szCs w:val="32"/>
          <w:lang w:val="es-CO"/>
        </w:rPr>
        <w:t xml:space="preserve">RESOLUCIÓN No. </w:t>
      </w:r>
      <w:r w:rsidRPr="0002677F">
        <w:rPr>
          <w:rFonts w:ascii="Bookman Old Style" w:hAnsi="Bookman Old Style"/>
          <w:sz w:val="32"/>
          <w:szCs w:val="32"/>
          <w:lang w:val="es-CO"/>
        </w:rPr>
        <w:fldChar w:fldCharType="begin"/>
      </w:r>
      <w:r w:rsidRPr="0002677F">
        <w:rPr>
          <w:rFonts w:ascii="Bookman Old Style" w:hAnsi="Bookman Old Style"/>
          <w:sz w:val="32"/>
          <w:szCs w:val="32"/>
          <w:lang w:val="es-CO"/>
        </w:rPr>
        <w:instrText xml:space="preserve"> MERGEFIELD  NumeroResolucion  \* MERGEFORMAT </w:instrText>
      </w:r>
      <w:r w:rsidRPr="0002677F">
        <w:rPr>
          <w:rFonts w:ascii="Bookman Old Style" w:hAnsi="Bookman Old Style"/>
          <w:sz w:val="32"/>
          <w:szCs w:val="32"/>
          <w:lang w:val="es-CO"/>
        </w:rPr>
        <w:fldChar w:fldCharType="separate"/>
      </w:r>
      <w:r w:rsidR="00993A64" w:rsidRPr="0002677F">
        <w:rPr>
          <w:rFonts w:ascii="Bookman Old Style" w:hAnsi="Bookman Old Style"/>
          <w:noProof/>
          <w:sz w:val="32"/>
          <w:szCs w:val="32"/>
          <w:lang w:val="es-CO"/>
        </w:rPr>
        <w:t>101 049</w:t>
      </w:r>
      <w:r w:rsidRPr="0002677F">
        <w:rPr>
          <w:rFonts w:ascii="Bookman Old Style" w:hAnsi="Bookman Old Style"/>
          <w:sz w:val="32"/>
          <w:szCs w:val="32"/>
          <w:lang w:val="es-CO"/>
        </w:rPr>
        <w:fldChar w:fldCharType="end"/>
      </w:r>
      <w:r w:rsidRPr="0002677F">
        <w:rPr>
          <w:rFonts w:ascii="Bookman Old Style" w:hAnsi="Bookman Old Style"/>
          <w:sz w:val="32"/>
          <w:szCs w:val="32"/>
          <w:lang w:val="es-CO"/>
        </w:rPr>
        <w:t xml:space="preserve"> DE </w:t>
      </w:r>
      <w:r w:rsidRPr="0002677F">
        <w:rPr>
          <w:rFonts w:ascii="Bookman Old Style" w:hAnsi="Bookman Old Style"/>
          <w:sz w:val="32"/>
          <w:szCs w:val="32"/>
          <w:lang w:val="es-CO"/>
        </w:rPr>
        <w:fldChar w:fldCharType="begin"/>
      </w:r>
      <w:r w:rsidRPr="0002677F">
        <w:rPr>
          <w:rFonts w:ascii="Bookman Old Style" w:hAnsi="Bookman Old Style"/>
          <w:sz w:val="32"/>
          <w:szCs w:val="32"/>
          <w:lang w:val="es-CO"/>
        </w:rPr>
        <w:instrText xml:space="preserve"> MERGEFIELD  Anio  \* MERGEFORMAT </w:instrText>
      </w:r>
      <w:r w:rsidRPr="0002677F">
        <w:rPr>
          <w:rFonts w:ascii="Bookman Old Style" w:hAnsi="Bookman Old Style"/>
          <w:sz w:val="32"/>
          <w:szCs w:val="32"/>
          <w:lang w:val="es-CO"/>
        </w:rPr>
        <w:fldChar w:fldCharType="separate"/>
      </w:r>
      <w:r w:rsidR="00993A64" w:rsidRPr="0002677F">
        <w:rPr>
          <w:rFonts w:ascii="Bookman Old Style" w:hAnsi="Bookman Old Style"/>
          <w:noProof/>
          <w:sz w:val="32"/>
          <w:szCs w:val="32"/>
          <w:lang w:val="es-CO"/>
        </w:rPr>
        <w:t>2024</w:t>
      </w:r>
      <w:r w:rsidRPr="0002677F">
        <w:rPr>
          <w:rFonts w:ascii="Bookman Old Style" w:hAnsi="Bookman Old Style"/>
          <w:sz w:val="32"/>
          <w:szCs w:val="32"/>
          <w:lang w:val="es-CO"/>
        </w:rPr>
        <w:fldChar w:fldCharType="end"/>
      </w:r>
    </w:p>
    <w:p w14:paraId="3E2ED50C" w14:textId="77777777" w:rsidR="005A0A41" w:rsidRPr="00131F23" w:rsidRDefault="005A0A41" w:rsidP="005A0A41">
      <w:pPr>
        <w:tabs>
          <w:tab w:val="left" w:pos="0"/>
          <w:tab w:val="right" w:pos="9356"/>
        </w:tabs>
        <w:ind w:left="0"/>
        <w:jc w:val="center"/>
        <w:rPr>
          <w:rFonts w:ascii="Bookman Old Style" w:hAnsi="Bookman Old Style" w:cs="Arial"/>
          <w:b/>
          <w:snapToGrid w:val="0"/>
          <w:color w:val="000000"/>
          <w:lang w:val="es-CO"/>
        </w:rPr>
      </w:pPr>
    </w:p>
    <w:p w14:paraId="25B00C98" w14:textId="7C5C6D51" w:rsidR="005A0A41" w:rsidRPr="0002677F" w:rsidRDefault="005A0A41" w:rsidP="005A0A41">
      <w:pPr>
        <w:pStyle w:val="Ttulo3"/>
        <w:keepNext w:val="0"/>
        <w:tabs>
          <w:tab w:val="left" w:pos="0"/>
          <w:tab w:val="right" w:pos="9356"/>
        </w:tabs>
        <w:ind w:left="0"/>
        <w:rPr>
          <w:rFonts w:ascii="Bookman Old Style" w:hAnsi="Bookman Old Style"/>
          <w:bCs/>
          <w:szCs w:val="24"/>
          <w:lang w:val="es-CO"/>
        </w:rPr>
      </w:pPr>
      <w:r w:rsidRPr="0002677F">
        <w:rPr>
          <w:rFonts w:ascii="Bookman Old Style" w:hAnsi="Bookman Old Style"/>
          <w:bCs/>
          <w:szCs w:val="24"/>
          <w:lang w:val="es-CO"/>
        </w:rPr>
        <w:t>(</w:t>
      </w:r>
      <w:r w:rsidR="0002677F" w:rsidRPr="0002677F">
        <w:rPr>
          <w:rFonts w:ascii="Bookman Old Style" w:hAnsi="Bookman Old Style"/>
          <w:bCs/>
          <w:szCs w:val="24"/>
          <w:lang w:val="es-CO"/>
        </w:rPr>
        <w:t>5 SEP.2024</w:t>
      </w:r>
      <w:r w:rsidRPr="0002677F">
        <w:rPr>
          <w:rFonts w:ascii="Bookman Old Style" w:hAnsi="Bookman Old Style"/>
          <w:bCs/>
          <w:szCs w:val="24"/>
          <w:lang w:val="es-CO"/>
        </w:rPr>
        <w:t>)</w:t>
      </w:r>
    </w:p>
    <w:p w14:paraId="444D831F" w14:textId="7A26620E" w:rsidR="007944C0" w:rsidRPr="00131F23" w:rsidRDefault="007944C0" w:rsidP="007944C0">
      <w:pPr>
        <w:spacing w:before="240"/>
        <w:ind w:left="0"/>
        <w:jc w:val="center"/>
        <w:rPr>
          <w:rFonts w:ascii="Bookman Old Style" w:hAnsi="Bookman Old Style"/>
          <w:lang w:val="es-CO"/>
        </w:rPr>
      </w:pPr>
      <w:bookmarkStart w:id="0" w:name="_Hlk97746723"/>
      <w:bookmarkStart w:id="1" w:name="_Hlk122534081"/>
      <w:bookmarkStart w:id="2" w:name="_Hlk156898797"/>
      <w:r w:rsidRPr="00131F23">
        <w:rPr>
          <w:rFonts w:ascii="Bookman Old Style" w:hAnsi="Bookman Old Style"/>
          <w:lang w:val="es-CO"/>
        </w:rPr>
        <w:t xml:space="preserve">Por </w:t>
      </w:r>
      <w:r w:rsidR="00082251">
        <w:rPr>
          <w:rFonts w:ascii="Bookman Old Style" w:hAnsi="Bookman Old Style"/>
          <w:lang w:val="es-CO"/>
        </w:rPr>
        <w:t>la</w:t>
      </w:r>
      <w:r w:rsidR="00082251" w:rsidRPr="00131F23">
        <w:rPr>
          <w:rFonts w:ascii="Bookman Old Style" w:hAnsi="Bookman Old Style"/>
          <w:lang w:val="es-CO"/>
        </w:rPr>
        <w:t xml:space="preserve"> </w:t>
      </w:r>
      <w:r w:rsidRPr="00131F23">
        <w:rPr>
          <w:rFonts w:ascii="Bookman Old Style" w:hAnsi="Bookman Old Style"/>
          <w:lang w:val="es-CO"/>
        </w:rPr>
        <w:t xml:space="preserve">cual se da cumplimiento a lo establecido en los numerales 7.1, 7.2 y 7.3 del numeral 7 del artículo 4 de la Resolución </w:t>
      </w:r>
      <w:proofErr w:type="spellStart"/>
      <w:r w:rsidRPr="00131F23">
        <w:rPr>
          <w:rFonts w:ascii="Bookman Old Style" w:hAnsi="Bookman Old Style"/>
          <w:lang w:val="es-CO"/>
        </w:rPr>
        <w:t>MME</w:t>
      </w:r>
      <w:proofErr w:type="spellEnd"/>
      <w:r w:rsidRPr="00131F23">
        <w:rPr>
          <w:rFonts w:ascii="Bookman Old Style" w:hAnsi="Bookman Old Style"/>
          <w:lang w:val="es-CO"/>
        </w:rPr>
        <w:t xml:space="preserve"> 40311 de 2020, modificados mediante el artículo 1 de la Resolución </w:t>
      </w:r>
      <w:proofErr w:type="spellStart"/>
      <w:r w:rsidRPr="00131F23">
        <w:rPr>
          <w:rFonts w:ascii="Bookman Old Style" w:hAnsi="Bookman Old Style"/>
          <w:lang w:val="es-CO"/>
        </w:rPr>
        <w:t>MME</w:t>
      </w:r>
      <w:proofErr w:type="spellEnd"/>
      <w:r w:rsidRPr="00131F23">
        <w:rPr>
          <w:rFonts w:ascii="Bookman Old Style" w:hAnsi="Bookman Old Style"/>
          <w:lang w:val="es-CO"/>
        </w:rPr>
        <w:t xml:space="preserve"> 40042 de 2024 </w:t>
      </w:r>
      <w:bookmarkEnd w:id="0"/>
      <w:bookmarkEnd w:id="1"/>
    </w:p>
    <w:bookmarkEnd w:id="2"/>
    <w:p w14:paraId="3C5806BD" w14:textId="77777777" w:rsidR="00AB0B7C" w:rsidRPr="00131F23" w:rsidRDefault="00AB0B7C" w:rsidP="00AB0B7C">
      <w:pPr>
        <w:ind w:left="0"/>
        <w:rPr>
          <w:rFonts w:ascii="Bookman Old Style" w:hAnsi="Bookman Old Style"/>
          <w:lang w:val="es-CO"/>
        </w:rPr>
      </w:pPr>
    </w:p>
    <w:p w14:paraId="293FC10E" w14:textId="77777777" w:rsidR="007944C0" w:rsidRPr="00131F23" w:rsidRDefault="007944C0" w:rsidP="007944C0">
      <w:pPr>
        <w:spacing w:before="240"/>
        <w:ind w:left="0"/>
        <w:jc w:val="center"/>
        <w:rPr>
          <w:rFonts w:ascii="Bookman Old Style" w:hAnsi="Bookman Old Style"/>
          <w:b/>
          <w:bCs/>
          <w:lang w:val="es-CO" w:eastAsia="es-CO"/>
        </w:rPr>
      </w:pPr>
      <w:r w:rsidRPr="00131F23">
        <w:rPr>
          <w:rFonts w:ascii="Bookman Old Style" w:hAnsi="Bookman Old Style"/>
          <w:b/>
          <w:bCs/>
          <w:lang w:val="es-CO" w:eastAsia="es-CO"/>
        </w:rPr>
        <w:t>LA COMISIÓN DE REGULACIÓN DE ENERGÍA Y GAS</w:t>
      </w:r>
    </w:p>
    <w:p w14:paraId="68E3AFB0" w14:textId="77777777" w:rsidR="007944C0" w:rsidRPr="00131F23" w:rsidRDefault="007944C0" w:rsidP="007944C0">
      <w:pPr>
        <w:spacing w:before="240"/>
        <w:ind w:left="0"/>
        <w:jc w:val="center"/>
        <w:rPr>
          <w:rFonts w:ascii="Bookman Old Style" w:hAnsi="Bookman Old Style"/>
          <w:lang w:val="es-CO"/>
        </w:rPr>
      </w:pPr>
      <w:r w:rsidRPr="00131F23">
        <w:rPr>
          <w:rFonts w:ascii="Bookman Old Style" w:hAnsi="Bookman Old Style"/>
          <w:lang w:val="es-CO"/>
        </w:rPr>
        <w:t>En ejercicio de sus atribuciones constitucionales y legales, en especial las conferidas por las Leyes 142 y 143 de 1994, y en desarrollo de los Decretos 1524 y 2253 de 1994, y el Decreto 1260 de 2013</w:t>
      </w:r>
    </w:p>
    <w:p w14:paraId="47A74160" w14:textId="77777777" w:rsidR="00AB0B7C" w:rsidRPr="00131F23" w:rsidRDefault="00AB0B7C" w:rsidP="00AB0B7C">
      <w:pPr>
        <w:ind w:left="0"/>
        <w:rPr>
          <w:rFonts w:ascii="Bookman Old Style" w:hAnsi="Bookman Old Style"/>
          <w:lang w:val="es-CO"/>
        </w:rPr>
      </w:pPr>
    </w:p>
    <w:p w14:paraId="35BC36C2" w14:textId="46D763AC" w:rsidR="007944C0" w:rsidRPr="00131F23" w:rsidRDefault="007944C0" w:rsidP="007944C0">
      <w:pPr>
        <w:spacing w:before="240"/>
        <w:ind w:left="0"/>
        <w:jc w:val="center"/>
        <w:rPr>
          <w:rFonts w:ascii="Bookman Old Style" w:hAnsi="Bookman Old Style"/>
          <w:b/>
          <w:bCs/>
          <w:spacing w:val="80"/>
          <w:lang w:val="es-CO"/>
        </w:rPr>
      </w:pPr>
      <w:r w:rsidRPr="00131F23">
        <w:rPr>
          <w:rFonts w:ascii="Bookman Old Style" w:hAnsi="Bookman Old Style"/>
          <w:b/>
          <w:bCs/>
          <w:spacing w:val="80"/>
          <w:lang w:val="es-CO"/>
        </w:rPr>
        <w:t>CONSIDERANDO QUE:</w:t>
      </w:r>
    </w:p>
    <w:p w14:paraId="108D7989" w14:textId="77777777"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1E7C3412" w14:textId="77777777"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El artículo 365 de la misma Carta Política establece que los servicios públicos son inherentes a la finalidad social del Estado y es deber de este, asegurar su prestación eficiente a todos los habitantes del territorio nacional.</w:t>
      </w:r>
    </w:p>
    <w:p w14:paraId="1DE64BF7" w14:textId="77777777"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De conformidad con el artículo 2 de la Ley 142 de 1994, la intervención del Estado en la prestación de los servicios públicos domiciliarios debe perseguir entre otros fines, la prestación eficiente, continua e ininterrumpida, la libre competencia, y la no utilización abusiva de la posición dominante.</w:t>
      </w:r>
    </w:p>
    <w:p w14:paraId="26FD09C4" w14:textId="77777777"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En el artículo 73 de la Ley 142 de 1994 se señala que las Comisiones de Regulación tienen la función de promover la competencia entre quienes presten servicios públicos, para que las operaciones de los monopolistas o de los competidores sean económicamente eficientes, no impliquen abuso de la posición dominante y produzcan servicios de calidad.</w:t>
      </w:r>
    </w:p>
    <w:p w14:paraId="546C5F2C" w14:textId="3AC71868"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 xml:space="preserve">En el artículo 74 de la Ley 142 de 1994 se señala que son funciones y facultades especiales de la Comisión de Regulación de Energía y Gas,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buscar la liberación gradual de los mercados hacia la libre competencia, y establecer </w:t>
      </w:r>
      <w:r w:rsidRPr="00131F23">
        <w:rPr>
          <w:rFonts w:ascii="Bookman Old Style" w:hAnsi="Bookman Old Style"/>
          <w:lang w:val="es-CO"/>
        </w:rPr>
        <w:lastRenderedPageBreak/>
        <w:t>criterios para la fijación de compromisos de ventas garantizadas de energía y potencia entre las empresas eléctricas y entre estas y los grandes usuarios.</w:t>
      </w:r>
    </w:p>
    <w:p w14:paraId="5C8BF2F3" w14:textId="1AA30E2F"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 xml:space="preserve">Particularmente el numeral 1 del artículo 74 de la Ley 142 de 1994, le asignó a la CREG la función de expedir el Reglamento de Operación para regular el funcionamiento del Mercado Mayorista de </w:t>
      </w:r>
      <w:r w:rsidR="0063441C">
        <w:rPr>
          <w:rFonts w:ascii="Bookman Old Style" w:hAnsi="Bookman Old Style"/>
          <w:lang w:val="es-CO"/>
        </w:rPr>
        <w:t>E</w:t>
      </w:r>
      <w:r w:rsidRPr="00131F23">
        <w:rPr>
          <w:rFonts w:ascii="Bookman Old Style" w:hAnsi="Bookman Old Style"/>
          <w:lang w:val="es-CO"/>
        </w:rPr>
        <w:t>nergía.</w:t>
      </w:r>
    </w:p>
    <w:p w14:paraId="7FF4378E" w14:textId="77777777"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El artículo 2 de la Ley 143 de 1994 establece que corresponde al Estado, en relación con el servicio de energía, garantizar la prestación continua e ininterrumpida del servicio.</w:t>
      </w:r>
    </w:p>
    <w:p w14:paraId="57043646" w14:textId="425C9915"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 xml:space="preserve">Así mismo el artículo 4 </w:t>
      </w:r>
      <w:r w:rsidR="009B64D4">
        <w:rPr>
          <w:rFonts w:ascii="Bookman Old Style" w:hAnsi="Bookman Old Style"/>
          <w:lang w:val="es-CO"/>
        </w:rPr>
        <w:t>de la ley en mención preceptúa</w:t>
      </w:r>
      <w:r w:rsidRPr="00131F23">
        <w:rPr>
          <w:rFonts w:ascii="Bookman Old Style" w:hAnsi="Bookman Old Style"/>
          <w:lang w:val="es-CO"/>
        </w:rPr>
        <w:t xml:space="preserve"> que uno de los objetivos del Estado respecto al servicio de energía es “Abastecer la demanda de electricidad de la comunidad bajo criterios económicos y de viabilidad financiera, asegurando su cubrimiento en un marco de uso racional y eficiente de los diferentes recursos energéticos del país”. </w:t>
      </w:r>
    </w:p>
    <w:p w14:paraId="57A306A7" w14:textId="719C1A6A"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 xml:space="preserve">El artículo 6 de la Ley 143 de 1994 </w:t>
      </w:r>
      <w:r w:rsidR="009B64D4">
        <w:rPr>
          <w:rFonts w:ascii="Bookman Old Style" w:hAnsi="Bookman Old Style"/>
          <w:lang w:val="es-CO"/>
        </w:rPr>
        <w:t>dispone</w:t>
      </w:r>
      <w:r w:rsidR="009B64D4" w:rsidRPr="00131F23">
        <w:rPr>
          <w:rFonts w:ascii="Bookman Old Style" w:hAnsi="Bookman Old Style"/>
          <w:lang w:val="es-CO"/>
        </w:rPr>
        <w:t xml:space="preserve"> </w:t>
      </w:r>
      <w:r w:rsidRPr="00131F23">
        <w:rPr>
          <w:rFonts w:ascii="Bookman Old Style" w:hAnsi="Bookman Old Style"/>
          <w:lang w:val="es-CO"/>
        </w:rPr>
        <w:t>que las actividades relacionadas con el servicio de electricidad se rigen, entre otros principios, por el de adaptabilidad, el cual conduce a la incorporación de los avances de la ciencia y de la tecnología, con el fin de que aporten mayor calidad y eficiencia en la prestación del servicio al menor costo económico.</w:t>
      </w:r>
    </w:p>
    <w:p w14:paraId="24430BBD" w14:textId="77777777"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El artículo 18 de la Ley 143 de 1994 ordena que la CREG debe desarrollar el marco regulatorio que incentive la inversión en expansión de la capacidad de generación y transmisión del Sistema Interconectado Nacional, SIN, por parte de inversionistas estratégicos, y establecer esquemas que promuevan la entrada de nueva capacidad de generación y transmisión.</w:t>
      </w:r>
    </w:p>
    <w:p w14:paraId="3B2607AF" w14:textId="77777777"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El artículo 20 de la Ley 143 de 1994 definió como objetivo fundamental de la regulación en el sector eléctrico, asegurar una adecuada prestación del servicio mediante el aprovechamiento eficiente de los diferentes recursos energéticos.</w:t>
      </w:r>
    </w:p>
    <w:p w14:paraId="3D019CFD" w14:textId="39B07A5D"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 xml:space="preserve">Para cumplir el objetivo señalado, la Ley 143 de 1994, </w:t>
      </w:r>
      <w:r w:rsidR="009B64D4">
        <w:rPr>
          <w:rFonts w:ascii="Bookman Old Style" w:hAnsi="Bookman Old Style"/>
          <w:lang w:val="es-CO"/>
        </w:rPr>
        <w:t xml:space="preserve">en su </w:t>
      </w:r>
      <w:r w:rsidRPr="00131F23">
        <w:rPr>
          <w:rFonts w:ascii="Bookman Old Style" w:hAnsi="Bookman Old Style"/>
          <w:lang w:val="es-CO"/>
        </w:rPr>
        <w:t>artículo 23, atribuyó a la CREG crear las condiciones para asegurar la disponibilidad de una oferta energética eficiente capaz de abastecer la demanda bajo criterios sociales, económicos, ambientales y de viabilidad financiera, promover y preservar la competencia.</w:t>
      </w:r>
    </w:p>
    <w:p w14:paraId="52F01333" w14:textId="0F7E368A" w:rsidR="000C4675" w:rsidRPr="00131F23" w:rsidRDefault="000C4675" w:rsidP="000C4675">
      <w:pPr>
        <w:spacing w:before="240"/>
        <w:ind w:left="0" w:right="51"/>
        <w:jc w:val="both"/>
        <w:rPr>
          <w:rFonts w:ascii="Bookman Old Style" w:hAnsi="Bookman Old Style" w:cs="Arial"/>
          <w:lang w:val="es-CO"/>
        </w:rPr>
      </w:pPr>
      <w:r w:rsidRPr="00131F23">
        <w:rPr>
          <w:rFonts w:ascii="Bookman Old Style" w:hAnsi="Bookman Old Style" w:cs="Arial"/>
          <w:lang w:val="es-CO"/>
        </w:rPr>
        <w:t xml:space="preserve">Según lo establecido en el artículo 85 de la Ley 143 de 1994, </w:t>
      </w:r>
      <w:r w:rsidRPr="0063441C">
        <w:rPr>
          <w:rFonts w:ascii="Bookman Old Style" w:hAnsi="Bookman Old Style" w:cs="Arial"/>
          <w:lang w:val="es-CO"/>
        </w:rPr>
        <w:t>“las decisiones de inversión en generación, interconexión, transmisión y distribución de energía eléctrica,</w:t>
      </w:r>
      <w:r w:rsidR="00DD2CE9">
        <w:rPr>
          <w:rFonts w:ascii="Bookman Old Style" w:hAnsi="Bookman Old Style" w:cs="Arial"/>
          <w:lang w:val="es-CO"/>
        </w:rPr>
        <w:t xml:space="preserve"> </w:t>
      </w:r>
      <w:r w:rsidRPr="0063441C">
        <w:rPr>
          <w:rFonts w:ascii="Bookman Old Style" w:hAnsi="Bookman Old Style" w:cs="Arial"/>
          <w:lang w:val="es-CO"/>
        </w:rPr>
        <w:t>constituyen responsabilidad de aquellos que las acometan, quienes asumen en su integridad los riesgos inherentes a la ejecución y explotación de los proyectos”</w:t>
      </w:r>
      <w:r w:rsidRPr="00131F23">
        <w:rPr>
          <w:rFonts w:ascii="Bookman Old Style" w:hAnsi="Bookman Old Style" w:cs="Arial"/>
          <w:lang w:val="es-CO"/>
        </w:rPr>
        <w:t>.</w:t>
      </w:r>
    </w:p>
    <w:p w14:paraId="01F07CA4" w14:textId="77777777"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 xml:space="preserve">Mediante la Resolución CREG 025 de 1995 o aquella que la modifique, adicione o sustituya, se establece el Código de Redes, como parte del Reglamento de Operación del Sistema Interconectado Nacional. El Código de Redes define, entre otros, los criterios de planeamiento del Sistema de Transmisión Nacional, </w:t>
      </w:r>
      <w:proofErr w:type="spellStart"/>
      <w:r w:rsidRPr="00131F23">
        <w:rPr>
          <w:rFonts w:ascii="Bookman Old Style" w:hAnsi="Bookman Old Style"/>
          <w:lang w:val="es-CO"/>
        </w:rPr>
        <w:t>STN</w:t>
      </w:r>
      <w:proofErr w:type="spellEnd"/>
      <w:r w:rsidRPr="00131F23">
        <w:rPr>
          <w:rFonts w:ascii="Bookman Old Style" w:hAnsi="Bookman Old Style"/>
          <w:lang w:val="es-CO"/>
        </w:rPr>
        <w:t xml:space="preserve">, y los requisitos técnicos mínimos para el diseño, construcción, montaje, puesta en servicio, operación y mantenimiento que todo usuario debe cumplir por o para su conexión al </w:t>
      </w:r>
      <w:proofErr w:type="spellStart"/>
      <w:r w:rsidRPr="00131F23">
        <w:rPr>
          <w:rFonts w:ascii="Bookman Old Style" w:hAnsi="Bookman Old Style"/>
          <w:lang w:val="es-CO"/>
        </w:rPr>
        <w:t>STN</w:t>
      </w:r>
      <w:proofErr w:type="spellEnd"/>
      <w:r w:rsidRPr="00131F23">
        <w:rPr>
          <w:rFonts w:ascii="Bookman Old Style" w:hAnsi="Bookman Old Style"/>
          <w:lang w:val="es-CO"/>
        </w:rPr>
        <w:t>.</w:t>
      </w:r>
    </w:p>
    <w:p w14:paraId="01EA542F" w14:textId="77777777"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lastRenderedPageBreak/>
        <w:t>Mediante la Resolución CREG 070 de 1998 se establece el Reglamento de Distribución de energía eléctrica, donde se señalan las condiciones para la conexión al Sistema de Distribución.</w:t>
      </w:r>
    </w:p>
    <w:p w14:paraId="15AC2FD3" w14:textId="7434428A"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La CREG publicó la Resolución CREG 107 de 20</w:t>
      </w:r>
      <w:r w:rsidR="00A1114C">
        <w:rPr>
          <w:rFonts w:ascii="Bookman Old Style" w:hAnsi="Bookman Old Style"/>
          <w:lang w:val="es-CO"/>
        </w:rPr>
        <w:t>1</w:t>
      </w:r>
      <w:r w:rsidRPr="00131F23">
        <w:rPr>
          <w:rFonts w:ascii="Bookman Old Style" w:hAnsi="Bookman Old Style"/>
          <w:lang w:val="es-CO"/>
        </w:rPr>
        <w:t xml:space="preserve">9 </w:t>
      </w:r>
      <w:r w:rsidRPr="00131F23">
        <w:rPr>
          <w:rFonts w:ascii="Bookman Old Style" w:hAnsi="Bookman Old Style"/>
          <w:i/>
          <w:iCs/>
          <w:lang w:val="es-CO"/>
        </w:rPr>
        <w:t>“Por la cual se define la garantía de puesta en operación comercial que deben entregar los vendedores que resulten adjudicados en el mecanismo definido en la Resolución número 40590 de 2019 del Ministerio de Minas y Energía”.</w:t>
      </w:r>
    </w:p>
    <w:p w14:paraId="09B3643A" w14:textId="77777777"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 xml:space="preserve">Mediante la Resolución CREG 075 de 2021, </w:t>
      </w:r>
      <w:r w:rsidRPr="00131F23">
        <w:rPr>
          <w:rFonts w:ascii="Bookman Old Style" w:hAnsi="Bookman Old Style"/>
          <w:i/>
          <w:iCs/>
          <w:lang w:val="es-CO"/>
        </w:rPr>
        <w:t>“Por la cual se definen las disposiciones y procedimientos para la asignación de capacidad de transporte en el Sistema Interconectado Nacional</w:t>
      </w:r>
      <w:r w:rsidRPr="00131F23">
        <w:rPr>
          <w:rFonts w:ascii="Bookman Old Style" w:hAnsi="Bookman Old Style"/>
          <w:lang w:val="es-CO"/>
        </w:rPr>
        <w:t>”, con fundamento en los lineamientos de política pública establecidos por el Ministerio de Minas y Energía mediante la Resolución 40311 de 2020, la CREG definió las condiciones regulatorias para la asignación de capacidad de transporte a generadores en el SIN, señalando los criterios y procedimientos a tener en cuenta por parte de los involucrados en esta actividad.</w:t>
      </w:r>
    </w:p>
    <w:p w14:paraId="4218C83A" w14:textId="77777777"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 xml:space="preserve">La CREG publicó la Resolución CREG 186 de 2021 </w:t>
      </w:r>
      <w:r w:rsidRPr="00131F23">
        <w:rPr>
          <w:rFonts w:ascii="Bookman Old Style" w:hAnsi="Bookman Old Style"/>
          <w:i/>
          <w:iCs/>
          <w:lang w:val="es-CO"/>
        </w:rPr>
        <w:t>“Por la cual se define la garantía de puesta en operación comercial que deben entregar los vendedores que resulten adjudicados en el mecanismo definido en la Resolución 40590 de 2019 del Ministerio de Minas y Energía y convocado por la Resolución 40179 de 2021 del Ministerio de Minas y Energía y se adoptan otras disposiciones”</w:t>
      </w:r>
      <w:r w:rsidRPr="00131F23">
        <w:rPr>
          <w:rFonts w:ascii="Bookman Old Style" w:hAnsi="Bookman Old Style"/>
          <w:lang w:val="es-CO"/>
        </w:rPr>
        <w:t>.</w:t>
      </w:r>
    </w:p>
    <w:p w14:paraId="4BC62178" w14:textId="77777777"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El Ministerio de Minas y Energía publicó la Resolución 40042 de 2024 “</w:t>
      </w:r>
      <w:r w:rsidRPr="00131F23">
        <w:rPr>
          <w:rFonts w:ascii="Bookman Old Style" w:hAnsi="Bookman Old Style"/>
          <w:i/>
          <w:iCs/>
          <w:lang w:val="es-CO"/>
        </w:rPr>
        <w:t>Por la cual se establecen lineamientos sobre la modificación de Fecha de Puesta en Operación (</w:t>
      </w:r>
      <w:proofErr w:type="spellStart"/>
      <w:r w:rsidRPr="00131F23">
        <w:rPr>
          <w:rFonts w:ascii="Bookman Old Style" w:hAnsi="Bookman Old Style"/>
          <w:i/>
          <w:iCs/>
          <w:lang w:val="es-CO"/>
        </w:rPr>
        <w:t>FPO</w:t>
      </w:r>
      <w:proofErr w:type="spellEnd"/>
      <w:r w:rsidRPr="00131F23">
        <w:rPr>
          <w:rFonts w:ascii="Bookman Old Style" w:hAnsi="Bookman Old Style"/>
          <w:i/>
          <w:iCs/>
          <w:lang w:val="es-CO"/>
        </w:rPr>
        <w:t>) y las Garantías para los proyectos de generación, cogeneración, autogeneración, contratos de suministro de energía a largo plazo y almacenamiento de energía con baterías y se adoptan otras disposiciones</w:t>
      </w:r>
      <w:r w:rsidRPr="00131F23">
        <w:rPr>
          <w:rFonts w:ascii="Bookman Old Style" w:hAnsi="Bookman Old Style"/>
          <w:lang w:val="es-CO"/>
        </w:rPr>
        <w:t>”, en la cual se establecieron disposiciones que hacen necesaria la modificación de varias disposiciones contenidas en la regulación establecida por la CREG.</w:t>
      </w:r>
    </w:p>
    <w:p w14:paraId="0AFEDC67" w14:textId="77777777"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En el artículo 6 de la Resolución 40042 del Ministerio de Minas y Energía se propone una serie de medidas transitorias a evaluar por la Comisión, y en el parágrafo de dicho artículo se establece la obligación por parte de la CREG de publicar los resultados de dicha evaluación junto con sus respectivos soportes.</w:t>
      </w:r>
    </w:p>
    <w:p w14:paraId="6E5A0CCB" w14:textId="77777777"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 xml:space="preserve">Mediante la Circular CREG 032 del 14 de junio de 2024 se publicó el </w:t>
      </w:r>
      <w:r w:rsidRPr="00131F23">
        <w:rPr>
          <w:rFonts w:ascii="Bookman Old Style" w:hAnsi="Bookman Old Style"/>
          <w:i/>
          <w:iCs/>
          <w:lang w:val="es-CO"/>
        </w:rPr>
        <w:t xml:space="preserve">“Documento de Evaluación de Medidas Transitorias Propuestas en la Resolución </w:t>
      </w:r>
      <w:proofErr w:type="spellStart"/>
      <w:r w:rsidRPr="00131F23">
        <w:rPr>
          <w:rFonts w:ascii="Bookman Old Style" w:hAnsi="Bookman Old Style"/>
          <w:i/>
          <w:iCs/>
          <w:lang w:val="es-CO"/>
        </w:rPr>
        <w:t>MME</w:t>
      </w:r>
      <w:proofErr w:type="spellEnd"/>
      <w:r w:rsidRPr="00131F23">
        <w:rPr>
          <w:rFonts w:ascii="Bookman Old Style" w:hAnsi="Bookman Old Style"/>
          <w:i/>
          <w:iCs/>
          <w:lang w:val="es-CO"/>
        </w:rPr>
        <w:t xml:space="preserve"> 40042 de 2024”</w:t>
      </w:r>
      <w:r w:rsidRPr="00131F23">
        <w:rPr>
          <w:rFonts w:ascii="Bookman Old Style" w:hAnsi="Bookman Old Style"/>
          <w:lang w:val="es-CO"/>
        </w:rPr>
        <w:t xml:space="preserve"> en el cual se analizaron las medidas transitorias propuestas en el artículo 6 de la mencionada resolución y se propusieron otras nuevas, identificadas por la CREG, con base en los análisis realizados. </w:t>
      </w:r>
    </w:p>
    <w:p w14:paraId="0FA9BC7D" w14:textId="3922033E"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 xml:space="preserve">Sobre el documento publicado mediante la Circular CREG 032 de 2024 se recibieron comentarios de los siguientes interesados: </w:t>
      </w:r>
      <w:proofErr w:type="spellStart"/>
      <w:r w:rsidRPr="00131F23">
        <w:rPr>
          <w:rFonts w:ascii="Bookman Old Style" w:hAnsi="Bookman Old Style"/>
          <w:lang w:val="es-CO"/>
        </w:rPr>
        <w:t>EDF</w:t>
      </w:r>
      <w:proofErr w:type="spellEnd"/>
      <w:r w:rsidRPr="00131F23">
        <w:rPr>
          <w:rFonts w:ascii="Bookman Old Style" w:hAnsi="Bookman Old Style"/>
          <w:lang w:val="es-CO"/>
        </w:rPr>
        <w:t xml:space="preserve"> </w:t>
      </w:r>
      <w:proofErr w:type="spellStart"/>
      <w:r w:rsidRPr="00131F23">
        <w:rPr>
          <w:rFonts w:ascii="Bookman Old Style" w:hAnsi="Bookman Old Style"/>
          <w:lang w:val="es-CO"/>
        </w:rPr>
        <w:t>Renewables</w:t>
      </w:r>
      <w:proofErr w:type="spellEnd"/>
      <w:r w:rsidRPr="00131F23">
        <w:rPr>
          <w:rFonts w:ascii="Bookman Old Style" w:hAnsi="Bookman Old Style"/>
          <w:lang w:val="es-CO"/>
        </w:rPr>
        <w:t xml:space="preserve"> Colombia, E2024008433; Empresas Públicas de Medellín E.S.P., E2024008553; </w:t>
      </w:r>
      <w:proofErr w:type="spellStart"/>
      <w:r w:rsidRPr="00131F23">
        <w:rPr>
          <w:rFonts w:ascii="Bookman Old Style" w:hAnsi="Bookman Old Style"/>
          <w:lang w:val="es-CO"/>
        </w:rPr>
        <w:t>Intercolombia</w:t>
      </w:r>
      <w:proofErr w:type="spellEnd"/>
      <w:r w:rsidRPr="00131F23">
        <w:rPr>
          <w:rFonts w:ascii="Bookman Old Style" w:hAnsi="Bookman Old Style"/>
          <w:lang w:val="es-CO"/>
        </w:rPr>
        <w:t xml:space="preserve"> S.A. E.S.P., E2024008557; Celsia Colombia S.A. E.S.P., E2024008566; </w:t>
      </w:r>
      <w:proofErr w:type="spellStart"/>
      <w:r w:rsidRPr="00131F23">
        <w:rPr>
          <w:rFonts w:ascii="Bookman Old Style" w:hAnsi="Bookman Old Style"/>
          <w:lang w:val="es-CO"/>
        </w:rPr>
        <w:t>XM</w:t>
      </w:r>
      <w:proofErr w:type="spellEnd"/>
      <w:r w:rsidRPr="00131F23">
        <w:rPr>
          <w:rFonts w:ascii="Bookman Old Style" w:hAnsi="Bookman Old Style"/>
          <w:lang w:val="es-CO"/>
        </w:rPr>
        <w:t xml:space="preserve"> S.A. E.S.P, E2024008571; Nitro Energy Colombia S.A. E.S.P., E2024008616; Kai </w:t>
      </w:r>
      <w:r w:rsidR="00932EF4">
        <w:rPr>
          <w:rFonts w:ascii="Bookman Old Style" w:hAnsi="Bookman Old Style"/>
          <w:lang w:val="es-CO"/>
        </w:rPr>
        <w:t>D</w:t>
      </w:r>
      <w:r w:rsidR="00932EF4" w:rsidRPr="00131F23">
        <w:rPr>
          <w:rFonts w:ascii="Bookman Old Style" w:hAnsi="Bookman Old Style"/>
          <w:lang w:val="es-CO"/>
        </w:rPr>
        <w:t xml:space="preserve">esarrollo </w:t>
      </w:r>
      <w:r w:rsidRPr="00131F23">
        <w:rPr>
          <w:rFonts w:ascii="Bookman Old Style" w:hAnsi="Bookman Old Style"/>
          <w:lang w:val="es-CO"/>
        </w:rPr>
        <w:t xml:space="preserve">S.A.S., E2024008626; Asociación Colombiana de Generadores de Energía Eléctrica, </w:t>
      </w:r>
      <w:proofErr w:type="spellStart"/>
      <w:r w:rsidR="00932EF4">
        <w:rPr>
          <w:rFonts w:ascii="Bookman Old Style" w:hAnsi="Bookman Old Style"/>
          <w:lang w:val="es-CO"/>
        </w:rPr>
        <w:t>Acolgen</w:t>
      </w:r>
      <w:proofErr w:type="spellEnd"/>
      <w:r w:rsidR="00932EF4">
        <w:rPr>
          <w:rFonts w:ascii="Bookman Old Style" w:hAnsi="Bookman Old Style"/>
          <w:lang w:val="es-CO"/>
        </w:rPr>
        <w:t xml:space="preserve">, </w:t>
      </w:r>
      <w:r w:rsidRPr="00131F23">
        <w:rPr>
          <w:rFonts w:ascii="Bookman Old Style" w:hAnsi="Bookman Old Style"/>
          <w:lang w:val="es-CO"/>
        </w:rPr>
        <w:t>E2024008637; Estudio Legal Hernández, E2024008638; Cobra Instalaciones y Servicios S.A., E2024008645; Asociación de Energías Renovables</w:t>
      </w:r>
      <w:r w:rsidR="00382484">
        <w:rPr>
          <w:rFonts w:ascii="Bookman Old Style" w:hAnsi="Bookman Old Style"/>
          <w:lang w:val="es-CO"/>
        </w:rPr>
        <w:t xml:space="preserve"> Colombia</w:t>
      </w:r>
      <w:r w:rsidRPr="00131F23">
        <w:rPr>
          <w:rFonts w:ascii="Bookman Old Style" w:hAnsi="Bookman Old Style"/>
          <w:lang w:val="es-CO"/>
        </w:rPr>
        <w:t xml:space="preserve">, </w:t>
      </w:r>
      <w:r w:rsidR="00932EF4">
        <w:rPr>
          <w:rFonts w:ascii="Bookman Old Style" w:hAnsi="Bookman Old Style"/>
          <w:lang w:val="es-CO"/>
        </w:rPr>
        <w:t xml:space="preserve">SER Colombia, </w:t>
      </w:r>
      <w:r w:rsidRPr="00131F23">
        <w:rPr>
          <w:rFonts w:ascii="Bookman Old Style" w:hAnsi="Bookman Old Style"/>
          <w:lang w:val="es-CO"/>
        </w:rPr>
        <w:t xml:space="preserve">E2024008647; </w:t>
      </w:r>
      <w:proofErr w:type="spellStart"/>
      <w:r w:rsidRPr="00131F23">
        <w:rPr>
          <w:rFonts w:ascii="Bookman Old Style" w:hAnsi="Bookman Old Style"/>
          <w:lang w:val="es-CO"/>
        </w:rPr>
        <w:lastRenderedPageBreak/>
        <w:t>Vatia</w:t>
      </w:r>
      <w:proofErr w:type="spellEnd"/>
      <w:r w:rsidRPr="00131F23">
        <w:rPr>
          <w:rFonts w:ascii="Bookman Old Style" w:hAnsi="Bookman Old Style"/>
          <w:lang w:val="es-CO"/>
        </w:rPr>
        <w:t xml:space="preserve"> S.A. E.S.P., E2024008650; Fotovoltaico Arrayanes S.A.S. </w:t>
      </w:r>
      <w:proofErr w:type="spellStart"/>
      <w:r w:rsidRPr="00131F23">
        <w:rPr>
          <w:rFonts w:ascii="Bookman Old Style" w:hAnsi="Bookman Old Style"/>
          <w:lang w:val="es-CO"/>
        </w:rPr>
        <w:t>E.SP</w:t>
      </w:r>
      <w:proofErr w:type="spellEnd"/>
      <w:r w:rsidRPr="00131F23">
        <w:rPr>
          <w:rFonts w:ascii="Bookman Old Style" w:hAnsi="Bookman Old Style"/>
          <w:lang w:val="es-CO"/>
        </w:rPr>
        <w:t>., E2024008654 y Enel Colombia S.A. E.S.P., E2024008657.</w:t>
      </w:r>
    </w:p>
    <w:p w14:paraId="7DB0BAE2" w14:textId="77777777" w:rsidR="007944C0" w:rsidRPr="00131F23" w:rsidRDefault="007944C0" w:rsidP="007944C0">
      <w:pPr>
        <w:spacing w:before="240" w:line="259" w:lineRule="auto"/>
        <w:ind w:left="0"/>
        <w:jc w:val="both"/>
        <w:rPr>
          <w:rFonts w:ascii="Bookman Old Style" w:hAnsi="Bookman Old Style"/>
          <w:lang w:val="es-CO"/>
        </w:rPr>
      </w:pPr>
      <w:r w:rsidRPr="00131F23">
        <w:rPr>
          <w:rFonts w:ascii="Bookman Old Style" w:hAnsi="Bookman Old Style"/>
          <w:lang w:val="es-CO"/>
        </w:rPr>
        <w:t xml:space="preserve">Finalizada la revisión y estudio de los comentarios y con base en los análisis presentados en el documento publicado mediante la Circular CREG 032 de 2024, se encontró necesario establecer medidas transitorias para incentivar la ejecución de los proyectos de generación, en cumplimiento de lo establecido en el parágrafo del artículo 6 de la Resolución </w:t>
      </w:r>
      <w:proofErr w:type="spellStart"/>
      <w:r w:rsidRPr="00131F23">
        <w:rPr>
          <w:rFonts w:ascii="Bookman Old Style" w:hAnsi="Bookman Old Style"/>
          <w:lang w:val="es-CO"/>
        </w:rPr>
        <w:t>MME</w:t>
      </w:r>
      <w:proofErr w:type="spellEnd"/>
      <w:r w:rsidRPr="00131F23">
        <w:rPr>
          <w:rFonts w:ascii="Bookman Old Style" w:hAnsi="Bookman Old Style"/>
          <w:lang w:val="es-CO"/>
        </w:rPr>
        <w:t xml:space="preserve"> 40042 de 2024. El proyecto de resolución sobre el tema fue aprobado en la Sesión CREG 1331 del 14 de agosto de 2024.</w:t>
      </w:r>
    </w:p>
    <w:p w14:paraId="01ACD8FC" w14:textId="77777777" w:rsidR="004B68ED" w:rsidRDefault="007944C0" w:rsidP="007944C0">
      <w:pPr>
        <w:spacing w:before="240" w:line="259" w:lineRule="auto"/>
        <w:ind w:left="0"/>
        <w:jc w:val="both"/>
        <w:rPr>
          <w:rFonts w:ascii="Bookman Old Style" w:hAnsi="Bookman Old Style"/>
          <w:lang w:val="es-CO"/>
        </w:rPr>
      </w:pPr>
      <w:r w:rsidRPr="00131F23">
        <w:rPr>
          <w:rFonts w:ascii="Bookman Old Style" w:hAnsi="Bookman Old Style"/>
          <w:lang w:val="es-CO"/>
        </w:rPr>
        <w:t xml:space="preserve">El 31 de julio de 2024, el Juez 54 Administrativo del Circuito Judicial de Bogotá D.C. profirió fallo en el cual señaló: </w:t>
      </w:r>
    </w:p>
    <w:p w14:paraId="7FFE6822" w14:textId="25DB0C19" w:rsidR="007944C0" w:rsidRPr="00131F23" w:rsidRDefault="004B68ED" w:rsidP="007944C0">
      <w:pPr>
        <w:spacing w:before="240" w:line="259" w:lineRule="auto"/>
        <w:ind w:left="0"/>
        <w:jc w:val="both"/>
        <w:rPr>
          <w:rFonts w:ascii="Bookman Old Style" w:hAnsi="Bookman Old Style"/>
          <w:i/>
          <w:iCs/>
          <w:lang w:val="es-CO"/>
        </w:rPr>
      </w:pPr>
      <w:r w:rsidRPr="004B68ED">
        <w:rPr>
          <w:rFonts w:ascii="Bookman Old Style" w:hAnsi="Bookman Old Style"/>
          <w:i/>
          <w:iCs/>
          <w:lang w:val="es-CO"/>
        </w:rPr>
        <w:t>ORDENAR a la COMISIÓN DE REGULACIÓN DE ENERGÍA Y GAS CREG a expedir las regulaciones impuestas en el numeral 7 del artí</w:t>
      </w:r>
      <w:r>
        <w:rPr>
          <w:rFonts w:ascii="Bookman Old Style" w:hAnsi="Bookman Old Style"/>
          <w:i/>
          <w:iCs/>
          <w:lang w:val="es-CO"/>
        </w:rPr>
        <w:t>cu</w:t>
      </w:r>
      <w:r w:rsidRPr="004B68ED">
        <w:rPr>
          <w:rFonts w:ascii="Bookman Old Style" w:hAnsi="Bookman Old Style"/>
          <w:i/>
          <w:iCs/>
          <w:lang w:val="es-CO"/>
        </w:rPr>
        <w:t xml:space="preserve">lo 4 de la Resolución No.40311 de 2020, modificado por la resolución No.40042 del 2 de febrero de 2024 del Ministerio de Minas y Energía, esto es los nuevos lineamientos al esquema de modificación en la fecha de puesta en operación </w:t>
      </w:r>
      <w:proofErr w:type="spellStart"/>
      <w:r w:rsidRPr="004B68ED">
        <w:rPr>
          <w:rFonts w:ascii="Bookman Old Style" w:hAnsi="Bookman Old Style"/>
          <w:i/>
          <w:iCs/>
          <w:lang w:val="es-CO"/>
        </w:rPr>
        <w:t>FPO</w:t>
      </w:r>
      <w:proofErr w:type="spellEnd"/>
      <w:r w:rsidRPr="004B68ED">
        <w:rPr>
          <w:rFonts w:ascii="Bookman Old Style" w:hAnsi="Bookman Old Style"/>
          <w:i/>
          <w:iCs/>
          <w:lang w:val="es-CO"/>
        </w:rPr>
        <w:t xml:space="preserve"> y sus garantías, en el término de 2 meses, siguientes a la ejecutoria de esta providencia.</w:t>
      </w:r>
    </w:p>
    <w:p w14:paraId="5DEDE041" w14:textId="77777777" w:rsidR="007944C0" w:rsidRPr="00131F23" w:rsidRDefault="007944C0" w:rsidP="007944C0">
      <w:pPr>
        <w:spacing w:before="240" w:line="259" w:lineRule="auto"/>
        <w:ind w:left="0"/>
        <w:jc w:val="both"/>
        <w:rPr>
          <w:rFonts w:ascii="Bookman Old Style" w:eastAsia="Bookman Old Style" w:hAnsi="Bookman Old Style" w:cs="Bookman Old Style"/>
          <w:lang w:val="es-CO"/>
        </w:rPr>
      </w:pPr>
      <w:r w:rsidRPr="00131F23">
        <w:rPr>
          <w:rFonts w:ascii="Bookman Old Style" w:eastAsia="Bookman Old Style" w:hAnsi="Bookman Old Style" w:cs="Bookman Old Style"/>
          <w:lang w:val="es-CO"/>
        </w:rPr>
        <w:t>El fallo fue impugnado por la Comisión y el 22 de agosto de 2024 el Tribunal Administrativo de Cundinamarca, Sección Segunda decidió:</w:t>
      </w:r>
    </w:p>
    <w:p w14:paraId="4B3DEAAC" w14:textId="4AB6E015" w:rsidR="007944C0" w:rsidRPr="00131F23" w:rsidRDefault="007944C0" w:rsidP="007944C0">
      <w:pPr>
        <w:spacing w:before="240"/>
        <w:ind w:left="0"/>
        <w:jc w:val="both"/>
        <w:rPr>
          <w:rFonts w:ascii="Bookman Old Style" w:eastAsia="Bookman Old Style" w:hAnsi="Bookman Old Style" w:cs="Bookman Old Style"/>
          <w:lang w:val="es-CO"/>
        </w:rPr>
      </w:pPr>
      <w:r w:rsidRPr="00131F23">
        <w:rPr>
          <w:rFonts w:ascii="Bookman Old Style" w:eastAsia="Bookman Old Style" w:hAnsi="Bookman Old Style" w:cs="Bookman Old Style"/>
          <w:i/>
          <w:iCs/>
          <w:color w:val="000000"/>
          <w:lang w:val="es-CO"/>
        </w:rPr>
        <w:t xml:space="preserve">Primero: </w:t>
      </w:r>
      <w:proofErr w:type="spellStart"/>
      <w:r w:rsidRPr="00131F23">
        <w:rPr>
          <w:rFonts w:ascii="Bookman Old Style" w:eastAsia="Bookman Old Style" w:hAnsi="Bookman Old Style" w:cs="Bookman Old Style"/>
          <w:i/>
          <w:iCs/>
          <w:color w:val="000000"/>
          <w:lang w:val="es-CO"/>
        </w:rPr>
        <w:t>Confírmase</w:t>
      </w:r>
      <w:proofErr w:type="spellEnd"/>
      <w:r w:rsidRPr="00131F23">
        <w:rPr>
          <w:rFonts w:ascii="Bookman Old Style" w:eastAsia="Bookman Old Style" w:hAnsi="Bookman Old Style" w:cs="Bookman Old Style"/>
          <w:i/>
          <w:iCs/>
          <w:color w:val="000000"/>
          <w:lang w:val="es-CO"/>
        </w:rPr>
        <w:t xml:space="preserve"> parcialmente la sentencia del 31 de julio de 2024, proferida por el </w:t>
      </w:r>
      <w:r w:rsidRPr="00131F23">
        <w:rPr>
          <w:rFonts w:ascii="Bookman Old Style" w:eastAsia="Bookman Old Style" w:hAnsi="Bookman Old Style" w:cs="Bookman Old Style"/>
          <w:i/>
          <w:iCs/>
          <w:lang w:val="es-CO"/>
        </w:rPr>
        <w:t>Juzgado 54 Administrativo del Circuito Judicial de Bogotá, por las razones expuesta</w:t>
      </w:r>
      <w:r w:rsidR="004B68ED">
        <w:rPr>
          <w:rFonts w:ascii="Bookman Old Style" w:eastAsia="Bookman Old Style" w:hAnsi="Bookman Old Style" w:cs="Bookman Old Style"/>
          <w:i/>
          <w:iCs/>
          <w:lang w:val="es-CO"/>
        </w:rPr>
        <w:t>s.</w:t>
      </w:r>
      <w:r w:rsidRPr="00131F23">
        <w:rPr>
          <w:rFonts w:ascii="Bookman Old Style" w:eastAsia="Bookman Old Style" w:hAnsi="Bookman Old Style" w:cs="Bookman Old Style"/>
          <w:lang w:val="es-CO"/>
        </w:rPr>
        <w:t xml:space="preserve"> </w:t>
      </w:r>
    </w:p>
    <w:p w14:paraId="01481106" w14:textId="77777777" w:rsidR="004B68ED" w:rsidRDefault="007944C0" w:rsidP="007944C0">
      <w:pPr>
        <w:spacing w:before="240"/>
        <w:ind w:left="0"/>
        <w:jc w:val="both"/>
        <w:rPr>
          <w:rFonts w:ascii="Bookman Old Style" w:eastAsia="Bookman Old Style" w:hAnsi="Bookman Old Style" w:cs="Bookman Old Style"/>
          <w:i/>
          <w:iCs/>
          <w:lang w:val="es-CO"/>
        </w:rPr>
      </w:pPr>
      <w:r w:rsidRPr="00131F23">
        <w:rPr>
          <w:rFonts w:ascii="Bookman Old Style" w:eastAsia="Bookman Old Style" w:hAnsi="Bookman Old Style" w:cs="Bookman Old Style"/>
          <w:i/>
          <w:iCs/>
          <w:color w:val="000000"/>
          <w:lang w:val="es-CO"/>
        </w:rPr>
        <w:t xml:space="preserve">Segundo: </w:t>
      </w:r>
      <w:proofErr w:type="spellStart"/>
      <w:r w:rsidRPr="00131F23">
        <w:rPr>
          <w:rFonts w:ascii="Bookman Old Style" w:eastAsia="Bookman Old Style" w:hAnsi="Bookman Old Style" w:cs="Bookman Old Style"/>
          <w:i/>
          <w:iCs/>
          <w:color w:val="000000"/>
          <w:lang w:val="es-CO"/>
        </w:rPr>
        <w:t>Modifícase</w:t>
      </w:r>
      <w:proofErr w:type="spellEnd"/>
      <w:r w:rsidRPr="00131F23">
        <w:rPr>
          <w:rFonts w:ascii="Bookman Old Style" w:eastAsia="Bookman Old Style" w:hAnsi="Bookman Old Style" w:cs="Bookman Old Style"/>
          <w:i/>
          <w:iCs/>
          <w:color w:val="000000"/>
          <w:lang w:val="es-CO"/>
        </w:rPr>
        <w:t xml:space="preserve"> el numeral segundo de la resolutiva de la sentencia de primera </w:t>
      </w:r>
      <w:r w:rsidRPr="00131F23">
        <w:rPr>
          <w:rFonts w:ascii="Bookman Old Style" w:eastAsia="Bookman Old Style" w:hAnsi="Bookman Old Style" w:cs="Bookman Old Style"/>
          <w:i/>
          <w:iCs/>
          <w:lang w:val="es-CO"/>
        </w:rPr>
        <w:t xml:space="preserve">instancia, el cual quedará así: </w:t>
      </w:r>
    </w:p>
    <w:p w14:paraId="166AB75B" w14:textId="2AAB1B6E" w:rsidR="007944C0" w:rsidRPr="00131F23" w:rsidRDefault="007944C0" w:rsidP="007944C0">
      <w:pPr>
        <w:spacing w:before="240"/>
        <w:ind w:left="0"/>
        <w:jc w:val="both"/>
        <w:rPr>
          <w:rFonts w:ascii="Bookman Old Style" w:eastAsia="Bookman Old Style" w:hAnsi="Bookman Old Style" w:cs="Bookman Old Style"/>
          <w:lang w:val="es-CO"/>
        </w:rPr>
      </w:pPr>
      <w:r w:rsidRPr="00131F23">
        <w:rPr>
          <w:rFonts w:ascii="Bookman Old Style" w:eastAsia="Bookman Old Style" w:hAnsi="Bookman Old Style" w:cs="Bookman Old Style"/>
          <w:i/>
          <w:iCs/>
          <w:lang w:val="es-CO"/>
        </w:rPr>
        <w:t xml:space="preserve">“SEGUNDO: ORDENAR a la COMISIÓN DE REGULACIÓN DE ENERGÍA Y GAS CREG a expedir las regulaciones impuestas en el numeral 7 del artículo 4 de la Resolución No.40311 de 2020, modificado por la resolución No.40042 del 2 de febrero de 2024 del Ministerio de Minas y Energía, esto es, los nuevos lineamientos al esquema de modificación en la fecha de puesta en operación </w:t>
      </w:r>
      <w:proofErr w:type="spellStart"/>
      <w:r w:rsidRPr="00131F23">
        <w:rPr>
          <w:rFonts w:ascii="Bookman Old Style" w:eastAsia="Bookman Old Style" w:hAnsi="Bookman Old Style" w:cs="Bookman Old Style"/>
          <w:i/>
          <w:iCs/>
          <w:lang w:val="es-CO"/>
        </w:rPr>
        <w:t>FPO</w:t>
      </w:r>
      <w:proofErr w:type="spellEnd"/>
      <w:r w:rsidRPr="00131F23">
        <w:rPr>
          <w:rFonts w:ascii="Bookman Old Style" w:eastAsia="Bookman Old Style" w:hAnsi="Bookman Old Style" w:cs="Bookman Old Style"/>
          <w:i/>
          <w:iCs/>
          <w:lang w:val="es-CO"/>
        </w:rPr>
        <w:t xml:space="preserve"> y sus garantías, en el término de los diez (10) días, siguientes a la ejecutoria de esta sentencia”.</w:t>
      </w:r>
      <w:r w:rsidR="00E72EE3">
        <w:rPr>
          <w:rFonts w:ascii="Bookman Old Style" w:eastAsia="Bookman Old Style" w:hAnsi="Bookman Old Style" w:cs="Bookman Old Style"/>
          <w:i/>
          <w:iCs/>
          <w:lang w:val="es-CO"/>
        </w:rPr>
        <w:t xml:space="preserve"> </w:t>
      </w:r>
    </w:p>
    <w:p w14:paraId="1708EC36" w14:textId="6B3FFB08" w:rsidR="007944C0" w:rsidRDefault="007944C0" w:rsidP="007944C0">
      <w:pPr>
        <w:spacing w:before="240" w:line="259" w:lineRule="auto"/>
        <w:ind w:left="0"/>
        <w:jc w:val="both"/>
        <w:rPr>
          <w:rFonts w:ascii="Bookman Old Style" w:hAnsi="Bookman Old Style"/>
          <w:lang w:val="es-CO"/>
        </w:rPr>
      </w:pPr>
      <w:r w:rsidRPr="00131F23">
        <w:rPr>
          <w:rFonts w:ascii="Bookman Old Style" w:hAnsi="Bookman Old Style"/>
          <w:lang w:val="es-CO"/>
        </w:rPr>
        <w:t>Conforme la mencionada orden judicial, se proced</w:t>
      </w:r>
      <w:r w:rsidR="00F04230">
        <w:rPr>
          <w:rFonts w:ascii="Bookman Old Style" w:hAnsi="Bookman Old Style"/>
          <w:lang w:val="es-CO"/>
        </w:rPr>
        <w:t>ió</w:t>
      </w:r>
      <w:r w:rsidRPr="00131F23">
        <w:rPr>
          <w:rFonts w:ascii="Bookman Old Style" w:hAnsi="Bookman Old Style"/>
          <w:lang w:val="es-CO"/>
        </w:rPr>
        <w:t xml:space="preserve"> a expedir la regulación exigida en los numerales 7.1 y 7.2 del artículo 1 de la Resolución No 40042 de 2024 expedida por el Ministerio de Minas y Energía, dentro del término previsto en el fallo de segunda instancia, en lugar de las medidas transitorias antes previstas.</w:t>
      </w:r>
      <w:r w:rsidR="000900D4">
        <w:rPr>
          <w:rFonts w:ascii="Bookman Old Style" w:hAnsi="Bookman Old Style"/>
          <w:lang w:val="es-CO"/>
        </w:rPr>
        <w:t xml:space="preserve"> Con este propósito se publicó</w:t>
      </w:r>
      <w:r w:rsidR="00850E72">
        <w:rPr>
          <w:rFonts w:ascii="Bookman Old Style" w:hAnsi="Bookman Old Style"/>
          <w:lang w:val="es-CO"/>
        </w:rPr>
        <w:t xml:space="preserve"> </w:t>
      </w:r>
      <w:r w:rsidR="000900D4">
        <w:rPr>
          <w:rFonts w:ascii="Bookman Old Style" w:hAnsi="Bookman Old Style"/>
          <w:lang w:val="es-CO"/>
        </w:rPr>
        <w:t>para co</w:t>
      </w:r>
      <w:r w:rsidR="00850E72">
        <w:rPr>
          <w:rFonts w:ascii="Bookman Old Style" w:hAnsi="Bookman Old Style"/>
          <w:lang w:val="es-CO"/>
        </w:rPr>
        <w:t xml:space="preserve">mentarios el </w:t>
      </w:r>
      <w:r w:rsidR="001E5AE2">
        <w:rPr>
          <w:rFonts w:ascii="Bookman Old Style" w:hAnsi="Bookman Old Style"/>
          <w:lang w:val="es-CO"/>
        </w:rPr>
        <w:t>P</w:t>
      </w:r>
      <w:r w:rsidR="00850E72">
        <w:rPr>
          <w:rFonts w:ascii="Bookman Old Style" w:hAnsi="Bookman Old Style"/>
          <w:lang w:val="es-CO"/>
        </w:rPr>
        <w:t xml:space="preserve">royecto de </w:t>
      </w:r>
      <w:r w:rsidR="001E5AE2">
        <w:rPr>
          <w:rFonts w:ascii="Bookman Old Style" w:hAnsi="Bookman Old Style"/>
          <w:lang w:val="es-CO"/>
        </w:rPr>
        <w:t xml:space="preserve">Resolución </w:t>
      </w:r>
      <w:r w:rsidR="00850E72">
        <w:rPr>
          <w:rFonts w:ascii="Bookman Old Style" w:hAnsi="Bookman Old Style"/>
          <w:lang w:val="es-CO"/>
        </w:rPr>
        <w:t>CREG 701 062 de 2024.</w:t>
      </w:r>
    </w:p>
    <w:p w14:paraId="18B721FE" w14:textId="2A89D468" w:rsidR="006D2C6C" w:rsidRDefault="00850E72" w:rsidP="007944C0">
      <w:pPr>
        <w:spacing w:before="240" w:line="259" w:lineRule="auto"/>
        <w:ind w:left="0"/>
        <w:jc w:val="both"/>
        <w:rPr>
          <w:rFonts w:ascii="Bookman Old Style" w:hAnsi="Bookman Old Style"/>
        </w:rPr>
      </w:pPr>
      <w:r>
        <w:rPr>
          <w:rFonts w:ascii="Bookman Old Style" w:hAnsi="Bookman Old Style"/>
        </w:rPr>
        <w:t xml:space="preserve">Dentro del plazo previsto se recibieron comentarios de: </w:t>
      </w:r>
      <w:proofErr w:type="spellStart"/>
      <w:r w:rsidR="006D2C6C" w:rsidRPr="006D2C6C">
        <w:rPr>
          <w:rFonts w:ascii="Bookman Old Style" w:hAnsi="Bookman Old Style"/>
        </w:rPr>
        <w:t>Termotasajero</w:t>
      </w:r>
      <w:proofErr w:type="spellEnd"/>
      <w:r w:rsidR="006D2C6C" w:rsidRPr="006D2C6C">
        <w:rPr>
          <w:rFonts w:ascii="Bookman Old Style" w:hAnsi="Bookman Old Style"/>
        </w:rPr>
        <w:t xml:space="preserve"> S.A. E.S.P. con el radicado CREG E2024013087; IC </w:t>
      </w:r>
      <w:r w:rsidRPr="006D2C6C">
        <w:rPr>
          <w:rFonts w:ascii="Bookman Old Style" w:hAnsi="Bookman Old Style"/>
        </w:rPr>
        <w:t>Asesorías</w:t>
      </w:r>
      <w:r w:rsidR="006D2C6C" w:rsidRPr="006D2C6C">
        <w:rPr>
          <w:rFonts w:ascii="Bookman Old Style" w:hAnsi="Bookman Old Style"/>
        </w:rPr>
        <w:t xml:space="preserve"> y Proyectos S.A.S. E.S.P., E2024013198; </w:t>
      </w:r>
      <w:proofErr w:type="spellStart"/>
      <w:r w:rsidR="006D2C6C" w:rsidRPr="006D2C6C">
        <w:rPr>
          <w:rFonts w:ascii="Bookman Old Style" w:hAnsi="Bookman Old Style"/>
        </w:rPr>
        <w:t>OGE</w:t>
      </w:r>
      <w:proofErr w:type="spellEnd"/>
      <w:r w:rsidR="006D2C6C" w:rsidRPr="006D2C6C">
        <w:rPr>
          <w:rFonts w:ascii="Bookman Old Style" w:hAnsi="Bookman Old Style"/>
        </w:rPr>
        <w:t xml:space="preserve"> Energy, E2024013276; Asociación Nacional de Empresas Generadoras, </w:t>
      </w:r>
      <w:proofErr w:type="spellStart"/>
      <w:r w:rsidR="00D00117" w:rsidRPr="006D2C6C">
        <w:rPr>
          <w:rFonts w:ascii="Bookman Old Style" w:hAnsi="Bookman Old Style"/>
        </w:rPr>
        <w:t>Andeg</w:t>
      </w:r>
      <w:proofErr w:type="spellEnd"/>
      <w:r w:rsidR="006D2C6C" w:rsidRPr="006D2C6C">
        <w:rPr>
          <w:rFonts w:ascii="Bookman Old Style" w:hAnsi="Bookman Old Style"/>
        </w:rPr>
        <w:t xml:space="preserve">, E2024013303; EPM E.S.P., E2024013311; Ocensa, </w:t>
      </w:r>
      <w:r w:rsidR="006D2C6C" w:rsidRPr="006D2C6C">
        <w:rPr>
          <w:rFonts w:ascii="Bookman Old Style" w:hAnsi="Bookman Old Style"/>
        </w:rPr>
        <w:lastRenderedPageBreak/>
        <w:t xml:space="preserve">E2024013314; </w:t>
      </w:r>
      <w:proofErr w:type="spellStart"/>
      <w:r w:rsidR="006D2C6C" w:rsidRPr="006D2C6C">
        <w:rPr>
          <w:rFonts w:ascii="Bookman Old Style" w:hAnsi="Bookman Old Style"/>
        </w:rPr>
        <w:t>Dentons</w:t>
      </w:r>
      <w:proofErr w:type="spellEnd"/>
      <w:r w:rsidR="006D2C6C" w:rsidRPr="006D2C6C">
        <w:rPr>
          <w:rFonts w:ascii="Bookman Old Style" w:hAnsi="Bookman Old Style"/>
        </w:rPr>
        <w:t xml:space="preserve"> Cárdenas y Cárdenas, E2024013330; </w:t>
      </w:r>
      <w:r w:rsidR="00EF70F8">
        <w:rPr>
          <w:rFonts w:ascii="Bookman Old Style" w:hAnsi="Bookman Old Style"/>
        </w:rPr>
        <w:t>A</w:t>
      </w:r>
      <w:r w:rsidR="009B53CC">
        <w:rPr>
          <w:rFonts w:ascii="Bookman Old Style" w:hAnsi="Bookman Old Style"/>
        </w:rPr>
        <w:t xml:space="preserve">sociación Nacional de Empresas de Servicios Públicos y Comunicaciones, </w:t>
      </w:r>
      <w:proofErr w:type="spellStart"/>
      <w:r w:rsidR="006D2C6C" w:rsidRPr="006D2C6C">
        <w:rPr>
          <w:rFonts w:ascii="Bookman Old Style" w:hAnsi="Bookman Old Style"/>
        </w:rPr>
        <w:t>Andesco</w:t>
      </w:r>
      <w:proofErr w:type="spellEnd"/>
      <w:r w:rsidR="006D2C6C" w:rsidRPr="006D2C6C">
        <w:rPr>
          <w:rFonts w:ascii="Bookman Old Style" w:hAnsi="Bookman Old Style"/>
        </w:rPr>
        <w:t xml:space="preserve">, E2024013331; </w:t>
      </w:r>
      <w:proofErr w:type="spellStart"/>
      <w:r w:rsidR="006D2C6C" w:rsidRPr="006D2C6C">
        <w:rPr>
          <w:rFonts w:ascii="Bookman Old Style" w:hAnsi="Bookman Old Style"/>
        </w:rPr>
        <w:t>Termocaribe</w:t>
      </w:r>
      <w:proofErr w:type="spellEnd"/>
      <w:r w:rsidR="006D2C6C" w:rsidRPr="006D2C6C">
        <w:rPr>
          <w:rFonts w:ascii="Bookman Old Style" w:hAnsi="Bookman Old Style"/>
        </w:rPr>
        <w:t xml:space="preserve"> S.A.S. E.S.P., E2024013332; </w:t>
      </w:r>
      <w:proofErr w:type="spellStart"/>
      <w:r w:rsidR="006D2C6C" w:rsidRPr="006D2C6C">
        <w:rPr>
          <w:rFonts w:ascii="Bookman Old Style" w:hAnsi="Bookman Old Style"/>
        </w:rPr>
        <w:t>Vatia</w:t>
      </w:r>
      <w:proofErr w:type="spellEnd"/>
      <w:r w:rsidR="006D2C6C" w:rsidRPr="006D2C6C">
        <w:rPr>
          <w:rFonts w:ascii="Bookman Old Style" w:hAnsi="Bookman Old Style"/>
        </w:rPr>
        <w:t xml:space="preserve"> S.A. E.S.P., E2024013333; Superintendencia de Servicios Públicos Domiciliarios, </w:t>
      </w:r>
      <w:proofErr w:type="spellStart"/>
      <w:r w:rsidR="006D2C6C" w:rsidRPr="006D2C6C">
        <w:rPr>
          <w:rFonts w:ascii="Bookman Old Style" w:hAnsi="Bookman Old Style"/>
        </w:rPr>
        <w:t>SSPD</w:t>
      </w:r>
      <w:proofErr w:type="spellEnd"/>
      <w:r w:rsidR="006D2C6C" w:rsidRPr="006D2C6C">
        <w:rPr>
          <w:rFonts w:ascii="Bookman Old Style" w:hAnsi="Bookman Old Style"/>
        </w:rPr>
        <w:t xml:space="preserve">, E2024013334; Celsia Colombia S.A. E.S.P., E2024013335; Estudio Legal Hernández, E2024013336; Enel Colombia S.A. E.S.P., E2024013337; Unidad de Planeación Minero Energética, UPME, E2024013338; Asociación Colombiana de Generadores de Energía Eléctrica, </w:t>
      </w:r>
      <w:proofErr w:type="spellStart"/>
      <w:r w:rsidR="006D2C6C" w:rsidRPr="006D2C6C">
        <w:rPr>
          <w:rFonts w:ascii="Bookman Old Style" w:hAnsi="Bookman Old Style"/>
        </w:rPr>
        <w:t>Acolgen</w:t>
      </w:r>
      <w:proofErr w:type="spellEnd"/>
      <w:r w:rsidR="006D2C6C" w:rsidRPr="006D2C6C">
        <w:rPr>
          <w:rFonts w:ascii="Bookman Old Style" w:hAnsi="Bookman Old Style"/>
        </w:rPr>
        <w:t xml:space="preserve">, E2024013340; </w:t>
      </w:r>
      <w:proofErr w:type="spellStart"/>
      <w:r w:rsidR="006D2C6C" w:rsidRPr="006D2C6C">
        <w:rPr>
          <w:rFonts w:ascii="Bookman Old Style" w:hAnsi="Bookman Old Style"/>
        </w:rPr>
        <w:t>Recurrent</w:t>
      </w:r>
      <w:proofErr w:type="spellEnd"/>
      <w:r w:rsidR="006D2C6C" w:rsidRPr="006D2C6C">
        <w:rPr>
          <w:rFonts w:ascii="Bookman Old Style" w:hAnsi="Bookman Old Style"/>
        </w:rPr>
        <w:t xml:space="preserve"> Energy, E2024013341; </w:t>
      </w:r>
      <w:r w:rsidR="00932EF4" w:rsidRPr="00131F23">
        <w:rPr>
          <w:rFonts w:ascii="Bookman Old Style" w:hAnsi="Bookman Old Style"/>
          <w:lang w:val="es-CO"/>
        </w:rPr>
        <w:t>Asociación de Energías Renovables</w:t>
      </w:r>
      <w:r w:rsidR="00382484">
        <w:rPr>
          <w:rFonts w:ascii="Bookman Old Style" w:hAnsi="Bookman Old Style"/>
          <w:lang w:val="es-CO"/>
        </w:rPr>
        <w:t xml:space="preserve"> Colombia</w:t>
      </w:r>
      <w:r w:rsidR="00932EF4">
        <w:rPr>
          <w:rFonts w:ascii="Bookman Old Style" w:hAnsi="Bookman Old Style"/>
          <w:lang w:val="es-CO"/>
        </w:rPr>
        <w:t>,</w:t>
      </w:r>
      <w:r w:rsidR="00932EF4" w:rsidRPr="006D2C6C">
        <w:rPr>
          <w:rFonts w:ascii="Bookman Old Style" w:hAnsi="Bookman Old Style"/>
        </w:rPr>
        <w:t xml:space="preserve"> </w:t>
      </w:r>
      <w:r w:rsidR="006D2C6C" w:rsidRPr="006D2C6C">
        <w:rPr>
          <w:rFonts w:ascii="Bookman Old Style" w:hAnsi="Bookman Old Style"/>
        </w:rPr>
        <w:t xml:space="preserve">SER Colombia, E2024013342; </w:t>
      </w:r>
      <w:proofErr w:type="spellStart"/>
      <w:r w:rsidR="006D2C6C" w:rsidRPr="006D2C6C">
        <w:rPr>
          <w:rFonts w:ascii="Bookman Old Style" w:hAnsi="Bookman Old Style"/>
        </w:rPr>
        <w:t>XM</w:t>
      </w:r>
      <w:proofErr w:type="spellEnd"/>
      <w:r w:rsidR="006D2C6C" w:rsidRPr="006D2C6C">
        <w:rPr>
          <w:rFonts w:ascii="Bookman Old Style" w:hAnsi="Bookman Old Style"/>
        </w:rPr>
        <w:t xml:space="preserve"> S.A. E.S.P., E2024013343 y </w:t>
      </w:r>
      <w:proofErr w:type="spellStart"/>
      <w:r w:rsidR="006D2C6C" w:rsidRPr="006D2C6C">
        <w:rPr>
          <w:rFonts w:ascii="Bookman Old Style" w:hAnsi="Bookman Old Style"/>
        </w:rPr>
        <w:t>Voltalia</w:t>
      </w:r>
      <w:proofErr w:type="spellEnd"/>
      <w:r w:rsidR="006D2C6C" w:rsidRPr="006D2C6C">
        <w:rPr>
          <w:rFonts w:ascii="Bookman Old Style" w:hAnsi="Bookman Old Style"/>
        </w:rPr>
        <w:t xml:space="preserve"> Colombia, E2024013344.</w:t>
      </w:r>
    </w:p>
    <w:p w14:paraId="4BF68B14" w14:textId="59250F3B" w:rsidR="00B15905" w:rsidRDefault="00B15905" w:rsidP="007944C0">
      <w:pPr>
        <w:spacing w:before="240" w:line="259" w:lineRule="auto"/>
        <w:ind w:left="0"/>
        <w:jc w:val="both"/>
        <w:rPr>
          <w:rFonts w:ascii="Bookman Old Style" w:hAnsi="Bookman Old Style"/>
        </w:rPr>
      </w:pPr>
      <w:r>
        <w:rPr>
          <w:rFonts w:ascii="Bookman Old Style" w:hAnsi="Bookman Old Style"/>
        </w:rPr>
        <w:t>Los comentarios recibidos, las respuestas a estos y los análisis adicionales de la Comisión se encuentran en el documento que sirve de soporte a esta resolución.</w:t>
      </w:r>
    </w:p>
    <w:p w14:paraId="6AD7DCFC" w14:textId="70C36FAE" w:rsidR="006C2BEA" w:rsidRPr="006C2BEA" w:rsidRDefault="00746D48" w:rsidP="006C2BEA">
      <w:pPr>
        <w:spacing w:before="240" w:line="259" w:lineRule="auto"/>
        <w:ind w:left="0"/>
        <w:jc w:val="both"/>
        <w:rPr>
          <w:rFonts w:ascii="Bookman Old Style" w:hAnsi="Bookman Old Style"/>
          <w:lang w:val="es-CO"/>
        </w:rPr>
      </w:pPr>
      <w:r>
        <w:rPr>
          <w:rFonts w:ascii="Bookman Old Style" w:hAnsi="Bookman Old Style"/>
          <w:lang w:val="es-MX"/>
        </w:rPr>
        <w:t>Esta propuesta n</w:t>
      </w:r>
      <w:r w:rsidR="006C2BEA" w:rsidRPr="006C2BEA">
        <w:rPr>
          <w:rFonts w:ascii="Bookman Old Style" w:hAnsi="Bookman Old Style"/>
          <w:lang w:val="es-MX"/>
        </w:rPr>
        <w:t xml:space="preserve">o </w:t>
      </w:r>
      <w:r w:rsidR="00C16A6D">
        <w:rPr>
          <w:rFonts w:ascii="Bookman Old Style" w:hAnsi="Bookman Old Style"/>
          <w:lang w:val="es-MX"/>
        </w:rPr>
        <w:t>fue</w:t>
      </w:r>
      <w:r>
        <w:rPr>
          <w:rFonts w:ascii="Bookman Old Style" w:hAnsi="Bookman Old Style"/>
          <w:lang w:val="es-MX"/>
        </w:rPr>
        <w:t xml:space="preserve"> </w:t>
      </w:r>
      <w:r w:rsidR="006C2BEA" w:rsidRPr="006C2BEA">
        <w:rPr>
          <w:rFonts w:ascii="Bookman Old Style" w:hAnsi="Bookman Old Style"/>
          <w:lang w:val="es-MX"/>
        </w:rPr>
        <w:t>env</w:t>
      </w:r>
      <w:r w:rsidR="00C16A6D">
        <w:rPr>
          <w:rFonts w:ascii="Bookman Old Style" w:hAnsi="Bookman Old Style"/>
          <w:lang w:val="es-MX"/>
        </w:rPr>
        <w:t>iada</w:t>
      </w:r>
      <w:r w:rsidR="006C2BEA" w:rsidRPr="006C2BEA">
        <w:rPr>
          <w:rFonts w:ascii="Bookman Old Style" w:hAnsi="Bookman Old Style"/>
          <w:lang w:val="es-MX"/>
        </w:rPr>
        <w:t xml:space="preserve"> para concepto de abogacía de la competencia, con base en lo establecido en el numeral 4 del artículo 4 del Decreto 2897 de 2010 que exceptúa de informar a la Superintendencia de Industria y Comercio cuando:</w:t>
      </w:r>
    </w:p>
    <w:p w14:paraId="76458CD4" w14:textId="205FEDB5" w:rsidR="006C2BEA" w:rsidRPr="006C2BEA" w:rsidRDefault="006C2BEA" w:rsidP="006C2BEA">
      <w:pPr>
        <w:spacing w:before="240" w:line="259" w:lineRule="auto"/>
        <w:ind w:left="0"/>
        <w:jc w:val="both"/>
        <w:rPr>
          <w:rFonts w:ascii="Bookman Old Style" w:hAnsi="Bookman Old Style"/>
          <w:lang w:val="es-CO"/>
        </w:rPr>
      </w:pPr>
      <w:r w:rsidRPr="006C2BEA">
        <w:rPr>
          <w:rFonts w:ascii="Bookman Old Style" w:hAnsi="Bookman Old Style"/>
          <w:i/>
          <w:iCs/>
          <w:lang w:val="es-MX"/>
        </w:rPr>
        <w:t>4. Cuando resulte necesario cumplir una orden judicial o una norma legal o reglamentaria de vigencia inmediata, si tal cumplimiento no es posible sin la expedición del acto</w:t>
      </w:r>
      <w:r w:rsidRPr="006C2BEA">
        <w:rPr>
          <w:rFonts w:ascii="Bookman Old Style" w:hAnsi="Bookman Old Style"/>
          <w:lang w:val="es-MX"/>
        </w:rPr>
        <w:t>.</w:t>
      </w:r>
    </w:p>
    <w:p w14:paraId="61DDAEBC" w14:textId="5E6991A7" w:rsidR="00B15905" w:rsidRPr="006D2C6C" w:rsidRDefault="005214DA" w:rsidP="007944C0">
      <w:pPr>
        <w:spacing w:before="240" w:line="259" w:lineRule="auto"/>
        <w:ind w:left="0"/>
        <w:jc w:val="both"/>
        <w:rPr>
          <w:rFonts w:ascii="Bookman Old Style" w:hAnsi="Bookman Old Style"/>
        </w:rPr>
      </w:pPr>
      <w:r w:rsidRPr="005214DA">
        <w:rPr>
          <w:rFonts w:ascii="Bookman Old Style" w:hAnsi="Bookman Old Style"/>
        </w:rPr>
        <w:t xml:space="preserve">La Comisión de Regulación de Energía y Gas en su sesión </w:t>
      </w:r>
      <w:r w:rsidR="0002677F">
        <w:rPr>
          <w:rFonts w:ascii="Bookman Old Style" w:hAnsi="Bookman Old Style"/>
        </w:rPr>
        <w:t>1336</w:t>
      </w:r>
      <w:r w:rsidRPr="005214DA">
        <w:rPr>
          <w:rFonts w:ascii="Bookman Old Style" w:hAnsi="Bookman Old Style"/>
        </w:rPr>
        <w:t xml:space="preserve"> del </w:t>
      </w:r>
      <w:r w:rsidRPr="0002677F">
        <w:rPr>
          <w:rFonts w:ascii="Bookman Old Style" w:hAnsi="Bookman Old Style"/>
        </w:rPr>
        <w:t>5</w:t>
      </w:r>
      <w:r w:rsidRPr="005214DA">
        <w:rPr>
          <w:rFonts w:ascii="Bookman Old Style" w:hAnsi="Bookman Old Style"/>
        </w:rPr>
        <w:t xml:space="preserve"> de </w:t>
      </w:r>
      <w:r>
        <w:rPr>
          <w:rFonts w:ascii="Bookman Old Style" w:hAnsi="Bookman Old Style"/>
        </w:rPr>
        <w:t>septiembre</w:t>
      </w:r>
      <w:r w:rsidRPr="005214DA">
        <w:rPr>
          <w:rFonts w:ascii="Bookman Old Style" w:hAnsi="Bookman Old Style"/>
        </w:rPr>
        <w:t xml:space="preserve"> de 202</w:t>
      </w:r>
      <w:r>
        <w:rPr>
          <w:rFonts w:ascii="Bookman Old Style" w:hAnsi="Bookman Old Style"/>
        </w:rPr>
        <w:t>4</w:t>
      </w:r>
      <w:r w:rsidRPr="005214DA">
        <w:rPr>
          <w:rFonts w:ascii="Bookman Old Style" w:hAnsi="Bookman Old Style"/>
        </w:rPr>
        <w:t xml:space="preserve"> acordó expedir la presente Resolución</w:t>
      </w:r>
      <w:r w:rsidR="00382484">
        <w:rPr>
          <w:rFonts w:ascii="Bookman Old Style" w:hAnsi="Bookman Old Style"/>
        </w:rPr>
        <w:t>.</w:t>
      </w:r>
    </w:p>
    <w:p w14:paraId="4C5A9867" w14:textId="77777777" w:rsidR="007944C0" w:rsidRPr="00131F23" w:rsidRDefault="007944C0" w:rsidP="00131F23">
      <w:pPr>
        <w:spacing w:before="360"/>
        <w:ind w:left="0"/>
        <w:jc w:val="center"/>
        <w:rPr>
          <w:rFonts w:ascii="Bookman Old Style" w:hAnsi="Bookman Old Style"/>
          <w:b/>
          <w:bCs/>
          <w:spacing w:val="80"/>
          <w:lang w:val="es-CO"/>
        </w:rPr>
      </w:pPr>
      <w:r w:rsidRPr="00131F23">
        <w:rPr>
          <w:rFonts w:ascii="Bookman Old Style" w:hAnsi="Bookman Old Style"/>
          <w:b/>
          <w:bCs/>
          <w:spacing w:val="80"/>
          <w:lang w:val="es-CO"/>
        </w:rPr>
        <w:t>RESUELVE:</w:t>
      </w:r>
    </w:p>
    <w:p w14:paraId="6316E375" w14:textId="77777777" w:rsidR="007944C0" w:rsidRPr="00131F23" w:rsidRDefault="007944C0" w:rsidP="007944C0">
      <w:pPr>
        <w:pStyle w:val="ARTICULOS"/>
        <w:rPr>
          <w:b w:val="0"/>
          <w:bCs w:val="0"/>
          <w:i/>
          <w:lang w:val="es-CO"/>
        </w:rPr>
      </w:pPr>
      <w:bookmarkStart w:id="3" w:name="_Ref153387703"/>
      <w:bookmarkStart w:id="4" w:name="_Ref98939096"/>
      <w:r w:rsidRPr="00131F23">
        <w:rPr>
          <w:lang w:val="es-CO"/>
        </w:rPr>
        <w:t xml:space="preserve">Objetivo. </w:t>
      </w:r>
      <w:r w:rsidRPr="00131F23">
        <w:rPr>
          <w:b w:val="0"/>
          <w:bCs w:val="0"/>
          <w:lang w:val="es-CO"/>
        </w:rPr>
        <w:t xml:space="preserve">Dar cumplimiento de lo establecido en los numerales 7.1, 7.2 y 7.3 del numeral 7 del artículo 4 de la Resolución </w:t>
      </w:r>
      <w:proofErr w:type="spellStart"/>
      <w:r w:rsidRPr="00131F23">
        <w:rPr>
          <w:b w:val="0"/>
          <w:bCs w:val="0"/>
          <w:lang w:val="es-CO"/>
        </w:rPr>
        <w:t>MME</w:t>
      </w:r>
      <w:proofErr w:type="spellEnd"/>
      <w:r w:rsidRPr="00131F23">
        <w:rPr>
          <w:b w:val="0"/>
          <w:bCs w:val="0"/>
          <w:lang w:val="es-CO"/>
        </w:rPr>
        <w:t xml:space="preserve"> 40311 de 2020, modificados mediante el artículo 1 de la Resolución </w:t>
      </w:r>
      <w:proofErr w:type="spellStart"/>
      <w:r w:rsidRPr="00131F23">
        <w:rPr>
          <w:b w:val="0"/>
          <w:bCs w:val="0"/>
          <w:lang w:val="es-CO"/>
        </w:rPr>
        <w:t>MME</w:t>
      </w:r>
      <w:proofErr w:type="spellEnd"/>
      <w:r w:rsidRPr="00131F23">
        <w:rPr>
          <w:b w:val="0"/>
          <w:bCs w:val="0"/>
          <w:lang w:val="es-CO"/>
        </w:rPr>
        <w:t xml:space="preserve"> 40042 de 2024.</w:t>
      </w:r>
    </w:p>
    <w:p w14:paraId="0020FDEA" w14:textId="77777777" w:rsidR="007944C0" w:rsidRPr="00131F23" w:rsidRDefault="007944C0" w:rsidP="007944C0">
      <w:pPr>
        <w:pStyle w:val="ARTICULOS"/>
        <w:rPr>
          <w:b w:val="0"/>
          <w:bCs w:val="0"/>
          <w:i/>
          <w:lang w:val="es-CO"/>
        </w:rPr>
      </w:pPr>
      <w:bookmarkStart w:id="5" w:name="_Ref98939094"/>
      <w:r w:rsidRPr="00131F23">
        <w:rPr>
          <w:lang w:val="es-CO"/>
        </w:rPr>
        <w:t xml:space="preserve">Ámbito de aplicación. </w:t>
      </w:r>
      <w:r w:rsidRPr="00131F23">
        <w:rPr>
          <w:b w:val="0"/>
          <w:bCs w:val="0"/>
          <w:lang w:val="es-CO"/>
        </w:rPr>
        <w:t>Las disposiciones establecidas en esta resolución aplican a los proyectos clase 1 de que trata la Resolución CREG 075 de 2021</w:t>
      </w:r>
      <w:bookmarkEnd w:id="5"/>
      <w:r w:rsidRPr="00131F23">
        <w:rPr>
          <w:b w:val="0"/>
          <w:bCs w:val="0"/>
          <w:lang w:val="es-CO"/>
        </w:rPr>
        <w:t>.</w:t>
      </w:r>
    </w:p>
    <w:p w14:paraId="0CB99788" w14:textId="77777777" w:rsidR="007944C0" w:rsidRPr="00131F23" w:rsidRDefault="007944C0" w:rsidP="007944C0">
      <w:pPr>
        <w:pStyle w:val="ARTICULOS"/>
        <w:rPr>
          <w:b w:val="0"/>
          <w:bCs w:val="0"/>
          <w:lang w:val="es-CO"/>
        </w:rPr>
      </w:pPr>
      <w:bookmarkStart w:id="6" w:name="_Ref175597838"/>
      <w:r w:rsidRPr="00131F23">
        <w:rPr>
          <w:b w:val="0"/>
          <w:bCs w:val="0"/>
          <w:lang w:val="es-CO"/>
        </w:rPr>
        <w:t>Modificar el artículo 17 de la Resolución CREG 075 de 2021, el cual quedará así:</w:t>
      </w:r>
      <w:bookmarkEnd w:id="6"/>
    </w:p>
    <w:p w14:paraId="46F7059D" w14:textId="4085682E" w:rsidR="007944C0" w:rsidRPr="00131F23" w:rsidRDefault="007944C0" w:rsidP="007944C0">
      <w:pPr>
        <w:spacing w:before="240"/>
        <w:ind w:left="0"/>
        <w:jc w:val="both"/>
        <w:rPr>
          <w:rFonts w:ascii="Bookman Old Style" w:hAnsi="Bookman Old Style"/>
          <w:b/>
          <w:lang w:val="es-CO"/>
        </w:rPr>
      </w:pPr>
      <w:r w:rsidRPr="00131F23">
        <w:rPr>
          <w:rFonts w:ascii="Bookman Old Style" w:hAnsi="Bookman Old Style"/>
          <w:b/>
          <w:lang w:val="es-CO"/>
        </w:rPr>
        <w:t>“Artículo 17. Modificación de la fecha de puesta en operación.</w:t>
      </w:r>
      <w:r w:rsidRPr="00131F23">
        <w:rPr>
          <w:rFonts w:ascii="Bookman Old Style" w:hAnsi="Bookman Old Style"/>
          <w:bCs/>
          <w:lang w:val="es-CO"/>
        </w:rPr>
        <w:t xml:space="preserve"> Los interesados que desarrollen proyectos clase 1 podrán solicitar la modificación de la fecha de puesta de operación, </w:t>
      </w:r>
      <w:proofErr w:type="spellStart"/>
      <w:r w:rsidRPr="00131F23">
        <w:rPr>
          <w:rFonts w:ascii="Bookman Old Style" w:hAnsi="Bookman Old Style"/>
          <w:bCs/>
          <w:lang w:val="es-CO"/>
        </w:rPr>
        <w:t>FPO</w:t>
      </w:r>
      <w:proofErr w:type="spellEnd"/>
      <w:r w:rsidRPr="00131F23">
        <w:rPr>
          <w:rFonts w:ascii="Bookman Old Style" w:hAnsi="Bookman Old Style"/>
          <w:bCs/>
          <w:lang w:val="es-CO"/>
        </w:rPr>
        <w:t xml:space="preserve">, </w:t>
      </w:r>
      <w:r w:rsidR="002252C2">
        <w:rPr>
          <w:rFonts w:ascii="Bookman Old Style" w:hAnsi="Bookman Old Style"/>
          <w:bCs/>
          <w:lang w:val="es-CO"/>
        </w:rPr>
        <w:t>siempre y cuando cuente</w:t>
      </w:r>
      <w:r w:rsidR="000F3050" w:rsidRPr="000F3050">
        <w:rPr>
          <w:rFonts w:ascii="Bookman Old Style" w:hAnsi="Bookman Old Style"/>
          <w:bCs/>
          <w:lang w:val="es-CO"/>
        </w:rPr>
        <w:t xml:space="preserve"> con asignación de capacidad de transporte y cuya </w:t>
      </w:r>
      <w:proofErr w:type="spellStart"/>
      <w:r w:rsidR="000F3050" w:rsidRPr="000F3050">
        <w:rPr>
          <w:rFonts w:ascii="Bookman Old Style" w:hAnsi="Bookman Old Style"/>
          <w:bCs/>
          <w:lang w:val="es-CO"/>
        </w:rPr>
        <w:t>FPO</w:t>
      </w:r>
      <w:proofErr w:type="spellEnd"/>
      <w:r w:rsidR="000F3050" w:rsidRPr="000F3050">
        <w:rPr>
          <w:rFonts w:ascii="Bookman Old Style" w:hAnsi="Bookman Old Style"/>
          <w:bCs/>
          <w:lang w:val="es-CO"/>
        </w:rPr>
        <w:t xml:space="preserve"> se encuentre vigente al momento de hacer la solicitud</w:t>
      </w:r>
      <w:r w:rsidR="000244BA">
        <w:rPr>
          <w:rFonts w:ascii="Bookman Old Style" w:hAnsi="Bookman Old Style"/>
          <w:bCs/>
          <w:lang w:val="es-CO"/>
        </w:rPr>
        <w:t xml:space="preserve">, </w:t>
      </w:r>
      <w:r w:rsidRPr="00131F23">
        <w:rPr>
          <w:rFonts w:ascii="Bookman Old Style" w:hAnsi="Bookman Old Style"/>
          <w:bCs/>
          <w:lang w:val="es-CO"/>
        </w:rPr>
        <w:t>aplicando una de las siguientes alternativas:</w:t>
      </w:r>
    </w:p>
    <w:p w14:paraId="0D9F2BA6" w14:textId="7C64B8CD" w:rsidR="007944C0" w:rsidRPr="00131F23" w:rsidRDefault="007944C0" w:rsidP="00993A64">
      <w:pPr>
        <w:numPr>
          <w:ilvl w:val="0"/>
          <w:numId w:val="19"/>
        </w:numPr>
        <w:tabs>
          <w:tab w:val="left" w:pos="1701"/>
        </w:tabs>
        <w:spacing w:before="240"/>
        <w:jc w:val="both"/>
        <w:rPr>
          <w:rFonts w:ascii="Bookman Old Style" w:hAnsi="Bookman Old Style" w:cs="Arial"/>
          <w:bCs/>
          <w:iCs/>
          <w:lang w:val="es-CO"/>
        </w:rPr>
      </w:pPr>
      <w:r w:rsidRPr="00131F23">
        <w:rPr>
          <w:rFonts w:ascii="Bookman Old Style" w:hAnsi="Bookman Old Style" w:cs="Arial"/>
          <w:b/>
          <w:iCs/>
          <w:lang w:val="es-CO"/>
        </w:rPr>
        <w:t xml:space="preserve">Mediante aumento de garantía. </w:t>
      </w:r>
      <w:r w:rsidRPr="00131F23">
        <w:rPr>
          <w:rFonts w:ascii="Bookman Old Style" w:hAnsi="Bookman Old Style" w:cs="Arial"/>
          <w:bCs/>
          <w:iCs/>
          <w:lang w:val="es-CO"/>
        </w:rPr>
        <w:t>La</w:t>
      </w:r>
      <w:r w:rsidRPr="00131F23" w:rsidDel="00934AC0">
        <w:rPr>
          <w:rFonts w:ascii="Bookman Old Style" w:hAnsi="Bookman Old Style" w:cs="Arial"/>
          <w:bCs/>
          <w:iCs/>
          <w:lang w:val="es-CO"/>
        </w:rPr>
        <w:t xml:space="preserve"> </w:t>
      </w:r>
      <w:proofErr w:type="spellStart"/>
      <w:r w:rsidRPr="00131F23">
        <w:rPr>
          <w:rFonts w:ascii="Bookman Old Style" w:hAnsi="Bookman Old Style" w:cs="Arial"/>
          <w:bCs/>
          <w:iCs/>
          <w:lang w:val="es-CO"/>
        </w:rPr>
        <w:t>FPO</w:t>
      </w:r>
      <w:proofErr w:type="spellEnd"/>
      <w:r w:rsidRPr="00131F23">
        <w:rPr>
          <w:rFonts w:ascii="Bookman Old Style" w:hAnsi="Bookman Old Style" w:cs="Arial"/>
          <w:bCs/>
          <w:iCs/>
          <w:lang w:val="es-CO"/>
        </w:rPr>
        <w:t xml:space="preserve"> de un proyecto podrá modificarse actualizando el valor de cobertura de la garantía para reserva de capacidad. </w:t>
      </w:r>
      <w:bookmarkStart w:id="7" w:name="_Ref175601597"/>
      <w:r w:rsidRPr="00131F23">
        <w:rPr>
          <w:rFonts w:ascii="Bookman Old Style" w:hAnsi="Bookman Old Style" w:cs="Arial"/>
          <w:bCs/>
          <w:iCs/>
          <w:lang w:val="es-CO"/>
        </w:rPr>
        <w:t xml:space="preserve">Esta alternativa podrá utilizarse cuantas veces se requiera, pero la suma de los meses adicionados a la </w:t>
      </w:r>
      <w:proofErr w:type="spellStart"/>
      <w:r w:rsidRPr="00131F23">
        <w:rPr>
          <w:rFonts w:ascii="Bookman Old Style" w:hAnsi="Bookman Old Style" w:cs="Arial"/>
          <w:bCs/>
          <w:iCs/>
          <w:lang w:val="es-CO"/>
        </w:rPr>
        <w:t>FPO</w:t>
      </w:r>
      <w:proofErr w:type="spellEnd"/>
      <w:r w:rsidRPr="00131F23">
        <w:rPr>
          <w:rFonts w:ascii="Bookman Old Style" w:hAnsi="Bookman Old Style" w:cs="Arial"/>
          <w:bCs/>
          <w:iCs/>
          <w:lang w:val="es-CO"/>
        </w:rPr>
        <w:t xml:space="preserve"> del proyecto, en las </w:t>
      </w:r>
      <w:r w:rsidRPr="00131F23">
        <w:rPr>
          <w:rFonts w:ascii="Bookman Old Style" w:hAnsi="Bookman Old Style" w:cs="Arial"/>
          <w:bCs/>
          <w:iCs/>
          <w:lang w:val="es-CO"/>
        </w:rPr>
        <w:lastRenderedPageBreak/>
        <w:t>diferentes solicitudes de aplazamiento</w:t>
      </w:r>
      <w:r w:rsidR="00D40853" w:rsidRPr="00131F23">
        <w:rPr>
          <w:rFonts w:ascii="Bookman Old Style" w:hAnsi="Bookman Old Style" w:cs="Arial"/>
          <w:bCs/>
          <w:iCs/>
          <w:lang w:val="es-CO"/>
        </w:rPr>
        <w:t xml:space="preserve"> usando esta alternativa</w:t>
      </w:r>
      <w:r w:rsidRPr="00131F23">
        <w:rPr>
          <w:rFonts w:ascii="Bookman Old Style" w:hAnsi="Bookman Old Style" w:cs="Arial"/>
          <w:bCs/>
          <w:iCs/>
          <w:lang w:val="es-CO"/>
        </w:rPr>
        <w:t>, no podrá superar 24 meses. Adicionalmente, el valor de cobertura de la garantía no podrá superar el límite establecido en el parágrafo 2 del artículo 24 de la presente resolución.</w:t>
      </w:r>
      <w:bookmarkEnd w:id="7"/>
    </w:p>
    <w:p w14:paraId="5726DFA3" w14:textId="2A446E1E" w:rsidR="007944C0" w:rsidRPr="00131F23" w:rsidRDefault="007944C0" w:rsidP="007944C0">
      <w:pPr>
        <w:spacing w:before="240"/>
        <w:ind w:left="708"/>
        <w:jc w:val="both"/>
        <w:rPr>
          <w:rFonts w:ascii="Bookman Old Style" w:hAnsi="Bookman Old Style"/>
          <w:i/>
          <w:lang w:val="es-CO"/>
        </w:rPr>
      </w:pPr>
      <w:r w:rsidRPr="00131F23">
        <w:rPr>
          <w:rFonts w:ascii="Bookman Old Style" w:hAnsi="Bookman Old Style"/>
          <w:lang w:val="es-CO"/>
        </w:rPr>
        <w:t xml:space="preserve">Para modificar la </w:t>
      </w:r>
      <w:proofErr w:type="spellStart"/>
      <w:r w:rsidRPr="00131F23">
        <w:rPr>
          <w:rFonts w:ascii="Bookman Old Style" w:hAnsi="Bookman Old Style"/>
          <w:lang w:val="es-CO"/>
        </w:rPr>
        <w:t>FPO</w:t>
      </w:r>
      <w:proofErr w:type="spellEnd"/>
      <w:r w:rsidRPr="00131F23">
        <w:rPr>
          <w:rFonts w:ascii="Bookman Old Style" w:hAnsi="Bookman Old Style"/>
          <w:lang w:val="es-CO"/>
        </w:rPr>
        <w:t xml:space="preserve"> del proyecto el interesado deberá entregar al </w:t>
      </w:r>
      <w:proofErr w:type="spellStart"/>
      <w:r w:rsidRPr="00131F23">
        <w:rPr>
          <w:rFonts w:ascii="Bookman Old Style" w:hAnsi="Bookman Old Style"/>
          <w:lang w:val="es-CO"/>
        </w:rPr>
        <w:t>ASIC</w:t>
      </w:r>
      <w:proofErr w:type="spellEnd"/>
      <w:r w:rsidRPr="00131F23">
        <w:rPr>
          <w:rFonts w:ascii="Bookman Old Style" w:hAnsi="Bookman Old Style"/>
          <w:lang w:val="es-CO"/>
        </w:rPr>
        <w:t xml:space="preserve"> el original de la garantía con el valor de cobertura actualizado</w:t>
      </w:r>
      <w:r w:rsidR="00131F23">
        <w:rPr>
          <w:rFonts w:ascii="Bookman Old Style" w:hAnsi="Bookman Old Style"/>
          <w:lang w:val="es-CO"/>
        </w:rPr>
        <w:t xml:space="preserve">, </w:t>
      </w:r>
      <w:r w:rsidR="007106B1">
        <w:rPr>
          <w:rFonts w:ascii="Bookman Old Style" w:hAnsi="Bookman Old Style"/>
          <w:lang w:val="es-CO"/>
        </w:rPr>
        <w:t xml:space="preserve">la </w:t>
      </w:r>
      <w:r w:rsidR="00131F23">
        <w:rPr>
          <w:rFonts w:ascii="Bookman Old Style" w:hAnsi="Bookman Old Style"/>
          <w:lang w:val="es-CO"/>
        </w:rPr>
        <w:t>evidencia de haber radicado en la UPME la nueva curva S</w:t>
      </w:r>
      <w:r w:rsidR="00887CB0">
        <w:rPr>
          <w:rFonts w:ascii="Bookman Old Style" w:hAnsi="Bookman Old Style"/>
          <w:lang w:val="es-CO"/>
        </w:rPr>
        <w:t>,</w:t>
      </w:r>
      <w:r w:rsidR="00887CB0" w:rsidRPr="00887CB0">
        <w:rPr>
          <w:rFonts w:ascii="Bookman Old Style" w:hAnsi="Bookman Old Style"/>
          <w:lang w:val="es-CO"/>
        </w:rPr>
        <w:t xml:space="preserve"> </w:t>
      </w:r>
      <w:r w:rsidR="00887CB0">
        <w:rPr>
          <w:rFonts w:ascii="Bookman Old Style" w:hAnsi="Bookman Old Style"/>
          <w:lang w:val="es-CO"/>
        </w:rPr>
        <w:t xml:space="preserve">una </w:t>
      </w:r>
      <w:r w:rsidR="00D83923">
        <w:rPr>
          <w:rFonts w:ascii="Bookman Old Style" w:hAnsi="Bookman Old Style"/>
          <w:lang w:val="es-CO"/>
        </w:rPr>
        <w:t>certific</w:t>
      </w:r>
      <w:r w:rsidR="00887CB0">
        <w:rPr>
          <w:rFonts w:ascii="Bookman Old Style" w:hAnsi="Bookman Old Style"/>
          <w:lang w:val="es-CO"/>
        </w:rPr>
        <w:t xml:space="preserve">ación por parte del representante legal del interesado donde </w:t>
      </w:r>
      <w:r w:rsidR="00D83923">
        <w:rPr>
          <w:rFonts w:ascii="Bookman Old Style" w:hAnsi="Bookman Old Style"/>
          <w:lang w:val="es-CO"/>
        </w:rPr>
        <w:t>declare</w:t>
      </w:r>
      <w:r w:rsidR="00887CB0">
        <w:rPr>
          <w:rFonts w:ascii="Bookman Old Style" w:hAnsi="Bookman Old Style"/>
          <w:lang w:val="es-CO"/>
        </w:rPr>
        <w:t xml:space="preserve"> que no se e</w:t>
      </w:r>
      <w:r w:rsidR="00D83923">
        <w:rPr>
          <w:rFonts w:ascii="Bookman Old Style" w:hAnsi="Bookman Old Style"/>
          <w:lang w:val="es-CO"/>
        </w:rPr>
        <w:t xml:space="preserve">ncuentra en </w:t>
      </w:r>
      <w:r w:rsidR="00887CB0">
        <w:rPr>
          <w:rFonts w:ascii="Bookman Old Style" w:hAnsi="Bookman Old Style"/>
          <w:lang w:val="es-CO"/>
        </w:rPr>
        <w:t>tr</w:t>
      </w:r>
      <w:r w:rsidR="00D83923">
        <w:rPr>
          <w:rFonts w:ascii="Bookman Old Style" w:hAnsi="Bookman Old Style"/>
          <w:lang w:val="es-CO"/>
        </w:rPr>
        <w:t>á</w:t>
      </w:r>
      <w:r w:rsidR="00887CB0">
        <w:rPr>
          <w:rFonts w:ascii="Bookman Old Style" w:hAnsi="Bookman Old Style"/>
          <w:lang w:val="es-CO"/>
        </w:rPr>
        <w:t>mit</w:t>
      </w:r>
      <w:r w:rsidR="00D83923">
        <w:rPr>
          <w:rFonts w:ascii="Bookman Old Style" w:hAnsi="Bookman Old Style"/>
          <w:lang w:val="es-CO"/>
        </w:rPr>
        <w:t>e</w:t>
      </w:r>
      <w:r w:rsidR="00887CB0">
        <w:rPr>
          <w:rFonts w:ascii="Bookman Old Style" w:hAnsi="Bookman Old Style"/>
          <w:lang w:val="es-CO"/>
        </w:rPr>
        <w:t xml:space="preserve"> otra modificación de </w:t>
      </w:r>
      <w:proofErr w:type="spellStart"/>
      <w:r w:rsidR="00887CB0">
        <w:rPr>
          <w:rFonts w:ascii="Bookman Old Style" w:hAnsi="Bookman Old Style"/>
          <w:lang w:val="es-CO"/>
        </w:rPr>
        <w:t>FPO</w:t>
      </w:r>
      <w:proofErr w:type="spellEnd"/>
      <w:r w:rsidR="00887CB0">
        <w:rPr>
          <w:rFonts w:ascii="Bookman Old Style" w:hAnsi="Bookman Old Style"/>
          <w:lang w:val="es-CO"/>
        </w:rPr>
        <w:t>,</w:t>
      </w:r>
      <w:r w:rsidRPr="00131F23">
        <w:rPr>
          <w:rFonts w:ascii="Bookman Old Style" w:hAnsi="Bookman Old Style"/>
          <w:lang w:val="es-CO"/>
        </w:rPr>
        <w:t xml:space="preserve"> e informar el número de meses adicionales que s</w:t>
      </w:r>
      <w:r w:rsidR="00D83923">
        <w:rPr>
          <w:rFonts w:ascii="Bookman Old Style" w:hAnsi="Bookman Old Style"/>
          <w:lang w:val="es-CO"/>
        </w:rPr>
        <w:t>olicita</w:t>
      </w:r>
      <w:r w:rsidRPr="00131F23">
        <w:rPr>
          <w:rFonts w:ascii="Bookman Old Style" w:hAnsi="Bookman Old Style"/>
          <w:lang w:val="es-CO"/>
        </w:rPr>
        <w:t xml:space="preserve"> </w:t>
      </w:r>
      <w:r w:rsidR="007106B1">
        <w:rPr>
          <w:rFonts w:ascii="Bookman Old Style" w:hAnsi="Bookman Old Style"/>
          <w:lang w:val="es-CO"/>
        </w:rPr>
        <w:t xml:space="preserve">y la nueva </w:t>
      </w:r>
      <w:proofErr w:type="spellStart"/>
      <w:r w:rsidR="007106B1">
        <w:rPr>
          <w:rFonts w:ascii="Bookman Old Style" w:hAnsi="Bookman Old Style"/>
          <w:lang w:val="es-CO"/>
        </w:rPr>
        <w:t>FPO</w:t>
      </w:r>
      <w:proofErr w:type="spellEnd"/>
      <w:r w:rsidR="00D83923" w:rsidRPr="00D83923">
        <w:rPr>
          <w:rFonts w:ascii="Bookman Old Style" w:hAnsi="Bookman Old Style"/>
          <w:lang w:val="es-CO"/>
        </w:rPr>
        <w:t xml:space="preserve"> </w:t>
      </w:r>
      <w:r w:rsidR="00D83923" w:rsidRPr="00131F23">
        <w:rPr>
          <w:rFonts w:ascii="Bookman Old Style" w:hAnsi="Bookman Old Style"/>
          <w:lang w:val="es-CO"/>
        </w:rPr>
        <w:t>del proyecto</w:t>
      </w:r>
      <w:r w:rsidRPr="00131F23">
        <w:rPr>
          <w:rFonts w:ascii="Bookman Old Style" w:hAnsi="Bookman Old Style"/>
          <w:lang w:val="es-CO"/>
        </w:rPr>
        <w:t xml:space="preserve">. </w:t>
      </w:r>
      <w:r w:rsidR="00D83923">
        <w:rPr>
          <w:rFonts w:ascii="Bookman Old Style" w:hAnsi="Bookman Old Style"/>
          <w:lang w:val="es-CO"/>
        </w:rPr>
        <w:t>Con la radicación de la curva S ante la UPME, e</w:t>
      </w:r>
      <w:r w:rsidRPr="00131F23">
        <w:rPr>
          <w:rFonts w:ascii="Bookman Old Style" w:hAnsi="Bookman Old Style"/>
          <w:lang w:val="es-CO"/>
        </w:rPr>
        <w:t>l interesado deberá informa</w:t>
      </w:r>
      <w:r w:rsidR="00D83923">
        <w:rPr>
          <w:rFonts w:ascii="Bookman Old Style" w:hAnsi="Bookman Old Style"/>
          <w:lang w:val="es-CO"/>
        </w:rPr>
        <w:t>rle a esta Unidad que va</w:t>
      </w:r>
      <w:r w:rsidR="00A36DAD" w:rsidRPr="00131F23">
        <w:rPr>
          <w:rFonts w:ascii="Bookman Old Style" w:hAnsi="Bookman Old Style"/>
          <w:lang w:val="es-CO"/>
        </w:rPr>
        <w:t xml:space="preserve"> </w:t>
      </w:r>
      <w:r w:rsidR="00D83923">
        <w:rPr>
          <w:rFonts w:ascii="Bookman Old Style" w:hAnsi="Bookman Old Style"/>
          <w:lang w:val="es-CO"/>
        </w:rPr>
        <w:t>a</w:t>
      </w:r>
      <w:r w:rsidR="00A36DAD" w:rsidRPr="00131F23">
        <w:rPr>
          <w:rFonts w:ascii="Bookman Old Style" w:hAnsi="Bookman Old Style"/>
          <w:lang w:val="es-CO"/>
        </w:rPr>
        <w:t xml:space="preserve"> </w:t>
      </w:r>
      <w:r w:rsidR="00D83923">
        <w:rPr>
          <w:rFonts w:ascii="Bookman Old Style" w:hAnsi="Bookman Old Style"/>
          <w:lang w:val="es-CO"/>
        </w:rPr>
        <w:t>hacer uso de la alternativa</w:t>
      </w:r>
      <w:r w:rsidR="00FE230B" w:rsidRPr="00131F23">
        <w:rPr>
          <w:rFonts w:ascii="Bookman Old Style" w:hAnsi="Bookman Old Style"/>
          <w:lang w:val="es-CO"/>
        </w:rPr>
        <w:t xml:space="preserve"> </w:t>
      </w:r>
      <w:r w:rsidR="00D83923">
        <w:rPr>
          <w:rFonts w:ascii="Bookman Old Style" w:hAnsi="Bookman Old Style"/>
          <w:lang w:val="es-CO"/>
        </w:rPr>
        <w:t>descrita en este literal</w:t>
      </w:r>
      <w:r w:rsidRPr="00131F23">
        <w:rPr>
          <w:rFonts w:ascii="Bookman Old Style" w:hAnsi="Bookman Old Style"/>
          <w:lang w:val="es-CO"/>
        </w:rPr>
        <w:t>.</w:t>
      </w:r>
    </w:p>
    <w:p w14:paraId="095E426A" w14:textId="37FC2E0C" w:rsidR="007944C0" w:rsidRPr="00131F23" w:rsidRDefault="007944C0" w:rsidP="007944C0">
      <w:pPr>
        <w:spacing w:before="240"/>
        <w:ind w:left="708"/>
        <w:jc w:val="both"/>
        <w:rPr>
          <w:rFonts w:ascii="Bookman Old Style" w:hAnsi="Bookman Old Style"/>
          <w:lang w:val="es-CO"/>
        </w:rPr>
      </w:pPr>
      <w:r w:rsidRPr="00131F23">
        <w:rPr>
          <w:rFonts w:ascii="Bookman Old Style" w:hAnsi="Bookman Old Style"/>
          <w:lang w:val="es-CO"/>
        </w:rPr>
        <w:t>Para aprobar esta garantía se deberá</w:t>
      </w:r>
      <w:r w:rsidR="00271CAD">
        <w:rPr>
          <w:rFonts w:ascii="Bookman Old Style" w:hAnsi="Bookman Old Style"/>
          <w:lang w:val="es-CO"/>
        </w:rPr>
        <w:t>n</w:t>
      </w:r>
      <w:r w:rsidRPr="00131F23">
        <w:rPr>
          <w:rFonts w:ascii="Bookman Old Style" w:hAnsi="Bookman Old Style"/>
          <w:lang w:val="es-CO"/>
        </w:rPr>
        <w:t xml:space="preserve"> atender las cond</w:t>
      </w:r>
      <w:r w:rsidR="007106B1">
        <w:rPr>
          <w:rFonts w:ascii="Bookman Old Style" w:hAnsi="Bookman Old Style"/>
          <w:lang w:val="es-CO"/>
        </w:rPr>
        <w:t>i</w:t>
      </w:r>
      <w:r w:rsidRPr="00131F23">
        <w:rPr>
          <w:rFonts w:ascii="Bookman Old Style" w:hAnsi="Bookman Old Style"/>
          <w:lang w:val="es-CO"/>
        </w:rPr>
        <w:t xml:space="preserve">ciones de las garantías definidas en el anexo de la presente resolución. El </w:t>
      </w:r>
      <w:proofErr w:type="spellStart"/>
      <w:r w:rsidRPr="00131F23">
        <w:rPr>
          <w:rFonts w:ascii="Bookman Old Style" w:hAnsi="Bookman Old Style"/>
          <w:lang w:val="es-CO"/>
        </w:rPr>
        <w:t>ASIC</w:t>
      </w:r>
      <w:proofErr w:type="spellEnd"/>
      <w:r w:rsidRPr="00131F23">
        <w:rPr>
          <w:rFonts w:ascii="Bookman Old Style" w:hAnsi="Bookman Old Style"/>
          <w:lang w:val="es-CO"/>
        </w:rPr>
        <w:t xml:space="preserve"> deberá verificar que el valor de cobertura haya sido actualizado según las disposiciones establecidas en este artículo</w:t>
      </w:r>
      <w:r w:rsidR="007106B1">
        <w:rPr>
          <w:rFonts w:ascii="Bookman Old Style" w:hAnsi="Bookman Old Style"/>
          <w:lang w:val="es-CO"/>
        </w:rPr>
        <w:t xml:space="preserve"> y que ha recibido los documentos referidos en el párrafo anterior</w:t>
      </w:r>
      <w:r w:rsidRPr="00131F23">
        <w:rPr>
          <w:rFonts w:ascii="Bookman Old Style" w:hAnsi="Bookman Old Style"/>
          <w:lang w:val="es-CO"/>
        </w:rPr>
        <w:t>.</w:t>
      </w:r>
    </w:p>
    <w:p w14:paraId="002699F4" w14:textId="63E4ACA8" w:rsidR="007944C0" w:rsidRPr="00131F23" w:rsidRDefault="007944C0" w:rsidP="007944C0">
      <w:pPr>
        <w:spacing w:before="240"/>
        <w:ind w:left="708"/>
        <w:jc w:val="both"/>
        <w:rPr>
          <w:rFonts w:ascii="Bookman Old Style" w:hAnsi="Bookman Old Style"/>
          <w:i/>
          <w:lang w:val="es-CO"/>
        </w:rPr>
      </w:pPr>
      <w:r w:rsidRPr="00131F23">
        <w:rPr>
          <w:rFonts w:ascii="Bookman Old Style" w:hAnsi="Bookman Old Style"/>
          <w:lang w:val="es-CO"/>
        </w:rPr>
        <w:t xml:space="preserve">Cuando a través de esta disposición se requiera modificar la </w:t>
      </w:r>
      <w:proofErr w:type="spellStart"/>
      <w:r w:rsidRPr="00131F23">
        <w:rPr>
          <w:rFonts w:ascii="Bookman Old Style" w:hAnsi="Bookman Old Style"/>
          <w:lang w:val="es-CO"/>
        </w:rPr>
        <w:t>FPO</w:t>
      </w:r>
      <w:proofErr w:type="spellEnd"/>
      <w:r w:rsidRPr="00131F23">
        <w:rPr>
          <w:rFonts w:ascii="Bookman Old Style" w:hAnsi="Bookman Old Style"/>
          <w:lang w:val="es-CO"/>
        </w:rPr>
        <w:t xml:space="preserve"> de un proyecto para el que no se haya otorgado la garantía para reserva de capacidad, por haberse dado aplicación a lo dispuesto en el parágrafo 1 del artículo 24 de la presente resolución se deberá estimar el valor de cobertura que tendría la garantía para reserva de capacidad, incluyendo la actualización del valor de la cobertura. </w:t>
      </w:r>
      <w:r w:rsidR="00271CAD">
        <w:rPr>
          <w:rFonts w:ascii="Bookman Old Style" w:hAnsi="Bookman Old Style"/>
          <w:lang w:val="es-CO"/>
        </w:rPr>
        <w:t>Si</w:t>
      </w:r>
      <w:r w:rsidRPr="00131F23">
        <w:rPr>
          <w:rFonts w:ascii="Bookman Old Style" w:hAnsi="Bookman Old Style"/>
          <w:lang w:val="es-CO"/>
        </w:rPr>
        <w:t xml:space="preserve"> el valor estimado actualizado super</w:t>
      </w:r>
      <w:r w:rsidR="00271CAD">
        <w:rPr>
          <w:rFonts w:ascii="Bookman Old Style" w:hAnsi="Bookman Old Style"/>
          <w:lang w:val="es-CO"/>
        </w:rPr>
        <w:t>a</w:t>
      </w:r>
      <w:r w:rsidRPr="00131F23">
        <w:rPr>
          <w:rFonts w:ascii="Bookman Old Style" w:hAnsi="Bookman Old Style"/>
          <w:lang w:val="es-CO"/>
        </w:rPr>
        <w:t xml:space="preserve"> el valor </w:t>
      </w:r>
      <w:r w:rsidR="00271CAD">
        <w:rPr>
          <w:rFonts w:ascii="Bookman Old Style" w:hAnsi="Bookman Old Style"/>
          <w:lang w:val="es-CO"/>
        </w:rPr>
        <w:t xml:space="preserve">real </w:t>
      </w:r>
      <w:r w:rsidRPr="00131F23">
        <w:rPr>
          <w:rFonts w:ascii="Bookman Old Style" w:hAnsi="Bookman Old Style"/>
          <w:lang w:val="es-CO"/>
        </w:rPr>
        <w:t xml:space="preserve">de la cobertura de la garantía que se tenga vigente, deberá otorgarse la garantía para reserva de capacidad con el valor de cobertura actualizado, para poder modificar la </w:t>
      </w:r>
      <w:proofErr w:type="spellStart"/>
      <w:r w:rsidRPr="00131F23">
        <w:rPr>
          <w:rFonts w:ascii="Bookman Old Style" w:hAnsi="Bookman Old Style"/>
          <w:lang w:val="es-CO"/>
        </w:rPr>
        <w:t>FPO</w:t>
      </w:r>
      <w:proofErr w:type="spellEnd"/>
      <w:r w:rsidRPr="00131F23">
        <w:rPr>
          <w:rFonts w:ascii="Bookman Old Style" w:hAnsi="Bookman Old Style"/>
          <w:lang w:val="es-CO"/>
        </w:rPr>
        <w:t>.</w:t>
      </w:r>
    </w:p>
    <w:p w14:paraId="63ECD704" w14:textId="714B2641" w:rsidR="007944C0" w:rsidRPr="00131F23" w:rsidRDefault="007944C0" w:rsidP="007944C0">
      <w:pPr>
        <w:spacing w:before="240"/>
        <w:ind w:left="708"/>
        <w:jc w:val="both"/>
        <w:rPr>
          <w:rFonts w:ascii="Bookman Old Style" w:hAnsi="Bookman Old Style"/>
          <w:i/>
          <w:lang w:val="es-CO"/>
        </w:rPr>
      </w:pPr>
      <w:r w:rsidRPr="00131F23">
        <w:rPr>
          <w:rFonts w:ascii="Bookman Old Style" w:hAnsi="Bookman Old Style"/>
          <w:lang w:val="es-CO"/>
        </w:rPr>
        <w:t xml:space="preserve">La </w:t>
      </w:r>
      <w:proofErr w:type="spellStart"/>
      <w:r w:rsidRPr="00131F23">
        <w:rPr>
          <w:rFonts w:ascii="Bookman Old Style" w:hAnsi="Bookman Old Style"/>
          <w:lang w:val="es-CO"/>
        </w:rPr>
        <w:t>FPO</w:t>
      </w:r>
      <w:proofErr w:type="spellEnd"/>
      <w:r w:rsidRPr="00131F23">
        <w:rPr>
          <w:rFonts w:ascii="Bookman Old Style" w:hAnsi="Bookman Old Style"/>
          <w:lang w:val="es-CO"/>
        </w:rPr>
        <w:t xml:space="preserve"> del proyecto quedará aprobada y modificada a partir de la fecha en la que el </w:t>
      </w:r>
      <w:proofErr w:type="spellStart"/>
      <w:r w:rsidRPr="00131F23">
        <w:rPr>
          <w:rFonts w:ascii="Bookman Old Style" w:hAnsi="Bookman Old Style"/>
          <w:lang w:val="es-CO"/>
        </w:rPr>
        <w:t>ASIC</w:t>
      </w:r>
      <w:proofErr w:type="spellEnd"/>
      <w:r w:rsidRPr="00131F23">
        <w:rPr>
          <w:rFonts w:ascii="Bookman Old Style" w:hAnsi="Bookman Old Style"/>
          <w:lang w:val="es-CO"/>
        </w:rPr>
        <w:t xml:space="preserve"> informe al interesado de dicho proyecto sobre la aceptación de la garantía presentada.</w:t>
      </w:r>
    </w:p>
    <w:p w14:paraId="1001A932" w14:textId="6082383F" w:rsidR="007944C0" w:rsidRPr="00131F23" w:rsidRDefault="007944C0" w:rsidP="007944C0">
      <w:pPr>
        <w:spacing w:before="240"/>
        <w:ind w:left="708"/>
        <w:jc w:val="both"/>
        <w:rPr>
          <w:rFonts w:ascii="Bookman Old Style" w:hAnsi="Bookman Old Style"/>
          <w:lang w:val="es-CO"/>
        </w:rPr>
      </w:pPr>
      <w:r w:rsidRPr="00131F23">
        <w:rPr>
          <w:rFonts w:ascii="Bookman Old Style" w:hAnsi="Bookman Old Style"/>
          <w:lang w:val="es-CO"/>
        </w:rPr>
        <w:t xml:space="preserve">Cuando el </w:t>
      </w:r>
      <w:proofErr w:type="spellStart"/>
      <w:r w:rsidRPr="00131F23">
        <w:rPr>
          <w:rFonts w:ascii="Bookman Old Style" w:hAnsi="Bookman Old Style"/>
          <w:lang w:val="es-CO"/>
        </w:rPr>
        <w:t>ASIC</w:t>
      </w:r>
      <w:proofErr w:type="spellEnd"/>
      <w:r w:rsidRPr="00131F23">
        <w:rPr>
          <w:rFonts w:ascii="Bookman Old Style" w:hAnsi="Bookman Old Style"/>
          <w:lang w:val="es-CO"/>
        </w:rPr>
        <w:t xml:space="preserve"> apruebe la garantía deberá informárselo a la UPME, </w:t>
      </w:r>
      <w:r w:rsidR="00F705FA" w:rsidRPr="00131F23">
        <w:rPr>
          <w:rFonts w:ascii="Bookman Old Style" w:hAnsi="Bookman Old Style"/>
          <w:lang w:val="es-CO"/>
        </w:rPr>
        <w:t xml:space="preserve">mediante </w:t>
      </w:r>
      <w:r w:rsidR="007106B1">
        <w:rPr>
          <w:rFonts w:ascii="Bookman Old Style" w:hAnsi="Bookman Old Style"/>
          <w:lang w:val="es-CO"/>
        </w:rPr>
        <w:t xml:space="preserve">el </w:t>
      </w:r>
      <w:r w:rsidR="00F705FA" w:rsidRPr="00131F23">
        <w:rPr>
          <w:rFonts w:ascii="Bookman Old Style" w:hAnsi="Bookman Old Style"/>
          <w:lang w:val="es-CO"/>
        </w:rPr>
        <w:t xml:space="preserve">mecanismo </w:t>
      </w:r>
      <w:r w:rsidR="007106B1">
        <w:rPr>
          <w:rFonts w:ascii="Bookman Old Style" w:hAnsi="Bookman Old Style"/>
          <w:lang w:val="es-CO"/>
        </w:rPr>
        <w:t xml:space="preserve">que acuerden estas dos entidades, </w:t>
      </w:r>
      <w:r w:rsidRPr="00131F23">
        <w:rPr>
          <w:rFonts w:ascii="Bookman Old Style" w:hAnsi="Bookman Old Style"/>
          <w:lang w:val="es-CO"/>
        </w:rPr>
        <w:t xml:space="preserve">con el fin de que </w:t>
      </w:r>
      <w:r w:rsidR="007106B1">
        <w:rPr>
          <w:rFonts w:ascii="Bookman Old Style" w:hAnsi="Bookman Old Style"/>
          <w:lang w:val="es-CO"/>
        </w:rPr>
        <w:t>la UPME</w:t>
      </w:r>
      <w:r w:rsidRPr="00131F23">
        <w:rPr>
          <w:rFonts w:ascii="Bookman Old Style" w:hAnsi="Bookman Old Style"/>
          <w:lang w:val="es-CO"/>
        </w:rPr>
        <w:t xml:space="preserve"> mantenga actualizada la información de la </w:t>
      </w:r>
      <w:proofErr w:type="spellStart"/>
      <w:r w:rsidRPr="00131F23">
        <w:rPr>
          <w:rFonts w:ascii="Bookman Old Style" w:hAnsi="Bookman Old Style"/>
          <w:lang w:val="es-CO"/>
        </w:rPr>
        <w:t>FPO</w:t>
      </w:r>
      <w:proofErr w:type="spellEnd"/>
      <w:r w:rsidRPr="00131F23">
        <w:rPr>
          <w:rFonts w:ascii="Bookman Old Style" w:hAnsi="Bookman Old Style"/>
          <w:lang w:val="es-CO"/>
        </w:rPr>
        <w:t xml:space="preserve"> de los proyectos. </w:t>
      </w:r>
      <w:r w:rsidR="0095137D">
        <w:rPr>
          <w:rFonts w:ascii="Bookman Old Style" w:hAnsi="Bookman Old Style"/>
          <w:lang w:val="es-CO"/>
        </w:rPr>
        <w:t>L</w:t>
      </w:r>
      <w:r w:rsidR="0028223F">
        <w:rPr>
          <w:rFonts w:ascii="Bookman Old Style" w:hAnsi="Bookman Old Style"/>
          <w:lang w:val="es-CO"/>
        </w:rPr>
        <w:t xml:space="preserve">a </w:t>
      </w:r>
      <w:r w:rsidR="007106B1">
        <w:rPr>
          <w:rFonts w:ascii="Bookman Old Style" w:hAnsi="Bookman Old Style"/>
          <w:lang w:val="es-CO"/>
        </w:rPr>
        <w:t xml:space="preserve">UPME </w:t>
      </w:r>
      <w:r w:rsidR="0028223F">
        <w:rPr>
          <w:rFonts w:ascii="Bookman Old Style" w:hAnsi="Bookman Old Style"/>
          <w:lang w:val="es-CO"/>
        </w:rPr>
        <w:t xml:space="preserve">deberá entregar </w:t>
      </w:r>
      <w:r w:rsidR="00CA4540">
        <w:rPr>
          <w:rFonts w:ascii="Bookman Old Style" w:hAnsi="Bookman Old Style"/>
          <w:lang w:val="es-CO"/>
        </w:rPr>
        <w:t>un</w:t>
      </w:r>
      <w:r w:rsidR="007106B1">
        <w:rPr>
          <w:rFonts w:ascii="Bookman Old Style" w:hAnsi="Bookman Old Style"/>
          <w:lang w:val="es-CO"/>
        </w:rPr>
        <w:t xml:space="preserve">a constancia donde se informe la </w:t>
      </w:r>
      <w:proofErr w:type="spellStart"/>
      <w:r w:rsidR="007106B1">
        <w:rPr>
          <w:rFonts w:ascii="Bookman Old Style" w:hAnsi="Bookman Old Style"/>
          <w:lang w:val="es-CO"/>
        </w:rPr>
        <w:t>FPO</w:t>
      </w:r>
      <w:proofErr w:type="spellEnd"/>
      <w:r w:rsidR="007106B1">
        <w:rPr>
          <w:rFonts w:ascii="Bookman Old Style" w:hAnsi="Bookman Old Style"/>
          <w:lang w:val="es-CO"/>
        </w:rPr>
        <w:t xml:space="preserve"> vigente para </w:t>
      </w:r>
      <w:r w:rsidR="00DB64AD">
        <w:rPr>
          <w:rFonts w:ascii="Bookman Old Style" w:hAnsi="Bookman Old Style"/>
          <w:lang w:val="es-CO"/>
        </w:rPr>
        <w:t>un</w:t>
      </w:r>
      <w:r w:rsidR="007106B1">
        <w:rPr>
          <w:rFonts w:ascii="Bookman Old Style" w:hAnsi="Bookman Old Style"/>
          <w:lang w:val="es-CO"/>
        </w:rPr>
        <w:t xml:space="preserve"> proyecto</w:t>
      </w:r>
      <w:r w:rsidR="00DB64AD">
        <w:rPr>
          <w:rFonts w:ascii="Bookman Old Style" w:hAnsi="Bookman Old Style"/>
          <w:lang w:val="es-CO"/>
        </w:rPr>
        <w:t>, cuando la solicite</w:t>
      </w:r>
      <w:r w:rsidR="0028223F">
        <w:rPr>
          <w:rFonts w:ascii="Bookman Old Style" w:hAnsi="Bookman Old Style"/>
          <w:lang w:val="es-CO"/>
        </w:rPr>
        <w:t xml:space="preserve"> </w:t>
      </w:r>
      <w:r w:rsidR="00DB64AD">
        <w:rPr>
          <w:rFonts w:ascii="Bookman Old Style" w:hAnsi="Bookman Old Style"/>
          <w:lang w:val="es-CO"/>
        </w:rPr>
        <w:t xml:space="preserve">el interesado </w:t>
      </w:r>
      <w:r w:rsidR="0028223F">
        <w:rPr>
          <w:rFonts w:ascii="Bookman Old Style" w:hAnsi="Bookman Old Style"/>
          <w:lang w:val="es-CO"/>
        </w:rPr>
        <w:t>responsable</w:t>
      </w:r>
      <w:r w:rsidR="00DB64AD">
        <w:rPr>
          <w:rFonts w:ascii="Bookman Old Style" w:hAnsi="Bookman Old Style"/>
          <w:lang w:val="es-CO"/>
        </w:rPr>
        <w:t xml:space="preserve"> de este</w:t>
      </w:r>
      <w:r w:rsidR="007106B1">
        <w:rPr>
          <w:rFonts w:ascii="Bookman Old Style" w:hAnsi="Bookman Old Style"/>
          <w:lang w:val="es-CO"/>
        </w:rPr>
        <w:t>.</w:t>
      </w:r>
    </w:p>
    <w:p w14:paraId="2AC4A4E1" w14:textId="77777777" w:rsidR="007944C0" w:rsidRPr="00131F23" w:rsidRDefault="007944C0" w:rsidP="007944C0">
      <w:pPr>
        <w:spacing w:before="240"/>
        <w:ind w:left="708"/>
        <w:jc w:val="both"/>
        <w:rPr>
          <w:rFonts w:ascii="Bookman Old Style" w:hAnsi="Bookman Old Style"/>
          <w:lang w:val="es-CO"/>
        </w:rPr>
      </w:pPr>
      <w:r w:rsidRPr="00131F23">
        <w:rPr>
          <w:rFonts w:ascii="Bookman Old Style" w:hAnsi="Bookman Old Style"/>
          <w:lang w:val="es-CO"/>
        </w:rPr>
        <w:t xml:space="preserve">Para la modificación de la </w:t>
      </w:r>
      <w:proofErr w:type="spellStart"/>
      <w:r w:rsidRPr="00131F23">
        <w:rPr>
          <w:rFonts w:ascii="Bookman Old Style" w:hAnsi="Bookman Old Style"/>
          <w:lang w:val="es-CO"/>
        </w:rPr>
        <w:t>FPO</w:t>
      </w:r>
      <w:proofErr w:type="spellEnd"/>
      <w:r w:rsidRPr="00131F23">
        <w:rPr>
          <w:rFonts w:ascii="Bookman Old Style" w:hAnsi="Bookman Old Style"/>
          <w:lang w:val="es-CO"/>
        </w:rPr>
        <w:t xml:space="preserve"> a través de este literal se deberá aplicar la regla que corresponda al proyecto, dependiendo de las siguientes situaciones: </w:t>
      </w:r>
    </w:p>
    <w:p w14:paraId="54F60AAD" w14:textId="7EB4BB73" w:rsidR="007944C0" w:rsidRPr="00131F23" w:rsidRDefault="007944C0" w:rsidP="007944C0">
      <w:pPr>
        <w:numPr>
          <w:ilvl w:val="0"/>
          <w:numId w:val="20"/>
        </w:numPr>
        <w:spacing w:before="240"/>
        <w:jc w:val="both"/>
        <w:rPr>
          <w:rFonts w:ascii="Bookman Old Style" w:hAnsi="Bookman Old Style"/>
          <w:bCs/>
          <w:kern w:val="28"/>
          <w:lang w:val="es-CO" w:eastAsia="es-CO"/>
        </w:rPr>
      </w:pPr>
      <w:bookmarkStart w:id="8" w:name="_Ref175032452"/>
      <w:r w:rsidRPr="00131F23">
        <w:rPr>
          <w:rFonts w:ascii="Bookman Old Style" w:hAnsi="Bookman Old Style"/>
          <w:b/>
          <w:bCs/>
          <w:kern w:val="28"/>
          <w:lang w:val="es-CO" w:eastAsia="es-CO"/>
        </w:rPr>
        <w:t>Proyectos que no han actualizado el valor de la garantía.</w:t>
      </w:r>
      <w:r w:rsidRPr="00131F23">
        <w:rPr>
          <w:rFonts w:ascii="Bookman Old Style" w:hAnsi="Bookman Old Style"/>
          <w:bCs/>
          <w:kern w:val="28"/>
          <w:lang w:val="es-CO" w:eastAsia="es-CO"/>
        </w:rPr>
        <w:t xml:space="preserve"> Los proyectos que antes del </w:t>
      </w:r>
      <w:r w:rsidR="00887CB0">
        <w:rPr>
          <w:rFonts w:ascii="Bookman Old Style" w:hAnsi="Bookman Old Style"/>
          <w:bCs/>
          <w:kern w:val="28"/>
          <w:lang w:val="es-CO" w:eastAsia="es-CO"/>
        </w:rPr>
        <w:t>26 de agosto</w:t>
      </w:r>
      <w:r w:rsidRPr="00131F23">
        <w:rPr>
          <w:rFonts w:ascii="Bookman Old Style" w:hAnsi="Bookman Old Style"/>
          <w:bCs/>
          <w:kern w:val="28"/>
          <w:lang w:val="es-CO" w:eastAsia="es-CO"/>
        </w:rPr>
        <w:t xml:space="preserve"> de 2024 no hayan modificado la </w:t>
      </w:r>
      <w:proofErr w:type="spellStart"/>
      <w:r w:rsidRPr="00131F23">
        <w:rPr>
          <w:rFonts w:ascii="Bookman Old Style" w:hAnsi="Bookman Old Style"/>
          <w:bCs/>
          <w:kern w:val="28"/>
          <w:lang w:val="es-CO" w:eastAsia="es-CO"/>
        </w:rPr>
        <w:t>FPO</w:t>
      </w:r>
      <w:proofErr w:type="spellEnd"/>
      <w:r w:rsidRPr="00131F23">
        <w:rPr>
          <w:rFonts w:ascii="Bookman Old Style" w:hAnsi="Bookman Old Style"/>
          <w:bCs/>
          <w:kern w:val="28"/>
          <w:lang w:val="es-CO" w:eastAsia="es-CO"/>
        </w:rPr>
        <w:t xml:space="preserve"> a través de la actualización del valor de cobertura de la garantía, deberán aplicar la siguiente fórmula:</w:t>
      </w:r>
      <w:bookmarkEnd w:id="8"/>
    </w:p>
    <w:p w14:paraId="7E047EDD" w14:textId="77777777" w:rsidR="007944C0" w:rsidRPr="00131F23" w:rsidRDefault="007944C0" w:rsidP="007944C0">
      <w:pPr>
        <w:spacing w:before="240"/>
        <w:ind w:left="862"/>
        <w:jc w:val="both"/>
        <w:rPr>
          <w:rFonts w:ascii="Bookman Old Style" w:hAnsi="Bookman Old Style"/>
          <w:i/>
          <w:iCs/>
          <w:lang w:val="es-CO"/>
        </w:rPr>
      </w:pPr>
      <m:oMathPara>
        <m:oMath>
          <m:r>
            <w:rPr>
              <w:rFonts w:ascii="Cambria Math" w:hAnsi="Cambria Math"/>
              <w:lang w:val="es-CO"/>
            </w:rPr>
            <m:t>VAG=VUG+</m:t>
          </m:r>
          <m:d>
            <m:dPr>
              <m:ctrlPr>
                <w:rPr>
                  <w:rFonts w:ascii="Cambria Math" w:hAnsi="Cambria Math"/>
                  <w:i/>
                  <w:iCs/>
                  <w:lang w:val="es-CO"/>
                </w:rPr>
              </m:ctrlPr>
            </m:dPr>
            <m:e>
              <m:f>
                <m:fPr>
                  <m:ctrlPr>
                    <w:rPr>
                      <w:rFonts w:ascii="Cambria Math" w:hAnsi="Cambria Math"/>
                      <w:i/>
                      <w:iCs/>
                      <w:lang w:val="es-CO"/>
                    </w:rPr>
                  </m:ctrlPr>
                </m:fPr>
                <m:num>
                  <m:r>
                    <w:rPr>
                      <w:rFonts w:ascii="Cambria Math" w:hAnsi="Cambria Math"/>
                      <w:lang w:val="es-CO"/>
                    </w:rPr>
                    <m:t>VUG</m:t>
                  </m:r>
                </m:num>
                <m:den>
                  <m:r>
                    <w:rPr>
                      <w:rFonts w:ascii="Cambria Math" w:hAnsi="Cambria Math"/>
                      <w:lang w:val="es-CO"/>
                    </w:rPr>
                    <m:t>12</m:t>
                  </m:r>
                </m:den>
              </m:f>
              <m:r>
                <w:rPr>
                  <w:rFonts w:ascii="Cambria Math" w:hAnsi="Cambria Math"/>
                  <w:lang w:val="es-CO"/>
                </w:rPr>
                <m:t>*MA</m:t>
              </m:r>
            </m:e>
          </m:d>
        </m:oMath>
      </m:oMathPara>
    </w:p>
    <w:p w14:paraId="0D83D355" w14:textId="77777777" w:rsidR="007944C0" w:rsidRPr="00131F23" w:rsidRDefault="007944C0" w:rsidP="007944C0">
      <w:pPr>
        <w:spacing w:before="240"/>
        <w:ind w:left="1416"/>
        <w:jc w:val="both"/>
        <w:rPr>
          <w:rFonts w:ascii="Bookman Old Style" w:hAnsi="Bookman Old Style"/>
          <w:kern w:val="28"/>
          <w:lang w:val="es-CO" w:eastAsia="es-CO"/>
        </w:rPr>
      </w:pPr>
      <w:r w:rsidRPr="00131F23">
        <w:rPr>
          <w:rFonts w:ascii="Bookman Old Style" w:hAnsi="Bookman Old Style"/>
          <w:kern w:val="28"/>
          <w:lang w:val="es-CO" w:eastAsia="es-CO"/>
        </w:rPr>
        <w:lastRenderedPageBreak/>
        <w:t>Donde:</w:t>
      </w:r>
    </w:p>
    <w:tbl>
      <w:tblPr>
        <w:tblStyle w:val="Tablaconcuadrculaclara1"/>
        <w:tblW w:w="8133" w:type="dxa"/>
        <w:tblInd w:w="1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7284"/>
      </w:tblGrid>
      <w:tr w:rsidR="007944C0" w:rsidRPr="00131F23" w14:paraId="3C926F64" w14:textId="77777777" w:rsidTr="00726CF8">
        <w:trPr>
          <w:trHeight w:val="556"/>
        </w:trPr>
        <w:tc>
          <w:tcPr>
            <w:tcW w:w="0" w:type="auto"/>
          </w:tcPr>
          <w:p w14:paraId="154F1EDA" w14:textId="77777777" w:rsidR="007944C0" w:rsidRPr="00131F23" w:rsidRDefault="007944C0" w:rsidP="007944C0">
            <w:pPr>
              <w:spacing w:before="240"/>
              <w:ind w:left="0"/>
              <w:jc w:val="both"/>
              <w:rPr>
                <w:rFonts w:ascii="Bookman Old Style" w:hAnsi="Bookman Old Style"/>
                <w:i/>
                <w:iCs/>
              </w:rPr>
            </w:pPr>
            <w:proofErr w:type="spellStart"/>
            <w:r w:rsidRPr="00131F23">
              <w:rPr>
                <w:rFonts w:ascii="Bookman Old Style" w:hAnsi="Bookman Old Style"/>
                <w:i/>
                <w:iCs/>
              </w:rPr>
              <w:t>VAG</w:t>
            </w:r>
            <w:proofErr w:type="spellEnd"/>
            <w:r w:rsidRPr="00131F23">
              <w:rPr>
                <w:rFonts w:ascii="Bookman Old Style" w:hAnsi="Bookman Old Style"/>
                <w:i/>
                <w:iCs/>
              </w:rPr>
              <w:t>:</w:t>
            </w:r>
          </w:p>
        </w:tc>
        <w:tc>
          <w:tcPr>
            <w:tcW w:w="7284" w:type="dxa"/>
          </w:tcPr>
          <w:p w14:paraId="175F42CD" w14:textId="77777777" w:rsidR="007944C0" w:rsidRPr="00131F23" w:rsidRDefault="007944C0" w:rsidP="007944C0">
            <w:pPr>
              <w:spacing w:before="240"/>
              <w:ind w:left="0"/>
              <w:jc w:val="both"/>
              <w:rPr>
                <w:rFonts w:ascii="Bookman Old Style" w:hAnsi="Bookman Old Style"/>
              </w:rPr>
            </w:pPr>
            <w:r w:rsidRPr="00131F23">
              <w:rPr>
                <w:rFonts w:ascii="Bookman Old Style" w:hAnsi="Bookman Old Style"/>
              </w:rPr>
              <w:t xml:space="preserve">Valor actualizado de la garantía. </w:t>
            </w:r>
          </w:p>
        </w:tc>
      </w:tr>
      <w:tr w:rsidR="007944C0" w:rsidRPr="00131F23" w14:paraId="6F878AE4" w14:textId="77777777" w:rsidTr="00726CF8">
        <w:trPr>
          <w:trHeight w:val="853"/>
        </w:trPr>
        <w:tc>
          <w:tcPr>
            <w:tcW w:w="0" w:type="auto"/>
          </w:tcPr>
          <w:p w14:paraId="58C81CA7" w14:textId="77777777" w:rsidR="007944C0" w:rsidRPr="00131F23" w:rsidRDefault="007944C0" w:rsidP="007944C0">
            <w:pPr>
              <w:spacing w:before="240"/>
              <w:ind w:left="0"/>
              <w:jc w:val="both"/>
              <w:rPr>
                <w:rFonts w:ascii="Bookman Old Style" w:hAnsi="Bookman Old Style"/>
                <w:i/>
                <w:iCs/>
              </w:rPr>
            </w:pPr>
            <w:proofErr w:type="spellStart"/>
            <w:r w:rsidRPr="00131F23">
              <w:rPr>
                <w:rFonts w:ascii="Bookman Old Style" w:hAnsi="Bookman Old Style"/>
                <w:i/>
                <w:iCs/>
              </w:rPr>
              <w:t>VUG</w:t>
            </w:r>
            <w:proofErr w:type="spellEnd"/>
            <w:r w:rsidRPr="00131F23">
              <w:rPr>
                <w:rFonts w:ascii="Bookman Old Style" w:hAnsi="Bookman Old Style"/>
                <w:i/>
                <w:iCs/>
              </w:rPr>
              <w:t>:</w:t>
            </w:r>
          </w:p>
        </w:tc>
        <w:tc>
          <w:tcPr>
            <w:tcW w:w="7284" w:type="dxa"/>
          </w:tcPr>
          <w:p w14:paraId="10001DE5" w14:textId="5F6BD4DA" w:rsidR="007944C0" w:rsidRPr="00131F23" w:rsidRDefault="00861D97" w:rsidP="007944C0">
            <w:pPr>
              <w:spacing w:before="240"/>
              <w:ind w:left="0"/>
              <w:jc w:val="both"/>
              <w:rPr>
                <w:rFonts w:ascii="Bookman Old Style" w:hAnsi="Bookman Old Style"/>
              </w:rPr>
            </w:pPr>
            <w:r w:rsidRPr="00131F23">
              <w:rPr>
                <w:rFonts w:ascii="Bookman Old Style" w:hAnsi="Bookman Old Style"/>
              </w:rPr>
              <w:t xml:space="preserve">Último valor de la cobertura calculado </w:t>
            </w:r>
            <w:r w:rsidR="00191268" w:rsidRPr="00131F23">
              <w:rPr>
                <w:rFonts w:ascii="Bookman Old Style" w:hAnsi="Bookman Old Style"/>
              </w:rPr>
              <w:t xml:space="preserve">para el proyecto </w:t>
            </w:r>
            <w:r w:rsidRPr="00131F23">
              <w:rPr>
                <w:rFonts w:ascii="Bookman Old Style" w:hAnsi="Bookman Old Style"/>
              </w:rPr>
              <w:t>según la Resolución CREG 075 de 2021</w:t>
            </w:r>
            <w:r w:rsidR="007944C0" w:rsidRPr="00131F23">
              <w:rPr>
                <w:rFonts w:ascii="Bookman Old Style" w:hAnsi="Bookman Old Style"/>
              </w:rPr>
              <w:t>.</w:t>
            </w:r>
          </w:p>
        </w:tc>
      </w:tr>
      <w:tr w:rsidR="007944C0" w:rsidRPr="00131F23" w14:paraId="386CE04F" w14:textId="77777777" w:rsidTr="00726CF8">
        <w:trPr>
          <w:trHeight w:val="556"/>
        </w:trPr>
        <w:tc>
          <w:tcPr>
            <w:tcW w:w="0" w:type="auto"/>
            <w:shd w:val="clear" w:color="auto" w:fill="auto"/>
          </w:tcPr>
          <w:p w14:paraId="3DE84F94" w14:textId="77777777" w:rsidR="007944C0" w:rsidRPr="00131F23" w:rsidRDefault="007944C0" w:rsidP="007944C0">
            <w:pPr>
              <w:spacing w:before="240"/>
              <w:ind w:left="0"/>
              <w:jc w:val="both"/>
              <w:rPr>
                <w:rFonts w:ascii="Bookman Old Style" w:hAnsi="Bookman Old Style"/>
                <w:i/>
                <w:iCs/>
              </w:rPr>
            </w:pPr>
            <w:r w:rsidRPr="00131F23">
              <w:rPr>
                <w:rFonts w:ascii="Bookman Old Style" w:hAnsi="Bookman Old Style"/>
                <w:i/>
                <w:iCs/>
              </w:rPr>
              <w:t>MA:</w:t>
            </w:r>
          </w:p>
        </w:tc>
        <w:tc>
          <w:tcPr>
            <w:tcW w:w="7284" w:type="dxa"/>
            <w:shd w:val="clear" w:color="auto" w:fill="auto"/>
          </w:tcPr>
          <w:p w14:paraId="1441B942" w14:textId="77777777" w:rsidR="007944C0" w:rsidRPr="00131F23" w:rsidRDefault="007944C0" w:rsidP="007944C0">
            <w:pPr>
              <w:spacing w:before="240"/>
              <w:ind w:left="0"/>
              <w:jc w:val="both"/>
              <w:rPr>
                <w:rFonts w:ascii="Bookman Old Style" w:hAnsi="Bookman Old Style"/>
                <w:highlight w:val="yellow"/>
              </w:rPr>
            </w:pPr>
            <w:r w:rsidRPr="00131F23">
              <w:rPr>
                <w:rFonts w:ascii="Bookman Old Style" w:hAnsi="Bookman Old Style"/>
              </w:rPr>
              <w:t>Número de meses que se requiere adicionar.</w:t>
            </w:r>
          </w:p>
        </w:tc>
      </w:tr>
    </w:tbl>
    <w:p w14:paraId="43E60D8B" w14:textId="689BDC37" w:rsidR="007944C0" w:rsidRPr="00131F23" w:rsidRDefault="007944C0" w:rsidP="007944C0">
      <w:pPr>
        <w:numPr>
          <w:ilvl w:val="0"/>
          <w:numId w:val="20"/>
        </w:numPr>
        <w:spacing w:before="240"/>
        <w:jc w:val="both"/>
        <w:rPr>
          <w:rFonts w:ascii="Bookman Old Style" w:hAnsi="Bookman Old Style"/>
          <w:b/>
          <w:bCs/>
          <w:kern w:val="28"/>
          <w:lang w:val="es-CO" w:eastAsia="es-CO"/>
        </w:rPr>
      </w:pPr>
      <w:bookmarkStart w:id="9" w:name="_Ref175032456"/>
      <w:r w:rsidRPr="00131F23">
        <w:rPr>
          <w:rFonts w:ascii="Bookman Old Style" w:hAnsi="Bookman Old Style"/>
          <w:b/>
          <w:bCs/>
          <w:kern w:val="28"/>
          <w:lang w:val="es-CO" w:eastAsia="es-CO"/>
        </w:rPr>
        <w:t xml:space="preserve">Proyectos que han actualizado el valor de la garantía. </w:t>
      </w:r>
      <w:r w:rsidRPr="00131F23">
        <w:rPr>
          <w:rFonts w:ascii="Bookman Old Style" w:hAnsi="Bookman Old Style"/>
          <w:kern w:val="28"/>
          <w:lang w:val="es-CO" w:eastAsia="es-CO"/>
        </w:rPr>
        <w:t xml:space="preserve">Los proyectos que antes del </w:t>
      </w:r>
      <w:r w:rsidR="00887CB0">
        <w:rPr>
          <w:rFonts w:ascii="Bookman Old Style" w:hAnsi="Bookman Old Style"/>
          <w:kern w:val="28"/>
          <w:lang w:val="es-CO" w:eastAsia="es-CO"/>
        </w:rPr>
        <w:t>26 de agosto</w:t>
      </w:r>
      <w:r w:rsidRPr="00131F23">
        <w:rPr>
          <w:rFonts w:ascii="Bookman Old Style" w:hAnsi="Bookman Old Style"/>
          <w:kern w:val="28"/>
          <w:lang w:val="es-CO" w:eastAsia="es-CO"/>
        </w:rPr>
        <w:t xml:space="preserve"> de 2024 hayan modificado la </w:t>
      </w:r>
      <w:proofErr w:type="spellStart"/>
      <w:r w:rsidRPr="00131F23">
        <w:rPr>
          <w:rFonts w:ascii="Bookman Old Style" w:hAnsi="Bookman Old Style"/>
          <w:kern w:val="28"/>
          <w:lang w:val="es-CO" w:eastAsia="es-CO"/>
        </w:rPr>
        <w:t>FPO</w:t>
      </w:r>
      <w:proofErr w:type="spellEnd"/>
      <w:r w:rsidRPr="00131F23">
        <w:rPr>
          <w:rFonts w:ascii="Bookman Old Style" w:hAnsi="Bookman Old Style"/>
          <w:kern w:val="28"/>
          <w:lang w:val="es-CO" w:eastAsia="es-CO"/>
        </w:rPr>
        <w:t xml:space="preserve"> a través de la </w:t>
      </w:r>
      <w:r w:rsidRPr="00131F23">
        <w:rPr>
          <w:rFonts w:ascii="Bookman Old Style" w:hAnsi="Bookman Old Style"/>
          <w:bCs/>
          <w:kern w:val="28"/>
          <w:lang w:val="es-CO" w:eastAsia="es-CO"/>
        </w:rPr>
        <w:t xml:space="preserve">actualización del valor de cobertura de la garantía, </w:t>
      </w:r>
      <w:r w:rsidRPr="00131F23">
        <w:rPr>
          <w:rFonts w:ascii="Bookman Old Style" w:hAnsi="Bookman Old Style"/>
          <w:kern w:val="28"/>
          <w:lang w:val="es-CO" w:eastAsia="es-CO"/>
        </w:rPr>
        <w:t>deberán aplicar la siguiente fórmula:</w:t>
      </w:r>
      <w:bookmarkEnd w:id="9"/>
    </w:p>
    <w:p w14:paraId="6BA254FA" w14:textId="77777777" w:rsidR="007944C0" w:rsidRPr="00131F23" w:rsidRDefault="007944C0" w:rsidP="007944C0">
      <w:pPr>
        <w:spacing w:before="240"/>
        <w:ind w:left="0"/>
        <w:jc w:val="both"/>
        <w:outlineLvl w:val="0"/>
        <w:rPr>
          <w:rFonts w:ascii="Bookman Old Style" w:hAnsi="Bookman Old Style"/>
          <w:bCs/>
          <w:i/>
          <w:iCs/>
          <w:kern w:val="28"/>
          <w:lang w:val="es-CO" w:eastAsia="es-CO"/>
        </w:rPr>
      </w:pPr>
      <m:oMathPara>
        <m:oMath>
          <m:r>
            <w:rPr>
              <w:rFonts w:ascii="Cambria Math" w:hAnsi="Cambria Math"/>
              <w:kern w:val="28"/>
              <w:lang w:val="es-CO" w:eastAsia="es-CO"/>
            </w:rPr>
            <m:t>VAG=VUG+</m:t>
          </m:r>
          <m:d>
            <m:dPr>
              <m:begChr m:val="["/>
              <m:endChr m:val="]"/>
              <m:ctrlPr>
                <w:rPr>
                  <w:rFonts w:ascii="Cambria Math" w:hAnsi="Cambria Math"/>
                  <w:bCs/>
                  <w:i/>
                  <w:iCs/>
                  <w:kern w:val="28"/>
                  <w:lang w:val="es-CO" w:eastAsia="es-CO"/>
                </w:rPr>
              </m:ctrlPr>
            </m:dPr>
            <m:e>
              <m:f>
                <m:fPr>
                  <m:ctrlPr>
                    <w:rPr>
                      <w:rFonts w:ascii="Cambria Math" w:hAnsi="Cambria Math"/>
                      <w:bCs/>
                      <w:i/>
                      <w:iCs/>
                      <w:kern w:val="28"/>
                      <w:lang w:val="es-CO" w:eastAsia="es-CO"/>
                    </w:rPr>
                  </m:ctrlPr>
                </m:fPr>
                <m:num>
                  <m:r>
                    <w:rPr>
                      <w:rFonts w:ascii="Cambria Math" w:hAnsi="Cambria Math"/>
                      <w:kern w:val="28"/>
                      <w:lang w:val="es-CO" w:eastAsia="es-CO"/>
                    </w:rPr>
                    <m:t>VUG</m:t>
                  </m:r>
                </m:num>
                <m:den>
                  <m:r>
                    <w:rPr>
                      <w:rFonts w:ascii="Cambria Math" w:hAnsi="Cambria Math"/>
                      <w:kern w:val="28"/>
                      <w:lang w:val="es-CO" w:eastAsia="es-CO"/>
                    </w:rPr>
                    <m:t>12</m:t>
                  </m:r>
                </m:den>
              </m:f>
              <m:r>
                <w:rPr>
                  <w:rFonts w:ascii="Cambria Math" w:hAnsi="Cambria Math"/>
                  <w:kern w:val="28"/>
                  <w:lang w:val="es-CO" w:eastAsia="es-CO"/>
                </w:rPr>
                <m:t>*max (0;</m:t>
              </m:r>
              <m:d>
                <m:dPr>
                  <m:ctrlPr>
                    <w:rPr>
                      <w:rFonts w:ascii="Cambria Math" w:hAnsi="Cambria Math"/>
                      <w:bCs/>
                      <w:i/>
                      <w:iCs/>
                      <w:kern w:val="28"/>
                      <w:lang w:val="es-CO" w:eastAsia="es-CO"/>
                    </w:rPr>
                  </m:ctrlPr>
                </m:dPr>
                <m:e>
                  <m:r>
                    <w:rPr>
                      <w:rFonts w:ascii="Cambria Math" w:hAnsi="Cambria Math"/>
                      <w:kern w:val="28"/>
                      <w:lang w:val="es-CO" w:eastAsia="es-CO"/>
                    </w:rPr>
                    <m:t>MA-ML)</m:t>
                  </m:r>
                </m:e>
              </m:d>
            </m:e>
          </m:d>
        </m:oMath>
      </m:oMathPara>
    </w:p>
    <w:p w14:paraId="4DA2DF99" w14:textId="77777777" w:rsidR="007944C0" w:rsidRPr="00131F23" w:rsidRDefault="007944C0" w:rsidP="007944C0">
      <w:pPr>
        <w:spacing w:before="240"/>
        <w:ind w:left="1416"/>
        <w:jc w:val="both"/>
        <w:rPr>
          <w:rFonts w:ascii="Bookman Old Style" w:hAnsi="Bookman Old Style"/>
          <w:bCs/>
          <w:kern w:val="28"/>
          <w:lang w:val="es-CO" w:eastAsia="es-CO"/>
        </w:rPr>
      </w:pPr>
      <w:r w:rsidRPr="00131F23">
        <w:rPr>
          <w:rFonts w:ascii="Bookman Old Style" w:hAnsi="Bookman Old Style"/>
          <w:kern w:val="28"/>
          <w:lang w:val="es-CO" w:eastAsia="es-CO"/>
        </w:rPr>
        <w:t>Donde</w:t>
      </w:r>
      <w:r w:rsidRPr="00131F23">
        <w:rPr>
          <w:rFonts w:ascii="Bookman Old Style" w:hAnsi="Bookman Old Style"/>
          <w:bCs/>
          <w:kern w:val="28"/>
          <w:lang w:val="es-CO" w:eastAsia="es-CO"/>
        </w:rPr>
        <w:t>:</w:t>
      </w:r>
    </w:p>
    <w:tbl>
      <w:tblPr>
        <w:tblStyle w:val="Tablaconcuadrculaclara1"/>
        <w:tblW w:w="8104" w:type="dxa"/>
        <w:tblInd w:w="1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258"/>
      </w:tblGrid>
      <w:tr w:rsidR="007944C0" w:rsidRPr="00131F23" w14:paraId="13969266" w14:textId="77777777" w:rsidTr="00726CF8">
        <w:trPr>
          <w:trHeight w:val="533"/>
        </w:trPr>
        <w:tc>
          <w:tcPr>
            <w:tcW w:w="0" w:type="auto"/>
          </w:tcPr>
          <w:p w14:paraId="7C68D642" w14:textId="77777777" w:rsidR="007944C0" w:rsidRPr="00131F23" w:rsidRDefault="007944C0" w:rsidP="007944C0">
            <w:pPr>
              <w:spacing w:before="240"/>
              <w:ind w:left="0"/>
              <w:jc w:val="both"/>
              <w:rPr>
                <w:rFonts w:ascii="Bookman Old Style" w:hAnsi="Bookman Old Style"/>
                <w:i/>
                <w:iCs/>
              </w:rPr>
            </w:pPr>
            <w:proofErr w:type="spellStart"/>
            <w:r w:rsidRPr="00131F23">
              <w:rPr>
                <w:rFonts w:ascii="Bookman Old Style" w:hAnsi="Bookman Old Style"/>
                <w:i/>
                <w:iCs/>
              </w:rPr>
              <w:t>VAG</w:t>
            </w:r>
            <w:proofErr w:type="spellEnd"/>
            <w:r w:rsidRPr="00131F23">
              <w:rPr>
                <w:rFonts w:ascii="Bookman Old Style" w:hAnsi="Bookman Old Style"/>
                <w:i/>
                <w:iCs/>
              </w:rPr>
              <w:t>:</w:t>
            </w:r>
          </w:p>
        </w:tc>
        <w:tc>
          <w:tcPr>
            <w:tcW w:w="7258" w:type="dxa"/>
          </w:tcPr>
          <w:p w14:paraId="5CF08E79" w14:textId="77777777" w:rsidR="007944C0" w:rsidRPr="00131F23" w:rsidRDefault="007944C0" w:rsidP="007944C0">
            <w:pPr>
              <w:spacing w:before="240"/>
              <w:ind w:left="0"/>
              <w:jc w:val="both"/>
              <w:rPr>
                <w:rFonts w:ascii="Bookman Old Style" w:hAnsi="Bookman Old Style"/>
              </w:rPr>
            </w:pPr>
            <w:r w:rsidRPr="00131F23">
              <w:rPr>
                <w:rFonts w:ascii="Bookman Old Style" w:hAnsi="Bookman Old Style"/>
              </w:rPr>
              <w:t xml:space="preserve">Valor actualizado de la garantía. </w:t>
            </w:r>
          </w:p>
        </w:tc>
      </w:tr>
      <w:tr w:rsidR="007944C0" w:rsidRPr="00131F23" w14:paraId="2F8BF635" w14:textId="77777777" w:rsidTr="00726CF8">
        <w:trPr>
          <w:trHeight w:val="818"/>
        </w:trPr>
        <w:tc>
          <w:tcPr>
            <w:tcW w:w="0" w:type="auto"/>
          </w:tcPr>
          <w:p w14:paraId="127B0FC0" w14:textId="77777777" w:rsidR="007944C0" w:rsidRPr="00131F23" w:rsidRDefault="007944C0" w:rsidP="007944C0">
            <w:pPr>
              <w:spacing w:before="240"/>
              <w:ind w:left="0"/>
              <w:jc w:val="both"/>
              <w:rPr>
                <w:rFonts w:ascii="Bookman Old Style" w:hAnsi="Bookman Old Style"/>
                <w:i/>
                <w:iCs/>
              </w:rPr>
            </w:pPr>
            <w:proofErr w:type="spellStart"/>
            <w:r w:rsidRPr="00131F23">
              <w:rPr>
                <w:rFonts w:ascii="Bookman Old Style" w:hAnsi="Bookman Old Style"/>
                <w:i/>
                <w:iCs/>
              </w:rPr>
              <w:t>VUG</w:t>
            </w:r>
            <w:proofErr w:type="spellEnd"/>
            <w:r w:rsidRPr="00131F23">
              <w:rPr>
                <w:rFonts w:ascii="Bookman Old Style" w:hAnsi="Bookman Old Style"/>
                <w:i/>
                <w:iCs/>
              </w:rPr>
              <w:t>:</w:t>
            </w:r>
          </w:p>
        </w:tc>
        <w:tc>
          <w:tcPr>
            <w:tcW w:w="7258" w:type="dxa"/>
          </w:tcPr>
          <w:p w14:paraId="1617F12D" w14:textId="6FC50CF7" w:rsidR="007944C0" w:rsidRPr="00131F23" w:rsidRDefault="00313E45" w:rsidP="007944C0">
            <w:pPr>
              <w:spacing w:before="240"/>
              <w:ind w:left="0"/>
              <w:jc w:val="both"/>
              <w:rPr>
                <w:rFonts w:ascii="Bookman Old Style" w:hAnsi="Bookman Old Style"/>
              </w:rPr>
            </w:pPr>
            <w:r w:rsidRPr="00131F23">
              <w:rPr>
                <w:rFonts w:ascii="Bookman Old Style" w:hAnsi="Bookman Old Style"/>
              </w:rPr>
              <w:t xml:space="preserve">Último valor de la cobertura calculado </w:t>
            </w:r>
            <w:r w:rsidR="00191268" w:rsidRPr="00131F23">
              <w:rPr>
                <w:rFonts w:ascii="Bookman Old Style" w:hAnsi="Bookman Old Style"/>
              </w:rPr>
              <w:t xml:space="preserve">para el proyecto </w:t>
            </w:r>
            <w:r w:rsidRPr="00131F23">
              <w:rPr>
                <w:rFonts w:ascii="Bookman Old Style" w:hAnsi="Bookman Old Style"/>
              </w:rPr>
              <w:t>según la Resolución CREG 075 de 2021</w:t>
            </w:r>
            <w:r w:rsidR="007944C0" w:rsidRPr="00131F23">
              <w:rPr>
                <w:rFonts w:ascii="Bookman Old Style" w:hAnsi="Bookman Old Style"/>
              </w:rPr>
              <w:t>.</w:t>
            </w:r>
          </w:p>
        </w:tc>
      </w:tr>
      <w:tr w:rsidR="007944C0" w:rsidRPr="00131F23" w14:paraId="139F0668" w14:textId="77777777" w:rsidTr="00726CF8">
        <w:trPr>
          <w:trHeight w:val="533"/>
        </w:trPr>
        <w:tc>
          <w:tcPr>
            <w:tcW w:w="0" w:type="auto"/>
          </w:tcPr>
          <w:p w14:paraId="27712533" w14:textId="77777777" w:rsidR="007944C0" w:rsidRPr="00131F23" w:rsidRDefault="007944C0" w:rsidP="007944C0">
            <w:pPr>
              <w:spacing w:before="240"/>
              <w:ind w:left="0"/>
              <w:jc w:val="both"/>
              <w:rPr>
                <w:rFonts w:ascii="Bookman Old Style" w:hAnsi="Bookman Old Style"/>
                <w:i/>
                <w:iCs/>
              </w:rPr>
            </w:pPr>
            <w:r w:rsidRPr="00131F23">
              <w:rPr>
                <w:rFonts w:ascii="Bookman Old Style" w:hAnsi="Bookman Old Style"/>
                <w:i/>
                <w:iCs/>
              </w:rPr>
              <w:t>MA:</w:t>
            </w:r>
          </w:p>
        </w:tc>
        <w:tc>
          <w:tcPr>
            <w:tcW w:w="7258" w:type="dxa"/>
          </w:tcPr>
          <w:p w14:paraId="3AACD61E" w14:textId="77777777" w:rsidR="007944C0" w:rsidRPr="00131F23" w:rsidRDefault="007944C0" w:rsidP="007944C0">
            <w:pPr>
              <w:spacing w:before="240"/>
              <w:ind w:left="0"/>
              <w:jc w:val="both"/>
              <w:rPr>
                <w:rFonts w:ascii="Bookman Old Style" w:hAnsi="Bookman Old Style"/>
              </w:rPr>
            </w:pPr>
            <w:r w:rsidRPr="00131F23">
              <w:rPr>
                <w:rFonts w:ascii="Bookman Old Style" w:hAnsi="Bookman Old Style"/>
              </w:rPr>
              <w:t>Número de meses que se requiere adicionar.</w:t>
            </w:r>
          </w:p>
        </w:tc>
      </w:tr>
      <w:tr w:rsidR="007944C0" w:rsidRPr="00131F23" w14:paraId="4CD70917" w14:textId="77777777" w:rsidTr="00726CF8">
        <w:trPr>
          <w:trHeight w:val="509"/>
        </w:trPr>
        <w:tc>
          <w:tcPr>
            <w:tcW w:w="0" w:type="auto"/>
          </w:tcPr>
          <w:p w14:paraId="56C57E86" w14:textId="77777777" w:rsidR="007944C0" w:rsidRPr="00131F23" w:rsidRDefault="007944C0" w:rsidP="007944C0">
            <w:pPr>
              <w:spacing w:before="240"/>
              <w:ind w:left="0"/>
              <w:jc w:val="both"/>
              <w:rPr>
                <w:rFonts w:ascii="Bookman Old Style" w:hAnsi="Bookman Old Style"/>
                <w:i/>
                <w:iCs/>
              </w:rPr>
            </w:pPr>
            <w:r w:rsidRPr="00131F23">
              <w:rPr>
                <w:rFonts w:ascii="Bookman Old Style" w:hAnsi="Bookman Old Style"/>
                <w:i/>
                <w:iCs/>
              </w:rPr>
              <w:t>ML:</w:t>
            </w:r>
          </w:p>
        </w:tc>
        <w:tc>
          <w:tcPr>
            <w:tcW w:w="7258" w:type="dxa"/>
          </w:tcPr>
          <w:p w14:paraId="7193C41A" w14:textId="77777777" w:rsidR="007944C0" w:rsidRPr="00131F23" w:rsidRDefault="007944C0" w:rsidP="007944C0">
            <w:pPr>
              <w:spacing w:before="240"/>
              <w:ind w:left="0"/>
              <w:jc w:val="both"/>
              <w:rPr>
                <w:rFonts w:ascii="Bookman Old Style" w:hAnsi="Bookman Old Style"/>
              </w:rPr>
            </w:pPr>
            <w:r w:rsidRPr="00131F23">
              <w:rPr>
                <w:rFonts w:ascii="Bookman Old Style" w:hAnsi="Bookman Old Style"/>
              </w:rPr>
              <w:t>Número igual a 12 si para el proyecto se duplicó una sola vez el valor de cobertura de la garantía para reserva de capacidad. Si el valor de cobertura de la garantía se duplicó dos veces esta variable tomará un valor de 24.</w:t>
            </w:r>
          </w:p>
        </w:tc>
      </w:tr>
    </w:tbl>
    <w:p w14:paraId="708483B4" w14:textId="758F4D6C" w:rsidR="007944C0" w:rsidRPr="00131F23" w:rsidRDefault="007944C0" w:rsidP="007944C0">
      <w:pPr>
        <w:spacing w:before="240"/>
        <w:ind w:left="708"/>
        <w:jc w:val="both"/>
        <w:rPr>
          <w:rFonts w:ascii="Bookman Old Style" w:hAnsi="Bookman Old Style"/>
          <w:lang w:val="es-CO"/>
        </w:rPr>
      </w:pPr>
      <w:r w:rsidRPr="00131F23">
        <w:rPr>
          <w:rFonts w:ascii="Bookman Old Style" w:hAnsi="Bookman Old Style"/>
          <w:lang w:val="es-CO"/>
        </w:rPr>
        <w:t xml:space="preserve">Para la aplicación de las fórmulas de los apartes </w:t>
      </w:r>
      <w:r w:rsidRPr="00131F23">
        <w:rPr>
          <w:rFonts w:ascii="Bookman Old Style" w:hAnsi="Bookman Old Style"/>
          <w:lang w:val="es-CO"/>
        </w:rPr>
        <w:fldChar w:fldCharType="begin"/>
      </w:r>
      <w:r w:rsidRPr="00131F23">
        <w:rPr>
          <w:rFonts w:ascii="Bookman Old Style" w:hAnsi="Bookman Old Style"/>
          <w:lang w:val="es-CO"/>
        </w:rPr>
        <w:instrText xml:space="preserve"> REF _Ref175032452 \n \h  \* MERGEFORMAT </w:instrText>
      </w:r>
      <w:r w:rsidRPr="00131F23">
        <w:rPr>
          <w:rFonts w:ascii="Bookman Old Style" w:hAnsi="Bookman Old Style"/>
          <w:lang w:val="es-CO"/>
        </w:rPr>
      </w:r>
      <w:r w:rsidRPr="00131F23">
        <w:rPr>
          <w:rFonts w:ascii="Bookman Old Style" w:hAnsi="Bookman Old Style"/>
          <w:lang w:val="es-CO"/>
        </w:rPr>
        <w:fldChar w:fldCharType="separate"/>
      </w:r>
      <w:r w:rsidR="00993A64">
        <w:rPr>
          <w:rFonts w:ascii="Bookman Old Style" w:hAnsi="Bookman Old Style"/>
          <w:lang w:val="es-CO"/>
        </w:rPr>
        <w:t>i</w:t>
      </w:r>
      <w:r w:rsidRPr="00131F23">
        <w:rPr>
          <w:rFonts w:ascii="Bookman Old Style" w:hAnsi="Bookman Old Style"/>
          <w:lang w:val="es-CO"/>
        </w:rPr>
        <w:fldChar w:fldCharType="end"/>
      </w:r>
      <w:r w:rsidRPr="00131F23">
        <w:rPr>
          <w:rFonts w:ascii="Bookman Old Style" w:hAnsi="Bookman Old Style"/>
          <w:lang w:val="es-CO"/>
        </w:rPr>
        <w:t xml:space="preserve"> y </w:t>
      </w:r>
      <w:r w:rsidRPr="00131F23">
        <w:rPr>
          <w:rFonts w:ascii="Bookman Old Style" w:hAnsi="Bookman Old Style"/>
          <w:lang w:val="es-CO"/>
        </w:rPr>
        <w:fldChar w:fldCharType="begin"/>
      </w:r>
      <w:r w:rsidRPr="00131F23">
        <w:rPr>
          <w:rFonts w:ascii="Bookman Old Style" w:hAnsi="Bookman Old Style"/>
          <w:lang w:val="es-CO"/>
        </w:rPr>
        <w:instrText xml:space="preserve"> REF _Ref175032456 \n \h  \* MERGEFORMAT </w:instrText>
      </w:r>
      <w:r w:rsidRPr="00131F23">
        <w:rPr>
          <w:rFonts w:ascii="Bookman Old Style" w:hAnsi="Bookman Old Style"/>
          <w:lang w:val="es-CO"/>
        </w:rPr>
      </w:r>
      <w:r w:rsidRPr="00131F23">
        <w:rPr>
          <w:rFonts w:ascii="Bookman Old Style" w:hAnsi="Bookman Old Style"/>
          <w:lang w:val="es-CO"/>
        </w:rPr>
        <w:fldChar w:fldCharType="separate"/>
      </w:r>
      <w:proofErr w:type="spellStart"/>
      <w:r w:rsidR="00993A64">
        <w:rPr>
          <w:rFonts w:ascii="Bookman Old Style" w:hAnsi="Bookman Old Style"/>
          <w:lang w:val="es-CO"/>
        </w:rPr>
        <w:t>ii</w:t>
      </w:r>
      <w:proofErr w:type="spellEnd"/>
      <w:r w:rsidRPr="00131F23">
        <w:rPr>
          <w:rFonts w:ascii="Bookman Old Style" w:hAnsi="Bookman Old Style"/>
          <w:lang w:val="es-CO"/>
        </w:rPr>
        <w:fldChar w:fldCharType="end"/>
      </w:r>
      <w:r w:rsidRPr="00131F23">
        <w:rPr>
          <w:rFonts w:ascii="Bookman Old Style" w:hAnsi="Bookman Old Style"/>
          <w:lang w:val="es-CO"/>
        </w:rPr>
        <w:t xml:space="preserve"> anteriores se deberá utilizar el </w:t>
      </w:r>
      <w:r w:rsidR="00B66341" w:rsidRPr="00131F23">
        <w:rPr>
          <w:rFonts w:ascii="Bookman Old Style" w:hAnsi="Bookman Old Style"/>
          <w:lang w:val="es-CO"/>
        </w:rPr>
        <w:t xml:space="preserve">último </w:t>
      </w:r>
      <w:r w:rsidRPr="00131F23">
        <w:rPr>
          <w:rFonts w:ascii="Bookman Old Style" w:hAnsi="Bookman Old Style"/>
          <w:lang w:val="es-CO"/>
        </w:rPr>
        <w:t xml:space="preserve">valor de la </w:t>
      </w:r>
      <w:r w:rsidR="006071C0" w:rsidRPr="00131F23">
        <w:rPr>
          <w:rFonts w:ascii="Bookman Old Style" w:hAnsi="Bookman Old Style"/>
          <w:lang w:val="es-CO"/>
        </w:rPr>
        <w:t xml:space="preserve">cobertura calculado </w:t>
      </w:r>
      <w:r w:rsidR="00191268" w:rsidRPr="00131F23">
        <w:rPr>
          <w:rFonts w:ascii="Bookman Old Style" w:hAnsi="Bookman Old Style"/>
          <w:lang w:val="es-CO"/>
        </w:rPr>
        <w:t xml:space="preserve">para el proyecto </w:t>
      </w:r>
      <w:r w:rsidR="006071C0" w:rsidRPr="00131F23">
        <w:rPr>
          <w:rFonts w:ascii="Bookman Old Style" w:hAnsi="Bookman Old Style"/>
          <w:lang w:val="es-CO"/>
        </w:rPr>
        <w:t>según la Resolución CREG 075 de 2021</w:t>
      </w:r>
      <w:r w:rsidRPr="00131F23">
        <w:rPr>
          <w:rFonts w:ascii="Bookman Old Style" w:hAnsi="Bookman Old Style"/>
          <w:lang w:val="es-CO"/>
        </w:rPr>
        <w:t xml:space="preserve">, </w:t>
      </w:r>
      <w:proofErr w:type="spellStart"/>
      <w:r w:rsidRPr="00131F23">
        <w:rPr>
          <w:rFonts w:ascii="Bookman Old Style" w:hAnsi="Bookman Old Style"/>
          <w:lang w:val="es-CO"/>
        </w:rPr>
        <w:t>VUG</w:t>
      </w:r>
      <w:proofErr w:type="spellEnd"/>
      <w:r w:rsidRPr="00131F23">
        <w:rPr>
          <w:rFonts w:ascii="Bookman Old Style" w:hAnsi="Bookman Old Style"/>
          <w:lang w:val="es-CO"/>
        </w:rPr>
        <w:t xml:space="preserve">, </w:t>
      </w:r>
      <w:r w:rsidR="00726CF8">
        <w:rPr>
          <w:rFonts w:ascii="Bookman Old Style" w:hAnsi="Bookman Old Style"/>
          <w:lang w:val="es-CO"/>
        </w:rPr>
        <w:t>para</w:t>
      </w:r>
      <w:r w:rsidR="00726CF8" w:rsidRPr="00726CF8">
        <w:rPr>
          <w:rFonts w:ascii="Bookman Old Style" w:hAnsi="Bookman Old Style"/>
          <w:lang w:val="es-CO"/>
        </w:rPr>
        <w:t xml:space="preserve"> la última garantía </w:t>
      </w:r>
      <w:r w:rsidRPr="00131F23">
        <w:rPr>
          <w:rFonts w:ascii="Bookman Old Style" w:hAnsi="Bookman Old Style"/>
          <w:lang w:val="es-CO"/>
        </w:rPr>
        <w:t xml:space="preserve">aprobada por el </w:t>
      </w:r>
      <w:proofErr w:type="spellStart"/>
      <w:r w:rsidRPr="00131F23">
        <w:rPr>
          <w:rFonts w:ascii="Bookman Old Style" w:hAnsi="Bookman Old Style"/>
          <w:lang w:val="es-CO"/>
        </w:rPr>
        <w:t>ASIC</w:t>
      </w:r>
      <w:proofErr w:type="spellEnd"/>
      <w:r w:rsidRPr="00131F23">
        <w:rPr>
          <w:rFonts w:ascii="Bookman Old Style" w:hAnsi="Bookman Old Style"/>
          <w:lang w:val="es-CO"/>
        </w:rPr>
        <w:t>, sin considerar el estado de vigencia de este documento.</w:t>
      </w:r>
    </w:p>
    <w:p w14:paraId="26BD941E" w14:textId="1E84B0A3" w:rsidR="007944C0" w:rsidRPr="00131F23" w:rsidRDefault="007944C0" w:rsidP="007944C0">
      <w:pPr>
        <w:spacing w:before="240"/>
        <w:ind w:left="708"/>
        <w:jc w:val="both"/>
        <w:rPr>
          <w:rFonts w:ascii="Bookman Old Style" w:hAnsi="Bookman Old Style"/>
          <w:lang w:val="es-CO"/>
        </w:rPr>
      </w:pPr>
      <w:r w:rsidRPr="00131F23">
        <w:rPr>
          <w:rFonts w:ascii="Bookman Old Style" w:hAnsi="Bookman Old Style"/>
          <w:lang w:val="es-CO"/>
        </w:rPr>
        <w:t xml:space="preserve">El número de meses que se requiere adicionar, MA, deberá contarse a partir de la </w:t>
      </w:r>
      <w:proofErr w:type="spellStart"/>
      <w:r w:rsidRPr="00131F23">
        <w:rPr>
          <w:rFonts w:ascii="Bookman Old Style" w:hAnsi="Bookman Old Style"/>
          <w:lang w:val="es-CO"/>
        </w:rPr>
        <w:t>FPO</w:t>
      </w:r>
      <w:proofErr w:type="spellEnd"/>
      <w:r w:rsidRPr="00131F23">
        <w:rPr>
          <w:rFonts w:ascii="Bookman Old Style" w:hAnsi="Bookman Old Style"/>
          <w:lang w:val="es-CO"/>
        </w:rPr>
        <w:t xml:space="preserve"> que se haya fijado en la última garantía aprobada para el proyecto. No obstante, si dicha </w:t>
      </w:r>
      <w:proofErr w:type="spellStart"/>
      <w:r w:rsidRPr="00131F23">
        <w:rPr>
          <w:rFonts w:ascii="Bookman Old Style" w:hAnsi="Bookman Old Style"/>
          <w:lang w:val="es-CO"/>
        </w:rPr>
        <w:t>FPO</w:t>
      </w:r>
      <w:proofErr w:type="spellEnd"/>
      <w:r w:rsidRPr="00131F23">
        <w:rPr>
          <w:rFonts w:ascii="Bookman Old Style" w:hAnsi="Bookman Old Style"/>
          <w:lang w:val="es-CO"/>
        </w:rPr>
        <w:t xml:space="preserve"> es anterior al </w:t>
      </w:r>
      <w:r w:rsidR="00887CB0">
        <w:rPr>
          <w:rFonts w:ascii="Bookman Old Style" w:hAnsi="Bookman Old Style"/>
          <w:lang w:val="es-CO"/>
        </w:rPr>
        <w:t>26 de agosto</w:t>
      </w:r>
      <w:r w:rsidRPr="00131F23">
        <w:rPr>
          <w:rFonts w:ascii="Bookman Old Style" w:hAnsi="Bookman Old Style"/>
          <w:lang w:val="es-CO"/>
        </w:rPr>
        <w:t xml:space="preserve"> de 2024 deberá contarse a partir de </w:t>
      </w:r>
      <w:r w:rsidR="00DB64AD">
        <w:rPr>
          <w:rFonts w:ascii="Bookman Old Style" w:hAnsi="Bookman Old Style"/>
          <w:lang w:val="es-CO"/>
        </w:rPr>
        <w:t>esta</w:t>
      </w:r>
      <w:r w:rsidR="00DB64AD" w:rsidRPr="00131F23">
        <w:rPr>
          <w:rFonts w:ascii="Bookman Old Style" w:hAnsi="Bookman Old Style"/>
          <w:lang w:val="es-CO"/>
        </w:rPr>
        <w:t xml:space="preserve"> </w:t>
      </w:r>
      <w:r w:rsidRPr="00131F23">
        <w:rPr>
          <w:rFonts w:ascii="Bookman Old Style" w:hAnsi="Bookman Old Style"/>
          <w:lang w:val="es-CO"/>
        </w:rPr>
        <w:t>fecha.</w:t>
      </w:r>
    </w:p>
    <w:p w14:paraId="51E802F6" w14:textId="637912DD" w:rsidR="007944C0" w:rsidRPr="00131F23" w:rsidRDefault="007944C0" w:rsidP="00993A64">
      <w:pPr>
        <w:numPr>
          <w:ilvl w:val="0"/>
          <w:numId w:val="19"/>
        </w:numPr>
        <w:tabs>
          <w:tab w:val="left" w:pos="1701"/>
        </w:tabs>
        <w:spacing w:before="240"/>
        <w:jc w:val="both"/>
        <w:rPr>
          <w:rFonts w:ascii="Bookman Old Style" w:hAnsi="Bookman Old Style" w:cs="Arial"/>
          <w:b/>
          <w:iCs/>
          <w:lang w:val="es-CO"/>
        </w:rPr>
      </w:pPr>
      <w:r w:rsidRPr="00131F23">
        <w:rPr>
          <w:rFonts w:ascii="Bookman Old Style" w:hAnsi="Bookman Old Style" w:cs="Arial"/>
          <w:b/>
          <w:iCs/>
          <w:lang w:val="es-CO"/>
        </w:rPr>
        <w:t>Mediante la aplicación de causales.</w:t>
      </w:r>
      <w:r w:rsidRPr="00131F23">
        <w:rPr>
          <w:rFonts w:ascii="Bookman Old Style" w:hAnsi="Bookman Old Style" w:cs="Arial"/>
          <w:iCs/>
          <w:lang w:val="es-CO"/>
        </w:rPr>
        <w:t xml:space="preserve"> La </w:t>
      </w:r>
      <w:proofErr w:type="spellStart"/>
      <w:r w:rsidRPr="00131F23">
        <w:rPr>
          <w:rFonts w:ascii="Bookman Old Style" w:hAnsi="Bookman Old Style" w:cs="Arial"/>
          <w:iCs/>
          <w:lang w:val="es-CO"/>
        </w:rPr>
        <w:t>FPO</w:t>
      </w:r>
      <w:proofErr w:type="spellEnd"/>
      <w:r w:rsidRPr="00131F23">
        <w:rPr>
          <w:rFonts w:ascii="Bookman Old Style" w:hAnsi="Bookman Old Style" w:cs="Arial"/>
          <w:iCs/>
          <w:lang w:val="es-CO"/>
        </w:rPr>
        <w:t xml:space="preserve"> de un proyecto podrá modificarse, sin aumentar el valor de cobertura de la garantía para reserva de capacidad, cuando </w:t>
      </w:r>
      <w:r w:rsidR="00CA4540">
        <w:rPr>
          <w:rFonts w:ascii="Bookman Old Style" w:hAnsi="Bookman Old Style" w:cs="Arial"/>
          <w:iCs/>
          <w:lang w:val="es-CO"/>
        </w:rPr>
        <w:t xml:space="preserve">el </w:t>
      </w:r>
      <w:r w:rsidR="00CA4540" w:rsidRPr="00CA4540">
        <w:rPr>
          <w:rFonts w:ascii="Bookman Old Style" w:hAnsi="Bookman Old Style" w:cs="Arial"/>
          <w:iCs/>
          <w:lang w:val="es-CO"/>
        </w:rPr>
        <w:t>interesado</w:t>
      </w:r>
      <w:r w:rsidR="00CA4540" w:rsidRPr="00CA4540">
        <w:t xml:space="preserve"> </w:t>
      </w:r>
      <w:r w:rsidR="00CA4540" w:rsidRPr="00CA4540">
        <w:rPr>
          <w:rFonts w:ascii="Bookman Old Style" w:hAnsi="Bookman Old Style" w:cs="Arial"/>
          <w:iCs/>
          <w:lang w:val="es-CO"/>
        </w:rPr>
        <w:t xml:space="preserve">responsable de un proyecto demuestre que se han presentado una o varias circunstancias o hechos que le permiten invocar </w:t>
      </w:r>
      <w:r w:rsidRPr="00131F23">
        <w:rPr>
          <w:rFonts w:ascii="Bookman Old Style" w:hAnsi="Bookman Old Style" w:cs="Arial"/>
          <w:iCs/>
          <w:lang w:val="es-CO"/>
        </w:rPr>
        <w:t>alguna de las siguientes causales:</w:t>
      </w:r>
    </w:p>
    <w:p w14:paraId="4CC67CD2" w14:textId="77777777" w:rsidR="007944C0" w:rsidRPr="00131F23" w:rsidRDefault="007944C0" w:rsidP="007944C0">
      <w:pPr>
        <w:numPr>
          <w:ilvl w:val="1"/>
          <w:numId w:val="21"/>
        </w:numPr>
        <w:tabs>
          <w:tab w:val="left" w:pos="1701"/>
          <w:tab w:val="left" w:pos="9072"/>
        </w:tabs>
        <w:spacing w:before="240"/>
        <w:ind w:right="284"/>
        <w:jc w:val="both"/>
        <w:rPr>
          <w:rFonts w:ascii="Bookman Old Style" w:hAnsi="Bookman Old Style" w:cs="Arial"/>
          <w:iCs/>
          <w:lang w:val="es-CO"/>
        </w:rPr>
      </w:pPr>
      <w:r w:rsidRPr="00131F23">
        <w:rPr>
          <w:rFonts w:ascii="Bookman Old Style" w:hAnsi="Bookman Old Style" w:cs="Arial"/>
          <w:iCs/>
          <w:lang w:val="es-CO"/>
        </w:rPr>
        <w:t>Razones de fuerza mayor.</w:t>
      </w:r>
    </w:p>
    <w:p w14:paraId="28626911" w14:textId="77777777" w:rsidR="007944C0" w:rsidRPr="00131F23" w:rsidRDefault="007944C0" w:rsidP="00993A64">
      <w:pPr>
        <w:numPr>
          <w:ilvl w:val="1"/>
          <w:numId w:val="21"/>
        </w:numPr>
        <w:tabs>
          <w:tab w:val="left" w:pos="1701"/>
        </w:tabs>
        <w:spacing w:before="240"/>
        <w:jc w:val="both"/>
        <w:rPr>
          <w:rFonts w:ascii="Bookman Old Style" w:hAnsi="Bookman Old Style" w:cs="Arial"/>
          <w:iCs/>
          <w:lang w:val="es-CO"/>
        </w:rPr>
      </w:pPr>
      <w:r w:rsidRPr="00131F23">
        <w:rPr>
          <w:rFonts w:ascii="Bookman Old Style" w:hAnsi="Bookman Old Style" w:cs="Arial"/>
          <w:iCs/>
          <w:lang w:val="es-CO"/>
        </w:rPr>
        <w:t>Cuando las obras de expansión del SIN presenten atrasos que no permitan la entrada en operación del proyecto.</w:t>
      </w:r>
    </w:p>
    <w:p w14:paraId="69263191" w14:textId="7D8D80B2" w:rsidR="007944C0" w:rsidRPr="00131F23" w:rsidRDefault="0095137D" w:rsidP="007944C0">
      <w:pPr>
        <w:spacing w:before="240"/>
        <w:ind w:left="708"/>
        <w:jc w:val="both"/>
        <w:rPr>
          <w:rFonts w:ascii="Bookman Old Style" w:hAnsi="Bookman Old Style"/>
          <w:lang w:val="es-CO"/>
        </w:rPr>
      </w:pPr>
      <w:r>
        <w:rPr>
          <w:rFonts w:ascii="Bookman Old Style" w:hAnsi="Bookman Old Style" w:cs="Arial"/>
          <w:iCs/>
          <w:lang w:val="es-CO"/>
        </w:rPr>
        <w:lastRenderedPageBreak/>
        <w:t>Para esta alternativa, l</w:t>
      </w:r>
      <w:r w:rsidR="007944C0" w:rsidRPr="00131F23">
        <w:rPr>
          <w:rFonts w:ascii="Bookman Old Style" w:hAnsi="Bookman Old Style"/>
          <w:lang w:val="es-CO"/>
        </w:rPr>
        <w:t xml:space="preserve">a modificación de la </w:t>
      </w:r>
      <w:proofErr w:type="spellStart"/>
      <w:r w:rsidR="007944C0" w:rsidRPr="00131F23">
        <w:rPr>
          <w:rFonts w:ascii="Bookman Old Style" w:hAnsi="Bookman Old Style"/>
          <w:lang w:val="es-CO"/>
        </w:rPr>
        <w:t>FPO</w:t>
      </w:r>
      <w:proofErr w:type="spellEnd"/>
      <w:r w:rsidR="007944C0" w:rsidRPr="00131F23">
        <w:rPr>
          <w:rFonts w:ascii="Bookman Old Style" w:hAnsi="Bookman Old Style"/>
          <w:lang w:val="es-CO"/>
        </w:rPr>
        <w:t xml:space="preserve"> deberá ser aprobada por la UPME. El interesado, una vez recibida la aprobación de la modificación de la </w:t>
      </w:r>
      <w:proofErr w:type="spellStart"/>
      <w:r w:rsidR="007944C0" w:rsidRPr="00131F23">
        <w:rPr>
          <w:rFonts w:ascii="Bookman Old Style" w:hAnsi="Bookman Old Style"/>
          <w:lang w:val="es-CO"/>
        </w:rPr>
        <w:t>FPO</w:t>
      </w:r>
      <w:proofErr w:type="spellEnd"/>
      <w:r w:rsidR="007944C0" w:rsidRPr="00131F23">
        <w:rPr>
          <w:rFonts w:ascii="Bookman Old Style" w:hAnsi="Bookman Old Style"/>
          <w:lang w:val="es-CO"/>
        </w:rPr>
        <w:t xml:space="preserve">, deberá ajustar la garantía, obtener su aprobación y entregar la nueva curva S, en el plazo previsto en el artículo 28. Si no se cumple con este plazo, quedará sin efecto la modificación de la </w:t>
      </w:r>
      <w:proofErr w:type="spellStart"/>
      <w:r w:rsidR="007944C0" w:rsidRPr="00131F23">
        <w:rPr>
          <w:rFonts w:ascii="Bookman Old Style" w:hAnsi="Bookman Old Style"/>
          <w:lang w:val="es-CO"/>
        </w:rPr>
        <w:t>FPO</w:t>
      </w:r>
      <w:proofErr w:type="spellEnd"/>
      <w:r w:rsidR="007944C0" w:rsidRPr="00131F23">
        <w:rPr>
          <w:rFonts w:ascii="Bookman Old Style" w:hAnsi="Bookman Old Style"/>
          <w:lang w:val="es-CO"/>
        </w:rPr>
        <w:t>.</w:t>
      </w:r>
    </w:p>
    <w:p w14:paraId="79487E5C" w14:textId="77777777"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b/>
          <w:bCs/>
          <w:lang w:val="es-CO"/>
        </w:rPr>
        <w:t>Parágrafo 1.</w:t>
      </w:r>
      <w:r w:rsidRPr="00131F23">
        <w:rPr>
          <w:rFonts w:ascii="Bookman Old Style" w:hAnsi="Bookman Old Style"/>
          <w:lang w:val="es-CO"/>
        </w:rPr>
        <w:t xml:space="preserve"> El cambio de la </w:t>
      </w:r>
      <w:proofErr w:type="spellStart"/>
      <w:r w:rsidRPr="00131F23">
        <w:rPr>
          <w:rFonts w:ascii="Bookman Old Style" w:hAnsi="Bookman Old Style"/>
          <w:lang w:val="es-CO"/>
        </w:rPr>
        <w:t>FPO</w:t>
      </w:r>
      <w:proofErr w:type="spellEnd"/>
      <w:r w:rsidRPr="00131F23">
        <w:rPr>
          <w:rFonts w:ascii="Bookman Old Style" w:hAnsi="Bookman Old Style"/>
          <w:lang w:val="es-CO"/>
        </w:rPr>
        <w:t xml:space="preserve"> se registrará en el sistema de información de la ventanilla única para que sea de conocimiento público y, a la vez, se enviará una alerta al interesado y al respectivo transportador.</w:t>
      </w:r>
    </w:p>
    <w:p w14:paraId="6D2484D5" w14:textId="77777777"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b/>
          <w:bCs/>
          <w:lang w:val="es-CO"/>
        </w:rPr>
        <w:t>Parágrafo 2.</w:t>
      </w:r>
      <w:r w:rsidRPr="00131F23">
        <w:rPr>
          <w:rFonts w:ascii="Bookman Old Style" w:hAnsi="Bookman Old Style"/>
          <w:lang w:val="es-CO"/>
        </w:rPr>
        <w:t xml:space="preserve"> Es responsabilidad de los interesados mantener vigente en todo momento la cobertura del proyecto, para lo cual deberá actualizar la garantía próxima a vencer por lo menos 15 días hábiles antes de finalizar su vigencia. El no hacerlo se convierte en una causal de ejecución de la garantía de reserva de capacidad.</w:t>
      </w:r>
    </w:p>
    <w:p w14:paraId="2D08D17F" w14:textId="2EB5B0A3" w:rsidR="007944C0" w:rsidRDefault="007944C0" w:rsidP="007944C0">
      <w:pPr>
        <w:spacing w:before="240"/>
        <w:ind w:left="0"/>
        <w:jc w:val="both"/>
        <w:rPr>
          <w:rFonts w:ascii="Bookman Old Style" w:hAnsi="Bookman Old Style"/>
          <w:lang w:val="es-CO"/>
        </w:rPr>
      </w:pPr>
      <w:r w:rsidRPr="00131F23">
        <w:rPr>
          <w:rFonts w:ascii="Bookman Old Style" w:hAnsi="Bookman Old Style"/>
          <w:b/>
          <w:bCs/>
          <w:lang w:val="es-CO"/>
        </w:rPr>
        <w:t>Parágrafo 3.</w:t>
      </w:r>
      <w:r w:rsidRPr="00131F23">
        <w:rPr>
          <w:rFonts w:ascii="Bookman Old Style" w:hAnsi="Bookman Old Style"/>
          <w:lang w:val="es-CO"/>
        </w:rPr>
        <w:t xml:space="preserve"> Para los proyectos que hayan incumplido hitos de la curva S antes del </w:t>
      </w:r>
      <w:r w:rsidR="00887CB0">
        <w:rPr>
          <w:rFonts w:ascii="Bookman Old Style" w:hAnsi="Bookman Old Style"/>
          <w:lang w:val="es-CO"/>
        </w:rPr>
        <w:t>26 de agosto</w:t>
      </w:r>
      <w:r w:rsidRPr="00131F23">
        <w:rPr>
          <w:rFonts w:ascii="Bookman Old Style" w:hAnsi="Bookman Old Style"/>
          <w:lang w:val="es-CO"/>
        </w:rPr>
        <w:t xml:space="preserve"> de 2024 y que modifiquen la </w:t>
      </w:r>
      <w:proofErr w:type="spellStart"/>
      <w:r w:rsidRPr="00131F23">
        <w:rPr>
          <w:rFonts w:ascii="Bookman Old Style" w:hAnsi="Bookman Old Style"/>
          <w:lang w:val="es-CO"/>
        </w:rPr>
        <w:t>FPO</w:t>
      </w:r>
      <w:proofErr w:type="spellEnd"/>
      <w:r w:rsidRPr="00131F23">
        <w:rPr>
          <w:rFonts w:ascii="Bookman Old Style" w:hAnsi="Bookman Old Style"/>
          <w:lang w:val="es-CO"/>
        </w:rPr>
        <w:t xml:space="preserve"> a través de la alternativa establecida en el literal </w:t>
      </w:r>
      <w:r w:rsidRPr="00131F23">
        <w:rPr>
          <w:rFonts w:ascii="Bookman Old Style" w:hAnsi="Bookman Old Style"/>
          <w:lang w:val="es-CO"/>
        </w:rPr>
        <w:fldChar w:fldCharType="begin"/>
      </w:r>
      <w:r w:rsidRPr="00131F23">
        <w:rPr>
          <w:rFonts w:ascii="Bookman Old Style" w:hAnsi="Bookman Old Style"/>
          <w:lang w:val="es-CO"/>
        </w:rPr>
        <w:instrText xml:space="preserve"> REF _Ref175601597 \n \h  \* MERGEFORMAT </w:instrText>
      </w:r>
      <w:r w:rsidRPr="00131F23">
        <w:rPr>
          <w:rFonts w:ascii="Bookman Old Style" w:hAnsi="Bookman Old Style"/>
          <w:lang w:val="es-CO"/>
        </w:rPr>
      </w:r>
      <w:r w:rsidRPr="00131F23">
        <w:rPr>
          <w:rFonts w:ascii="Bookman Old Style" w:hAnsi="Bookman Old Style"/>
          <w:lang w:val="es-CO"/>
        </w:rPr>
        <w:fldChar w:fldCharType="separate"/>
      </w:r>
      <w:r w:rsidR="00993A64">
        <w:rPr>
          <w:rFonts w:ascii="Bookman Old Style" w:hAnsi="Bookman Old Style"/>
          <w:lang w:val="es-CO"/>
        </w:rPr>
        <w:t>a)</w:t>
      </w:r>
      <w:r w:rsidRPr="00131F23">
        <w:rPr>
          <w:rFonts w:ascii="Bookman Old Style" w:hAnsi="Bookman Old Style"/>
          <w:lang w:val="es-CO"/>
        </w:rPr>
        <w:fldChar w:fldCharType="end"/>
      </w:r>
      <w:r w:rsidRPr="00131F23">
        <w:rPr>
          <w:rFonts w:ascii="Bookman Old Style" w:hAnsi="Bookman Old Style"/>
          <w:lang w:val="es-CO"/>
        </w:rPr>
        <w:t xml:space="preserve"> de este artículo se reiniciará la cuenta de incumplimiento de hitos, considerando la nueva curva S del proyecto.</w:t>
      </w:r>
    </w:p>
    <w:p w14:paraId="24360EA7" w14:textId="0A757175" w:rsidR="00887CB0" w:rsidRPr="00FD7722" w:rsidRDefault="00887CB0" w:rsidP="007944C0">
      <w:pPr>
        <w:spacing w:before="240"/>
        <w:ind w:left="0"/>
        <w:jc w:val="both"/>
        <w:rPr>
          <w:rFonts w:ascii="Bookman Old Style" w:hAnsi="Bookman Old Style"/>
          <w:lang w:val="es-CO"/>
        </w:rPr>
      </w:pPr>
      <w:r w:rsidRPr="009F3897">
        <w:rPr>
          <w:rFonts w:ascii="Bookman Old Style" w:hAnsi="Bookman Old Style"/>
          <w:b/>
          <w:bCs/>
          <w:lang w:val="es-CO"/>
        </w:rPr>
        <w:t>Parágrafo 4.</w:t>
      </w:r>
      <w:r w:rsidRPr="00FD7722">
        <w:rPr>
          <w:rFonts w:ascii="Bookman Old Style" w:hAnsi="Bookman Old Style"/>
          <w:lang w:val="es-CO"/>
        </w:rPr>
        <w:t xml:space="preserve"> No se podrá tramitar una solicitud de modificación de la </w:t>
      </w:r>
      <w:proofErr w:type="spellStart"/>
      <w:r w:rsidRPr="00FD7722">
        <w:rPr>
          <w:rFonts w:ascii="Bookman Old Style" w:hAnsi="Bookman Old Style"/>
          <w:lang w:val="es-CO"/>
        </w:rPr>
        <w:t>FPO</w:t>
      </w:r>
      <w:proofErr w:type="spellEnd"/>
      <w:r w:rsidRPr="00FD7722">
        <w:rPr>
          <w:rFonts w:ascii="Bookman Old Style" w:hAnsi="Bookman Old Style"/>
          <w:lang w:val="es-CO"/>
        </w:rPr>
        <w:t xml:space="preserve"> utilizando el literal a) si está en trámite y no ha quedado en firme otra solicitud de modificación presentada a</w:t>
      </w:r>
      <w:r w:rsidR="00B603E0">
        <w:rPr>
          <w:rFonts w:ascii="Bookman Old Style" w:hAnsi="Bookman Old Style"/>
          <w:lang w:val="es-CO"/>
        </w:rPr>
        <w:t xml:space="preserve">nte </w:t>
      </w:r>
      <w:r w:rsidRPr="00FD7722">
        <w:rPr>
          <w:rFonts w:ascii="Bookman Old Style" w:hAnsi="Bookman Old Style"/>
          <w:lang w:val="es-CO"/>
        </w:rPr>
        <w:t>l</w:t>
      </w:r>
      <w:r w:rsidR="00082251">
        <w:rPr>
          <w:rFonts w:ascii="Bookman Old Style" w:hAnsi="Bookman Old Style"/>
          <w:lang w:val="es-CO"/>
        </w:rPr>
        <w:t>a</w:t>
      </w:r>
      <w:r w:rsidRPr="00FD7722">
        <w:rPr>
          <w:rFonts w:ascii="Bookman Old Style" w:hAnsi="Bookman Old Style"/>
          <w:lang w:val="es-CO"/>
        </w:rPr>
        <w:t xml:space="preserve"> UPME. De la misma forma, la UPME no tramitará una solicitud de modificación utilizando el literal b) si el interesado </w:t>
      </w:r>
      <w:r w:rsidR="00DB64AD" w:rsidRPr="00FD7722">
        <w:rPr>
          <w:rFonts w:ascii="Bookman Old Style" w:hAnsi="Bookman Old Style"/>
          <w:lang w:val="es-CO"/>
        </w:rPr>
        <w:t xml:space="preserve">ha iniciado una solicitud de modificación de la </w:t>
      </w:r>
      <w:proofErr w:type="spellStart"/>
      <w:r w:rsidR="00DB64AD" w:rsidRPr="00FD7722">
        <w:rPr>
          <w:rFonts w:ascii="Bookman Old Style" w:hAnsi="Bookman Old Style"/>
          <w:lang w:val="es-CO"/>
        </w:rPr>
        <w:t>FPO</w:t>
      </w:r>
      <w:proofErr w:type="spellEnd"/>
      <w:r w:rsidR="00DB64AD" w:rsidRPr="00FD7722">
        <w:rPr>
          <w:rFonts w:ascii="Bookman Old Style" w:hAnsi="Bookman Old Style"/>
          <w:lang w:val="es-CO"/>
        </w:rPr>
        <w:t xml:space="preserve"> utilizando el literal a)</w:t>
      </w:r>
      <w:r w:rsidR="00B603E0">
        <w:rPr>
          <w:rFonts w:ascii="Bookman Old Style" w:hAnsi="Bookman Old Style"/>
          <w:lang w:val="es-CO"/>
        </w:rPr>
        <w:t xml:space="preserve"> y esta no ha finalizado</w:t>
      </w:r>
      <w:r w:rsidR="00DB64AD" w:rsidRPr="00FD7722">
        <w:rPr>
          <w:rFonts w:ascii="Bookman Old Style" w:hAnsi="Bookman Old Style"/>
          <w:lang w:val="es-CO"/>
        </w:rPr>
        <w:t>.</w:t>
      </w:r>
    </w:p>
    <w:p w14:paraId="4659C130" w14:textId="2D47BD4E"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b/>
          <w:bCs/>
          <w:lang w:val="es-CO"/>
        </w:rPr>
        <w:t>Parágrafo transitorio.</w:t>
      </w:r>
      <w:r w:rsidRPr="00131F23">
        <w:rPr>
          <w:rFonts w:ascii="Bookman Old Style" w:hAnsi="Bookman Old Style"/>
          <w:lang w:val="es-CO"/>
        </w:rPr>
        <w:t xml:space="preserve"> </w:t>
      </w:r>
      <w:r w:rsidR="00887CB0">
        <w:rPr>
          <w:rFonts w:ascii="Bookman Old Style" w:hAnsi="Bookman Old Style"/>
          <w:lang w:val="es-CO"/>
        </w:rPr>
        <w:t>Hasta el 6 de diciembre de 2024, l</w:t>
      </w:r>
      <w:r w:rsidRPr="00131F23">
        <w:rPr>
          <w:rFonts w:ascii="Bookman Old Style" w:hAnsi="Bookman Old Style"/>
          <w:lang w:val="es-CO"/>
        </w:rPr>
        <w:t xml:space="preserve">os proyectos con asignación de capacidad de transporte que no haya sido liberada, y que la última </w:t>
      </w:r>
      <w:proofErr w:type="spellStart"/>
      <w:r w:rsidRPr="00131F23">
        <w:rPr>
          <w:rFonts w:ascii="Bookman Old Style" w:hAnsi="Bookman Old Style"/>
          <w:lang w:val="es-CO"/>
        </w:rPr>
        <w:t>FPO</w:t>
      </w:r>
      <w:proofErr w:type="spellEnd"/>
      <w:r w:rsidRPr="00131F23">
        <w:rPr>
          <w:rFonts w:ascii="Bookman Old Style" w:hAnsi="Bookman Old Style"/>
          <w:lang w:val="es-CO"/>
        </w:rPr>
        <w:t xml:space="preserve"> aprobada haya vencido antes del </w:t>
      </w:r>
      <w:r w:rsidR="00887CB0">
        <w:rPr>
          <w:rFonts w:ascii="Bookman Old Style" w:hAnsi="Bookman Old Style"/>
          <w:lang w:val="es-CO"/>
        </w:rPr>
        <w:t>26 de agosto</w:t>
      </w:r>
      <w:r w:rsidRPr="00131F23">
        <w:rPr>
          <w:rFonts w:ascii="Bookman Old Style" w:hAnsi="Bookman Old Style"/>
          <w:lang w:val="es-CO"/>
        </w:rPr>
        <w:t xml:space="preserve"> de 2024, podrán hacer uso de la alternativa a).”</w:t>
      </w:r>
    </w:p>
    <w:p w14:paraId="6E842AA3" w14:textId="1B039C14" w:rsidR="00FD7722" w:rsidRPr="009F3897" w:rsidRDefault="007944C0" w:rsidP="007944C0">
      <w:pPr>
        <w:pStyle w:val="ARTICULOS"/>
        <w:rPr>
          <w:b w:val="0"/>
          <w:bCs w:val="0"/>
          <w:i/>
          <w:lang w:val="es-CO"/>
        </w:rPr>
      </w:pPr>
      <w:r w:rsidRPr="00131F23">
        <w:rPr>
          <w:lang w:val="es-CO"/>
        </w:rPr>
        <w:t xml:space="preserve">Trámite de modificación de </w:t>
      </w:r>
      <w:proofErr w:type="spellStart"/>
      <w:r w:rsidRPr="00131F23">
        <w:rPr>
          <w:lang w:val="es-CO"/>
        </w:rPr>
        <w:t>FPO</w:t>
      </w:r>
      <w:proofErr w:type="spellEnd"/>
      <w:r w:rsidRPr="00131F23">
        <w:rPr>
          <w:lang w:val="es-CO"/>
        </w:rPr>
        <w:t xml:space="preserve"> en curso. </w:t>
      </w:r>
      <w:r w:rsidRPr="00131F23">
        <w:rPr>
          <w:b w:val="0"/>
          <w:bCs w:val="0"/>
          <w:lang w:val="es-CO"/>
        </w:rPr>
        <w:t xml:space="preserve">Los interesados que con anterioridad a la entrada en vigencia de la presente resolución hayan solicitado la modificación de la </w:t>
      </w:r>
      <w:proofErr w:type="spellStart"/>
      <w:r w:rsidRPr="00131F23">
        <w:rPr>
          <w:b w:val="0"/>
          <w:bCs w:val="0"/>
          <w:lang w:val="es-CO"/>
        </w:rPr>
        <w:t>FPO</w:t>
      </w:r>
      <w:proofErr w:type="spellEnd"/>
      <w:r w:rsidRPr="00131F23">
        <w:rPr>
          <w:b w:val="0"/>
          <w:bCs w:val="0"/>
          <w:lang w:val="es-CO"/>
        </w:rPr>
        <w:t xml:space="preserve">, podrán desistir del trámite de dicha solicitud y aplicar alguna de las alternativas que se establecen en el artículo 17 de la Resolución CREG 075 de 2021, modificado mediante el artículo </w:t>
      </w:r>
      <w:r w:rsidRPr="00131F23">
        <w:rPr>
          <w:b w:val="0"/>
          <w:bCs w:val="0"/>
          <w:lang w:val="es-CO"/>
        </w:rPr>
        <w:fldChar w:fldCharType="begin"/>
      </w:r>
      <w:r w:rsidRPr="00131F23">
        <w:rPr>
          <w:b w:val="0"/>
          <w:bCs w:val="0"/>
          <w:lang w:val="es-CO"/>
        </w:rPr>
        <w:instrText xml:space="preserve"> REF _Ref175597838 \n \h \t \* MERGEFORMAT </w:instrText>
      </w:r>
      <w:r w:rsidRPr="00131F23">
        <w:rPr>
          <w:b w:val="0"/>
          <w:bCs w:val="0"/>
          <w:lang w:val="es-CO"/>
        </w:rPr>
      </w:r>
      <w:r w:rsidRPr="00131F23">
        <w:rPr>
          <w:b w:val="0"/>
          <w:bCs w:val="0"/>
          <w:lang w:val="es-CO"/>
        </w:rPr>
        <w:fldChar w:fldCharType="separate"/>
      </w:r>
      <w:r w:rsidR="00993A64">
        <w:rPr>
          <w:b w:val="0"/>
          <w:bCs w:val="0"/>
          <w:lang w:val="es-CO"/>
        </w:rPr>
        <w:t>3</w:t>
      </w:r>
      <w:r w:rsidRPr="00131F23">
        <w:rPr>
          <w:b w:val="0"/>
          <w:bCs w:val="0"/>
          <w:lang w:val="es-CO"/>
        </w:rPr>
        <w:fldChar w:fldCharType="end"/>
      </w:r>
      <w:r w:rsidRPr="00131F23">
        <w:rPr>
          <w:b w:val="0"/>
          <w:bCs w:val="0"/>
          <w:lang w:val="es-CO"/>
        </w:rPr>
        <w:t xml:space="preserve"> de la presente resolución.</w:t>
      </w:r>
      <w:r w:rsidR="003C728F" w:rsidRPr="00131F23">
        <w:rPr>
          <w:b w:val="0"/>
          <w:bCs w:val="0"/>
          <w:lang w:val="es-CO"/>
        </w:rPr>
        <w:t xml:space="preserve"> </w:t>
      </w:r>
    </w:p>
    <w:p w14:paraId="7C553649" w14:textId="08E5A9B7" w:rsidR="007944C0" w:rsidRPr="00131F23" w:rsidRDefault="00FD7722" w:rsidP="009F3897">
      <w:pPr>
        <w:pStyle w:val="ARTICULOS"/>
        <w:numPr>
          <w:ilvl w:val="0"/>
          <w:numId w:val="0"/>
        </w:numPr>
        <w:rPr>
          <w:b w:val="0"/>
          <w:bCs w:val="0"/>
          <w:i/>
          <w:lang w:val="es-CO"/>
        </w:rPr>
      </w:pPr>
      <w:r>
        <w:rPr>
          <w:b w:val="0"/>
          <w:bCs w:val="0"/>
          <w:lang w:val="es-CO"/>
        </w:rPr>
        <w:t>Si el interesado no</w:t>
      </w:r>
      <w:r w:rsidR="003C728F" w:rsidRPr="00131F23">
        <w:rPr>
          <w:b w:val="0"/>
          <w:bCs w:val="0"/>
          <w:lang w:val="es-CO"/>
        </w:rPr>
        <w:t xml:space="preserve"> desist</w:t>
      </w:r>
      <w:r>
        <w:rPr>
          <w:b w:val="0"/>
          <w:bCs w:val="0"/>
          <w:lang w:val="es-CO"/>
        </w:rPr>
        <w:t>e</w:t>
      </w:r>
      <w:r w:rsidR="003C728F" w:rsidRPr="00131F23">
        <w:rPr>
          <w:b w:val="0"/>
          <w:bCs w:val="0"/>
          <w:lang w:val="es-CO"/>
        </w:rPr>
        <w:t xml:space="preserve"> </w:t>
      </w:r>
      <w:r>
        <w:rPr>
          <w:b w:val="0"/>
          <w:bCs w:val="0"/>
          <w:lang w:val="es-CO"/>
        </w:rPr>
        <w:t xml:space="preserve">de la solicitud en trámite, deberá esperar hasta que quede en firme la decisión de la UPME si quiere utilizar la alternativa descrita en el </w:t>
      </w:r>
      <w:r w:rsidR="003C728F" w:rsidRPr="00131F23">
        <w:rPr>
          <w:b w:val="0"/>
          <w:bCs w:val="0"/>
          <w:lang w:val="es-CO"/>
        </w:rPr>
        <w:t>literal a)</w:t>
      </w:r>
      <w:r>
        <w:rPr>
          <w:b w:val="0"/>
          <w:bCs w:val="0"/>
          <w:lang w:val="es-CO"/>
        </w:rPr>
        <w:t xml:space="preserve"> del </w:t>
      </w:r>
      <w:r w:rsidRPr="00131F23">
        <w:rPr>
          <w:b w:val="0"/>
          <w:bCs w:val="0"/>
          <w:lang w:val="es-CO"/>
        </w:rPr>
        <w:t xml:space="preserve">artículo 17 de la Resolución CREG 075 de 2021, modificado mediante el artículo </w:t>
      </w:r>
      <w:r w:rsidRPr="00131F23">
        <w:rPr>
          <w:b w:val="0"/>
          <w:bCs w:val="0"/>
          <w:lang w:val="es-CO"/>
        </w:rPr>
        <w:fldChar w:fldCharType="begin"/>
      </w:r>
      <w:r w:rsidRPr="00131F23">
        <w:rPr>
          <w:b w:val="0"/>
          <w:bCs w:val="0"/>
          <w:lang w:val="es-CO"/>
        </w:rPr>
        <w:instrText xml:space="preserve"> REF _Ref175597838 \n \h \t \* MERGEFORMAT </w:instrText>
      </w:r>
      <w:r w:rsidRPr="00131F23">
        <w:rPr>
          <w:b w:val="0"/>
          <w:bCs w:val="0"/>
          <w:lang w:val="es-CO"/>
        </w:rPr>
      </w:r>
      <w:r w:rsidRPr="00131F23">
        <w:rPr>
          <w:b w:val="0"/>
          <w:bCs w:val="0"/>
          <w:lang w:val="es-CO"/>
        </w:rPr>
        <w:fldChar w:fldCharType="separate"/>
      </w:r>
      <w:r w:rsidR="00993A64">
        <w:rPr>
          <w:b w:val="0"/>
          <w:bCs w:val="0"/>
          <w:lang w:val="es-CO"/>
        </w:rPr>
        <w:t>3</w:t>
      </w:r>
      <w:r w:rsidRPr="00131F23">
        <w:rPr>
          <w:b w:val="0"/>
          <w:bCs w:val="0"/>
          <w:lang w:val="es-CO"/>
        </w:rPr>
        <w:fldChar w:fldCharType="end"/>
      </w:r>
      <w:r w:rsidRPr="00131F23">
        <w:rPr>
          <w:b w:val="0"/>
          <w:bCs w:val="0"/>
          <w:lang w:val="es-CO"/>
        </w:rPr>
        <w:t xml:space="preserve"> de la presente resolución.</w:t>
      </w:r>
    </w:p>
    <w:bookmarkEnd w:id="3"/>
    <w:bookmarkEnd w:id="4"/>
    <w:p w14:paraId="6C108547" w14:textId="17CFB3ED" w:rsidR="007944C0" w:rsidRPr="00131F23" w:rsidRDefault="007944C0" w:rsidP="007944C0">
      <w:pPr>
        <w:pStyle w:val="ARTICULOS"/>
        <w:rPr>
          <w:b w:val="0"/>
          <w:bCs w:val="0"/>
          <w:i/>
          <w:lang w:val="es-CO"/>
        </w:rPr>
      </w:pPr>
      <w:r w:rsidRPr="00131F23">
        <w:rPr>
          <w:lang w:val="es-CO"/>
        </w:rPr>
        <w:t xml:space="preserve">Plazo para constituir la garantía para reserva de capacidad a proyectos de las subastas de contratación de largo plazo. </w:t>
      </w:r>
      <w:r w:rsidRPr="00131F23">
        <w:rPr>
          <w:b w:val="0"/>
          <w:bCs w:val="0"/>
          <w:lang w:val="es-CO"/>
        </w:rPr>
        <w:t xml:space="preserve">Para aquellos proyectos a los que se les ejecutó la garantía de puesta en operación conforme a lo dispuesto en las resoluciones CREG 107 de 2019 y 186 de 2021, </w:t>
      </w:r>
      <w:r w:rsidR="00312955">
        <w:rPr>
          <w:b w:val="0"/>
          <w:bCs w:val="0"/>
          <w:lang w:val="es-CO"/>
        </w:rPr>
        <w:t xml:space="preserve">que no se les ha liberado la capacidad de transporte asignada </w:t>
      </w:r>
      <w:r w:rsidRPr="00131F23">
        <w:rPr>
          <w:b w:val="0"/>
          <w:bCs w:val="0"/>
          <w:lang w:val="es-CO"/>
        </w:rPr>
        <w:t xml:space="preserve">y aún no han constituido la garantía para reserva de capacidad, cumpliendo con lo establecido en la </w:t>
      </w:r>
      <w:r w:rsidRPr="00131F23">
        <w:rPr>
          <w:b w:val="0"/>
          <w:bCs w:val="0"/>
          <w:lang w:val="es-CO"/>
        </w:rPr>
        <w:lastRenderedPageBreak/>
        <w:t>Resolución CREG 075 de 2021, contarán con un plazo de dos (2) meses a partir de la entrada en vigencia de la presente resolución para constituir esta garantía.</w:t>
      </w:r>
    </w:p>
    <w:p w14:paraId="50D5F140" w14:textId="23FAB36A"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 xml:space="preserve">Si la </w:t>
      </w:r>
      <w:proofErr w:type="spellStart"/>
      <w:r w:rsidRPr="00131F23">
        <w:rPr>
          <w:rFonts w:ascii="Bookman Old Style" w:hAnsi="Bookman Old Style"/>
          <w:lang w:val="es-CO"/>
        </w:rPr>
        <w:t>FPO</w:t>
      </w:r>
      <w:proofErr w:type="spellEnd"/>
      <w:r w:rsidRPr="00131F23">
        <w:rPr>
          <w:rFonts w:ascii="Bookman Old Style" w:hAnsi="Bookman Old Style"/>
          <w:lang w:val="es-CO"/>
        </w:rPr>
        <w:t xml:space="preserve"> aprobada por la UPME en el concepto de conexión es anterior a la fecha de entrada en vigencia de </w:t>
      </w:r>
      <w:r w:rsidR="006E3AEF">
        <w:rPr>
          <w:rFonts w:ascii="Bookman Old Style" w:hAnsi="Bookman Old Style"/>
          <w:lang w:val="es-CO"/>
        </w:rPr>
        <w:t>la presente</w:t>
      </w:r>
      <w:r w:rsidRPr="00131F23">
        <w:rPr>
          <w:rFonts w:ascii="Bookman Old Style" w:hAnsi="Bookman Old Style"/>
          <w:lang w:val="es-CO"/>
        </w:rPr>
        <w:t xml:space="preserve"> resolución, </w:t>
      </w:r>
      <w:r w:rsidR="000B6C6D">
        <w:rPr>
          <w:rFonts w:ascii="Bookman Old Style" w:hAnsi="Bookman Old Style"/>
          <w:lang w:val="es-CO"/>
        </w:rPr>
        <w:t xml:space="preserve">se </w:t>
      </w:r>
      <w:r w:rsidRPr="00131F23">
        <w:rPr>
          <w:rFonts w:ascii="Bookman Old Style" w:hAnsi="Bookman Old Style"/>
          <w:lang w:val="es-CO"/>
        </w:rPr>
        <w:t xml:space="preserve">podrá modificar la </w:t>
      </w:r>
      <w:proofErr w:type="spellStart"/>
      <w:r w:rsidRPr="00131F23">
        <w:rPr>
          <w:rFonts w:ascii="Bookman Old Style" w:hAnsi="Bookman Old Style"/>
          <w:lang w:val="es-CO"/>
        </w:rPr>
        <w:t>FPO</w:t>
      </w:r>
      <w:proofErr w:type="spellEnd"/>
      <w:r w:rsidRPr="00131F23">
        <w:rPr>
          <w:rFonts w:ascii="Bookman Old Style" w:hAnsi="Bookman Old Style"/>
          <w:lang w:val="es-CO"/>
        </w:rPr>
        <w:t xml:space="preserve"> conforme a lo establecido en </w:t>
      </w:r>
      <w:r w:rsidR="00D54E46">
        <w:rPr>
          <w:rFonts w:ascii="Bookman Old Style" w:hAnsi="Bookman Old Style"/>
          <w:lang w:val="es-CO"/>
        </w:rPr>
        <w:t xml:space="preserve">el artículo 17 de la </w:t>
      </w:r>
      <w:r w:rsidR="00D54E46" w:rsidRPr="007C6711">
        <w:rPr>
          <w:rFonts w:ascii="Bookman Old Style" w:hAnsi="Bookman Old Style"/>
          <w:lang w:val="es-CO"/>
        </w:rPr>
        <w:t>Resolución CREG 075 de 2021</w:t>
      </w:r>
      <w:r w:rsidRPr="00131F23">
        <w:rPr>
          <w:rFonts w:ascii="Bookman Old Style" w:hAnsi="Bookman Old Style"/>
          <w:lang w:val="es-CO"/>
        </w:rPr>
        <w:t xml:space="preserve">. Para ello, se asumirá que el </w:t>
      </w:r>
      <w:r w:rsidR="002D5427" w:rsidRPr="00131F23">
        <w:rPr>
          <w:rFonts w:ascii="Bookman Old Style" w:hAnsi="Bookman Old Style"/>
          <w:lang w:val="es-CO"/>
        </w:rPr>
        <w:t xml:space="preserve">último </w:t>
      </w:r>
      <w:r w:rsidRPr="00131F23">
        <w:rPr>
          <w:rFonts w:ascii="Bookman Old Style" w:hAnsi="Bookman Old Style"/>
          <w:lang w:val="es-CO"/>
        </w:rPr>
        <w:t xml:space="preserve">valor de la </w:t>
      </w:r>
      <w:r w:rsidR="00484E22" w:rsidRPr="00131F23">
        <w:rPr>
          <w:rFonts w:ascii="Bookman Old Style" w:hAnsi="Bookman Old Style"/>
          <w:lang w:val="es-CO"/>
        </w:rPr>
        <w:t>cobertura calculado según la Resolución CREG 075 de 2021</w:t>
      </w:r>
      <w:r w:rsidRPr="00131F23">
        <w:rPr>
          <w:rFonts w:ascii="Bookman Old Style" w:hAnsi="Bookman Old Style"/>
          <w:lang w:val="es-CO"/>
        </w:rPr>
        <w:t xml:space="preserve">, </w:t>
      </w:r>
      <w:proofErr w:type="spellStart"/>
      <w:r w:rsidRPr="00131F23">
        <w:rPr>
          <w:rFonts w:ascii="Bookman Old Style" w:hAnsi="Bookman Old Style"/>
          <w:lang w:val="es-CO"/>
        </w:rPr>
        <w:t>VUG</w:t>
      </w:r>
      <w:proofErr w:type="spellEnd"/>
      <w:r w:rsidRPr="00131F23">
        <w:rPr>
          <w:rFonts w:ascii="Bookman Old Style" w:hAnsi="Bookman Old Style"/>
          <w:lang w:val="es-CO"/>
        </w:rPr>
        <w:t xml:space="preserve">, corresponde a </w:t>
      </w:r>
      <w:r w:rsidR="005D2906" w:rsidRPr="00131F23">
        <w:rPr>
          <w:rFonts w:ascii="Bookman Old Style" w:hAnsi="Bookman Old Style"/>
          <w:lang w:val="es-CO"/>
        </w:rPr>
        <w:t xml:space="preserve">la multiplicación de </w:t>
      </w:r>
      <w:r w:rsidRPr="00131F23">
        <w:rPr>
          <w:rFonts w:ascii="Bookman Old Style" w:hAnsi="Bookman Old Style"/>
          <w:lang w:val="es-CO"/>
        </w:rPr>
        <w:t xml:space="preserve">diez </w:t>
      </w:r>
      <w:r w:rsidR="00485578" w:rsidRPr="00131F23">
        <w:rPr>
          <w:rFonts w:ascii="Bookman Old Style" w:hAnsi="Bookman Old Style"/>
          <w:lang w:val="es-CO"/>
        </w:rPr>
        <w:t xml:space="preserve">(10) </w:t>
      </w:r>
      <w:r w:rsidRPr="00131F23">
        <w:rPr>
          <w:rFonts w:ascii="Bookman Old Style" w:hAnsi="Bookman Old Style"/>
          <w:lang w:val="es-CO"/>
        </w:rPr>
        <w:t xml:space="preserve">dólares </w:t>
      </w:r>
      <w:r w:rsidR="00F55B29" w:rsidRPr="00131F23">
        <w:rPr>
          <w:rFonts w:ascii="Bookman Old Style" w:hAnsi="Bookman Old Style"/>
          <w:lang w:val="es-CO"/>
        </w:rPr>
        <w:t xml:space="preserve">de los Estados Unidos de América </w:t>
      </w:r>
      <w:r w:rsidRPr="00131F23">
        <w:rPr>
          <w:rFonts w:ascii="Bookman Old Style" w:hAnsi="Bookman Old Style"/>
          <w:lang w:val="es-CO"/>
        </w:rPr>
        <w:t xml:space="preserve">por </w:t>
      </w:r>
      <w:r w:rsidR="00645791" w:rsidRPr="00131F23">
        <w:rPr>
          <w:rFonts w:ascii="Bookman Old Style" w:hAnsi="Bookman Old Style"/>
          <w:lang w:val="es-CO"/>
        </w:rPr>
        <w:t xml:space="preserve">el número de </w:t>
      </w:r>
      <w:r w:rsidRPr="00131F23">
        <w:rPr>
          <w:rFonts w:ascii="Bookman Old Style" w:hAnsi="Bookman Old Style"/>
          <w:lang w:val="es-CO"/>
        </w:rPr>
        <w:t xml:space="preserve">kW de la capacidad </w:t>
      </w:r>
      <w:r w:rsidR="00645791" w:rsidRPr="00131F23">
        <w:rPr>
          <w:rFonts w:ascii="Bookman Old Style" w:hAnsi="Bookman Old Style"/>
          <w:lang w:val="es-CO"/>
        </w:rPr>
        <w:t xml:space="preserve">de transporte </w:t>
      </w:r>
      <w:r w:rsidRPr="00131F23">
        <w:rPr>
          <w:rFonts w:ascii="Bookman Old Style" w:hAnsi="Bookman Old Style"/>
          <w:lang w:val="es-CO"/>
        </w:rPr>
        <w:t>asignada</w:t>
      </w:r>
      <w:r w:rsidR="00EC7968" w:rsidRPr="00131F23">
        <w:rPr>
          <w:rFonts w:ascii="Bookman Old Style" w:hAnsi="Bookman Old Style"/>
          <w:lang w:val="es-CO"/>
        </w:rPr>
        <w:t xml:space="preserve">, establecido en el concepto de conexión, y por la tasa de cambio representativa del mercado, </w:t>
      </w:r>
      <w:proofErr w:type="spellStart"/>
      <w:r w:rsidR="00EC7968" w:rsidRPr="00131F23">
        <w:rPr>
          <w:rFonts w:ascii="Bookman Old Style" w:hAnsi="Bookman Old Style"/>
          <w:lang w:val="es-CO"/>
        </w:rPr>
        <w:t>TRM</w:t>
      </w:r>
      <w:proofErr w:type="spellEnd"/>
      <w:r w:rsidR="00EC7968" w:rsidRPr="00131F23">
        <w:rPr>
          <w:rFonts w:ascii="Bookman Old Style" w:hAnsi="Bookman Old Style"/>
          <w:lang w:val="es-CO"/>
        </w:rPr>
        <w:t>, vigente el lunes de la semana anterior a la fecha de emisión de la garantía</w:t>
      </w:r>
      <w:r w:rsidRPr="00131F23">
        <w:rPr>
          <w:rFonts w:ascii="Bookman Old Style" w:hAnsi="Bookman Old Style"/>
          <w:lang w:val="es-CO"/>
        </w:rPr>
        <w:t>.</w:t>
      </w:r>
    </w:p>
    <w:p w14:paraId="3A94F2DA" w14:textId="77777777" w:rsidR="007944C0" w:rsidRPr="00131F23" w:rsidRDefault="007944C0" w:rsidP="007944C0">
      <w:pPr>
        <w:pStyle w:val="ARTICULOS"/>
        <w:rPr>
          <w:b w:val="0"/>
          <w:bCs w:val="0"/>
          <w:i/>
          <w:lang w:val="es-CO"/>
        </w:rPr>
      </w:pPr>
      <w:r w:rsidRPr="00131F23">
        <w:rPr>
          <w:lang w:val="es-CO"/>
        </w:rPr>
        <w:t xml:space="preserve">Modificación de una definición del artículo 2 de la Resolución CREG 186 de 2021. </w:t>
      </w:r>
      <w:r w:rsidRPr="00131F23">
        <w:rPr>
          <w:b w:val="0"/>
          <w:bCs w:val="0"/>
          <w:lang w:val="es-CO"/>
        </w:rPr>
        <w:t xml:space="preserve">La definición correspondiente a la Fecha de verificación de puesta en operación comercial última modificada, </w:t>
      </w:r>
      <w:proofErr w:type="spellStart"/>
      <w:r w:rsidRPr="00131F23">
        <w:rPr>
          <w:b w:val="0"/>
          <w:bCs w:val="0"/>
          <w:lang w:val="es-CO"/>
        </w:rPr>
        <w:t>FVPO</w:t>
      </w:r>
      <w:proofErr w:type="spellEnd"/>
      <w:r w:rsidRPr="00131F23">
        <w:rPr>
          <w:b w:val="0"/>
          <w:bCs w:val="0"/>
          <w:lang w:val="es-CO"/>
        </w:rPr>
        <w:t xml:space="preserve"> última modificada, se cambia de la siguiente manera: </w:t>
      </w:r>
    </w:p>
    <w:p w14:paraId="7F355D6C" w14:textId="77777777" w:rsidR="007944C0" w:rsidRPr="00131F23" w:rsidRDefault="007944C0" w:rsidP="007944C0">
      <w:pPr>
        <w:spacing w:before="240"/>
        <w:ind w:left="708"/>
        <w:jc w:val="both"/>
        <w:rPr>
          <w:rFonts w:ascii="Bookman Old Style" w:hAnsi="Bookman Old Style"/>
          <w:lang w:val="es-CO"/>
        </w:rPr>
      </w:pPr>
      <w:r w:rsidRPr="00131F23">
        <w:rPr>
          <w:rFonts w:ascii="Bookman Old Style" w:hAnsi="Bookman Old Style"/>
          <w:lang w:val="es-CO"/>
        </w:rPr>
        <w:t>“</w:t>
      </w:r>
      <w:r w:rsidRPr="00131F23">
        <w:rPr>
          <w:rFonts w:ascii="Bookman Old Style" w:hAnsi="Bookman Old Style"/>
          <w:b/>
          <w:lang w:val="es-CO"/>
        </w:rPr>
        <w:t xml:space="preserve">Fecha de verificación de puesta en operación comercial última modificada, </w:t>
      </w:r>
      <w:proofErr w:type="spellStart"/>
      <w:r w:rsidRPr="00131F23">
        <w:rPr>
          <w:rFonts w:ascii="Bookman Old Style" w:hAnsi="Bookman Old Style"/>
          <w:b/>
          <w:lang w:val="es-CO"/>
        </w:rPr>
        <w:t>FVPO</w:t>
      </w:r>
      <w:proofErr w:type="spellEnd"/>
      <w:r w:rsidRPr="00131F23">
        <w:rPr>
          <w:rFonts w:ascii="Bookman Old Style" w:hAnsi="Bookman Old Style"/>
          <w:b/>
          <w:lang w:val="es-CO"/>
        </w:rPr>
        <w:t xml:space="preserve"> última modificada: </w:t>
      </w:r>
      <w:r w:rsidRPr="00131F23">
        <w:rPr>
          <w:rFonts w:ascii="Bookman Old Style" w:hAnsi="Bookman Old Style"/>
          <w:lang w:val="es-CO"/>
        </w:rPr>
        <w:t xml:space="preserve">la fecha de verificación de puesta en operación comercial última modificada es igual a la fecha de puesta en operación, </w:t>
      </w:r>
      <w:proofErr w:type="spellStart"/>
      <w:r w:rsidRPr="00131F23">
        <w:rPr>
          <w:rFonts w:ascii="Bookman Old Style" w:hAnsi="Bookman Old Style"/>
          <w:lang w:val="es-CO"/>
        </w:rPr>
        <w:t>FPO</w:t>
      </w:r>
      <w:proofErr w:type="spellEnd"/>
      <w:r w:rsidRPr="00131F23">
        <w:rPr>
          <w:rFonts w:ascii="Bookman Old Style" w:hAnsi="Bookman Old Style"/>
          <w:lang w:val="es-CO"/>
        </w:rPr>
        <w:t xml:space="preserve">, que esté vigente para cada proyecto de generación, cuando esta sea posterior a la </w:t>
      </w:r>
      <w:proofErr w:type="spellStart"/>
      <w:r w:rsidRPr="00131F23">
        <w:rPr>
          <w:rFonts w:ascii="Bookman Old Style" w:hAnsi="Bookman Old Style"/>
          <w:lang w:val="es-CO"/>
        </w:rPr>
        <w:t>FVPO</w:t>
      </w:r>
      <w:proofErr w:type="spellEnd"/>
      <w:r w:rsidRPr="00131F23">
        <w:rPr>
          <w:rFonts w:ascii="Bookman Old Style" w:hAnsi="Bookman Old Style"/>
          <w:lang w:val="es-CO"/>
        </w:rPr>
        <w:t xml:space="preserve"> última.”</w:t>
      </w:r>
    </w:p>
    <w:p w14:paraId="3D4DFC55" w14:textId="46779272" w:rsidR="007944C0" w:rsidRPr="00131F23" w:rsidRDefault="007944C0" w:rsidP="007944C0">
      <w:pPr>
        <w:pStyle w:val="ARTICULOS"/>
        <w:rPr>
          <w:b w:val="0"/>
          <w:bCs w:val="0"/>
          <w:i/>
          <w:lang w:val="es-CO"/>
        </w:rPr>
      </w:pPr>
      <w:bookmarkStart w:id="10" w:name="_Ref172816339"/>
      <w:r w:rsidRPr="00131F23">
        <w:rPr>
          <w:lang w:val="es-CO"/>
        </w:rPr>
        <w:t xml:space="preserve">Solicitudes en trámite de asignación de capacidad. </w:t>
      </w:r>
      <w:r w:rsidRPr="00131F23">
        <w:rPr>
          <w:b w:val="0"/>
          <w:bCs w:val="0"/>
          <w:lang w:val="es-CO"/>
        </w:rPr>
        <w:t xml:space="preserve">Para los proyectos clase 1 que se encuentran en trámite de asignación de capacidad de transporte dentro del calendario del año 2023, la UPME deberá expedir el concepto de conexión </w:t>
      </w:r>
      <w:r w:rsidR="00FC63F8">
        <w:rPr>
          <w:b w:val="0"/>
          <w:bCs w:val="0"/>
          <w:lang w:val="es-CO"/>
        </w:rPr>
        <w:t>adicionando a</w:t>
      </w:r>
      <w:r w:rsidRPr="00131F23">
        <w:rPr>
          <w:b w:val="0"/>
          <w:bCs w:val="0"/>
          <w:lang w:val="es-CO"/>
        </w:rPr>
        <w:t xml:space="preserve"> la </w:t>
      </w:r>
      <w:proofErr w:type="spellStart"/>
      <w:r w:rsidRPr="00131F23">
        <w:rPr>
          <w:b w:val="0"/>
          <w:bCs w:val="0"/>
          <w:lang w:val="es-CO"/>
        </w:rPr>
        <w:t>FPO</w:t>
      </w:r>
      <w:proofErr w:type="spellEnd"/>
      <w:r w:rsidRPr="00131F23">
        <w:rPr>
          <w:b w:val="0"/>
          <w:bCs w:val="0"/>
          <w:lang w:val="es-CO"/>
        </w:rPr>
        <w:t xml:space="preserve"> solicitada el número de meses </w:t>
      </w:r>
      <w:r w:rsidR="00993A64">
        <w:rPr>
          <w:b w:val="0"/>
          <w:bCs w:val="0"/>
          <w:lang w:val="es-CO"/>
        </w:rPr>
        <w:t xml:space="preserve">adicionales </w:t>
      </w:r>
      <w:r w:rsidRPr="00131F23">
        <w:rPr>
          <w:b w:val="0"/>
          <w:bCs w:val="0"/>
          <w:lang w:val="es-CO"/>
        </w:rPr>
        <w:t>que hayan sido utilizados para emitir dichos conceptos.</w:t>
      </w:r>
    </w:p>
    <w:p w14:paraId="73D62BB5" w14:textId="7D2F1A51"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El número de meses adicionales será estimado por la UPME contando desde la fecha prevista para emisión del concepto, que corresponda según literal c) o d) del artículo 1 de la Resolución CREG 101 017 de 2023, hasta la fecha de emisión del respectivo concepto.</w:t>
      </w:r>
    </w:p>
    <w:p w14:paraId="7A57AEFE" w14:textId="258E1B8F" w:rsidR="007944C0" w:rsidRPr="00131F23" w:rsidRDefault="007944C0" w:rsidP="007944C0">
      <w:pPr>
        <w:spacing w:before="240"/>
        <w:ind w:left="0"/>
        <w:jc w:val="both"/>
        <w:rPr>
          <w:rFonts w:ascii="Bookman Old Style" w:hAnsi="Bookman Old Style"/>
          <w:lang w:val="es-CO"/>
        </w:rPr>
      </w:pPr>
      <w:r w:rsidRPr="00131F23">
        <w:rPr>
          <w:rFonts w:ascii="Bookman Old Style" w:hAnsi="Bookman Old Style"/>
          <w:lang w:val="es-CO"/>
        </w:rPr>
        <w:t xml:space="preserve">El interesado, si así lo decide, podrá solicitar a la UPME que no se realice el aplazamiento de la </w:t>
      </w:r>
      <w:proofErr w:type="spellStart"/>
      <w:r w:rsidRPr="00131F23">
        <w:rPr>
          <w:rFonts w:ascii="Bookman Old Style" w:hAnsi="Bookman Old Style"/>
          <w:lang w:val="es-CO"/>
        </w:rPr>
        <w:t>FPO</w:t>
      </w:r>
      <w:proofErr w:type="spellEnd"/>
      <w:r w:rsidRPr="00131F23">
        <w:rPr>
          <w:rFonts w:ascii="Bookman Old Style" w:hAnsi="Bookman Old Style"/>
          <w:lang w:val="es-CO"/>
        </w:rPr>
        <w:t xml:space="preserve"> de que trata este artículo, para lo cual deberá solicitarlo formalmente a dicha entidad</w:t>
      </w:r>
      <w:r w:rsidR="00FC63F8">
        <w:rPr>
          <w:rFonts w:ascii="Bookman Old Style" w:hAnsi="Bookman Old Style"/>
          <w:lang w:val="es-CO"/>
        </w:rPr>
        <w:t>, a partir de la entrada en vigencia de esta resolución y</w:t>
      </w:r>
      <w:r w:rsidR="002B72DF">
        <w:rPr>
          <w:rFonts w:ascii="Bookman Old Style" w:hAnsi="Bookman Old Style"/>
          <w:lang w:val="es-CO"/>
        </w:rPr>
        <w:t xml:space="preserve"> </w:t>
      </w:r>
      <w:r w:rsidR="00FC63F8">
        <w:rPr>
          <w:rFonts w:ascii="Bookman Old Style" w:hAnsi="Bookman Old Style"/>
          <w:lang w:val="es-CO"/>
        </w:rPr>
        <w:t xml:space="preserve">antes de aceptar la </w:t>
      </w:r>
      <w:r w:rsidR="002B72DF">
        <w:rPr>
          <w:rFonts w:ascii="Bookman Old Style" w:hAnsi="Bookman Old Style"/>
          <w:lang w:val="es-CO"/>
        </w:rPr>
        <w:t>asignación de c</w:t>
      </w:r>
      <w:r w:rsidR="00FC63F8">
        <w:rPr>
          <w:rFonts w:ascii="Bookman Old Style" w:hAnsi="Bookman Old Style"/>
          <w:lang w:val="es-CO"/>
        </w:rPr>
        <w:t>apacidad de transporte</w:t>
      </w:r>
      <w:r w:rsidRPr="00131F23">
        <w:rPr>
          <w:rFonts w:ascii="Bookman Old Style" w:hAnsi="Bookman Old Style"/>
          <w:lang w:val="es-CO"/>
        </w:rPr>
        <w:t>.</w:t>
      </w:r>
    </w:p>
    <w:p w14:paraId="10E14A60" w14:textId="77777777" w:rsidR="007944C0" w:rsidRPr="00131F23" w:rsidRDefault="007944C0" w:rsidP="007944C0">
      <w:pPr>
        <w:pStyle w:val="ARTICULOS"/>
        <w:rPr>
          <w:b w:val="0"/>
          <w:bCs w:val="0"/>
          <w:i/>
          <w:lang w:val="es-CO"/>
        </w:rPr>
      </w:pPr>
      <w:bookmarkStart w:id="11" w:name="_Ref175049051"/>
      <w:r w:rsidRPr="00131F23">
        <w:rPr>
          <w:lang w:val="es-CO"/>
        </w:rPr>
        <w:t xml:space="preserve">Vigencia. </w:t>
      </w:r>
      <w:r w:rsidRPr="00131F23">
        <w:rPr>
          <w:b w:val="0"/>
          <w:bCs w:val="0"/>
          <w:lang w:val="es-CO"/>
        </w:rPr>
        <w:t xml:space="preserve">La presente resolución rige a partir de su publicación en el </w:t>
      </w:r>
      <w:r w:rsidRPr="00DB64AD">
        <w:rPr>
          <w:b w:val="0"/>
          <w:bCs w:val="0"/>
          <w:i/>
          <w:iCs/>
          <w:lang w:val="es-CO"/>
        </w:rPr>
        <w:t>Diario Oficial</w:t>
      </w:r>
      <w:r w:rsidRPr="00131F23">
        <w:rPr>
          <w:b w:val="0"/>
          <w:bCs w:val="0"/>
          <w:lang w:val="es-CO"/>
        </w:rPr>
        <w:t>.</w:t>
      </w:r>
      <w:bookmarkEnd w:id="10"/>
      <w:bookmarkEnd w:id="11"/>
    </w:p>
    <w:p w14:paraId="2DEF0158" w14:textId="77777777" w:rsidR="007944C0" w:rsidRPr="00131F23" w:rsidRDefault="007944C0" w:rsidP="007944C0">
      <w:pPr>
        <w:ind w:left="0"/>
        <w:rPr>
          <w:rFonts w:ascii="Bookman Old Style" w:hAnsi="Bookman Old Style"/>
          <w:lang w:val="es-CO"/>
        </w:rPr>
      </w:pPr>
    </w:p>
    <w:p w14:paraId="451356D9" w14:textId="77777777" w:rsidR="007944C0" w:rsidRPr="00131F23" w:rsidRDefault="007944C0" w:rsidP="007944C0">
      <w:pPr>
        <w:ind w:left="0"/>
        <w:jc w:val="center"/>
        <w:rPr>
          <w:rFonts w:ascii="Bookman Old Style" w:hAnsi="Bookman Old Style"/>
          <w:b/>
          <w:bCs/>
          <w:lang w:val="es-CO"/>
        </w:rPr>
      </w:pPr>
      <w:r w:rsidRPr="00131F23">
        <w:rPr>
          <w:rFonts w:ascii="Bookman Old Style" w:hAnsi="Bookman Old Style"/>
          <w:b/>
          <w:bCs/>
          <w:lang w:val="es-CO"/>
        </w:rPr>
        <w:t>PUBLÍQUESE Y CÚMPLASE</w:t>
      </w:r>
    </w:p>
    <w:p w14:paraId="11F7A06C" w14:textId="77777777" w:rsidR="007944C0" w:rsidRPr="00131F23" w:rsidRDefault="007944C0" w:rsidP="007944C0">
      <w:pPr>
        <w:ind w:left="0"/>
        <w:jc w:val="center"/>
        <w:rPr>
          <w:rFonts w:ascii="Bookman Old Style" w:hAnsi="Bookman Old Style"/>
          <w:lang w:val="es-CO"/>
        </w:rPr>
      </w:pPr>
    </w:p>
    <w:tbl>
      <w:tblPr>
        <w:tblpPr w:leftFromText="141" w:rightFromText="141" w:vertAnchor="text" w:horzAnchor="margin" w:tblpY="440"/>
        <w:tblW w:w="9778" w:type="dxa"/>
        <w:tblCellSpacing w:w="0" w:type="dxa"/>
        <w:tblCellMar>
          <w:left w:w="0" w:type="dxa"/>
          <w:right w:w="0" w:type="dxa"/>
        </w:tblCellMar>
        <w:tblLook w:val="04A0" w:firstRow="1" w:lastRow="0" w:firstColumn="1" w:lastColumn="0" w:noHBand="0" w:noVBand="1"/>
      </w:tblPr>
      <w:tblGrid>
        <w:gridCol w:w="5071"/>
        <w:gridCol w:w="4707"/>
      </w:tblGrid>
      <w:tr w:rsidR="0002677F" w:rsidRPr="00FC6616" w14:paraId="5EE549C5" w14:textId="77777777" w:rsidTr="0002677F">
        <w:trPr>
          <w:trHeight w:val="289"/>
          <w:tblCellSpacing w:w="0" w:type="dxa"/>
        </w:trPr>
        <w:tc>
          <w:tcPr>
            <w:tcW w:w="5071" w:type="dxa"/>
          </w:tcPr>
          <w:p w14:paraId="24A20CBB" w14:textId="77777777" w:rsidR="0002677F" w:rsidRPr="0002677F" w:rsidRDefault="0002677F" w:rsidP="0002677F">
            <w:pPr>
              <w:ind w:left="66"/>
              <w:jc w:val="center"/>
              <w:rPr>
                <w:rFonts w:ascii="Bookman Old Style" w:hAnsi="Bookman Old Style" w:cs="Arial"/>
                <w:b/>
                <w:spacing w:val="-3"/>
                <w:sz w:val="22"/>
                <w:szCs w:val="22"/>
              </w:rPr>
            </w:pPr>
            <w:r w:rsidRPr="0002677F">
              <w:rPr>
                <w:rFonts w:ascii="Bookman Old Style" w:hAnsi="Bookman Old Style" w:cs="Arial"/>
                <w:b/>
                <w:spacing w:val="-3"/>
                <w:sz w:val="22"/>
                <w:szCs w:val="22"/>
              </w:rPr>
              <w:t>ANDRÉS CAMACHO MORALES</w:t>
            </w:r>
          </w:p>
        </w:tc>
        <w:tc>
          <w:tcPr>
            <w:tcW w:w="4707" w:type="dxa"/>
          </w:tcPr>
          <w:p w14:paraId="77CF1854" w14:textId="77777777" w:rsidR="0002677F" w:rsidRPr="0002677F" w:rsidRDefault="0002677F" w:rsidP="0002677F">
            <w:pPr>
              <w:ind w:left="89"/>
              <w:jc w:val="center"/>
              <w:rPr>
                <w:rFonts w:ascii="Bookman Old Style" w:hAnsi="Bookman Old Style" w:cs="Arial"/>
                <w:b/>
                <w:spacing w:val="-3"/>
                <w:sz w:val="22"/>
                <w:szCs w:val="22"/>
              </w:rPr>
            </w:pPr>
            <w:r w:rsidRPr="0002677F">
              <w:rPr>
                <w:rFonts w:ascii="Bookman Old Style" w:hAnsi="Bookman Old Style" w:cs="Arial"/>
                <w:b/>
                <w:spacing w:val="-3"/>
                <w:sz w:val="22"/>
                <w:szCs w:val="22"/>
              </w:rPr>
              <w:t>ANTONIO JIMÉNEZ RIVERA</w:t>
            </w:r>
          </w:p>
        </w:tc>
      </w:tr>
      <w:tr w:rsidR="0002677F" w:rsidRPr="00FC6616" w14:paraId="1D0A64C5" w14:textId="77777777" w:rsidTr="0002677F">
        <w:trPr>
          <w:trHeight w:val="610"/>
          <w:tblCellSpacing w:w="0" w:type="dxa"/>
        </w:trPr>
        <w:tc>
          <w:tcPr>
            <w:tcW w:w="5071" w:type="dxa"/>
            <w:hideMark/>
          </w:tcPr>
          <w:p w14:paraId="1D4C0321" w14:textId="77777777" w:rsidR="0002677F" w:rsidRPr="0002677F" w:rsidRDefault="0002677F" w:rsidP="0002677F">
            <w:pPr>
              <w:ind w:left="66"/>
              <w:jc w:val="center"/>
              <w:rPr>
                <w:rFonts w:ascii="Bookman Old Style" w:hAnsi="Bookman Old Style"/>
                <w:sz w:val="22"/>
                <w:szCs w:val="22"/>
              </w:rPr>
            </w:pPr>
            <w:r w:rsidRPr="0002677F">
              <w:rPr>
                <w:rFonts w:ascii="Bookman Old Style" w:hAnsi="Bookman Old Style"/>
                <w:sz w:val="22"/>
                <w:szCs w:val="22"/>
              </w:rPr>
              <w:t>Ministro de Minas y Energía</w:t>
            </w:r>
          </w:p>
          <w:p w14:paraId="0820C66F" w14:textId="77777777" w:rsidR="0002677F" w:rsidRPr="0002677F" w:rsidRDefault="0002677F" w:rsidP="0002677F">
            <w:pPr>
              <w:ind w:left="66"/>
              <w:jc w:val="center"/>
              <w:rPr>
                <w:rFonts w:ascii="Bookman Old Style" w:eastAsia="Arial Unicode MS" w:hAnsi="Bookman Old Style" w:cs="Arial"/>
                <w:color w:val="000000"/>
                <w:sz w:val="22"/>
                <w:szCs w:val="22"/>
              </w:rPr>
            </w:pPr>
            <w:r w:rsidRPr="0002677F">
              <w:rPr>
                <w:rFonts w:ascii="Bookman Old Style" w:hAnsi="Bookman Old Style"/>
                <w:sz w:val="22"/>
                <w:szCs w:val="22"/>
              </w:rPr>
              <w:t>Presidente</w:t>
            </w:r>
          </w:p>
        </w:tc>
        <w:tc>
          <w:tcPr>
            <w:tcW w:w="4707" w:type="dxa"/>
            <w:hideMark/>
          </w:tcPr>
          <w:p w14:paraId="6C6941B3" w14:textId="77777777" w:rsidR="0002677F" w:rsidRPr="0002677F" w:rsidRDefault="0002677F" w:rsidP="0002677F">
            <w:pPr>
              <w:ind w:left="0"/>
              <w:jc w:val="center"/>
              <w:rPr>
                <w:rFonts w:ascii="Bookman Old Style" w:eastAsia="Arial Unicode MS" w:hAnsi="Bookman Old Style" w:cs="Arial"/>
                <w:color w:val="000000"/>
                <w:sz w:val="22"/>
                <w:szCs w:val="22"/>
              </w:rPr>
            </w:pPr>
            <w:r w:rsidRPr="0002677F">
              <w:rPr>
                <w:rFonts w:ascii="Bookman Old Style" w:hAnsi="Bookman Old Style" w:cs="Arial"/>
                <w:spacing w:val="-3"/>
                <w:sz w:val="22"/>
                <w:szCs w:val="22"/>
              </w:rPr>
              <w:t>Director Ejecutivo</w:t>
            </w:r>
          </w:p>
        </w:tc>
      </w:tr>
    </w:tbl>
    <w:p w14:paraId="3E6AA345" w14:textId="77777777" w:rsidR="009F3897" w:rsidRPr="0041407C" w:rsidRDefault="009F3897" w:rsidP="009F3897">
      <w:pPr>
        <w:tabs>
          <w:tab w:val="left" w:pos="-720"/>
        </w:tabs>
        <w:suppressAutoHyphens/>
        <w:rPr>
          <w:rFonts w:ascii="Bookman Old Style" w:hAnsi="Bookman Old Style" w:cs="Arial"/>
        </w:rPr>
      </w:pPr>
    </w:p>
    <w:p w14:paraId="7BCB956E" w14:textId="77777777" w:rsidR="00C034CB" w:rsidRPr="00131F23" w:rsidRDefault="00C034CB" w:rsidP="00271CAD">
      <w:pPr>
        <w:pStyle w:val="Textodebloque"/>
        <w:spacing w:before="480" w:after="0"/>
        <w:ind w:left="0" w:right="0"/>
        <w:rPr>
          <w:lang w:val="es-CO"/>
        </w:rPr>
      </w:pPr>
    </w:p>
    <w:sectPr w:rsidR="00C034CB" w:rsidRPr="00131F23" w:rsidSect="00C57DA3">
      <w:headerReference w:type="default" r:id="rId10"/>
      <w:headerReference w:type="first" r:id="rId11"/>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D3C9D" w14:textId="77777777" w:rsidR="008C7919" w:rsidRPr="000E4B55" w:rsidRDefault="008C7919">
      <w:pPr>
        <w:rPr>
          <w:sz w:val="23"/>
          <w:szCs w:val="23"/>
        </w:rPr>
      </w:pPr>
      <w:r w:rsidRPr="000E4B55">
        <w:rPr>
          <w:sz w:val="23"/>
          <w:szCs w:val="23"/>
        </w:rPr>
        <w:separator/>
      </w:r>
    </w:p>
  </w:endnote>
  <w:endnote w:type="continuationSeparator" w:id="0">
    <w:p w14:paraId="2AED5285" w14:textId="77777777" w:rsidR="008C7919" w:rsidRPr="000E4B55" w:rsidRDefault="008C7919">
      <w:pPr>
        <w:rPr>
          <w:sz w:val="23"/>
          <w:szCs w:val="23"/>
        </w:rPr>
      </w:pPr>
      <w:r w:rsidRPr="000E4B5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D8CA5" w14:textId="77777777" w:rsidR="008C7919" w:rsidRPr="000E4B55" w:rsidRDefault="008C7919">
      <w:pPr>
        <w:rPr>
          <w:sz w:val="23"/>
          <w:szCs w:val="23"/>
        </w:rPr>
      </w:pPr>
      <w:r w:rsidRPr="000E4B55">
        <w:rPr>
          <w:sz w:val="23"/>
          <w:szCs w:val="23"/>
        </w:rPr>
        <w:separator/>
      </w:r>
    </w:p>
  </w:footnote>
  <w:footnote w:type="continuationSeparator" w:id="0">
    <w:p w14:paraId="01495E84" w14:textId="77777777" w:rsidR="008C7919" w:rsidRPr="000E4B55" w:rsidRDefault="008C7919">
      <w:pPr>
        <w:rPr>
          <w:sz w:val="23"/>
          <w:szCs w:val="23"/>
        </w:rPr>
      </w:pPr>
      <w:r w:rsidRPr="000E4B55">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1BFB" w14:textId="76CA6F90" w:rsidR="000B1FCD" w:rsidRPr="000E4B55" w:rsidRDefault="000B1FCD" w:rsidP="0002677F">
    <w:pPr>
      <w:pStyle w:val="Ttulo1"/>
      <w:ind w:left="0" w:right="6"/>
      <w:jc w:val="left"/>
      <w:rPr>
        <w:rFonts w:ascii="Bookman Old Style" w:hAnsi="Bookman Old Style" w:cs="Arial"/>
        <w:b w:val="0"/>
        <w:sz w:val="21"/>
        <w:szCs w:val="21"/>
      </w:rPr>
    </w:pPr>
  </w:p>
  <w:p w14:paraId="1BF32595" w14:textId="37476D94" w:rsidR="000B1FCD" w:rsidRPr="000E4B55" w:rsidRDefault="000B1FCD" w:rsidP="009F4BEC">
    <w:pPr>
      <w:pStyle w:val="Ttulo1"/>
      <w:ind w:left="0" w:right="6"/>
      <w:jc w:val="left"/>
      <w:rPr>
        <w:rFonts w:ascii="Bookman Old Style" w:hAnsi="Bookman Old Style" w:cs="Arial"/>
        <w:b w:val="0"/>
        <w:sz w:val="21"/>
        <w:szCs w:val="21"/>
      </w:rPr>
    </w:pPr>
    <w:r w:rsidRPr="000E4B55">
      <w:rPr>
        <w:rFonts w:ascii="Bookman Old Style" w:hAnsi="Bookman Old Style" w:cs="Arial"/>
        <w:b w:val="0"/>
        <w:sz w:val="21"/>
        <w:szCs w:val="21"/>
      </w:rPr>
      <w:t xml:space="preserve">RESOLUCIÓN No.  </w:t>
    </w:r>
    <w:r w:rsidR="0002677F">
      <w:rPr>
        <w:rFonts w:ascii="Bookman Old Style" w:hAnsi="Bookman Old Style" w:cs="Arial"/>
        <w:b w:val="0"/>
        <w:sz w:val="21"/>
        <w:szCs w:val="21"/>
      </w:rPr>
      <w:t xml:space="preserve">     </w:t>
    </w:r>
    <w:r w:rsidR="0002677F" w:rsidRPr="0002677F">
      <w:rPr>
        <w:rFonts w:ascii="Bookman Old Style" w:hAnsi="Bookman Old Style" w:cs="Arial"/>
        <w:bCs/>
        <w:sz w:val="21"/>
        <w:szCs w:val="21"/>
        <w:u w:val="single"/>
      </w:rPr>
      <w:t>101 049</w:t>
    </w:r>
    <w:r w:rsidRPr="000E4B55">
      <w:rPr>
        <w:rFonts w:ascii="Bookman Old Style" w:hAnsi="Bookman Old Style" w:cs="Arial"/>
        <w:b w:val="0"/>
        <w:sz w:val="21"/>
        <w:szCs w:val="21"/>
      </w:rPr>
      <w:tab/>
    </w:r>
    <w:r w:rsidR="0002677F">
      <w:rPr>
        <w:rFonts w:ascii="Bookman Old Style" w:hAnsi="Bookman Old Style" w:cs="Arial"/>
        <w:b w:val="0"/>
        <w:sz w:val="21"/>
        <w:szCs w:val="21"/>
      </w:rPr>
      <w:t xml:space="preserve">      </w:t>
    </w:r>
    <w:r w:rsidRPr="000E4B55">
      <w:rPr>
        <w:rFonts w:ascii="Bookman Old Style" w:hAnsi="Bookman Old Style" w:cs="Arial"/>
        <w:b w:val="0"/>
        <w:sz w:val="21"/>
        <w:szCs w:val="21"/>
      </w:rPr>
      <w:t>DE</w:t>
    </w:r>
    <w:r w:rsidR="0002677F">
      <w:rPr>
        <w:rFonts w:ascii="Bookman Old Style" w:hAnsi="Bookman Old Style" w:cs="Arial"/>
        <w:b w:val="0"/>
        <w:sz w:val="21"/>
        <w:szCs w:val="21"/>
      </w:rPr>
      <w:t xml:space="preserve">             </w:t>
    </w:r>
    <w:r w:rsidR="0002677F" w:rsidRPr="0002677F">
      <w:rPr>
        <w:rFonts w:ascii="Bookman Old Style" w:hAnsi="Bookman Old Style" w:cs="Arial"/>
        <w:bCs/>
        <w:sz w:val="21"/>
        <w:szCs w:val="21"/>
        <w:u w:val="single"/>
      </w:rPr>
      <w:t>5 SEP.2024</w:t>
    </w:r>
    <w:r w:rsidRPr="000E4B55">
      <w:rPr>
        <w:rFonts w:ascii="Bookman Old Style" w:hAnsi="Bookman Old Style" w:cs="Arial"/>
        <w:b w:val="0"/>
        <w:sz w:val="21"/>
        <w:szCs w:val="21"/>
      </w:rPr>
      <w:tab/>
      <w:t xml:space="preserve">HOJA No. </w:t>
    </w:r>
    <w:r w:rsidRPr="000E4B55">
      <w:rPr>
        <w:rFonts w:ascii="Bookman Old Style" w:hAnsi="Bookman Old Style" w:cs="Arial"/>
        <w:b w:val="0"/>
        <w:sz w:val="21"/>
        <w:szCs w:val="21"/>
      </w:rPr>
      <w:fldChar w:fldCharType="begin"/>
    </w:r>
    <w:r w:rsidRPr="000E4B55">
      <w:rPr>
        <w:rFonts w:ascii="Bookman Old Style" w:hAnsi="Bookman Old Style" w:cs="Arial"/>
        <w:b w:val="0"/>
        <w:sz w:val="21"/>
        <w:szCs w:val="21"/>
      </w:rPr>
      <w:instrText xml:space="preserve"> PAGE   \* MERGEFORMAT </w:instrText>
    </w:r>
    <w:r w:rsidRPr="000E4B55">
      <w:rPr>
        <w:rFonts w:ascii="Bookman Old Style" w:hAnsi="Bookman Old Style" w:cs="Arial"/>
        <w:b w:val="0"/>
        <w:sz w:val="21"/>
        <w:szCs w:val="21"/>
      </w:rPr>
      <w:fldChar w:fldCharType="separate"/>
    </w:r>
    <w:r w:rsidR="00FD7BAA">
      <w:rPr>
        <w:rFonts w:ascii="Bookman Old Style" w:hAnsi="Bookman Old Style" w:cs="Arial"/>
        <w:b w:val="0"/>
        <w:noProof/>
        <w:sz w:val="21"/>
        <w:szCs w:val="21"/>
      </w:rPr>
      <w:t>5</w:t>
    </w:r>
    <w:r w:rsidRPr="000E4B55">
      <w:rPr>
        <w:rFonts w:ascii="Bookman Old Style" w:hAnsi="Bookman Old Style" w:cs="Arial"/>
        <w:b w:val="0"/>
        <w:sz w:val="21"/>
        <w:szCs w:val="21"/>
      </w:rPr>
      <w:fldChar w:fldCharType="end"/>
    </w:r>
    <w:r w:rsidRPr="000E4B55">
      <w:rPr>
        <w:rFonts w:ascii="Bookman Old Style" w:hAnsi="Bookman Old Style" w:cs="Arial"/>
        <w:b w:val="0"/>
        <w:sz w:val="21"/>
        <w:szCs w:val="21"/>
      </w:rPr>
      <w:t>/</w:t>
    </w:r>
    <w:r w:rsidRPr="000E4B55">
      <w:rPr>
        <w:sz w:val="23"/>
      </w:rPr>
      <w:fldChar w:fldCharType="begin"/>
    </w:r>
    <w:r w:rsidRPr="000E4B55">
      <w:rPr>
        <w:sz w:val="23"/>
        <w:szCs w:val="23"/>
      </w:rPr>
      <w:instrText xml:space="preserve"> NUMPAGES  \* MERGEFORMAT </w:instrText>
    </w:r>
    <w:r w:rsidRPr="000E4B55">
      <w:rPr>
        <w:sz w:val="23"/>
      </w:rPr>
      <w:fldChar w:fldCharType="separate"/>
    </w:r>
    <w:r w:rsidR="00FD7BAA" w:rsidRPr="00FD7BAA">
      <w:rPr>
        <w:rFonts w:ascii="Bookman Old Style" w:hAnsi="Bookman Old Style" w:cs="Arial"/>
        <w:b w:val="0"/>
        <w:noProof/>
        <w:sz w:val="21"/>
        <w:szCs w:val="22"/>
      </w:rPr>
      <w:t>5</w:t>
    </w:r>
    <w:r w:rsidRPr="000E4B55">
      <w:rPr>
        <w:rFonts w:ascii="Bookman Old Style" w:hAnsi="Bookman Old Style" w:cs="Arial"/>
        <w:b w:val="0"/>
        <w:noProof/>
        <w:sz w:val="21"/>
        <w:szCs w:val="21"/>
      </w:rPr>
      <w:fldChar w:fldCharType="end"/>
    </w:r>
  </w:p>
  <w:p w14:paraId="59F57DD9" w14:textId="77777777" w:rsidR="000B1FCD" w:rsidRPr="000E4B55" w:rsidRDefault="000B1FCD" w:rsidP="00AD01E4">
    <w:pPr>
      <w:ind w:left="142" w:right="148"/>
      <w:rPr>
        <w:rFonts w:ascii="Bookman Old Style" w:hAnsi="Bookman Old Style" w:cs="Arial"/>
        <w:sz w:val="23"/>
        <w:szCs w:val="23"/>
      </w:rPr>
    </w:pPr>
    <w:r w:rsidRPr="000E4B55">
      <w:rPr>
        <w:noProof/>
        <w:sz w:val="23"/>
        <w:szCs w:val="23"/>
        <w:lang w:val="es-CO" w:eastAsia="es-CO"/>
      </w:rPr>
      <mc:AlternateContent>
        <mc:Choice Requires="wps">
          <w:drawing>
            <wp:anchor distT="0" distB="0" distL="114300" distR="114300" simplePos="0" relativeHeight="251657216" behindDoc="0" locked="0" layoutInCell="1" allowOverlap="1" wp14:anchorId="553A0102" wp14:editId="2D457CD3">
              <wp:simplePos x="0" y="0"/>
              <wp:positionH relativeFrom="column">
                <wp:posOffset>-175260</wp:posOffset>
              </wp:positionH>
              <wp:positionV relativeFrom="paragraph">
                <wp:posOffset>139065</wp:posOffset>
              </wp:positionV>
              <wp:extent cx="6267450" cy="9900920"/>
              <wp:effectExtent l="9525" t="12065" r="9525" b="120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53C5C"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9E9DAEE" w14:textId="7A58B3F1" w:rsidR="00E62289" w:rsidRPr="00DD07FB" w:rsidRDefault="007944C0" w:rsidP="00E62289">
    <w:pPr>
      <w:pStyle w:val="Textodebloque"/>
      <w:pBdr>
        <w:bottom w:val="single" w:sz="6" w:space="1" w:color="auto"/>
      </w:pBdr>
      <w:spacing w:after="0"/>
      <w:ind w:left="0" w:right="0"/>
      <w:rPr>
        <w:rFonts w:ascii="Bookman Old Style" w:hAnsi="Bookman Old Style" w:cs="Arial"/>
        <w:sz w:val="20"/>
      </w:rPr>
    </w:pPr>
    <w:r w:rsidRPr="007944C0">
      <w:rPr>
        <w:rFonts w:ascii="Bookman Old Style" w:hAnsi="Bookman Old Style" w:cs="Arial"/>
        <w:sz w:val="20"/>
      </w:rPr>
      <w:t>Por l</w:t>
    </w:r>
    <w:r w:rsidR="00271CAD">
      <w:rPr>
        <w:rFonts w:ascii="Bookman Old Style" w:hAnsi="Bookman Old Style" w:cs="Arial"/>
        <w:sz w:val="20"/>
      </w:rPr>
      <w:t>a</w:t>
    </w:r>
    <w:r w:rsidRPr="007944C0">
      <w:rPr>
        <w:rFonts w:ascii="Bookman Old Style" w:hAnsi="Bookman Old Style" w:cs="Arial"/>
        <w:sz w:val="20"/>
      </w:rPr>
      <w:t xml:space="preserve"> cual se da cumplimiento a lo establecido en los numerales 7.1, 7.2 y 7.3 del numeral 7 del artículo 4 de la Resolución </w:t>
    </w:r>
    <w:proofErr w:type="spellStart"/>
    <w:r w:rsidRPr="007944C0">
      <w:rPr>
        <w:rFonts w:ascii="Bookman Old Style" w:hAnsi="Bookman Old Style" w:cs="Arial"/>
        <w:sz w:val="20"/>
      </w:rPr>
      <w:t>MME</w:t>
    </w:r>
    <w:proofErr w:type="spellEnd"/>
    <w:r w:rsidRPr="007944C0">
      <w:rPr>
        <w:rFonts w:ascii="Bookman Old Style" w:hAnsi="Bookman Old Style" w:cs="Arial"/>
        <w:sz w:val="20"/>
      </w:rPr>
      <w:t xml:space="preserve"> 40311 de 2020, modificados mediante el artículo 1 de la Resolución </w:t>
    </w:r>
    <w:proofErr w:type="spellStart"/>
    <w:r w:rsidRPr="007944C0">
      <w:rPr>
        <w:rFonts w:ascii="Bookman Old Style" w:hAnsi="Bookman Old Style" w:cs="Arial"/>
        <w:sz w:val="20"/>
      </w:rPr>
      <w:t>MMME</w:t>
    </w:r>
    <w:proofErr w:type="spellEnd"/>
    <w:r w:rsidRPr="007944C0">
      <w:rPr>
        <w:rFonts w:ascii="Bookman Old Style" w:hAnsi="Bookman Old Style" w:cs="Arial"/>
        <w:sz w:val="20"/>
      </w:rPr>
      <w:t xml:space="preserve"> 40042 de 2024</w:t>
    </w:r>
  </w:p>
  <w:p w14:paraId="5B80A1EB" w14:textId="77777777" w:rsidR="00E62289" w:rsidRDefault="00E62289" w:rsidP="00E62289">
    <w:pPr>
      <w:pStyle w:val="Textodebloque"/>
      <w:spacing w:after="0"/>
      <w:ind w:left="0" w:right="0"/>
      <w:rPr>
        <w:rFonts w:ascii="Bookman Old Style" w:hAnsi="Bookman Old Style" w:cs="Arial"/>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D0613" w14:textId="77777777" w:rsidR="000B1FCD" w:rsidRPr="000E4B55" w:rsidRDefault="000B1FCD" w:rsidP="00025383">
    <w:pPr>
      <w:pStyle w:val="Encabezado"/>
      <w:jc w:val="both"/>
      <w:rPr>
        <w:rFonts w:ascii="Arial" w:hAnsi="Arial" w:cs="Arial"/>
        <w:spacing w:val="20"/>
        <w:sz w:val="19"/>
        <w:szCs w:val="19"/>
      </w:rPr>
    </w:pPr>
    <w:r w:rsidRPr="000E4B55">
      <w:rPr>
        <w:rFonts w:ascii="Arial" w:hAnsi="Arial" w:cs="Arial"/>
        <w:spacing w:val="20"/>
        <w:sz w:val="19"/>
        <w:szCs w:val="19"/>
      </w:rPr>
      <w:t xml:space="preserve">                                   República de Colombia</w:t>
    </w:r>
  </w:p>
  <w:p w14:paraId="0A7EBC08" w14:textId="77777777" w:rsidR="000B1FCD" w:rsidRPr="000E4B55" w:rsidRDefault="000B1FCD">
    <w:pPr>
      <w:pStyle w:val="Encabezado"/>
      <w:jc w:val="center"/>
      <w:rPr>
        <w:rFonts w:ascii="Arial" w:hAnsi="Arial" w:cs="Arial"/>
        <w:spacing w:val="20"/>
        <w:sz w:val="19"/>
        <w:szCs w:val="19"/>
      </w:rPr>
    </w:pPr>
  </w:p>
  <w:p w14:paraId="3B002A11" w14:textId="77777777" w:rsidR="000B1FCD" w:rsidRPr="000E4B55" w:rsidRDefault="000B1FCD" w:rsidP="00CA77FB">
    <w:pPr>
      <w:pStyle w:val="Encabezado"/>
      <w:jc w:val="center"/>
      <w:rPr>
        <w:sz w:val="23"/>
        <w:szCs w:val="23"/>
      </w:rPr>
    </w:pPr>
    <w:r w:rsidRPr="000E4B55">
      <w:rPr>
        <w:rFonts w:ascii="Arial" w:hAnsi="Arial" w:cs="Arial"/>
        <w:noProof/>
        <w:spacing w:val="20"/>
        <w:sz w:val="19"/>
        <w:szCs w:val="19"/>
        <w:lang w:eastAsia="es-CO"/>
      </w:rPr>
      <mc:AlternateContent>
        <mc:Choice Requires="wps">
          <w:drawing>
            <wp:anchor distT="0" distB="0" distL="114300" distR="114300" simplePos="0" relativeHeight="251658240" behindDoc="0" locked="0" layoutInCell="1" allowOverlap="1" wp14:anchorId="5DD26EFC" wp14:editId="6CF8AC8F">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6C1BF"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1BFF"/>
    <w:multiLevelType w:val="hybridMultilevel"/>
    <w:tmpl w:val="BA6EB352"/>
    <w:lvl w:ilvl="0" w:tplc="FE3273EC">
      <w:start w:val="1"/>
      <w:numFmt w:val="decimal"/>
      <w:pStyle w:val="ARTICULOS"/>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E94943"/>
    <w:multiLevelType w:val="hybridMultilevel"/>
    <w:tmpl w:val="5EB6EBC6"/>
    <w:lvl w:ilvl="0" w:tplc="FFFFFFFF">
      <w:start w:val="1"/>
      <w:numFmt w:val="lowerRoman"/>
      <w:lvlText w:val="%1."/>
      <w:lvlJc w:val="right"/>
      <w:pPr>
        <w:ind w:left="1428" w:hanging="360"/>
      </w:pPr>
    </w:lvl>
    <w:lvl w:ilvl="1" w:tplc="240A001B">
      <w:start w:val="1"/>
      <w:numFmt w:val="lowerRoman"/>
      <w:lvlText w:val="%2."/>
      <w:lvlJc w:val="right"/>
      <w:pPr>
        <w:ind w:left="1222"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D846ACF"/>
    <w:multiLevelType w:val="hybridMultilevel"/>
    <w:tmpl w:val="8004A1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3C469C"/>
    <w:multiLevelType w:val="hybridMultilevel"/>
    <w:tmpl w:val="044C1E00"/>
    <w:lvl w:ilvl="0" w:tplc="66B80F42">
      <w:start w:val="2"/>
      <w:numFmt w:val="decimal"/>
      <w:lvlText w:val="%1."/>
      <w:lvlJc w:val="left"/>
      <w:pPr>
        <w:tabs>
          <w:tab w:val="num" w:pos="720"/>
        </w:tabs>
        <w:ind w:left="720" w:hanging="360"/>
      </w:pPr>
    </w:lvl>
    <w:lvl w:ilvl="1" w:tplc="B98A8D54" w:tentative="1">
      <w:start w:val="1"/>
      <w:numFmt w:val="decimal"/>
      <w:lvlText w:val="%2."/>
      <w:lvlJc w:val="left"/>
      <w:pPr>
        <w:tabs>
          <w:tab w:val="num" w:pos="1440"/>
        </w:tabs>
        <w:ind w:left="1440" w:hanging="360"/>
      </w:pPr>
    </w:lvl>
    <w:lvl w:ilvl="2" w:tplc="6E18F2A0" w:tentative="1">
      <w:start w:val="1"/>
      <w:numFmt w:val="decimal"/>
      <w:lvlText w:val="%3."/>
      <w:lvlJc w:val="left"/>
      <w:pPr>
        <w:tabs>
          <w:tab w:val="num" w:pos="2160"/>
        </w:tabs>
        <w:ind w:left="2160" w:hanging="360"/>
      </w:pPr>
    </w:lvl>
    <w:lvl w:ilvl="3" w:tplc="94BEAA74" w:tentative="1">
      <w:start w:val="1"/>
      <w:numFmt w:val="decimal"/>
      <w:lvlText w:val="%4."/>
      <w:lvlJc w:val="left"/>
      <w:pPr>
        <w:tabs>
          <w:tab w:val="num" w:pos="2880"/>
        </w:tabs>
        <w:ind w:left="2880" w:hanging="360"/>
      </w:pPr>
    </w:lvl>
    <w:lvl w:ilvl="4" w:tplc="986007EE" w:tentative="1">
      <w:start w:val="1"/>
      <w:numFmt w:val="decimal"/>
      <w:lvlText w:val="%5."/>
      <w:lvlJc w:val="left"/>
      <w:pPr>
        <w:tabs>
          <w:tab w:val="num" w:pos="3600"/>
        </w:tabs>
        <w:ind w:left="3600" w:hanging="360"/>
      </w:pPr>
    </w:lvl>
    <w:lvl w:ilvl="5" w:tplc="77E656AE" w:tentative="1">
      <w:start w:val="1"/>
      <w:numFmt w:val="decimal"/>
      <w:lvlText w:val="%6."/>
      <w:lvlJc w:val="left"/>
      <w:pPr>
        <w:tabs>
          <w:tab w:val="num" w:pos="4320"/>
        </w:tabs>
        <w:ind w:left="4320" w:hanging="360"/>
      </w:pPr>
    </w:lvl>
    <w:lvl w:ilvl="6" w:tplc="E0C687B6" w:tentative="1">
      <w:start w:val="1"/>
      <w:numFmt w:val="decimal"/>
      <w:lvlText w:val="%7."/>
      <w:lvlJc w:val="left"/>
      <w:pPr>
        <w:tabs>
          <w:tab w:val="num" w:pos="5040"/>
        </w:tabs>
        <w:ind w:left="5040" w:hanging="360"/>
      </w:pPr>
    </w:lvl>
    <w:lvl w:ilvl="7" w:tplc="C46E4C64" w:tentative="1">
      <w:start w:val="1"/>
      <w:numFmt w:val="decimal"/>
      <w:lvlText w:val="%8."/>
      <w:lvlJc w:val="left"/>
      <w:pPr>
        <w:tabs>
          <w:tab w:val="num" w:pos="5760"/>
        </w:tabs>
        <w:ind w:left="5760" w:hanging="360"/>
      </w:pPr>
    </w:lvl>
    <w:lvl w:ilvl="8" w:tplc="1286F11C" w:tentative="1">
      <w:start w:val="1"/>
      <w:numFmt w:val="decimal"/>
      <w:lvlText w:val="%9."/>
      <w:lvlJc w:val="left"/>
      <w:pPr>
        <w:tabs>
          <w:tab w:val="num" w:pos="6480"/>
        </w:tabs>
        <w:ind w:left="6480" w:hanging="360"/>
      </w:pPr>
    </w:lvl>
  </w:abstractNum>
  <w:abstractNum w:abstractNumId="7"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9"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F2175DA"/>
    <w:multiLevelType w:val="hybridMultilevel"/>
    <w:tmpl w:val="DC74E822"/>
    <w:lvl w:ilvl="0" w:tplc="240A001B">
      <w:start w:val="1"/>
      <w:numFmt w:val="lowerRoman"/>
      <w:lvlText w:val="%1."/>
      <w:lvlJc w:val="right"/>
      <w:pPr>
        <w:tabs>
          <w:tab w:val="num" w:pos="1222"/>
        </w:tabs>
        <w:ind w:left="1222" w:hanging="360"/>
      </w:pPr>
      <w:rPr>
        <w:rFonts w:hint="default"/>
        <w:b/>
        <w:bCs w:val="0"/>
      </w:rPr>
    </w:lvl>
    <w:lvl w:ilvl="1" w:tplc="FFFFFFFF" w:tentative="1">
      <w:start w:val="1"/>
      <w:numFmt w:val="lowerLetter"/>
      <w:lvlText w:val="%2."/>
      <w:lvlJc w:val="left"/>
      <w:pPr>
        <w:tabs>
          <w:tab w:val="num" w:pos="1942"/>
        </w:tabs>
        <w:ind w:left="1942" w:hanging="360"/>
      </w:pPr>
    </w:lvl>
    <w:lvl w:ilvl="2" w:tplc="FFFFFFFF" w:tentative="1">
      <w:start w:val="1"/>
      <w:numFmt w:val="lowerRoman"/>
      <w:lvlText w:val="%3."/>
      <w:lvlJc w:val="right"/>
      <w:pPr>
        <w:tabs>
          <w:tab w:val="num" w:pos="2662"/>
        </w:tabs>
        <w:ind w:left="2662" w:hanging="180"/>
      </w:pPr>
    </w:lvl>
    <w:lvl w:ilvl="3" w:tplc="FFFFFFFF" w:tentative="1">
      <w:start w:val="1"/>
      <w:numFmt w:val="decimal"/>
      <w:lvlText w:val="%4."/>
      <w:lvlJc w:val="left"/>
      <w:pPr>
        <w:tabs>
          <w:tab w:val="num" w:pos="3382"/>
        </w:tabs>
        <w:ind w:left="3382" w:hanging="360"/>
      </w:pPr>
    </w:lvl>
    <w:lvl w:ilvl="4" w:tplc="FFFFFFFF" w:tentative="1">
      <w:start w:val="1"/>
      <w:numFmt w:val="lowerLetter"/>
      <w:lvlText w:val="%5."/>
      <w:lvlJc w:val="left"/>
      <w:pPr>
        <w:tabs>
          <w:tab w:val="num" w:pos="4102"/>
        </w:tabs>
        <w:ind w:left="4102" w:hanging="360"/>
      </w:pPr>
    </w:lvl>
    <w:lvl w:ilvl="5" w:tplc="FFFFFFFF" w:tentative="1">
      <w:start w:val="1"/>
      <w:numFmt w:val="lowerRoman"/>
      <w:lvlText w:val="%6."/>
      <w:lvlJc w:val="right"/>
      <w:pPr>
        <w:tabs>
          <w:tab w:val="num" w:pos="4822"/>
        </w:tabs>
        <w:ind w:left="4822" w:hanging="180"/>
      </w:pPr>
    </w:lvl>
    <w:lvl w:ilvl="6" w:tplc="FFFFFFFF" w:tentative="1">
      <w:start w:val="1"/>
      <w:numFmt w:val="decimal"/>
      <w:lvlText w:val="%7."/>
      <w:lvlJc w:val="left"/>
      <w:pPr>
        <w:tabs>
          <w:tab w:val="num" w:pos="5542"/>
        </w:tabs>
        <w:ind w:left="5542" w:hanging="360"/>
      </w:pPr>
    </w:lvl>
    <w:lvl w:ilvl="7" w:tplc="FFFFFFFF" w:tentative="1">
      <w:start w:val="1"/>
      <w:numFmt w:val="lowerLetter"/>
      <w:lvlText w:val="%8."/>
      <w:lvlJc w:val="left"/>
      <w:pPr>
        <w:tabs>
          <w:tab w:val="num" w:pos="6262"/>
        </w:tabs>
        <w:ind w:left="6262" w:hanging="360"/>
      </w:pPr>
    </w:lvl>
    <w:lvl w:ilvl="8" w:tplc="FFFFFFFF" w:tentative="1">
      <w:start w:val="1"/>
      <w:numFmt w:val="lowerRoman"/>
      <w:lvlText w:val="%9."/>
      <w:lvlJc w:val="right"/>
      <w:pPr>
        <w:tabs>
          <w:tab w:val="num" w:pos="6982"/>
        </w:tabs>
        <w:ind w:left="6982" w:hanging="180"/>
      </w:pPr>
    </w:lvl>
  </w:abstractNum>
  <w:abstractNum w:abstractNumId="11" w15:restartNumberingAfterBreak="0">
    <w:nsid w:val="50DE0CA0"/>
    <w:multiLevelType w:val="hybridMultilevel"/>
    <w:tmpl w:val="51FEED5A"/>
    <w:lvl w:ilvl="0" w:tplc="40F0A62A">
      <w:start w:val="1"/>
      <w:numFmt w:val="lowerRoman"/>
      <w:lvlText w:val="%1)"/>
      <w:lvlJc w:val="left"/>
      <w:pPr>
        <w:ind w:left="720" w:hanging="360"/>
      </w:pPr>
      <w:rPr>
        <w:rFonts w:ascii="Bookman Old Style" w:hAnsi="Bookman Old Style" w:hint="default"/>
        <w:b w:val="0"/>
        <w:i w:val="0"/>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600C6508"/>
    <w:multiLevelType w:val="hybridMultilevel"/>
    <w:tmpl w:val="2D440EBA"/>
    <w:lvl w:ilvl="0" w:tplc="8CE478F0">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0334165"/>
    <w:multiLevelType w:val="singleLevel"/>
    <w:tmpl w:val="0ACC75C2"/>
    <w:lvl w:ilvl="0">
      <w:start w:val="2"/>
      <w:numFmt w:val="upperRoman"/>
      <w:lvlText w:val="%1."/>
      <w:lvlJc w:val="left"/>
      <w:pPr>
        <w:ind w:left="283" w:hanging="283"/>
      </w:pPr>
      <w:rPr>
        <w:rFonts w:hint="default"/>
      </w:rPr>
    </w:lvl>
  </w:abstractNum>
  <w:abstractNum w:abstractNumId="16"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3432BD8"/>
    <w:multiLevelType w:val="hybridMultilevel"/>
    <w:tmpl w:val="D6CCF0FC"/>
    <w:lvl w:ilvl="0" w:tplc="3FA4CEDE">
      <w:start w:val="1"/>
      <w:numFmt w:val="decimal"/>
      <w:lvlText w:val="ARTÍCULO %1."/>
      <w:lvlJc w:val="left"/>
      <w:pPr>
        <w:ind w:left="360" w:hanging="360"/>
      </w:pPr>
      <w:rPr>
        <w:rFonts w:ascii="Bookman Old Style" w:hAnsi="Bookman Old Style" w:hint="default"/>
        <w:b/>
        <w:i w:val="0"/>
        <w:sz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7703A0"/>
    <w:multiLevelType w:val="hybridMultilevel"/>
    <w:tmpl w:val="8A124F10"/>
    <w:lvl w:ilvl="0" w:tplc="A0C64FE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13508783">
    <w:abstractNumId w:val="8"/>
  </w:num>
  <w:num w:numId="2" w16cid:durableId="363408981">
    <w:abstractNumId w:val="2"/>
  </w:num>
  <w:num w:numId="3" w16cid:durableId="1918857726">
    <w:abstractNumId w:val="20"/>
  </w:num>
  <w:num w:numId="4" w16cid:durableId="1193806450">
    <w:abstractNumId w:val="4"/>
  </w:num>
  <w:num w:numId="5" w16cid:durableId="1370107283">
    <w:abstractNumId w:val="12"/>
  </w:num>
  <w:num w:numId="6" w16cid:durableId="1662002906">
    <w:abstractNumId w:val="1"/>
  </w:num>
  <w:num w:numId="7" w16cid:durableId="1693677790">
    <w:abstractNumId w:val="0"/>
  </w:num>
  <w:num w:numId="8" w16cid:durableId="132410150">
    <w:abstractNumId w:val="16"/>
  </w:num>
  <w:num w:numId="9" w16cid:durableId="2074967525">
    <w:abstractNumId w:val="13"/>
  </w:num>
  <w:num w:numId="10" w16cid:durableId="1959332387">
    <w:abstractNumId w:val="9"/>
  </w:num>
  <w:num w:numId="11" w16cid:durableId="784933573">
    <w:abstractNumId w:val="21"/>
  </w:num>
  <w:num w:numId="12" w16cid:durableId="1289313202">
    <w:abstractNumId w:val="17"/>
  </w:num>
  <w:num w:numId="13" w16cid:durableId="1162896072">
    <w:abstractNumId w:val="7"/>
  </w:num>
  <w:num w:numId="14" w16cid:durableId="904949694">
    <w:abstractNumId w:val="18"/>
  </w:num>
  <w:num w:numId="15" w16cid:durableId="2123837930">
    <w:abstractNumId w:val="11"/>
  </w:num>
  <w:num w:numId="16" w16cid:durableId="425423474">
    <w:abstractNumId w:val="19"/>
  </w:num>
  <w:num w:numId="17" w16cid:durableId="678776625">
    <w:abstractNumId w:val="14"/>
  </w:num>
  <w:num w:numId="18" w16cid:durableId="1252088269">
    <w:abstractNumId w:val="15"/>
  </w:num>
  <w:num w:numId="19" w16cid:durableId="1044019286">
    <w:abstractNumId w:val="5"/>
  </w:num>
  <w:num w:numId="20" w16cid:durableId="1916815137">
    <w:abstractNumId w:val="10"/>
  </w:num>
  <w:num w:numId="21" w16cid:durableId="1099521264">
    <w:abstractNumId w:val="3"/>
  </w:num>
  <w:num w:numId="22" w16cid:durableId="1004212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19D2"/>
    <w:rsid w:val="0000361B"/>
    <w:rsid w:val="0000584E"/>
    <w:rsid w:val="00006AE2"/>
    <w:rsid w:val="000076A1"/>
    <w:rsid w:val="00012259"/>
    <w:rsid w:val="00013BEB"/>
    <w:rsid w:val="0001403F"/>
    <w:rsid w:val="00022446"/>
    <w:rsid w:val="000230A7"/>
    <w:rsid w:val="000244BA"/>
    <w:rsid w:val="00025383"/>
    <w:rsid w:val="00025853"/>
    <w:rsid w:val="000258FC"/>
    <w:rsid w:val="0002677F"/>
    <w:rsid w:val="00040F34"/>
    <w:rsid w:val="00044209"/>
    <w:rsid w:val="000465EA"/>
    <w:rsid w:val="00057C8B"/>
    <w:rsid w:val="00063657"/>
    <w:rsid w:val="00073B6C"/>
    <w:rsid w:val="00076680"/>
    <w:rsid w:val="00076CC9"/>
    <w:rsid w:val="0008073E"/>
    <w:rsid w:val="00082251"/>
    <w:rsid w:val="000900D4"/>
    <w:rsid w:val="00091900"/>
    <w:rsid w:val="00091CDB"/>
    <w:rsid w:val="0009326E"/>
    <w:rsid w:val="000954CA"/>
    <w:rsid w:val="000A19AC"/>
    <w:rsid w:val="000A2BBF"/>
    <w:rsid w:val="000B16E5"/>
    <w:rsid w:val="000B1FCD"/>
    <w:rsid w:val="000B5F10"/>
    <w:rsid w:val="000B6C6D"/>
    <w:rsid w:val="000C28EB"/>
    <w:rsid w:val="000C4675"/>
    <w:rsid w:val="000C7B2C"/>
    <w:rsid w:val="000D0A60"/>
    <w:rsid w:val="000D26F8"/>
    <w:rsid w:val="000D3F11"/>
    <w:rsid w:val="000D5740"/>
    <w:rsid w:val="000D7A27"/>
    <w:rsid w:val="000E0FC4"/>
    <w:rsid w:val="000E4B55"/>
    <w:rsid w:val="000F0D63"/>
    <w:rsid w:val="000F2918"/>
    <w:rsid w:val="000F3050"/>
    <w:rsid w:val="000F3B2F"/>
    <w:rsid w:val="00101553"/>
    <w:rsid w:val="00103215"/>
    <w:rsid w:val="00106ADE"/>
    <w:rsid w:val="00107B88"/>
    <w:rsid w:val="00112EEE"/>
    <w:rsid w:val="00127A25"/>
    <w:rsid w:val="0013134B"/>
    <w:rsid w:val="00131F23"/>
    <w:rsid w:val="001367C1"/>
    <w:rsid w:val="001405C6"/>
    <w:rsid w:val="00141013"/>
    <w:rsid w:val="00141AB1"/>
    <w:rsid w:val="00141B8B"/>
    <w:rsid w:val="00153A09"/>
    <w:rsid w:val="001546C1"/>
    <w:rsid w:val="00167AD0"/>
    <w:rsid w:val="00177F92"/>
    <w:rsid w:val="00181A0E"/>
    <w:rsid w:val="0018774C"/>
    <w:rsid w:val="00190BA7"/>
    <w:rsid w:val="00191268"/>
    <w:rsid w:val="00192CBF"/>
    <w:rsid w:val="00192FF1"/>
    <w:rsid w:val="0019387C"/>
    <w:rsid w:val="00196B3A"/>
    <w:rsid w:val="001A5F1B"/>
    <w:rsid w:val="001A69F4"/>
    <w:rsid w:val="001B1C22"/>
    <w:rsid w:val="001B34C6"/>
    <w:rsid w:val="001B4C8E"/>
    <w:rsid w:val="001C65CE"/>
    <w:rsid w:val="001D340A"/>
    <w:rsid w:val="001D38A2"/>
    <w:rsid w:val="001D7832"/>
    <w:rsid w:val="001E017A"/>
    <w:rsid w:val="001E1F48"/>
    <w:rsid w:val="001E219B"/>
    <w:rsid w:val="001E5AE2"/>
    <w:rsid w:val="001F3AE7"/>
    <w:rsid w:val="001F3BD3"/>
    <w:rsid w:val="001F7AD2"/>
    <w:rsid w:val="00211D34"/>
    <w:rsid w:val="00214F04"/>
    <w:rsid w:val="00216A94"/>
    <w:rsid w:val="00217D69"/>
    <w:rsid w:val="00221D8B"/>
    <w:rsid w:val="002220A3"/>
    <w:rsid w:val="00224BCD"/>
    <w:rsid w:val="002252C2"/>
    <w:rsid w:val="002302D0"/>
    <w:rsid w:val="002367B8"/>
    <w:rsid w:val="002478FA"/>
    <w:rsid w:val="00250AF1"/>
    <w:rsid w:val="00266CD6"/>
    <w:rsid w:val="0026775D"/>
    <w:rsid w:val="002718B0"/>
    <w:rsid w:val="00271C70"/>
    <w:rsid w:val="00271CAD"/>
    <w:rsid w:val="00277FEE"/>
    <w:rsid w:val="0028223F"/>
    <w:rsid w:val="00282F1C"/>
    <w:rsid w:val="00284E4C"/>
    <w:rsid w:val="00286FCA"/>
    <w:rsid w:val="00292356"/>
    <w:rsid w:val="00293C55"/>
    <w:rsid w:val="00295512"/>
    <w:rsid w:val="00295C1D"/>
    <w:rsid w:val="002A2E95"/>
    <w:rsid w:val="002B11E2"/>
    <w:rsid w:val="002B24B8"/>
    <w:rsid w:val="002B54B4"/>
    <w:rsid w:val="002B72DF"/>
    <w:rsid w:val="002C667A"/>
    <w:rsid w:val="002C70F3"/>
    <w:rsid w:val="002D2EB9"/>
    <w:rsid w:val="002D3AE9"/>
    <w:rsid w:val="002D5427"/>
    <w:rsid w:val="002F0734"/>
    <w:rsid w:val="002F0F42"/>
    <w:rsid w:val="002F46E7"/>
    <w:rsid w:val="003006CA"/>
    <w:rsid w:val="0030344E"/>
    <w:rsid w:val="0030582D"/>
    <w:rsid w:val="00307287"/>
    <w:rsid w:val="003101DA"/>
    <w:rsid w:val="00312955"/>
    <w:rsid w:val="00313E45"/>
    <w:rsid w:val="00314757"/>
    <w:rsid w:val="003211CE"/>
    <w:rsid w:val="00323EAD"/>
    <w:rsid w:val="00327D1C"/>
    <w:rsid w:val="003357C7"/>
    <w:rsid w:val="00343F6A"/>
    <w:rsid w:val="003567F1"/>
    <w:rsid w:val="0036362A"/>
    <w:rsid w:val="0036394B"/>
    <w:rsid w:val="00363D4F"/>
    <w:rsid w:val="00364570"/>
    <w:rsid w:val="003709B5"/>
    <w:rsid w:val="003722BC"/>
    <w:rsid w:val="00374618"/>
    <w:rsid w:val="00374BE9"/>
    <w:rsid w:val="003759C2"/>
    <w:rsid w:val="00382484"/>
    <w:rsid w:val="00385020"/>
    <w:rsid w:val="003945E8"/>
    <w:rsid w:val="00396054"/>
    <w:rsid w:val="00397365"/>
    <w:rsid w:val="003A31F6"/>
    <w:rsid w:val="003A3459"/>
    <w:rsid w:val="003A4B2B"/>
    <w:rsid w:val="003A5814"/>
    <w:rsid w:val="003A75C1"/>
    <w:rsid w:val="003B487C"/>
    <w:rsid w:val="003C2995"/>
    <w:rsid w:val="003C3447"/>
    <w:rsid w:val="003C728F"/>
    <w:rsid w:val="003D076C"/>
    <w:rsid w:val="003D11A6"/>
    <w:rsid w:val="003D42DE"/>
    <w:rsid w:val="003E57ED"/>
    <w:rsid w:val="003F2B8E"/>
    <w:rsid w:val="003F793E"/>
    <w:rsid w:val="0040096F"/>
    <w:rsid w:val="004058B1"/>
    <w:rsid w:val="00413642"/>
    <w:rsid w:val="0041407C"/>
    <w:rsid w:val="00415BAB"/>
    <w:rsid w:val="00415ED2"/>
    <w:rsid w:val="0042068C"/>
    <w:rsid w:val="0042298B"/>
    <w:rsid w:val="0045054F"/>
    <w:rsid w:val="00450E1D"/>
    <w:rsid w:val="00457B8C"/>
    <w:rsid w:val="00457E7D"/>
    <w:rsid w:val="00460690"/>
    <w:rsid w:val="0046498A"/>
    <w:rsid w:val="0046549D"/>
    <w:rsid w:val="00465F60"/>
    <w:rsid w:val="00466E76"/>
    <w:rsid w:val="0047122B"/>
    <w:rsid w:val="00473B7A"/>
    <w:rsid w:val="0047623D"/>
    <w:rsid w:val="004766AB"/>
    <w:rsid w:val="00484E22"/>
    <w:rsid w:val="00485578"/>
    <w:rsid w:val="00490EB8"/>
    <w:rsid w:val="004960E9"/>
    <w:rsid w:val="004A2497"/>
    <w:rsid w:val="004A2E88"/>
    <w:rsid w:val="004A5305"/>
    <w:rsid w:val="004A6FE5"/>
    <w:rsid w:val="004A7B26"/>
    <w:rsid w:val="004B2297"/>
    <w:rsid w:val="004B4F87"/>
    <w:rsid w:val="004B68ED"/>
    <w:rsid w:val="004B6AEE"/>
    <w:rsid w:val="004C0D00"/>
    <w:rsid w:val="004C5E53"/>
    <w:rsid w:val="004D39D4"/>
    <w:rsid w:val="004D3E2B"/>
    <w:rsid w:val="004D5F03"/>
    <w:rsid w:val="004D7634"/>
    <w:rsid w:val="004E0AE2"/>
    <w:rsid w:val="005008FD"/>
    <w:rsid w:val="005017C9"/>
    <w:rsid w:val="005070F9"/>
    <w:rsid w:val="00507F97"/>
    <w:rsid w:val="00511145"/>
    <w:rsid w:val="0051219E"/>
    <w:rsid w:val="0051403F"/>
    <w:rsid w:val="00514F93"/>
    <w:rsid w:val="005165EF"/>
    <w:rsid w:val="005214DA"/>
    <w:rsid w:val="00524C2A"/>
    <w:rsid w:val="00525C0F"/>
    <w:rsid w:val="005300D3"/>
    <w:rsid w:val="00530BAC"/>
    <w:rsid w:val="00531349"/>
    <w:rsid w:val="00544862"/>
    <w:rsid w:val="00544F82"/>
    <w:rsid w:val="0056676E"/>
    <w:rsid w:val="00572F5B"/>
    <w:rsid w:val="00577827"/>
    <w:rsid w:val="00593184"/>
    <w:rsid w:val="00593C4F"/>
    <w:rsid w:val="005946A8"/>
    <w:rsid w:val="005A0A41"/>
    <w:rsid w:val="005A248A"/>
    <w:rsid w:val="005A4407"/>
    <w:rsid w:val="005A59EF"/>
    <w:rsid w:val="005B3134"/>
    <w:rsid w:val="005C1FF3"/>
    <w:rsid w:val="005C2017"/>
    <w:rsid w:val="005D0EDD"/>
    <w:rsid w:val="005D266D"/>
    <w:rsid w:val="005D2906"/>
    <w:rsid w:val="005D5D5C"/>
    <w:rsid w:val="005F3C9F"/>
    <w:rsid w:val="005F4260"/>
    <w:rsid w:val="00604A52"/>
    <w:rsid w:val="00604ED3"/>
    <w:rsid w:val="00605926"/>
    <w:rsid w:val="006071C0"/>
    <w:rsid w:val="00607E01"/>
    <w:rsid w:val="00615D63"/>
    <w:rsid w:val="00622144"/>
    <w:rsid w:val="0062371A"/>
    <w:rsid w:val="00625DC6"/>
    <w:rsid w:val="006305BB"/>
    <w:rsid w:val="00630C8C"/>
    <w:rsid w:val="00633CBB"/>
    <w:rsid w:val="006341A9"/>
    <w:rsid w:val="0063441C"/>
    <w:rsid w:val="006438E6"/>
    <w:rsid w:val="00644260"/>
    <w:rsid w:val="00645791"/>
    <w:rsid w:val="00645F65"/>
    <w:rsid w:val="0064734F"/>
    <w:rsid w:val="0064774B"/>
    <w:rsid w:val="00647A0D"/>
    <w:rsid w:val="00651821"/>
    <w:rsid w:val="00654384"/>
    <w:rsid w:val="006675CD"/>
    <w:rsid w:val="00671194"/>
    <w:rsid w:val="0068245E"/>
    <w:rsid w:val="00684D6A"/>
    <w:rsid w:val="00684D9B"/>
    <w:rsid w:val="00685B83"/>
    <w:rsid w:val="00687332"/>
    <w:rsid w:val="00697556"/>
    <w:rsid w:val="006A1075"/>
    <w:rsid w:val="006A5016"/>
    <w:rsid w:val="006B050B"/>
    <w:rsid w:val="006B2CDA"/>
    <w:rsid w:val="006B4C2B"/>
    <w:rsid w:val="006B51A5"/>
    <w:rsid w:val="006B5FCF"/>
    <w:rsid w:val="006B6D47"/>
    <w:rsid w:val="006C2BEA"/>
    <w:rsid w:val="006C4D3C"/>
    <w:rsid w:val="006C543B"/>
    <w:rsid w:val="006C6CEC"/>
    <w:rsid w:val="006C6FAC"/>
    <w:rsid w:val="006D019F"/>
    <w:rsid w:val="006D1DAF"/>
    <w:rsid w:val="006D236C"/>
    <w:rsid w:val="006D279A"/>
    <w:rsid w:val="006D2C6C"/>
    <w:rsid w:val="006D7283"/>
    <w:rsid w:val="006E3AEF"/>
    <w:rsid w:val="006E4B89"/>
    <w:rsid w:val="006E64A1"/>
    <w:rsid w:val="006E710B"/>
    <w:rsid w:val="006F20A3"/>
    <w:rsid w:val="006F268D"/>
    <w:rsid w:val="006F6D95"/>
    <w:rsid w:val="00702075"/>
    <w:rsid w:val="007032B9"/>
    <w:rsid w:val="00705CDD"/>
    <w:rsid w:val="00706F13"/>
    <w:rsid w:val="007072E8"/>
    <w:rsid w:val="00707D04"/>
    <w:rsid w:val="007106B1"/>
    <w:rsid w:val="00714854"/>
    <w:rsid w:val="0071618D"/>
    <w:rsid w:val="00716CD2"/>
    <w:rsid w:val="00721B4E"/>
    <w:rsid w:val="00722435"/>
    <w:rsid w:val="007258CD"/>
    <w:rsid w:val="00725FA4"/>
    <w:rsid w:val="00726CF8"/>
    <w:rsid w:val="00730918"/>
    <w:rsid w:val="00733F25"/>
    <w:rsid w:val="00735F20"/>
    <w:rsid w:val="00737795"/>
    <w:rsid w:val="00737A06"/>
    <w:rsid w:val="00740446"/>
    <w:rsid w:val="007438A9"/>
    <w:rsid w:val="0074491E"/>
    <w:rsid w:val="00746D48"/>
    <w:rsid w:val="00747E07"/>
    <w:rsid w:val="007501F8"/>
    <w:rsid w:val="00753F2B"/>
    <w:rsid w:val="00754C05"/>
    <w:rsid w:val="00756730"/>
    <w:rsid w:val="007567FA"/>
    <w:rsid w:val="00765E5A"/>
    <w:rsid w:val="007722CF"/>
    <w:rsid w:val="00772476"/>
    <w:rsid w:val="007727E1"/>
    <w:rsid w:val="0077584C"/>
    <w:rsid w:val="00775964"/>
    <w:rsid w:val="00777F47"/>
    <w:rsid w:val="0078631B"/>
    <w:rsid w:val="007908F6"/>
    <w:rsid w:val="007944C0"/>
    <w:rsid w:val="00795BFB"/>
    <w:rsid w:val="007A6F12"/>
    <w:rsid w:val="007B2760"/>
    <w:rsid w:val="007B3029"/>
    <w:rsid w:val="007B64AD"/>
    <w:rsid w:val="007C1C5C"/>
    <w:rsid w:val="007C6711"/>
    <w:rsid w:val="007E5461"/>
    <w:rsid w:val="007E653B"/>
    <w:rsid w:val="00800ABD"/>
    <w:rsid w:val="0080273D"/>
    <w:rsid w:val="00806C01"/>
    <w:rsid w:val="008148CC"/>
    <w:rsid w:val="0081540B"/>
    <w:rsid w:val="008165CD"/>
    <w:rsid w:val="00820241"/>
    <w:rsid w:val="008211A4"/>
    <w:rsid w:val="00822248"/>
    <w:rsid w:val="00824141"/>
    <w:rsid w:val="00834246"/>
    <w:rsid w:val="00840B86"/>
    <w:rsid w:val="008475D6"/>
    <w:rsid w:val="00847BD0"/>
    <w:rsid w:val="00850E72"/>
    <w:rsid w:val="00851CBD"/>
    <w:rsid w:val="00853C27"/>
    <w:rsid w:val="0085500E"/>
    <w:rsid w:val="00861D97"/>
    <w:rsid w:val="0086401C"/>
    <w:rsid w:val="00873150"/>
    <w:rsid w:val="0087657D"/>
    <w:rsid w:val="008807D5"/>
    <w:rsid w:val="00880832"/>
    <w:rsid w:val="0088324A"/>
    <w:rsid w:val="00883EFA"/>
    <w:rsid w:val="0088499F"/>
    <w:rsid w:val="00886EE1"/>
    <w:rsid w:val="0088727D"/>
    <w:rsid w:val="00887CB0"/>
    <w:rsid w:val="0089405F"/>
    <w:rsid w:val="00897C75"/>
    <w:rsid w:val="008A182F"/>
    <w:rsid w:val="008A1830"/>
    <w:rsid w:val="008A40D5"/>
    <w:rsid w:val="008A46C8"/>
    <w:rsid w:val="008A4F7A"/>
    <w:rsid w:val="008B1659"/>
    <w:rsid w:val="008B32FF"/>
    <w:rsid w:val="008B3F5B"/>
    <w:rsid w:val="008B5723"/>
    <w:rsid w:val="008C0D1A"/>
    <w:rsid w:val="008C1085"/>
    <w:rsid w:val="008C1130"/>
    <w:rsid w:val="008C2E57"/>
    <w:rsid w:val="008C7919"/>
    <w:rsid w:val="008D18E6"/>
    <w:rsid w:val="008D64E1"/>
    <w:rsid w:val="008D671C"/>
    <w:rsid w:val="008D73B2"/>
    <w:rsid w:val="008D7A9B"/>
    <w:rsid w:val="008E08E6"/>
    <w:rsid w:val="008E0A7D"/>
    <w:rsid w:val="008E12E0"/>
    <w:rsid w:val="008E380E"/>
    <w:rsid w:val="008E56A6"/>
    <w:rsid w:val="008E74B4"/>
    <w:rsid w:val="008F21F6"/>
    <w:rsid w:val="009001EB"/>
    <w:rsid w:val="0091040D"/>
    <w:rsid w:val="00910711"/>
    <w:rsid w:val="00912226"/>
    <w:rsid w:val="009122AC"/>
    <w:rsid w:val="00913068"/>
    <w:rsid w:val="00932EF4"/>
    <w:rsid w:val="00941101"/>
    <w:rsid w:val="009421C9"/>
    <w:rsid w:val="0095137D"/>
    <w:rsid w:val="00951F79"/>
    <w:rsid w:val="009526A2"/>
    <w:rsid w:val="0095467A"/>
    <w:rsid w:val="009604FE"/>
    <w:rsid w:val="009627D4"/>
    <w:rsid w:val="00974AB5"/>
    <w:rsid w:val="00983AF8"/>
    <w:rsid w:val="0098706D"/>
    <w:rsid w:val="0099040A"/>
    <w:rsid w:val="00993534"/>
    <w:rsid w:val="009935FB"/>
    <w:rsid w:val="00993A64"/>
    <w:rsid w:val="00996FC9"/>
    <w:rsid w:val="009A2E01"/>
    <w:rsid w:val="009A580F"/>
    <w:rsid w:val="009B38DB"/>
    <w:rsid w:val="009B53A7"/>
    <w:rsid w:val="009B53CC"/>
    <w:rsid w:val="009B64D4"/>
    <w:rsid w:val="009C611B"/>
    <w:rsid w:val="009D003A"/>
    <w:rsid w:val="009D6F14"/>
    <w:rsid w:val="009E491E"/>
    <w:rsid w:val="009E75AF"/>
    <w:rsid w:val="009F3897"/>
    <w:rsid w:val="009F4A54"/>
    <w:rsid w:val="009F4BEC"/>
    <w:rsid w:val="009F6B61"/>
    <w:rsid w:val="00A03BF8"/>
    <w:rsid w:val="00A0697B"/>
    <w:rsid w:val="00A1114C"/>
    <w:rsid w:val="00A12969"/>
    <w:rsid w:val="00A25FD7"/>
    <w:rsid w:val="00A32091"/>
    <w:rsid w:val="00A34981"/>
    <w:rsid w:val="00A35D3E"/>
    <w:rsid w:val="00A36DAD"/>
    <w:rsid w:val="00A43AFF"/>
    <w:rsid w:val="00A44CF5"/>
    <w:rsid w:val="00A534E6"/>
    <w:rsid w:val="00A537F8"/>
    <w:rsid w:val="00A54E7D"/>
    <w:rsid w:val="00A6140E"/>
    <w:rsid w:val="00A6407F"/>
    <w:rsid w:val="00A65EF4"/>
    <w:rsid w:val="00A76978"/>
    <w:rsid w:val="00A7793A"/>
    <w:rsid w:val="00A812C7"/>
    <w:rsid w:val="00A8630D"/>
    <w:rsid w:val="00A94261"/>
    <w:rsid w:val="00AA5F12"/>
    <w:rsid w:val="00AB0B7C"/>
    <w:rsid w:val="00AB10DA"/>
    <w:rsid w:val="00AB4B56"/>
    <w:rsid w:val="00AB6CA7"/>
    <w:rsid w:val="00AB6DAA"/>
    <w:rsid w:val="00AB7C78"/>
    <w:rsid w:val="00AD01E4"/>
    <w:rsid w:val="00AD0858"/>
    <w:rsid w:val="00AE6B3E"/>
    <w:rsid w:val="00AE7340"/>
    <w:rsid w:val="00AE74BE"/>
    <w:rsid w:val="00AF1BBD"/>
    <w:rsid w:val="00AF219D"/>
    <w:rsid w:val="00AF3499"/>
    <w:rsid w:val="00AF6CA8"/>
    <w:rsid w:val="00B04443"/>
    <w:rsid w:val="00B10207"/>
    <w:rsid w:val="00B141E7"/>
    <w:rsid w:val="00B15905"/>
    <w:rsid w:val="00B1745C"/>
    <w:rsid w:val="00B24F17"/>
    <w:rsid w:val="00B33C11"/>
    <w:rsid w:val="00B40601"/>
    <w:rsid w:val="00B46BCA"/>
    <w:rsid w:val="00B47BE4"/>
    <w:rsid w:val="00B603E0"/>
    <w:rsid w:val="00B641C7"/>
    <w:rsid w:val="00B64A28"/>
    <w:rsid w:val="00B64BEA"/>
    <w:rsid w:val="00B66341"/>
    <w:rsid w:val="00B73340"/>
    <w:rsid w:val="00B74C14"/>
    <w:rsid w:val="00B7669E"/>
    <w:rsid w:val="00B84891"/>
    <w:rsid w:val="00B8736E"/>
    <w:rsid w:val="00B87806"/>
    <w:rsid w:val="00B87EC9"/>
    <w:rsid w:val="00B92DE3"/>
    <w:rsid w:val="00BA215B"/>
    <w:rsid w:val="00BC38FD"/>
    <w:rsid w:val="00BC3AC0"/>
    <w:rsid w:val="00BC4297"/>
    <w:rsid w:val="00BC5DB4"/>
    <w:rsid w:val="00BD7A2D"/>
    <w:rsid w:val="00BF1A69"/>
    <w:rsid w:val="00BF2B92"/>
    <w:rsid w:val="00BF3E5A"/>
    <w:rsid w:val="00C034CB"/>
    <w:rsid w:val="00C047D3"/>
    <w:rsid w:val="00C051A8"/>
    <w:rsid w:val="00C054BC"/>
    <w:rsid w:val="00C06FB3"/>
    <w:rsid w:val="00C142A2"/>
    <w:rsid w:val="00C151E6"/>
    <w:rsid w:val="00C15B75"/>
    <w:rsid w:val="00C16A6D"/>
    <w:rsid w:val="00C17897"/>
    <w:rsid w:val="00C2175A"/>
    <w:rsid w:val="00C27EFD"/>
    <w:rsid w:val="00C35E8B"/>
    <w:rsid w:val="00C409D5"/>
    <w:rsid w:val="00C45D4F"/>
    <w:rsid w:val="00C51BBA"/>
    <w:rsid w:val="00C523EB"/>
    <w:rsid w:val="00C560CF"/>
    <w:rsid w:val="00C57DA3"/>
    <w:rsid w:val="00C6234B"/>
    <w:rsid w:val="00C62437"/>
    <w:rsid w:val="00C63A67"/>
    <w:rsid w:val="00C63EAE"/>
    <w:rsid w:val="00C658D9"/>
    <w:rsid w:val="00C67DDA"/>
    <w:rsid w:val="00C7629F"/>
    <w:rsid w:val="00C8661B"/>
    <w:rsid w:val="00C95055"/>
    <w:rsid w:val="00C95B02"/>
    <w:rsid w:val="00C969C4"/>
    <w:rsid w:val="00CA139A"/>
    <w:rsid w:val="00CA2899"/>
    <w:rsid w:val="00CA4540"/>
    <w:rsid w:val="00CA4732"/>
    <w:rsid w:val="00CA77FB"/>
    <w:rsid w:val="00CB03A7"/>
    <w:rsid w:val="00CB379B"/>
    <w:rsid w:val="00CB5DD0"/>
    <w:rsid w:val="00CB6FB5"/>
    <w:rsid w:val="00CC078B"/>
    <w:rsid w:val="00CC1BEB"/>
    <w:rsid w:val="00CC51D4"/>
    <w:rsid w:val="00CC65DA"/>
    <w:rsid w:val="00CD088A"/>
    <w:rsid w:val="00CD1F0B"/>
    <w:rsid w:val="00CD382D"/>
    <w:rsid w:val="00CD758C"/>
    <w:rsid w:val="00CE5603"/>
    <w:rsid w:val="00CE6CD2"/>
    <w:rsid w:val="00CE7BF2"/>
    <w:rsid w:val="00CF21B9"/>
    <w:rsid w:val="00CF6BF9"/>
    <w:rsid w:val="00D00117"/>
    <w:rsid w:val="00D01900"/>
    <w:rsid w:val="00D0317B"/>
    <w:rsid w:val="00D03800"/>
    <w:rsid w:val="00D065D3"/>
    <w:rsid w:val="00D13872"/>
    <w:rsid w:val="00D148EB"/>
    <w:rsid w:val="00D14C94"/>
    <w:rsid w:val="00D221D6"/>
    <w:rsid w:val="00D22D7D"/>
    <w:rsid w:val="00D342A6"/>
    <w:rsid w:val="00D346E7"/>
    <w:rsid w:val="00D40853"/>
    <w:rsid w:val="00D42D40"/>
    <w:rsid w:val="00D4335E"/>
    <w:rsid w:val="00D464BF"/>
    <w:rsid w:val="00D50ED9"/>
    <w:rsid w:val="00D510DE"/>
    <w:rsid w:val="00D52E8A"/>
    <w:rsid w:val="00D53E26"/>
    <w:rsid w:val="00D54E46"/>
    <w:rsid w:val="00D60F0E"/>
    <w:rsid w:val="00D62E6B"/>
    <w:rsid w:val="00D644E2"/>
    <w:rsid w:val="00D66276"/>
    <w:rsid w:val="00D71713"/>
    <w:rsid w:val="00D71AF5"/>
    <w:rsid w:val="00D723C8"/>
    <w:rsid w:val="00D8167B"/>
    <w:rsid w:val="00D83923"/>
    <w:rsid w:val="00D86514"/>
    <w:rsid w:val="00D973E0"/>
    <w:rsid w:val="00D979C4"/>
    <w:rsid w:val="00DA422F"/>
    <w:rsid w:val="00DA67B0"/>
    <w:rsid w:val="00DA6E8A"/>
    <w:rsid w:val="00DB1350"/>
    <w:rsid w:val="00DB370A"/>
    <w:rsid w:val="00DB64AD"/>
    <w:rsid w:val="00DB6DFD"/>
    <w:rsid w:val="00DC12BD"/>
    <w:rsid w:val="00DD07FB"/>
    <w:rsid w:val="00DD2CE9"/>
    <w:rsid w:val="00DD4F0E"/>
    <w:rsid w:val="00DD6802"/>
    <w:rsid w:val="00DE3C99"/>
    <w:rsid w:val="00E05E0A"/>
    <w:rsid w:val="00E06257"/>
    <w:rsid w:val="00E06B0E"/>
    <w:rsid w:val="00E172A5"/>
    <w:rsid w:val="00E177EA"/>
    <w:rsid w:val="00E277FC"/>
    <w:rsid w:val="00E40A2D"/>
    <w:rsid w:val="00E456C4"/>
    <w:rsid w:val="00E534CF"/>
    <w:rsid w:val="00E56F40"/>
    <w:rsid w:val="00E62289"/>
    <w:rsid w:val="00E72376"/>
    <w:rsid w:val="00E72EE3"/>
    <w:rsid w:val="00E77497"/>
    <w:rsid w:val="00E81CB4"/>
    <w:rsid w:val="00E8585B"/>
    <w:rsid w:val="00E85DB1"/>
    <w:rsid w:val="00E87F6C"/>
    <w:rsid w:val="00E901DA"/>
    <w:rsid w:val="00E90F7E"/>
    <w:rsid w:val="00E92962"/>
    <w:rsid w:val="00E96447"/>
    <w:rsid w:val="00EA3F15"/>
    <w:rsid w:val="00EA42DE"/>
    <w:rsid w:val="00EA6857"/>
    <w:rsid w:val="00EA7847"/>
    <w:rsid w:val="00EB375E"/>
    <w:rsid w:val="00EB4A9C"/>
    <w:rsid w:val="00EB4CE1"/>
    <w:rsid w:val="00EB5573"/>
    <w:rsid w:val="00EB63CE"/>
    <w:rsid w:val="00EC34F2"/>
    <w:rsid w:val="00EC4D7D"/>
    <w:rsid w:val="00EC7968"/>
    <w:rsid w:val="00ED28D2"/>
    <w:rsid w:val="00EE2E6E"/>
    <w:rsid w:val="00EE5AC7"/>
    <w:rsid w:val="00EF01C2"/>
    <w:rsid w:val="00EF31C6"/>
    <w:rsid w:val="00EF3401"/>
    <w:rsid w:val="00EF70F8"/>
    <w:rsid w:val="00F00D67"/>
    <w:rsid w:val="00F04230"/>
    <w:rsid w:val="00F05D58"/>
    <w:rsid w:val="00F0759E"/>
    <w:rsid w:val="00F107F4"/>
    <w:rsid w:val="00F47DAC"/>
    <w:rsid w:val="00F54EA3"/>
    <w:rsid w:val="00F55B29"/>
    <w:rsid w:val="00F652B8"/>
    <w:rsid w:val="00F67881"/>
    <w:rsid w:val="00F679CA"/>
    <w:rsid w:val="00F705FA"/>
    <w:rsid w:val="00F73FC0"/>
    <w:rsid w:val="00F80BDE"/>
    <w:rsid w:val="00F811BA"/>
    <w:rsid w:val="00F821A3"/>
    <w:rsid w:val="00F91CFF"/>
    <w:rsid w:val="00F9314A"/>
    <w:rsid w:val="00FA033F"/>
    <w:rsid w:val="00FA74DC"/>
    <w:rsid w:val="00FB2721"/>
    <w:rsid w:val="00FB6E6E"/>
    <w:rsid w:val="00FC267E"/>
    <w:rsid w:val="00FC4745"/>
    <w:rsid w:val="00FC58EF"/>
    <w:rsid w:val="00FC5D20"/>
    <w:rsid w:val="00FC63F8"/>
    <w:rsid w:val="00FC6616"/>
    <w:rsid w:val="00FD33DF"/>
    <w:rsid w:val="00FD7345"/>
    <w:rsid w:val="00FD748B"/>
    <w:rsid w:val="00FD7722"/>
    <w:rsid w:val="00FD7BAA"/>
    <w:rsid w:val="00FE230B"/>
    <w:rsid w:val="00FE2745"/>
    <w:rsid w:val="00FE39D7"/>
    <w:rsid w:val="00FF1607"/>
    <w:rsid w:val="00FF5A95"/>
    <w:rsid w:val="00FF74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6C6BF8C"/>
  <w15:docId w15:val="{7EBAE455-8075-4EA6-A53F-A4AFE3F1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A35D3E"/>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semiHidden/>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FA4"/>
    <w:rPr>
      <w:rFonts w:ascii="Tahoma" w:hAnsi="Tahoma" w:cs="Tahoma"/>
      <w:sz w:val="16"/>
      <w:szCs w:val="16"/>
    </w:rPr>
  </w:style>
  <w:style w:type="character" w:customStyle="1" w:styleId="EncabezadoCar">
    <w:name w:val="Encabezado Car"/>
    <w:basedOn w:val="Fuentedeprrafopredeter"/>
    <w:link w:val="Encabezado"/>
    <w:uiPriority w:val="99"/>
    <w:rsid w:val="00593C4F"/>
    <w:rPr>
      <w:rFonts w:ascii="CG Times" w:hAnsi="CG Times"/>
      <w:sz w:val="24"/>
      <w:lang w:val="es-CO"/>
    </w:rPr>
  </w:style>
  <w:style w:type="character" w:customStyle="1" w:styleId="Ttulo3Car">
    <w:name w:val="Título 3 Car"/>
    <w:basedOn w:val="Fuentedeprrafopredeter"/>
    <w:link w:val="Ttulo3"/>
    <w:rsid w:val="00141013"/>
    <w:rPr>
      <w:rFonts w:ascii="CG Times" w:hAnsi="CG Times"/>
      <w:b/>
      <w:snapToGrid w:val="0"/>
      <w:color w:val="000000"/>
      <w:sz w:val="24"/>
      <w:lang w:val="es-ES_tradnl"/>
    </w:rPr>
  </w:style>
  <w:style w:type="character" w:customStyle="1" w:styleId="Ttulo4Car">
    <w:name w:val="Título 4 Car"/>
    <w:basedOn w:val="Fuentedeprrafopredeter"/>
    <w:link w:val="Ttulo4"/>
    <w:rsid w:val="00141013"/>
    <w:rPr>
      <w:rFonts w:ascii="Arial" w:hAnsi="Arial" w:cs="Arial"/>
      <w:b/>
      <w:snapToGrid w:val="0"/>
      <w:color w:val="000000"/>
      <w:spacing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basedOn w:val="Fuentedeprrafopredeter"/>
    <w:link w:val="Textoindependiente"/>
    <w:semiHidden/>
    <w:rsid w:val="00141013"/>
    <w:rPr>
      <w:rFonts w:ascii="Arial" w:hAnsi="Arial" w:cs="Arial"/>
      <w:b/>
      <w:bCs/>
      <w:sz w:val="24"/>
      <w:szCs w:val="24"/>
    </w:rPr>
  </w:style>
  <w:style w:type="character" w:customStyle="1" w:styleId="Textoindependiente3Car">
    <w:name w:val="Texto independiente 3 Car"/>
    <w:basedOn w:val="Fuentedeprrafopredete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basedOn w:val="Fuentedeprrafopredeter"/>
    <w:link w:val="Ttulo6"/>
    <w:uiPriority w:val="9"/>
    <w:semiHidden/>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basedOn w:val="Fuentedeprrafopredete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uiPriority w:val="99"/>
    <w:semiHidden/>
    <w:rsid w:val="00006AE2"/>
    <w:rPr>
      <w:sz w:val="24"/>
      <w:szCs w:val="24"/>
    </w:rPr>
  </w:style>
  <w:style w:type="paragraph" w:styleId="Descripcin">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2Car">
    <w:name w:val="Título 2 Car"/>
    <w:basedOn w:val="Fuentedeprrafopredeter"/>
    <w:link w:val="Ttulo2"/>
    <w:uiPriority w:val="9"/>
    <w:semiHidden/>
    <w:rsid w:val="00A35D3E"/>
    <w:rPr>
      <w:rFonts w:ascii="Cambria" w:eastAsia="Times New Roman" w:hAnsi="Cambria" w:cs="Times New Roman"/>
      <w:b/>
      <w:bCs/>
      <w:i/>
      <w:iCs/>
      <w:sz w:val="28"/>
      <w:szCs w:val="28"/>
      <w:lang w:val="es-ES" w:eastAsia="es-ES"/>
    </w:rPr>
  </w:style>
  <w:style w:type="paragraph" w:styleId="Textonotapie">
    <w:name w:val="footnote text"/>
    <w:basedOn w:val="Normal"/>
    <w:link w:val="TextonotapieCar"/>
    <w:semiHidden/>
    <w:rsid w:val="00A35D3E"/>
    <w:pPr>
      <w:widowControl w:val="0"/>
      <w:adjustRightInd w:val="0"/>
      <w:spacing w:line="360" w:lineRule="atLeast"/>
      <w:ind w:left="0"/>
      <w:jc w:val="both"/>
      <w:textAlignment w:val="baseline"/>
    </w:pPr>
    <w:rPr>
      <w:sz w:val="20"/>
      <w:szCs w:val="20"/>
    </w:rPr>
  </w:style>
  <w:style w:type="character" w:customStyle="1" w:styleId="TextonotapieCar">
    <w:name w:val="Texto nota pie Car"/>
    <w:basedOn w:val="Fuentedeprrafopredeter"/>
    <w:link w:val="Textonotapie"/>
    <w:semiHidden/>
    <w:rsid w:val="00A35D3E"/>
    <w:rPr>
      <w:lang w:val="es-ES" w:eastAsia="es-ES"/>
    </w:rPr>
  </w:style>
  <w:style w:type="paragraph" w:customStyle="1" w:styleId="ARTICULOS">
    <w:name w:val="ARTICULOS"/>
    <w:basedOn w:val="Normal"/>
    <w:link w:val="ARTICULOSCar"/>
    <w:qFormat/>
    <w:rsid w:val="00B24F17"/>
    <w:pPr>
      <w:numPr>
        <w:numId w:val="7"/>
      </w:numPr>
      <w:spacing w:before="240"/>
      <w:jc w:val="both"/>
    </w:pPr>
    <w:rPr>
      <w:rFonts w:ascii="Bookman Old Style" w:hAnsi="Bookman Old Style" w:cs="Arial"/>
      <w:b/>
      <w:bCs/>
    </w:rPr>
  </w:style>
  <w:style w:type="character" w:customStyle="1" w:styleId="ARTICULOSCar">
    <w:name w:val="ARTICULOS Car"/>
    <w:basedOn w:val="Fuentedeprrafopredeter"/>
    <w:link w:val="ARTICULOS"/>
    <w:rsid w:val="00B24F17"/>
    <w:rPr>
      <w:rFonts w:ascii="Bookman Old Style" w:hAnsi="Bookman Old Style" w:cs="Arial"/>
      <w:b/>
      <w:bCs/>
      <w:sz w:val="24"/>
      <w:szCs w:val="24"/>
    </w:rPr>
  </w:style>
  <w:style w:type="character" w:styleId="Refdecomentario">
    <w:name w:val="annotation reference"/>
    <w:basedOn w:val="Fuentedeprrafopredeter"/>
    <w:uiPriority w:val="99"/>
    <w:semiHidden/>
    <w:unhideWhenUsed/>
    <w:rsid w:val="007B3029"/>
    <w:rPr>
      <w:sz w:val="16"/>
      <w:szCs w:val="16"/>
    </w:rPr>
  </w:style>
  <w:style w:type="paragraph" w:styleId="Textocomentario">
    <w:name w:val="annotation text"/>
    <w:basedOn w:val="Normal"/>
    <w:link w:val="TextocomentarioCar"/>
    <w:uiPriority w:val="99"/>
    <w:unhideWhenUsed/>
    <w:rsid w:val="007B3029"/>
    <w:rPr>
      <w:sz w:val="20"/>
      <w:szCs w:val="20"/>
    </w:rPr>
  </w:style>
  <w:style w:type="character" w:customStyle="1" w:styleId="TextocomentarioCar">
    <w:name w:val="Texto comentario Car"/>
    <w:basedOn w:val="Fuentedeprrafopredeter"/>
    <w:link w:val="Textocomentario"/>
    <w:uiPriority w:val="99"/>
    <w:rsid w:val="007B3029"/>
  </w:style>
  <w:style w:type="paragraph" w:styleId="Asuntodelcomentario">
    <w:name w:val="annotation subject"/>
    <w:basedOn w:val="Textocomentario"/>
    <w:next w:val="Textocomentario"/>
    <w:link w:val="AsuntodelcomentarioCar"/>
    <w:uiPriority w:val="99"/>
    <w:semiHidden/>
    <w:unhideWhenUsed/>
    <w:rsid w:val="007B3029"/>
    <w:rPr>
      <w:b/>
      <w:bCs/>
    </w:rPr>
  </w:style>
  <w:style w:type="character" w:customStyle="1" w:styleId="AsuntodelcomentarioCar">
    <w:name w:val="Asunto del comentario Car"/>
    <w:basedOn w:val="TextocomentarioCar"/>
    <w:link w:val="Asuntodelcomentario"/>
    <w:uiPriority w:val="99"/>
    <w:semiHidden/>
    <w:rsid w:val="007B3029"/>
    <w:rPr>
      <w:b/>
      <w:bCs/>
    </w:rPr>
  </w:style>
  <w:style w:type="paragraph" w:styleId="Revisin">
    <w:name w:val="Revision"/>
    <w:hidden/>
    <w:uiPriority w:val="99"/>
    <w:semiHidden/>
    <w:rsid w:val="00747E07"/>
    <w:rPr>
      <w:sz w:val="24"/>
      <w:szCs w:val="24"/>
    </w:rPr>
  </w:style>
  <w:style w:type="table" w:customStyle="1" w:styleId="Tablaconcuadrculaclara1">
    <w:name w:val="Tabla con cuadrícula clara1"/>
    <w:basedOn w:val="Tablanormal"/>
    <w:next w:val="Tablaconcuadrculaclara"/>
    <w:uiPriority w:val="40"/>
    <w:rsid w:val="007944C0"/>
    <w:rPr>
      <w:lang w:val="es-CO"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794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Fuentedeprrafopredeter"/>
    <w:rsid w:val="00D54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92143">
      <w:bodyDiv w:val="1"/>
      <w:marLeft w:val="0"/>
      <w:marRight w:val="0"/>
      <w:marTop w:val="0"/>
      <w:marBottom w:val="0"/>
      <w:divBdr>
        <w:top w:val="none" w:sz="0" w:space="0" w:color="auto"/>
        <w:left w:val="none" w:sz="0" w:space="0" w:color="auto"/>
        <w:bottom w:val="none" w:sz="0" w:space="0" w:color="auto"/>
        <w:right w:val="none" w:sz="0" w:space="0" w:color="auto"/>
      </w:divBdr>
    </w:div>
    <w:div w:id="1248230814">
      <w:bodyDiv w:val="1"/>
      <w:marLeft w:val="0"/>
      <w:marRight w:val="0"/>
      <w:marTop w:val="0"/>
      <w:marBottom w:val="0"/>
      <w:divBdr>
        <w:top w:val="none" w:sz="0" w:space="0" w:color="auto"/>
        <w:left w:val="none" w:sz="0" w:space="0" w:color="auto"/>
        <w:bottom w:val="none" w:sz="0" w:space="0" w:color="auto"/>
        <w:right w:val="none" w:sz="0" w:space="0" w:color="auto"/>
      </w:divBdr>
    </w:div>
    <w:div w:id="1629972437">
      <w:bodyDiv w:val="1"/>
      <w:marLeft w:val="0"/>
      <w:marRight w:val="0"/>
      <w:marTop w:val="0"/>
      <w:marBottom w:val="0"/>
      <w:divBdr>
        <w:top w:val="none" w:sz="0" w:space="0" w:color="auto"/>
        <w:left w:val="none" w:sz="0" w:space="0" w:color="auto"/>
        <w:bottom w:val="none" w:sz="0" w:space="0" w:color="auto"/>
        <w:right w:val="none" w:sz="0" w:space="0" w:color="auto"/>
      </w:divBdr>
    </w:div>
    <w:div w:id="1652364779">
      <w:bodyDiv w:val="1"/>
      <w:marLeft w:val="0"/>
      <w:marRight w:val="0"/>
      <w:marTop w:val="0"/>
      <w:marBottom w:val="0"/>
      <w:divBdr>
        <w:top w:val="none" w:sz="0" w:space="0" w:color="auto"/>
        <w:left w:val="none" w:sz="0" w:space="0" w:color="auto"/>
        <w:bottom w:val="none" w:sz="0" w:space="0" w:color="auto"/>
        <w:right w:val="none" w:sz="0" w:space="0" w:color="auto"/>
      </w:divBdr>
      <w:divsChild>
        <w:div w:id="1438521748">
          <w:marLeft w:val="547"/>
          <w:marRight w:val="0"/>
          <w:marTop w:val="240"/>
          <w:marBottom w:val="0"/>
          <w:divBdr>
            <w:top w:val="none" w:sz="0" w:space="0" w:color="auto"/>
            <w:left w:val="none" w:sz="0" w:space="0" w:color="auto"/>
            <w:bottom w:val="none" w:sz="0" w:space="0" w:color="auto"/>
            <w:right w:val="none" w:sz="0" w:space="0" w:color="auto"/>
          </w:divBdr>
        </w:div>
      </w:divsChild>
    </w:div>
    <w:div w:id="206644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2137C-5593-4232-B577-AE4898A2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109</TotalTime>
  <Pages>9</Pages>
  <Words>3755</Words>
  <Characters>20656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Jonathan Ramirez Ochoa</cp:lastModifiedBy>
  <cp:revision>16</cp:revision>
  <cp:lastPrinted>2014-01-31T14:08:00Z</cp:lastPrinted>
  <dcterms:created xsi:type="dcterms:W3CDTF">2024-09-05T22:10:00Z</dcterms:created>
  <dcterms:modified xsi:type="dcterms:W3CDTF">2024-09-06T16:26:00Z</dcterms:modified>
</cp:coreProperties>
</file>