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5A45C4" w:rsidRDefault="00000000" w:rsidP="00012259">
      <w:pPr>
        <w:pStyle w:val="Encabezado"/>
        <w:tabs>
          <w:tab w:val="clear" w:pos="8504"/>
          <w:tab w:val="left" w:pos="0"/>
          <w:tab w:val="right" w:pos="9356"/>
        </w:tabs>
        <w:ind w:left="0"/>
        <w:jc w:val="both"/>
        <w:rPr>
          <w:rFonts w:ascii="Bookman Old Style" w:hAnsi="Bookman Old Style"/>
          <w:szCs w:val="24"/>
        </w:rPr>
      </w:pPr>
      <w:r w:rsidRPr="005A45C4">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02.4pt;margin-top:-53.35pt;width:52.5pt;height:48.75pt;z-index:251657728;mso-wrap-edited:f;mso-width-percent:0;mso-height-percent:0;mso-width-percent:0;mso-height-percent:0" fillcolor="#0c9">
            <v:imagedata r:id="rId10" o:title=""/>
          </v:shape>
          <o:OLEObject Type="Embed" ProgID="PBrush" ShapeID="_x0000_s2050" DrawAspect="Content" ObjectID="_1793104943" r:id="rId11"/>
        </w:object>
      </w:r>
    </w:p>
    <w:p w14:paraId="67770A74" w14:textId="77777777" w:rsidR="00625DC6" w:rsidRPr="005A45C4"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5A45C4" w:rsidRDefault="00CA77FB" w:rsidP="00012259">
      <w:pPr>
        <w:pStyle w:val="Ttulo4"/>
        <w:tabs>
          <w:tab w:val="left" w:pos="0"/>
          <w:tab w:val="right" w:pos="9356"/>
        </w:tabs>
        <w:ind w:left="0"/>
        <w:rPr>
          <w:rFonts w:ascii="Bookman Old Style" w:hAnsi="Bookman Old Style"/>
          <w:b w:val="0"/>
          <w:bCs/>
          <w:noProof/>
          <w:sz w:val="24"/>
          <w:szCs w:val="24"/>
          <w:lang w:val="es-ES"/>
        </w:rPr>
      </w:pPr>
      <w:r w:rsidRPr="005A45C4">
        <w:rPr>
          <w:rFonts w:ascii="Bookman Old Style" w:hAnsi="Bookman Old Style"/>
          <w:b w:val="0"/>
          <w:bCs/>
          <w:sz w:val="24"/>
          <w:szCs w:val="24"/>
        </w:rPr>
        <w:t>Ministerio de Minas y Energía</w:t>
      </w:r>
    </w:p>
    <w:p w14:paraId="0B8E60E5" w14:textId="77777777" w:rsidR="00CA77FB" w:rsidRPr="005A45C4"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5A45C4" w:rsidRDefault="00CA77FB" w:rsidP="00012259">
      <w:pPr>
        <w:pStyle w:val="Ttulo3"/>
        <w:tabs>
          <w:tab w:val="left" w:pos="0"/>
          <w:tab w:val="right" w:pos="9356"/>
        </w:tabs>
        <w:ind w:left="0"/>
        <w:rPr>
          <w:rFonts w:ascii="Bookman Old Style" w:hAnsi="Bookman Old Style" w:cs="Arial"/>
          <w:spacing w:val="20"/>
          <w:szCs w:val="24"/>
        </w:rPr>
      </w:pPr>
      <w:r w:rsidRPr="005A45C4">
        <w:rPr>
          <w:rFonts w:ascii="Bookman Old Style" w:hAnsi="Bookman Old Style" w:cs="Arial"/>
          <w:spacing w:val="20"/>
          <w:szCs w:val="24"/>
        </w:rPr>
        <w:t>COMISIÓN DE REGULACIÓN DE ENERGÍA Y GAS</w:t>
      </w:r>
    </w:p>
    <w:p w14:paraId="4767CFAE" w14:textId="77777777" w:rsidR="00CA77FB" w:rsidRPr="005A45C4"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5A45C4" w:rsidRDefault="00CA77FB" w:rsidP="00012259">
      <w:pPr>
        <w:pStyle w:val="Ttulo5"/>
        <w:tabs>
          <w:tab w:val="left" w:pos="0"/>
          <w:tab w:val="right" w:pos="9356"/>
        </w:tabs>
        <w:ind w:left="0"/>
        <w:rPr>
          <w:rFonts w:ascii="Bookman Old Style" w:hAnsi="Bookman Old Style"/>
          <w:sz w:val="24"/>
          <w:szCs w:val="24"/>
        </w:rPr>
      </w:pPr>
    </w:p>
    <w:p w14:paraId="67AC44F2" w14:textId="77777777" w:rsidR="00A06511" w:rsidRPr="005A45C4" w:rsidRDefault="00A06511" w:rsidP="00A06511">
      <w:pPr>
        <w:pStyle w:val="Ttulo5"/>
        <w:tabs>
          <w:tab w:val="left" w:pos="0"/>
          <w:tab w:val="right" w:pos="9356"/>
        </w:tabs>
        <w:ind w:left="0"/>
        <w:rPr>
          <w:rFonts w:ascii="Bookman Old Style" w:hAnsi="Bookman Old Style"/>
          <w:sz w:val="24"/>
          <w:szCs w:val="24"/>
        </w:rPr>
      </w:pPr>
      <w:r w:rsidRPr="005A45C4">
        <w:rPr>
          <w:rFonts w:ascii="Bookman Old Style" w:hAnsi="Bookman Old Style"/>
          <w:sz w:val="24"/>
          <w:szCs w:val="24"/>
        </w:rPr>
        <w:t xml:space="preserve">RESOLUCIÓN No. </w:t>
      </w:r>
      <w:r w:rsidRPr="005A45C4">
        <w:rPr>
          <w:rFonts w:ascii="Bookman Old Style" w:hAnsi="Bookman Old Style"/>
          <w:sz w:val="32"/>
          <w:szCs w:val="32"/>
        </w:rPr>
        <w:fldChar w:fldCharType="begin"/>
      </w:r>
      <w:r w:rsidRPr="005A45C4">
        <w:rPr>
          <w:rFonts w:ascii="Bookman Old Style" w:hAnsi="Bookman Old Style"/>
          <w:sz w:val="32"/>
          <w:szCs w:val="32"/>
        </w:rPr>
        <w:instrText xml:space="preserve"> MERGEFIELD  NumeroResolucion  \* MERGEFORMAT </w:instrText>
      </w:r>
      <w:r w:rsidRPr="005A45C4">
        <w:rPr>
          <w:rFonts w:ascii="Bookman Old Style" w:hAnsi="Bookman Old Style"/>
          <w:sz w:val="32"/>
          <w:szCs w:val="32"/>
        </w:rPr>
        <w:fldChar w:fldCharType="separate"/>
      </w:r>
      <w:r w:rsidRPr="005A45C4">
        <w:rPr>
          <w:rFonts w:ascii="Bookman Old Style" w:hAnsi="Bookman Old Style"/>
          <w:sz w:val="32"/>
          <w:szCs w:val="32"/>
        </w:rPr>
        <w:t>101 060</w:t>
      </w:r>
      <w:r w:rsidRPr="005A45C4">
        <w:rPr>
          <w:rFonts w:ascii="Bookman Old Style" w:hAnsi="Bookman Old Style"/>
          <w:sz w:val="32"/>
          <w:szCs w:val="32"/>
        </w:rPr>
        <w:fldChar w:fldCharType="end"/>
      </w:r>
      <w:r w:rsidRPr="005A45C4">
        <w:rPr>
          <w:rFonts w:ascii="Bookman Old Style" w:hAnsi="Bookman Old Style"/>
          <w:sz w:val="32"/>
          <w:szCs w:val="32"/>
        </w:rPr>
        <w:t xml:space="preserve"> DE </w:t>
      </w:r>
      <w:r w:rsidRPr="005A45C4">
        <w:rPr>
          <w:rFonts w:ascii="Bookman Old Style" w:hAnsi="Bookman Old Style"/>
          <w:sz w:val="32"/>
          <w:szCs w:val="32"/>
        </w:rPr>
        <w:fldChar w:fldCharType="begin"/>
      </w:r>
      <w:r w:rsidRPr="005A45C4">
        <w:rPr>
          <w:rFonts w:ascii="Bookman Old Style" w:hAnsi="Bookman Old Style"/>
          <w:sz w:val="32"/>
          <w:szCs w:val="32"/>
        </w:rPr>
        <w:instrText xml:space="preserve"> MERGEFIELD  Anio  \* MERGEFORMAT </w:instrText>
      </w:r>
      <w:r w:rsidRPr="005A45C4">
        <w:rPr>
          <w:rFonts w:ascii="Bookman Old Style" w:hAnsi="Bookman Old Style"/>
          <w:sz w:val="32"/>
          <w:szCs w:val="32"/>
        </w:rPr>
        <w:fldChar w:fldCharType="separate"/>
      </w:r>
      <w:r w:rsidRPr="005A45C4">
        <w:rPr>
          <w:rFonts w:ascii="Bookman Old Style" w:hAnsi="Bookman Old Style"/>
          <w:noProof/>
          <w:sz w:val="32"/>
          <w:szCs w:val="32"/>
        </w:rPr>
        <w:t>2024</w:t>
      </w:r>
      <w:r w:rsidRPr="005A45C4">
        <w:rPr>
          <w:rFonts w:ascii="Bookman Old Style" w:hAnsi="Bookman Old Style"/>
          <w:sz w:val="32"/>
          <w:szCs w:val="32"/>
        </w:rPr>
        <w:fldChar w:fldCharType="end"/>
      </w:r>
    </w:p>
    <w:p w14:paraId="0C7D114C" w14:textId="77777777" w:rsidR="00CA77FB" w:rsidRPr="005A45C4"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227338E7" w:rsidR="00CA77FB" w:rsidRPr="005A45C4" w:rsidRDefault="00CA77FB" w:rsidP="00012259">
      <w:pPr>
        <w:pStyle w:val="Ttulo3"/>
        <w:tabs>
          <w:tab w:val="left" w:pos="0"/>
          <w:tab w:val="right" w:pos="9356"/>
        </w:tabs>
        <w:ind w:left="0"/>
        <w:rPr>
          <w:rFonts w:ascii="Bookman Old Style" w:hAnsi="Bookman Old Style"/>
          <w:bCs/>
          <w:szCs w:val="24"/>
        </w:rPr>
      </w:pPr>
      <w:r w:rsidRPr="005A45C4">
        <w:rPr>
          <w:rFonts w:ascii="Bookman Old Style" w:hAnsi="Bookman Old Style"/>
          <w:bCs/>
          <w:szCs w:val="24"/>
        </w:rPr>
        <w:t>(</w:t>
      </w:r>
      <w:r w:rsidR="005A45C4" w:rsidRPr="005A45C4">
        <w:rPr>
          <w:rFonts w:ascii="Bookman Old Style" w:hAnsi="Bookman Old Style"/>
          <w:bCs/>
          <w:szCs w:val="24"/>
        </w:rPr>
        <w:t>17 OCT.2024</w:t>
      </w:r>
      <w:r w:rsidRPr="005A45C4">
        <w:rPr>
          <w:rFonts w:ascii="Bookman Old Style" w:hAnsi="Bookman Old Style"/>
          <w:bCs/>
          <w:szCs w:val="24"/>
        </w:rPr>
        <w:t>)</w:t>
      </w:r>
    </w:p>
    <w:p w14:paraId="57D77EBA" w14:textId="77777777" w:rsidR="00CA77FB" w:rsidRPr="005A45C4" w:rsidRDefault="00CA77FB" w:rsidP="00012259">
      <w:pPr>
        <w:tabs>
          <w:tab w:val="left" w:pos="0"/>
          <w:tab w:val="right" w:pos="9356"/>
        </w:tabs>
        <w:ind w:left="0"/>
        <w:jc w:val="center"/>
        <w:rPr>
          <w:rFonts w:ascii="Bookman Old Style" w:hAnsi="Bookman Old Style"/>
          <w:lang w:val="es-ES_tradnl"/>
        </w:rPr>
      </w:pPr>
    </w:p>
    <w:p w14:paraId="01257932" w14:textId="7424BD81" w:rsidR="00C034CB" w:rsidRPr="005A45C4" w:rsidRDefault="00C034CB" w:rsidP="00A1242B">
      <w:pPr>
        <w:ind w:left="0"/>
        <w:jc w:val="center"/>
        <w:rPr>
          <w:rFonts w:ascii="Bookman Old Style" w:hAnsi="Bookman Old Style"/>
          <w:bCs/>
          <w:lang w:val="es-CO"/>
        </w:rPr>
      </w:pPr>
    </w:p>
    <w:p w14:paraId="053FCB54" w14:textId="4A39667D" w:rsidR="00045D3D" w:rsidRPr="005A45C4" w:rsidRDefault="00F1548E" w:rsidP="00A1242B">
      <w:pPr>
        <w:ind w:left="0"/>
        <w:jc w:val="center"/>
        <w:rPr>
          <w:rFonts w:ascii="Bookman Old Style" w:hAnsi="Bookman Old Style"/>
          <w:bCs/>
          <w:lang w:val="es-CO"/>
        </w:rPr>
      </w:pPr>
      <w:r w:rsidRPr="005A45C4">
        <w:rPr>
          <w:rFonts w:ascii="Bookman Old Style" w:hAnsi="Bookman Old Style"/>
          <w:bCs/>
          <w:lang w:val="es-CO"/>
        </w:rPr>
        <w:t>Por la cual se modifica el</w:t>
      </w:r>
      <w:r w:rsidR="002E3F45" w:rsidRPr="005A45C4">
        <w:rPr>
          <w:rFonts w:ascii="Bookman Old Style" w:hAnsi="Bookman Old Style"/>
          <w:bCs/>
          <w:lang w:val="es-CO"/>
        </w:rPr>
        <w:t xml:space="preserve"> n</w:t>
      </w:r>
      <w:r w:rsidR="00A1242B" w:rsidRPr="005A45C4">
        <w:rPr>
          <w:rFonts w:ascii="Bookman Old Style" w:hAnsi="Bookman Old Style"/>
          <w:bCs/>
          <w:lang w:val="es-CO"/>
        </w:rPr>
        <w:t>umeral 17.1 del</w:t>
      </w:r>
      <w:r w:rsidRPr="005A45C4">
        <w:rPr>
          <w:rFonts w:ascii="Bookman Old Style" w:hAnsi="Bookman Old Style"/>
          <w:bCs/>
          <w:lang w:val="es-CO"/>
        </w:rPr>
        <w:t xml:space="preserve"> artículo 17 de la Resolución CREG 101 021 de 2022</w:t>
      </w:r>
    </w:p>
    <w:p w14:paraId="10660B2B" w14:textId="77777777" w:rsidR="00F1548E" w:rsidRPr="005A45C4" w:rsidRDefault="00F1548E" w:rsidP="005F5759">
      <w:pPr>
        <w:ind w:left="0" w:right="51"/>
        <w:rPr>
          <w:rFonts w:ascii="Bookman Old Style" w:hAnsi="Bookman Old Style"/>
        </w:rPr>
      </w:pPr>
    </w:p>
    <w:p w14:paraId="7B67FAFA" w14:textId="77777777" w:rsidR="00045D3D" w:rsidRPr="005A45C4" w:rsidRDefault="00045D3D" w:rsidP="00045D3D">
      <w:pPr>
        <w:ind w:right="51"/>
        <w:jc w:val="center"/>
        <w:rPr>
          <w:rFonts w:ascii="Bookman Old Style" w:hAnsi="Bookman Old Style"/>
          <w:b/>
        </w:rPr>
      </w:pPr>
      <w:r w:rsidRPr="005A45C4">
        <w:rPr>
          <w:rFonts w:ascii="Bookman Old Style" w:hAnsi="Bookman Old Style"/>
          <w:b/>
        </w:rPr>
        <w:t xml:space="preserve">LA COMISIÓN DE REGULACIÓN </w:t>
      </w:r>
      <w:r w:rsidR="007B5A60" w:rsidRPr="005A45C4">
        <w:rPr>
          <w:rFonts w:ascii="Bookman Old Style" w:hAnsi="Bookman Old Style"/>
          <w:b/>
        </w:rPr>
        <w:t>DE ENERGÍA</w:t>
      </w:r>
      <w:r w:rsidRPr="005A45C4">
        <w:rPr>
          <w:rFonts w:ascii="Bookman Old Style" w:hAnsi="Bookman Old Style"/>
          <w:b/>
        </w:rPr>
        <w:t xml:space="preserve"> Y GAS</w:t>
      </w:r>
    </w:p>
    <w:p w14:paraId="5F144221" w14:textId="77777777" w:rsidR="00045D3D" w:rsidRPr="005A45C4" w:rsidRDefault="00045D3D" w:rsidP="00045D3D">
      <w:pPr>
        <w:ind w:left="0" w:right="51"/>
        <w:rPr>
          <w:rFonts w:ascii="Bookman Old Style" w:hAnsi="Bookman Old Style"/>
        </w:rPr>
      </w:pPr>
    </w:p>
    <w:p w14:paraId="2739C8D4" w14:textId="77777777" w:rsidR="00045D3D" w:rsidRPr="005A45C4" w:rsidRDefault="00045D3D" w:rsidP="00045D3D">
      <w:pPr>
        <w:ind w:left="0" w:right="51"/>
        <w:rPr>
          <w:rFonts w:ascii="Bookman Old Style" w:hAnsi="Bookman Old Style"/>
        </w:rPr>
      </w:pPr>
    </w:p>
    <w:p w14:paraId="6EDA2283" w14:textId="0478B7E8" w:rsidR="00045D3D" w:rsidRPr="005A45C4" w:rsidRDefault="00F6179B" w:rsidP="00045D3D">
      <w:pPr>
        <w:pStyle w:val="Textoindependiente3"/>
        <w:ind w:left="0"/>
        <w:rPr>
          <w:rFonts w:ascii="Bookman Old Style" w:hAnsi="Bookman Old Style"/>
          <w:b w:val="0"/>
        </w:rPr>
      </w:pPr>
      <w:r w:rsidRPr="005A45C4">
        <w:rPr>
          <w:rFonts w:ascii="Bookman Old Style" w:hAnsi="Bookman Old Style"/>
          <w:b w:val="0"/>
        </w:rPr>
        <w:t>En ejercicio de sus atribuciones constitucionales y legales, en especial las conferidas por las leyes 142 y 143 de 1994, y en desarrollo de los decretos 1524 y 2253 de 1994.</w:t>
      </w:r>
    </w:p>
    <w:p w14:paraId="416AEFF4" w14:textId="77777777" w:rsidR="00045D3D" w:rsidRPr="005A45C4" w:rsidRDefault="00045D3D" w:rsidP="00760890">
      <w:pPr>
        <w:ind w:left="0" w:right="51"/>
        <w:rPr>
          <w:rFonts w:ascii="Bookman Old Style" w:hAnsi="Bookman Old Style"/>
        </w:rPr>
      </w:pPr>
    </w:p>
    <w:p w14:paraId="3E8440ED" w14:textId="77777777" w:rsidR="00045D3D" w:rsidRPr="005A45C4" w:rsidRDefault="00045D3D" w:rsidP="00760890">
      <w:pPr>
        <w:ind w:left="0" w:right="51"/>
        <w:rPr>
          <w:rFonts w:ascii="Bookman Old Style" w:hAnsi="Bookman Old Style"/>
        </w:rPr>
      </w:pPr>
    </w:p>
    <w:p w14:paraId="72BBA367" w14:textId="77777777" w:rsidR="00045D3D" w:rsidRPr="005A45C4" w:rsidRDefault="00045D3D" w:rsidP="00045D3D">
      <w:pPr>
        <w:ind w:right="51"/>
        <w:jc w:val="center"/>
        <w:rPr>
          <w:rFonts w:ascii="Bookman Old Style" w:hAnsi="Bookman Old Style"/>
          <w:b/>
          <w:lang w:val="pt-PT"/>
        </w:rPr>
      </w:pPr>
      <w:r w:rsidRPr="005A45C4">
        <w:rPr>
          <w:rFonts w:ascii="Bookman Old Style" w:hAnsi="Bookman Old Style"/>
          <w:b/>
          <w:lang w:val="pt-PT"/>
        </w:rPr>
        <w:t xml:space="preserve">C O N S I D E R A N D </w:t>
      </w:r>
      <w:r w:rsidR="007B5A60" w:rsidRPr="005A45C4">
        <w:rPr>
          <w:rFonts w:ascii="Bookman Old Style" w:hAnsi="Bookman Old Style"/>
          <w:b/>
          <w:lang w:val="pt-PT"/>
        </w:rPr>
        <w:t>O Q</w:t>
      </w:r>
      <w:r w:rsidRPr="005A45C4">
        <w:rPr>
          <w:rFonts w:ascii="Bookman Old Style" w:hAnsi="Bookman Old Style"/>
          <w:b/>
          <w:lang w:val="pt-PT"/>
        </w:rPr>
        <w:t xml:space="preserve"> U E:</w:t>
      </w:r>
    </w:p>
    <w:p w14:paraId="2378A86C" w14:textId="77777777" w:rsidR="00045D3D" w:rsidRPr="005A45C4" w:rsidRDefault="00045D3D" w:rsidP="00045D3D">
      <w:pPr>
        <w:ind w:right="51"/>
        <w:jc w:val="center"/>
        <w:rPr>
          <w:rFonts w:ascii="Bookman Old Style" w:hAnsi="Bookman Old Style"/>
          <w:b/>
          <w:lang w:val="pt-PT"/>
        </w:rPr>
      </w:pPr>
    </w:p>
    <w:p w14:paraId="2D6EBBA5" w14:textId="0E3650D3" w:rsidR="009B7D44" w:rsidRPr="005A45C4" w:rsidRDefault="009B7D44" w:rsidP="009B7D44">
      <w:pPr>
        <w:ind w:left="0"/>
        <w:jc w:val="both"/>
        <w:rPr>
          <w:rFonts w:ascii="Bookman Old Style" w:hAnsi="Bookman Old Style"/>
          <w:bCs/>
        </w:rPr>
      </w:pPr>
      <w:r w:rsidRPr="005A45C4">
        <w:rPr>
          <w:rFonts w:ascii="Bookman Old Style" w:hAnsi="Bookman Old Style"/>
          <w:bCs/>
        </w:rPr>
        <w:t xml:space="preserve">El artículo 334 de la Constitución </w:t>
      </w:r>
      <w:r w:rsidR="005451E6" w:rsidRPr="005A45C4">
        <w:rPr>
          <w:rFonts w:ascii="Bookman Old Style" w:hAnsi="Bookman Old Style"/>
          <w:bCs/>
        </w:rPr>
        <w:t xml:space="preserve">Política </w:t>
      </w:r>
      <w:r w:rsidRPr="005A45C4">
        <w:rPr>
          <w:rFonts w:ascii="Bookman Old Style" w:hAnsi="Bookman Old Style"/>
          <w:bCs/>
        </w:rPr>
        <w:t>dispone que el Estado, de manera especial, intervendrá para asegurar, de manera progresiva, que todas las personas, en particular las de menores ingresos, tengan acceso efectivo al conjunto de los bienes y servicios básicos.</w:t>
      </w:r>
      <w:r w:rsidR="00DC5B45" w:rsidRPr="005A45C4">
        <w:rPr>
          <w:rFonts w:ascii="Bookman Old Style" w:hAnsi="Bookman Old Style"/>
          <w:bCs/>
        </w:rPr>
        <w:t xml:space="preserve"> </w:t>
      </w:r>
    </w:p>
    <w:p w14:paraId="0C217FF0" w14:textId="77777777" w:rsidR="009B7D44" w:rsidRPr="005A45C4" w:rsidRDefault="009B7D44" w:rsidP="009B7D44">
      <w:pPr>
        <w:ind w:left="0"/>
        <w:jc w:val="both"/>
        <w:rPr>
          <w:rFonts w:ascii="Bookman Old Style" w:hAnsi="Bookman Old Style"/>
          <w:bCs/>
        </w:rPr>
      </w:pPr>
    </w:p>
    <w:p w14:paraId="7C35C93D" w14:textId="77777777" w:rsidR="009B7D44" w:rsidRPr="005A45C4" w:rsidRDefault="009B7D44" w:rsidP="009B7D44">
      <w:pPr>
        <w:ind w:left="0"/>
        <w:jc w:val="both"/>
        <w:rPr>
          <w:rFonts w:ascii="Bookman Old Style" w:hAnsi="Bookman Old Style"/>
          <w:bCs/>
        </w:rPr>
      </w:pPr>
      <w:r w:rsidRPr="005A45C4">
        <w:rPr>
          <w:rFonts w:ascii="Bookman Old Style" w:hAnsi="Bookman Old Style"/>
          <w:bCs/>
        </w:rPr>
        <w:t xml:space="preserve">El artículo 365 de la Constitución Política establece que los servicios públicos son inherentes a la finalidad social del Estado, y es deber de este asegurar su prestación eficiente a todos los habitantes del territorio nacional. En ese contexto, el Estado, de acuerdo con lo previsto en la Carta Política, debe asegurar su prestación eficiente a todos los habitantes del territorio nacional y, para tal propósito, tiene la responsabilidad de mantener la regulación y ejercer, tanto el control, como la vigilancia de </w:t>
      </w:r>
      <w:proofErr w:type="gramStart"/>
      <w:r w:rsidRPr="005A45C4">
        <w:rPr>
          <w:rFonts w:ascii="Bookman Old Style" w:hAnsi="Bookman Old Style"/>
          <w:bCs/>
        </w:rPr>
        <w:t>los mismos</w:t>
      </w:r>
      <w:proofErr w:type="gramEnd"/>
      <w:r w:rsidRPr="005A45C4">
        <w:rPr>
          <w:rFonts w:ascii="Bookman Old Style" w:hAnsi="Bookman Old Style"/>
          <w:bCs/>
        </w:rPr>
        <w:t>.</w:t>
      </w:r>
    </w:p>
    <w:p w14:paraId="36762C10" w14:textId="77777777" w:rsidR="009B7D44" w:rsidRPr="005A45C4" w:rsidRDefault="009B7D44" w:rsidP="009B7D44">
      <w:pPr>
        <w:ind w:left="0"/>
        <w:jc w:val="both"/>
        <w:rPr>
          <w:rFonts w:ascii="Bookman Old Style" w:hAnsi="Bookman Old Style"/>
          <w:bCs/>
        </w:rPr>
      </w:pPr>
    </w:p>
    <w:p w14:paraId="6E8521E0" w14:textId="77777777" w:rsidR="009B7D44" w:rsidRPr="005A45C4" w:rsidRDefault="009B7D44" w:rsidP="009B7D44">
      <w:pPr>
        <w:ind w:left="0"/>
        <w:jc w:val="both"/>
        <w:rPr>
          <w:rFonts w:ascii="Bookman Old Style" w:hAnsi="Bookman Old Style"/>
          <w:bCs/>
        </w:rPr>
      </w:pPr>
      <w:r w:rsidRPr="005A45C4">
        <w:rPr>
          <w:rFonts w:ascii="Bookman Old Style" w:hAnsi="Bookman Old Style"/>
          <w:bCs/>
        </w:rPr>
        <w:t>De conformidad con lo previsto en los artículos 1, 2 y 4 de la Ley 142 de 1994, la prestación del servicio público domiciliario de energía eléctrica y sus actividades complementarias constituyen servicios públicos esenciales, y el Estado intervendrá en los mismos a fin de, entre otros, garantizar la calidad del bien y su disposición final para asegurar el mejoramiento de la calidad de vida de los usuarios, así como su prestación continua, ininterrumpida y eficiente.</w:t>
      </w:r>
    </w:p>
    <w:p w14:paraId="047173D5" w14:textId="77777777" w:rsidR="009B7D44" w:rsidRPr="005A45C4" w:rsidRDefault="009B7D44" w:rsidP="009B7D44">
      <w:pPr>
        <w:ind w:left="0"/>
        <w:jc w:val="both"/>
        <w:rPr>
          <w:rFonts w:ascii="Bookman Old Style" w:hAnsi="Bookman Old Style"/>
          <w:bCs/>
        </w:rPr>
      </w:pPr>
    </w:p>
    <w:p w14:paraId="0F7563C3" w14:textId="54C76619" w:rsidR="009B7D44" w:rsidRPr="005A45C4" w:rsidRDefault="009B7D44" w:rsidP="009B7D44">
      <w:pPr>
        <w:ind w:left="0"/>
        <w:jc w:val="both"/>
        <w:rPr>
          <w:rFonts w:ascii="Bookman Old Style" w:hAnsi="Bookman Old Style"/>
          <w:bCs/>
        </w:rPr>
      </w:pPr>
      <w:r w:rsidRPr="005A45C4">
        <w:rPr>
          <w:rFonts w:ascii="Bookman Old Style" w:hAnsi="Bookman Old Style"/>
          <w:bCs/>
        </w:rPr>
        <w:t xml:space="preserve">La consecución de estos mandatos constitucionales y legales cobran aún mayor importancia tratándose de las Zonas No Interconectadas </w:t>
      </w:r>
      <w:r w:rsidR="005451E6" w:rsidRPr="005A45C4">
        <w:rPr>
          <w:rFonts w:ascii="Bookman Old Style" w:hAnsi="Bookman Old Style"/>
          <w:bCs/>
        </w:rPr>
        <w:t>(</w:t>
      </w:r>
      <w:proofErr w:type="spellStart"/>
      <w:r w:rsidRPr="005A45C4">
        <w:rPr>
          <w:rFonts w:ascii="Bookman Old Style" w:hAnsi="Bookman Old Style"/>
          <w:bCs/>
        </w:rPr>
        <w:t>ZNI</w:t>
      </w:r>
      <w:proofErr w:type="spellEnd"/>
      <w:r w:rsidR="005451E6" w:rsidRPr="005A45C4">
        <w:rPr>
          <w:rFonts w:ascii="Bookman Old Style" w:hAnsi="Bookman Old Style"/>
          <w:bCs/>
        </w:rPr>
        <w:t>)</w:t>
      </w:r>
      <w:r w:rsidRPr="005A45C4">
        <w:rPr>
          <w:rFonts w:ascii="Bookman Old Style" w:hAnsi="Bookman Old Style"/>
          <w:bCs/>
        </w:rPr>
        <w:t>, por tratarse de zonas del país consideradas como las más apartadas y en las cuales se presentan unos niveles más altos de necesidades básicas insatisfechas, donde el acceso a los servicios públicos o a su prestación efectiva contribuyen a la eliminación de brechas y a la mejora de la calidad de vida de los habitantes del territorio.</w:t>
      </w:r>
    </w:p>
    <w:p w14:paraId="5AE59FE2" w14:textId="77777777" w:rsidR="009B7D44" w:rsidRPr="005A45C4" w:rsidRDefault="009B7D44" w:rsidP="009B7D44">
      <w:pPr>
        <w:ind w:left="0"/>
        <w:jc w:val="both"/>
        <w:rPr>
          <w:rFonts w:ascii="Bookman Old Style" w:hAnsi="Bookman Old Style"/>
          <w:bCs/>
        </w:rPr>
      </w:pPr>
      <w:r w:rsidRPr="005A45C4">
        <w:rPr>
          <w:rFonts w:ascii="Bookman Old Style" w:hAnsi="Bookman Old Style"/>
          <w:bCs/>
        </w:rPr>
        <w:lastRenderedPageBreak/>
        <w:t>De conformidad con el artículo 73 de la Ley 142 de 1994, le corresponde a las Comisiones de Regulación establecer las fórmulas para la fijación de las tarifas de los servicios públicos y 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p>
    <w:p w14:paraId="36338B33" w14:textId="77777777" w:rsidR="009B7D44" w:rsidRPr="005A45C4" w:rsidRDefault="009B7D44" w:rsidP="009B7D44">
      <w:pPr>
        <w:ind w:left="0"/>
        <w:jc w:val="both"/>
        <w:rPr>
          <w:rFonts w:ascii="Bookman Old Style" w:hAnsi="Bookman Old Style"/>
          <w:bCs/>
        </w:rPr>
      </w:pPr>
    </w:p>
    <w:p w14:paraId="72700528" w14:textId="00A4B6CF" w:rsidR="009B7D44" w:rsidRPr="005A45C4" w:rsidRDefault="009B7D44" w:rsidP="009B7D44">
      <w:pPr>
        <w:ind w:left="0"/>
        <w:jc w:val="both"/>
        <w:rPr>
          <w:rFonts w:ascii="Bookman Old Style" w:hAnsi="Bookman Old Style"/>
          <w:bCs/>
        </w:rPr>
      </w:pPr>
      <w:r w:rsidRPr="005A45C4">
        <w:rPr>
          <w:rFonts w:ascii="Bookman Old Style" w:hAnsi="Bookman Old Style"/>
          <w:bCs/>
        </w:rPr>
        <w:t>El literal f) del artículo 3 de la Ley 143 de 1994</w:t>
      </w:r>
      <w:r w:rsidR="00777D3C" w:rsidRPr="005A45C4">
        <w:rPr>
          <w:rFonts w:ascii="Bookman Old Style" w:hAnsi="Bookman Old Style"/>
          <w:bCs/>
        </w:rPr>
        <w:t>,</w:t>
      </w:r>
      <w:r w:rsidRPr="005A45C4">
        <w:rPr>
          <w:rFonts w:ascii="Bookman Old Style" w:hAnsi="Bookman Old Style"/>
          <w:bCs/>
        </w:rPr>
        <w:t xml:space="preserve"> estableció que corresponde al Estado</w:t>
      </w:r>
      <w:r w:rsidRPr="005A45C4">
        <w:rPr>
          <w:rFonts w:ascii="Bookman Old Style" w:hAnsi="Bookman Old Style"/>
          <w:bCs/>
          <w:sz w:val="28"/>
          <w:szCs w:val="28"/>
        </w:rPr>
        <w:t xml:space="preserve"> </w:t>
      </w:r>
      <w:r w:rsidRPr="005A45C4">
        <w:rPr>
          <w:rFonts w:ascii="Bookman Old Style" w:hAnsi="Bookman Old Style"/>
          <w:bCs/>
        </w:rPr>
        <w:t>“</w:t>
      </w:r>
      <w:r w:rsidR="00777D3C" w:rsidRPr="005A45C4">
        <w:rPr>
          <w:rFonts w:ascii="Bookman Old Style" w:hAnsi="Bookman Old Style"/>
          <w:bCs/>
          <w:i/>
          <w:iCs/>
        </w:rPr>
        <w:t>A</w:t>
      </w:r>
      <w:r w:rsidRPr="005A45C4">
        <w:rPr>
          <w:rFonts w:ascii="Bookman Old Style" w:hAnsi="Bookman Old Style"/>
          <w:bCs/>
          <w:i/>
          <w:iCs/>
        </w:rPr>
        <w:t>lcanzar una cobertura en los servicios de electricidad a las diferentes regiones y sectores del país, que garantice la satisfacción de las necesidades básicas de los usuarios de los estratos 1, 2 y 3 y los de menores recursos del área rural, a través de los diversos agentes públicos y privados que presten el servicio</w:t>
      </w:r>
      <w:r w:rsidRPr="005A45C4">
        <w:rPr>
          <w:rFonts w:ascii="Bookman Old Style" w:hAnsi="Bookman Old Style"/>
          <w:bCs/>
        </w:rPr>
        <w:t>”</w:t>
      </w:r>
      <w:r w:rsidRPr="005A45C4">
        <w:rPr>
          <w:rFonts w:ascii="Bookman Old Style" w:hAnsi="Bookman Old Style"/>
          <w:bCs/>
          <w:sz w:val="28"/>
          <w:szCs w:val="28"/>
        </w:rPr>
        <w:t>.</w:t>
      </w:r>
    </w:p>
    <w:p w14:paraId="4E82C35F" w14:textId="77777777" w:rsidR="009B7D44" w:rsidRPr="005A45C4" w:rsidRDefault="009B7D44" w:rsidP="009B7D44">
      <w:pPr>
        <w:ind w:left="0"/>
        <w:jc w:val="both"/>
        <w:rPr>
          <w:rFonts w:ascii="Bookman Old Style" w:hAnsi="Bookman Old Style"/>
          <w:bCs/>
        </w:rPr>
      </w:pPr>
    </w:p>
    <w:p w14:paraId="098DE676" w14:textId="77777777" w:rsidR="009B7D44" w:rsidRPr="005A45C4" w:rsidRDefault="009B7D44" w:rsidP="009B7D44">
      <w:pPr>
        <w:ind w:left="0"/>
        <w:jc w:val="both"/>
        <w:rPr>
          <w:rFonts w:ascii="Bookman Old Style" w:hAnsi="Bookman Old Style"/>
          <w:bCs/>
        </w:rPr>
      </w:pPr>
      <w:r w:rsidRPr="005A45C4">
        <w:rPr>
          <w:rFonts w:ascii="Bookman Old Style" w:hAnsi="Bookman Old Style"/>
          <w:bCs/>
        </w:rPr>
        <w:t>El artículo 6 de la Ley 143 de 1994 establece, entre otros aspectos, que las actividades relacionadas con el servicio de electricidad se regirán por principios de eficiencia, calidad, continuidad, adaptabilidad, neutralidad, solidaridad y equidad.</w:t>
      </w:r>
    </w:p>
    <w:p w14:paraId="23CEF344" w14:textId="77777777" w:rsidR="009B7D44" w:rsidRPr="005A45C4" w:rsidRDefault="009B7D44" w:rsidP="009B7D44">
      <w:pPr>
        <w:ind w:left="0"/>
        <w:jc w:val="both"/>
        <w:rPr>
          <w:rFonts w:ascii="Bookman Old Style" w:hAnsi="Bookman Old Style"/>
          <w:bCs/>
        </w:rPr>
      </w:pPr>
    </w:p>
    <w:p w14:paraId="55574C99" w14:textId="4A05E1FD" w:rsidR="009B7D44" w:rsidRPr="005A45C4" w:rsidRDefault="009B7D44" w:rsidP="009B7D44">
      <w:pPr>
        <w:ind w:left="0"/>
        <w:jc w:val="both"/>
        <w:rPr>
          <w:rFonts w:ascii="Bookman Old Style" w:hAnsi="Bookman Old Style"/>
          <w:bCs/>
        </w:rPr>
      </w:pPr>
      <w:r w:rsidRPr="005A45C4">
        <w:rPr>
          <w:rFonts w:ascii="Bookman Old Style" w:hAnsi="Bookman Old Style"/>
          <w:bCs/>
        </w:rPr>
        <w:t>El artículo 1 de la Ley 855 de 2003 establece que “</w:t>
      </w:r>
      <w:r w:rsidR="0079465E" w:rsidRPr="005A45C4">
        <w:rPr>
          <w:rFonts w:ascii="Bookman Old Style" w:hAnsi="Bookman Old Style"/>
          <w:bCs/>
          <w:i/>
          <w:iCs/>
        </w:rPr>
        <w:t>P</w:t>
      </w:r>
      <w:r w:rsidRPr="005A45C4">
        <w:rPr>
          <w:rFonts w:ascii="Bookman Old Style" w:hAnsi="Bookman Old Style"/>
          <w:bCs/>
          <w:i/>
          <w:iCs/>
        </w:rPr>
        <w:t>ara todos los efectos relacionados con la prestación del servicio público de energía eléctrica se entiende por Zonas No Interconectadas a los municipios, corregimientos, localidades y caseríos no conectadas al Sistema Interconectado Nacional, SIN</w:t>
      </w:r>
      <w:r w:rsidRPr="005A45C4">
        <w:rPr>
          <w:rFonts w:ascii="Bookman Old Style" w:hAnsi="Bookman Old Style"/>
          <w:bCs/>
        </w:rPr>
        <w:t>”.</w:t>
      </w:r>
    </w:p>
    <w:p w14:paraId="11225BB5" w14:textId="77777777" w:rsidR="009B7D44" w:rsidRPr="005A45C4" w:rsidRDefault="009B7D44" w:rsidP="009B7D44">
      <w:pPr>
        <w:ind w:left="0"/>
        <w:jc w:val="both"/>
        <w:rPr>
          <w:rFonts w:ascii="Bookman Old Style" w:hAnsi="Bookman Old Style"/>
          <w:bCs/>
        </w:rPr>
      </w:pPr>
    </w:p>
    <w:p w14:paraId="6E24E539" w14:textId="5EBB88FE" w:rsidR="009B7D44" w:rsidRPr="005A45C4" w:rsidRDefault="009B7D44" w:rsidP="009B7D44">
      <w:pPr>
        <w:ind w:left="0"/>
        <w:jc w:val="both"/>
        <w:rPr>
          <w:rFonts w:ascii="Bookman Old Style" w:hAnsi="Bookman Old Style"/>
          <w:bCs/>
        </w:rPr>
      </w:pPr>
      <w:r w:rsidRPr="005A45C4">
        <w:rPr>
          <w:rFonts w:ascii="Bookman Old Style" w:hAnsi="Bookman Old Style"/>
          <w:bCs/>
        </w:rPr>
        <w:t>De acuerdo con el parágrafo 1 del artículo 1 de la Ley 855 de 2003, las áreas geográficas que puedan interconectarse al</w:t>
      </w:r>
      <w:r w:rsidR="00777D3C" w:rsidRPr="005A45C4">
        <w:rPr>
          <w:rFonts w:ascii="Bookman Old Style" w:hAnsi="Bookman Old Style"/>
          <w:bCs/>
        </w:rPr>
        <w:t xml:space="preserve"> Sistema Interconectado Nacional</w:t>
      </w:r>
      <w:r w:rsidRPr="005A45C4">
        <w:rPr>
          <w:rFonts w:ascii="Bookman Old Style" w:hAnsi="Bookman Old Style"/>
          <w:bCs/>
        </w:rPr>
        <w:t xml:space="preserve"> </w:t>
      </w:r>
      <w:r w:rsidR="00777D3C" w:rsidRPr="005A45C4">
        <w:rPr>
          <w:rFonts w:ascii="Bookman Old Style" w:hAnsi="Bookman Old Style"/>
          <w:bCs/>
        </w:rPr>
        <w:t>(</w:t>
      </w:r>
      <w:r w:rsidRPr="005A45C4">
        <w:rPr>
          <w:rFonts w:ascii="Bookman Old Style" w:hAnsi="Bookman Old Style"/>
          <w:bCs/>
        </w:rPr>
        <w:t>SIN</w:t>
      </w:r>
      <w:r w:rsidR="00777D3C" w:rsidRPr="005A45C4">
        <w:rPr>
          <w:rFonts w:ascii="Bookman Old Style" w:hAnsi="Bookman Old Style"/>
          <w:bCs/>
        </w:rPr>
        <w:t>)</w:t>
      </w:r>
      <w:r w:rsidRPr="005A45C4">
        <w:rPr>
          <w:rFonts w:ascii="Bookman Old Style" w:hAnsi="Bookman Old Style"/>
          <w:bCs/>
        </w:rPr>
        <w:t xml:space="preserve">, se excluirán de las ZNI una vez se surtan los trámites correspondientes ante </w:t>
      </w:r>
      <w:r w:rsidR="001F6BB1" w:rsidRPr="005A45C4">
        <w:rPr>
          <w:rFonts w:ascii="Bookman Old Style" w:hAnsi="Bookman Old Style"/>
          <w:bCs/>
        </w:rPr>
        <w:t xml:space="preserve">la </w:t>
      </w:r>
      <w:r w:rsidRPr="005A45C4">
        <w:rPr>
          <w:rFonts w:ascii="Bookman Old Style" w:hAnsi="Bookman Old Style"/>
          <w:bCs/>
        </w:rPr>
        <w:t>Comisión</w:t>
      </w:r>
      <w:r w:rsidR="001F6BB1" w:rsidRPr="005A45C4">
        <w:rPr>
          <w:rFonts w:ascii="Bookman Old Style" w:hAnsi="Bookman Old Style"/>
          <w:bCs/>
        </w:rPr>
        <w:t xml:space="preserve"> de Regulación de Energía y Gas</w:t>
      </w:r>
      <w:r w:rsidRPr="005A45C4">
        <w:rPr>
          <w:rFonts w:ascii="Bookman Old Style" w:hAnsi="Bookman Old Style"/>
          <w:bCs/>
        </w:rPr>
        <w:t>.</w:t>
      </w:r>
    </w:p>
    <w:p w14:paraId="187ABDEF" w14:textId="77777777" w:rsidR="009B7D44" w:rsidRPr="005A45C4" w:rsidRDefault="009B7D44" w:rsidP="009B7D44">
      <w:pPr>
        <w:ind w:left="0"/>
        <w:jc w:val="both"/>
        <w:rPr>
          <w:rFonts w:ascii="Bookman Old Style" w:hAnsi="Bookman Old Style"/>
          <w:bCs/>
        </w:rPr>
      </w:pPr>
    </w:p>
    <w:p w14:paraId="37D547FA" w14:textId="77777777" w:rsidR="009B7D44" w:rsidRPr="005A45C4" w:rsidRDefault="009B7D44" w:rsidP="009B7D44">
      <w:pPr>
        <w:ind w:left="0"/>
        <w:jc w:val="both"/>
        <w:rPr>
          <w:rFonts w:ascii="Bookman Old Style" w:hAnsi="Bookman Old Style"/>
          <w:bCs/>
        </w:rPr>
      </w:pPr>
      <w:r w:rsidRPr="005A45C4">
        <w:rPr>
          <w:rFonts w:ascii="Bookman Old Style" w:hAnsi="Bookman Old Style"/>
          <w:bCs/>
        </w:rPr>
        <w:t xml:space="preserve">La Resolución CREG 091 de 2007, que </w:t>
      </w:r>
      <w:proofErr w:type="gramStart"/>
      <w:r w:rsidRPr="005A45C4">
        <w:rPr>
          <w:rFonts w:ascii="Bookman Old Style" w:hAnsi="Bookman Old Style"/>
          <w:bCs/>
        </w:rPr>
        <w:t>entró en vigencia</w:t>
      </w:r>
      <w:proofErr w:type="gramEnd"/>
      <w:r w:rsidRPr="005A45C4">
        <w:rPr>
          <w:rFonts w:ascii="Bookman Old Style" w:hAnsi="Bookman Old Style"/>
          <w:bCs/>
        </w:rPr>
        <w:t xml:space="preserve"> el 24 de febrero de 2008, estableció las metodologías generales para remunerar las actividades de generación, distribución y comercialización de energía eléctrica, y las fórmulas tarifarias generales para determinar el costo unitario de prestación del servicio público de energía eléctrica en ZNI.</w:t>
      </w:r>
    </w:p>
    <w:p w14:paraId="0C37069C" w14:textId="77777777" w:rsidR="009B7D44" w:rsidRPr="005A45C4" w:rsidRDefault="009B7D44" w:rsidP="009B7D44">
      <w:pPr>
        <w:ind w:left="0"/>
        <w:jc w:val="both"/>
        <w:rPr>
          <w:rFonts w:ascii="Bookman Old Style" w:hAnsi="Bookman Old Style"/>
          <w:bCs/>
        </w:rPr>
      </w:pPr>
    </w:p>
    <w:p w14:paraId="36053868" w14:textId="77777777" w:rsidR="009B7D44" w:rsidRPr="005A45C4" w:rsidRDefault="009B7D44" w:rsidP="009B7D44">
      <w:pPr>
        <w:ind w:left="0"/>
        <w:jc w:val="both"/>
        <w:rPr>
          <w:rFonts w:ascii="Bookman Old Style" w:hAnsi="Bookman Old Style"/>
          <w:bCs/>
        </w:rPr>
      </w:pPr>
      <w:r w:rsidRPr="005A45C4">
        <w:rPr>
          <w:rFonts w:ascii="Bookman Old Style" w:hAnsi="Bookman Old Style"/>
          <w:bCs/>
        </w:rPr>
        <w:t>Así mismo, mediante el Decreto 1073 de 2015, modificado por el Decreto 099 de 2021, el Gobierno Nacional adoptó los lineamientos de política pública relacionados con la expansión de cobertura del servicio público de energía eléctrica en el SIN y en las ZNI.</w:t>
      </w:r>
    </w:p>
    <w:p w14:paraId="0151CE4B" w14:textId="77777777" w:rsidR="009B7D44" w:rsidRPr="005A45C4" w:rsidRDefault="009B7D44" w:rsidP="009B7D44">
      <w:pPr>
        <w:ind w:left="0"/>
        <w:jc w:val="both"/>
        <w:rPr>
          <w:rFonts w:ascii="Bookman Old Style" w:hAnsi="Bookman Old Style"/>
          <w:bCs/>
        </w:rPr>
      </w:pPr>
    </w:p>
    <w:p w14:paraId="3A63C4ED" w14:textId="77777777" w:rsidR="009B7D44" w:rsidRPr="005A45C4" w:rsidRDefault="009B7D44" w:rsidP="009B7D44">
      <w:pPr>
        <w:ind w:left="0"/>
        <w:jc w:val="both"/>
        <w:rPr>
          <w:rFonts w:ascii="Bookman Old Style" w:hAnsi="Bookman Old Style"/>
          <w:bCs/>
        </w:rPr>
      </w:pPr>
      <w:r w:rsidRPr="005A45C4">
        <w:rPr>
          <w:rFonts w:ascii="Bookman Old Style" w:hAnsi="Bookman Old Style"/>
          <w:bCs/>
        </w:rPr>
        <w:t>Mediante la Resolución CREG 101 021 de 2022, se definieron los principios y procedimientos que deben cumplir los comercializadores para la celebración de contratos de energía eléctrica destinados a atender usuarios en ZNI.</w:t>
      </w:r>
    </w:p>
    <w:p w14:paraId="20867BFC" w14:textId="77777777" w:rsidR="009B7D44" w:rsidRPr="005A45C4" w:rsidRDefault="009B7D44" w:rsidP="009B7D44">
      <w:pPr>
        <w:ind w:left="0"/>
        <w:jc w:val="both"/>
        <w:rPr>
          <w:rFonts w:ascii="Bookman Old Style" w:hAnsi="Bookman Old Style"/>
          <w:bCs/>
        </w:rPr>
      </w:pPr>
    </w:p>
    <w:p w14:paraId="78034561" w14:textId="5B8354A9" w:rsidR="001F6BB1" w:rsidRPr="005A45C4" w:rsidRDefault="009B7D44" w:rsidP="009B7D44">
      <w:pPr>
        <w:ind w:left="0"/>
        <w:jc w:val="both"/>
        <w:rPr>
          <w:rFonts w:ascii="Bookman Old Style" w:hAnsi="Bookman Old Style"/>
          <w:bCs/>
        </w:rPr>
      </w:pPr>
      <w:r w:rsidRPr="005A45C4">
        <w:rPr>
          <w:rFonts w:ascii="Bookman Old Style" w:hAnsi="Bookman Old Style"/>
          <w:bCs/>
        </w:rPr>
        <w:t xml:space="preserve">Mediante comunicación con radicado CREG E2024008649 del 24 de junio de 2024, </w:t>
      </w:r>
      <w:r w:rsidR="007E36AB" w:rsidRPr="005A45C4">
        <w:rPr>
          <w:rFonts w:ascii="Bookman Old Style" w:hAnsi="Bookman Old Style"/>
          <w:bCs/>
        </w:rPr>
        <w:t xml:space="preserve">la </w:t>
      </w:r>
      <w:r w:rsidRPr="005A45C4">
        <w:rPr>
          <w:rFonts w:ascii="Bookman Old Style" w:hAnsi="Bookman Old Style"/>
          <w:bCs/>
        </w:rPr>
        <w:t>Empresa de Servicios Públicos de Bahía Solano S.A. E.S.P.</w:t>
      </w:r>
      <w:r w:rsidR="00EB43B4" w:rsidRPr="005A45C4">
        <w:rPr>
          <w:rFonts w:ascii="Bookman Old Style" w:hAnsi="Bookman Old Style"/>
          <w:bCs/>
        </w:rPr>
        <w:t xml:space="preserve"> - E.P.B.</w:t>
      </w:r>
      <w:r w:rsidRPr="005A45C4">
        <w:rPr>
          <w:rFonts w:ascii="Bookman Old Style" w:hAnsi="Bookman Old Style"/>
          <w:bCs/>
        </w:rPr>
        <w:t xml:space="preserve">, Centrales de Energía Eléctrica del Vaupés S.A.S. E.S.P. - CEELVA y </w:t>
      </w:r>
      <w:r w:rsidR="00B96A09" w:rsidRPr="005A45C4">
        <w:rPr>
          <w:rFonts w:ascii="Bookman Old Style" w:hAnsi="Bookman Old Style"/>
          <w:bCs/>
        </w:rPr>
        <w:t xml:space="preserve">la </w:t>
      </w:r>
      <w:r w:rsidRPr="005A45C4">
        <w:rPr>
          <w:rFonts w:ascii="Bookman Old Style" w:hAnsi="Bookman Old Style"/>
          <w:bCs/>
        </w:rPr>
        <w:t xml:space="preserve">Cooperativa de Servicios Públicos de </w:t>
      </w:r>
      <w:proofErr w:type="spellStart"/>
      <w:r w:rsidRPr="005A45C4">
        <w:rPr>
          <w:rFonts w:ascii="Bookman Old Style" w:hAnsi="Bookman Old Style"/>
          <w:bCs/>
        </w:rPr>
        <w:t>Cupica</w:t>
      </w:r>
      <w:proofErr w:type="spellEnd"/>
      <w:r w:rsidR="00EB43B4" w:rsidRPr="005A45C4">
        <w:rPr>
          <w:rFonts w:ascii="Bookman Old Style" w:hAnsi="Bookman Old Style"/>
          <w:bCs/>
        </w:rPr>
        <w:t xml:space="preserve"> </w:t>
      </w:r>
      <w:r w:rsidR="001F6BB1" w:rsidRPr="005A45C4">
        <w:rPr>
          <w:rFonts w:ascii="Bookman Old Style" w:hAnsi="Bookman Old Style"/>
          <w:bCs/>
        </w:rPr>
        <w:t>–</w:t>
      </w:r>
      <w:r w:rsidR="004F7189" w:rsidRPr="005A45C4">
        <w:rPr>
          <w:rFonts w:ascii="Bookman Old Style" w:hAnsi="Bookman Old Style"/>
          <w:bCs/>
        </w:rPr>
        <w:t xml:space="preserve"> </w:t>
      </w:r>
      <w:proofErr w:type="spellStart"/>
      <w:r w:rsidR="004F7189" w:rsidRPr="005A45C4">
        <w:rPr>
          <w:rFonts w:ascii="Bookman Old Style" w:hAnsi="Bookman Old Style"/>
          <w:bCs/>
        </w:rPr>
        <w:t>COSEPCU</w:t>
      </w:r>
      <w:proofErr w:type="spellEnd"/>
      <w:r w:rsidR="001F6BB1" w:rsidRPr="005A45C4">
        <w:rPr>
          <w:rFonts w:ascii="Bookman Old Style" w:hAnsi="Bookman Old Style"/>
          <w:bCs/>
        </w:rPr>
        <w:t>,</w:t>
      </w:r>
      <w:r w:rsidRPr="005A45C4">
        <w:rPr>
          <w:rFonts w:ascii="Bookman Old Style" w:hAnsi="Bookman Old Style"/>
          <w:bCs/>
        </w:rPr>
        <w:t xml:space="preserve"> </w:t>
      </w:r>
      <w:r w:rsidR="001F6BB1" w:rsidRPr="005A45C4">
        <w:rPr>
          <w:rFonts w:ascii="Bookman Old Style" w:hAnsi="Bookman Old Style"/>
          <w:bCs/>
        </w:rPr>
        <w:t>solicitaron</w:t>
      </w:r>
      <w:r w:rsidR="006E0799" w:rsidRPr="005A45C4">
        <w:rPr>
          <w:rFonts w:ascii="Bookman Old Style" w:hAnsi="Bookman Old Style"/>
          <w:bCs/>
        </w:rPr>
        <w:t xml:space="preserve"> la modificación del plazo máximo establecido para la prórroga de contratos de suministro de energía en ZNI, con sustento en lo siguiente:</w:t>
      </w:r>
    </w:p>
    <w:p w14:paraId="0D6A3264" w14:textId="77777777" w:rsidR="001F6BB1" w:rsidRPr="005A45C4" w:rsidRDefault="001F6BB1" w:rsidP="009B7D44">
      <w:pPr>
        <w:ind w:left="0"/>
        <w:jc w:val="both"/>
        <w:rPr>
          <w:rFonts w:ascii="Bookman Old Style" w:hAnsi="Bookman Old Style"/>
          <w:bCs/>
        </w:rPr>
      </w:pPr>
    </w:p>
    <w:p w14:paraId="166BEC90" w14:textId="77777777" w:rsidR="009B7D44" w:rsidRPr="005A45C4" w:rsidRDefault="009B7D44" w:rsidP="009B7D44">
      <w:pPr>
        <w:ind w:left="0"/>
        <w:jc w:val="both"/>
        <w:rPr>
          <w:rFonts w:ascii="Bookman Old Style" w:hAnsi="Bookman Old Style"/>
          <w:bCs/>
        </w:rPr>
      </w:pPr>
    </w:p>
    <w:p w14:paraId="35CAFB0E" w14:textId="77777777" w:rsidR="00E343AF" w:rsidRPr="005A45C4" w:rsidRDefault="009B7D44" w:rsidP="002E3F45">
      <w:pPr>
        <w:ind w:left="284"/>
        <w:jc w:val="both"/>
        <w:rPr>
          <w:rFonts w:ascii="Bookman Old Style" w:hAnsi="Bookman Old Style"/>
          <w:bCs/>
        </w:rPr>
      </w:pPr>
      <w:r w:rsidRPr="005A45C4">
        <w:rPr>
          <w:rFonts w:ascii="Bookman Old Style" w:hAnsi="Bookman Old Style"/>
          <w:bCs/>
        </w:rPr>
        <w:t xml:space="preserve">“(…) </w:t>
      </w:r>
    </w:p>
    <w:p w14:paraId="3B56BC46" w14:textId="77777777" w:rsidR="00E343AF" w:rsidRPr="005A45C4" w:rsidRDefault="00E343AF" w:rsidP="002E3F45">
      <w:pPr>
        <w:ind w:left="284"/>
        <w:jc w:val="both"/>
        <w:rPr>
          <w:rFonts w:ascii="Bookman Old Style" w:hAnsi="Bookman Old Style"/>
          <w:bCs/>
          <w:i/>
          <w:iCs/>
        </w:rPr>
      </w:pPr>
    </w:p>
    <w:p w14:paraId="455F1326" w14:textId="71EA0F38" w:rsidR="009B7D44" w:rsidRPr="005A45C4" w:rsidRDefault="009B7D44" w:rsidP="002E3F45">
      <w:pPr>
        <w:ind w:left="284"/>
        <w:jc w:val="both"/>
        <w:rPr>
          <w:rFonts w:ascii="Bookman Old Style" w:hAnsi="Bookman Old Style"/>
          <w:bCs/>
          <w:i/>
          <w:iCs/>
        </w:rPr>
      </w:pPr>
      <w:r w:rsidRPr="005A45C4">
        <w:rPr>
          <w:rFonts w:ascii="Bookman Old Style" w:hAnsi="Bookman Old Style"/>
          <w:bCs/>
          <w:i/>
          <w:iCs/>
        </w:rPr>
        <w:t>Mediante la Resolución CREG 101 021 de 2022, se estableció un procedimiento para la compra de energía con destino al mercado de las Zonas No Interconectadas que, entre· otros aspectos, consta de cuatro (4) meses de desarrollo para la convocatoria de compra de energía y doce (12) meses de periodo de planeación, lo que impone un total de dieciséis (16) meses de trámite.</w:t>
      </w:r>
    </w:p>
    <w:p w14:paraId="6B6E738A" w14:textId="4628BEEB" w:rsidR="009B7D44" w:rsidRPr="005A45C4" w:rsidRDefault="009B7D44" w:rsidP="002E3F45">
      <w:pPr>
        <w:ind w:left="284"/>
        <w:jc w:val="both"/>
        <w:rPr>
          <w:rFonts w:ascii="Bookman Old Style" w:hAnsi="Bookman Old Style"/>
          <w:bCs/>
          <w:i/>
          <w:iCs/>
        </w:rPr>
      </w:pPr>
    </w:p>
    <w:p w14:paraId="07537411" w14:textId="77777777" w:rsidR="009B7D44" w:rsidRPr="005A45C4" w:rsidRDefault="009B7D44" w:rsidP="002E3F45">
      <w:pPr>
        <w:ind w:left="284"/>
        <w:jc w:val="both"/>
        <w:rPr>
          <w:rFonts w:ascii="Bookman Old Style" w:hAnsi="Bookman Old Style"/>
          <w:bCs/>
          <w:i/>
          <w:iCs/>
        </w:rPr>
      </w:pPr>
      <w:r w:rsidRPr="005A45C4">
        <w:rPr>
          <w:rFonts w:ascii="Bookman Old Style" w:hAnsi="Bookman Old Style"/>
          <w:bCs/>
          <w:i/>
          <w:iCs/>
        </w:rPr>
        <w:t xml:space="preserve">Por su parte, el numeral 17.1 del Artículo 17 Ibidem, dispuso que los contratos existentes con anterioridad a la </w:t>
      </w:r>
      <w:proofErr w:type="gramStart"/>
      <w:r w:rsidRPr="005A45C4">
        <w:rPr>
          <w:rFonts w:ascii="Bookman Old Style" w:hAnsi="Bookman Old Style"/>
          <w:bCs/>
          <w:i/>
          <w:iCs/>
        </w:rPr>
        <w:t>entrada en vigencia</w:t>
      </w:r>
      <w:proofErr w:type="gramEnd"/>
      <w:r w:rsidRPr="005A45C4">
        <w:rPr>
          <w:rFonts w:ascii="Bookman Old Style" w:hAnsi="Bookman Old Style"/>
          <w:bCs/>
          <w:i/>
          <w:iCs/>
        </w:rPr>
        <w:t xml:space="preserve"> de dicha resolución, esto es, el 5 de julio de 2022, podrían prorrogarse como máximo hasta dos años después desde dicha entrada en vigencia, esto es, el próximo 15 de julio de 2024.</w:t>
      </w:r>
    </w:p>
    <w:p w14:paraId="27985844" w14:textId="4DA4CBBC" w:rsidR="009B7D44" w:rsidRPr="005A45C4" w:rsidRDefault="009B7D44" w:rsidP="002E3F45">
      <w:pPr>
        <w:ind w:left="284"/>
        <w:jc w:val="both"/>
        <w:rPr>
          <w:rFonts w:ascii="Bookman Old Style" w:hAnsi="Bookman Old Style"/>
          <w:bCs/>
        </w:rPr>
      </w:pPr>
    </w:p>
    <w:p w14:paraId="1A7EE300" w14:textId="77777777" w:rsidR="009B7D44" w:rsidRPr="005A45C4" w:rsidRDefault="009B7D44" w:rsidP="002E3F45">
      <w:pPr>
        <w:ind w:left="284"/>
        <w:jc w:val="both"/>
        <w:rPr>
          <w:rFonts w:ascii="Bookman Old Style" w:hAnsi="Bookman Old Style"/>
          <w:bCs/>
          <w:i/>
          <w:iCs/>
        </w:rPr>
      </w:pPr>
      <w:r w:rsidRPr="005A45C4">
        <w:rPr>
          <w:rFonts w:ascii="Bookman Old Style" w:hAnsi="Bookman Old Style"/>
          <w:bCs/>
          <w:i/>
          <w:iCs/>
        </w:rPr>
        <w:t>No obstante lo dispuesto en la norma en comento, los Comercializadores aquí firmantes, hemos experimentado diversas complicaciones que son inherentes a las condiciones propias de los territorios en que operamos, que han impedido lograr el cabal desarrollo del trámite en los tiempos en que resultaba necesario para poder atender cada etapa propuesta en el texto normativo.</w:t>
      </w:r>
    </w:p>
    <w:p w14:paraId="10D7369E" w14:textId="77777777" w:rsidR="009B7D44" w:rsidRPr="005A45C4" w:rsidRDefault="009B7D44" w:rsidP="002E3F45">
      <w:pPr>
        <w:ind w:left="284"/>
        <w:jc w:val="both"/>
        <w:rPr>
          <w:rFonts w:ascii="Bookman Old Style" w:hAnsi="Bookman Old Style"/>
          <w:bCs/>
        </w:rPr>
      </w:pPr>
    </w:p>
    <w:p w14:paraId="2B57070B" w14:textId="77777777" w:rsidR="009B7D44" w:rsidRPr="005A45C4" w:rsidRDefault="009B7D44" w:rsidP="002E3F45">
      <w:pPr>
        <w:ind w:left="284"/>
        <w:jc w:val="both"/>
        <w:rPr>
          <w:rFonts w:ascii="Bookman Old Style" w:hAnsi="Bookman Old Style"/>
          <w:bCs/>
          <w:i/>
          <w:iCs/>
        </w:rPr>
      </w:pPr>
      <w:r w:rsidRPr="005A45C4">
        <w:rPr>
          <w:rFonts w:ascii="Bookman Old Style" w:hAnsi="Bookman Old Style"/>
          <w:bCs/>
          <w:i/>
          <w:iCs/>
        </w:rPr>
        <w:t>En ese sentido, ante la imposibilidad de cumplir oportunamente el procedimiento en referencia, nos estamos viendo enfrentados a la imposibilidad de contar con contratos de suministro vigentes, a partir de la fecha límite establecida en la Resolución CREG 101 021 de 2022, lo cual implica un grave riesgo para la continuidad en la prestación del servicio en las zonas que atendemos actualmente.</w:t>
      </w:r>
    </w:p>
    <w:p w14:paraId="44B5FAF3" w14:textId="77777777" w:rsidR="009B7D44" w:rsidRPr="005A45C4" w:rsidRDefault="009B7D44" w:rsidP="002E3F45">
      <w:pPr>
        <w:ind w:left="284"/>
        <w:jc w:val="both"/>
        <w:rPr>
          <w:rFonts w:ascii="Bookman Old Style" w:hAnsi="Bookman Old Style"/>
          <w:bCs/>
        </w:rPr>
      </w:pPr>
    </w:p>
    <w:p w14:paraId="146920D6" w14:textId="77777777" w:rsidR="009B7D44" w:rsidRPr="005A45C4" w:rsidRDefault="009B7D44" w:rsidP="002E3F45">
      <w:pPr>
        <w:ind w:left="284"/>
        <w:jc w:val="both"/>
        <w:rPr>
          <w:rFonts w:ascii="Bookman Old Style" w:hAnsi="Bookman Old Style"/>
          <w:bCs/>
          <w:i/>
          <w:iCs/>
        </w:rPr>
      </w:pPr>
      <w:r w:rsidRPr="005A45C4">
        <w:rPr>
          <w:rFonts w:ascii="Bookman Old Style" w:hAnsi="Bookman Old Style"/>
          <w:bCs/>
          <w:i/>
          <w:iCs/>
        </w:rPr>
        <w:t>De acuerdo con lo expuesto previamente, de manera respetuosa nos permitimos enfatizar en la necesidad de modificar el término establecido en el numeral 17.1 del Artículo 17 de la Resolución CREG 101 021 de 2022, y para dicho efecto, plantear la siguiente propuesta de texto normativo:</w:t>
      </w:r>
    </w:p>
    <w:p w14:paraId="201D5C14" w14:textId="77777777" w:rsidR="009B7D44" w:rsidRPr="005A45C4" w:rsidRDefault="009B7D44" w:rsidP="002E3F45">
      <w:pPr>
        <w:ind w:left="284"/>
        <w:jc w:val="both"/>
        <w:rPr>
          <w:rFonts w:ascii="Bookman Old Style" w:hAnsi="Bookman Old Style"/>
          <w:bCs/>
        </w:rPr>
      </w:pPr>
    </w:p>
    <w:p w14:paraId="216236CC" w14:textId="77777777" w:rsidR="009B7D44" w:rsidRPr="005A45C4" w:rsidRDefault="009B7D44" w:rsidP="002E3F45">
      <w:pPr>
        <w:ind w:left="284"/>
        <w:jc w:val="both"/>
        <w:rPr>
          <w:rFonts w:ascii="Bookman Old Style" w:hAnsi="Bookman Old Style"/>
          <w:bCs/>
          <w:i/>
          <w:iCs/>
        </w:rPr>
      </w:pPr>
      <w:r w:rsidRPr="005A45C4">
        <w:rPr>
          <w:rFonts w:ascii="Bookman Old Style" w:hAnsi="Bookman Old Style"/>
          <w:bCs/>
          <w:i/>
          <w:iCs/>
        </w:rPr>
        <w:t>Artículo Primero. Modificar el numeral 17.1 del Artículo 17 de la Resolución CREG 101 021 de 2022, el cual quedará de la siguiente manera:</w:t>
      </w:r>
    </w:p>
    <w:p w14:paraId="4FDCE72E" w14:textId="77777777" w:rsidR="009B7D44" w:rsidRPr="005A45C4" w:rsidRDefault="009B7D44" w:rsidP="002E3F45">
      <w:pPr>
        <w:ind w:left="284"/>
        <w:jc w:val="both"/>
        <w:rPr>
          <w:rFonts w:ascii="Bookman Old Style" w:hAnsi="Bookman Old Style"/>
          <w:bCs/>
        </w:rPr>
      </w:pPr>
    </w:p>
    <w:p w14:paraId="689DBCF4" w14:textId="77777777" w:rsidR="009B7D44" w:rsidRPr="005A45C4" w:rsidRDefault="009B7D44" w:rsidP="002E3F45">
      <w:pPr>
        <w:jc w:val="both"/>
        <w:rPr>
          <w:rFonts w:ascii="Bookman Old Style" w:hAnsi="Bookman Old Style"/>
          <w:bCs/>
          <w:i/>
          <w:iCs/>
        </w:rPr>
      </w:pPr>
      <w:r w:rsidRPr="005A45C4">
        <w:rPr>
          <w:rFonts w:ascii="Bookman Old Style" w:hAnsi="Bookman Old Style"/>
          <w:bCs/>
          <w:i/>
          <w:iCs/>
        </w:rPr>
        <w:t>ARTICULO 17. DISPOSICIONES TRANSITORIAS.</w:t>
      </w:r>
    </w:p>
    <w:p w14:paraId="73991F35" w14:textId="77777777" w:rsidR="00E343AF" w:rsidRPr="005A45C4" w:rsidRDefault="009B7D44" w:rsidP="00E343AF">
      <w:pPr>
        <w:jc w:val="both"/>
        <w:rPr>
          <w:rFonts w:ascii="Bookman Old Style" w:hAnsi="Bookman Old Style"/>
          <w:bCs/>
          <w:i/>
          <w:iCs/>
        </w:rPr>
      </w:pPr>
      <w:r w:rsidRPr="005A45C4">
        <w:rPr>
          <w:rFonts w:ascii="Bookman Old Style" w:hAnsi="Bookman Old Style"/>
          <w:bCs/>
          <w:i/>
          <w:iCs/>
        </w:rPr>
        <w:t xml:space="preserve">17.1 Prórroga contratos vigentes: Los contratos que se encuentren suscritos con anterioridad a la fecha de </w:t>
      </w:r>
      <w:proofErr w:type="gramStart"/>
      <w:r w:rsidRPr="005A45C4">
        <w:rPr>
          <w:rFonts w:ascii="Bookman Old Style" w:hAnsi="Bookman Old Style"/>
          <w:bCs/>
          <w:i/>
          <w:iCs/>
        </w:rPr>
        <w:t>entrada en vigencia</w:t>
      </w:r>
      <w:proofErr w:type="gramEnd"/>
      <w:r w:rsidRPr="005A45C4">
        <w:rPr>
          <w:rFonts w:ascii="Bookman Old Style" w:hAnsi="Bookman Old Style"/>
          <w:bCs/>
          <w:i/>
          <w:iCs/>
        </w:rPr>
        <w:t xml:space="preserve"> de la presente resolución, y se venzan durante la vigencia de esta resolución, se podrán prorrogar. En todo caso, la duración de las prórrogas no podrá superar el 15 de julio del año 2026 </w:t>
      </w:r>
    </w:p>
    <w:p w14:paraId="53E1F448" w14:textId="77777777" w:rsidR="00E343AF" w:rsidRPr="005A45C4" w:rsidRDefault="00E343AF" w:rsidP="00E343AF">
      <w:pPr>
        <w:jc w:val="both"/>
        <w:rPr>
          <w:rFonts w:ascii="Bookman Old Style" w:hAnsi="Bookman Old Style"/>
          <w:bCs/>
          <w:i/>
          <w:iCs/>
        </w:rPr>
      </w:pPr>
    </w:p>
    <w:p w14:paraId="0666D667" w14:textId="5B011726" w:rsidR="009B7D44" w:rsidRPr="005A45C4" w:rsidRDefault="009B7D44" w:rsidP="005A45C4">
      <w:pPr>
        <w:ind w:left="284"/>
        <w:jc w:val="both"/>
        <w:rPr>
          <w:rFonts w:ascii="Bookman Old Style" w:hAnsi="Bookman Old Style"/>
          <w:bCs/>
        </w:rPr>
      </w:pPr>
      <w:r w:rsidRPr="005A45C4">
        <w:rPr>
          <w:rFonts w:ascii="Bookman Old Style" w:hAnsi="Bookman Old Style"/>
          <w:bCs/>
        </w:rPr>
        <w:t>(…)”.</w:t>
      </w:r>
    </w:p>
    <w:p w14:paraId="323BE744" w14:textId="77777777" w:rsidR="009B7D44" w:rsidRPr="005A45C4" w:rsidRDefault="009B7D44" w:rsidP="005A45C4">
      <w:pPr>
        <w:ind w:left="0"/>
        <w:jc w:val="both"/>
        <w:rPr>
          <w:rFonts w:ascii="Bookman Old Style" w:hAnsi="Bookman Old Style"/>
          <w:bCs/>
        </w:rPr>
      </w:pPr>
    </w:p>
    <w:p w14:paraId="52BA3842" w14:textId="6C302254" w:rsidR="00897642" w:rsidRPr="005A45C4" w:rsidRDefault="001F6BB1" w:rsidP="009B7D44">
      <w:pPr>
        <w:ind w:left="0"/>
        <w:jc w:val="both"/>
        <w:rPr>
          <w:rFonts w:ascii="Bookman Old Style" w:hAnsi="Bookman Old Style"/>
          <w:bCs/>
        </w:rPr>
      </w:pPr>
      <w:r w:rsidRPr="005A45C4">
        <w:rPr>
          <w:rFonts w:ascii="Bookman Old Style" w:hAnsi="Bookman Old Style"/>
          <w:bCs/>
        </w:rPr>
        <w:t>En consideración de lo anterior,</w:t>
      </w:r>
      <w:r w:rsidR="009B7D44" w:rsidRPr="005A45C4">
        <w:rPr>
          <w:rFonts w:ascii="Bookman Old Style" w:hAnsi="Bookman Old Style"/>
          <w:bCs/>
        </w:rPr>
        <w:t xml:space="preserve"> </w:t>
      </w:r>
      <w:r w:rsidR="00897642" w:rsidRPr="005A45C4">
        <w:rPr>
          <w:rFonts w:ascii="Bookman Old Style" w:hAnsi="Bookman Old Style"/>
          <w:bCs/>
        </w:rPr>
        <w:t>se hace necesari</w:t>
      </w:r>
      <w:r w:rsidR="0082086F" w:rsidRPr="005A45C4">
        <w:rPr>
          <w:rFonts w:ascii="Bookman Old Style" w:hAnsi="Bookman Old Style"/>
          <w:bCs/>
        </w:rPr>
        <w:t>a</w:t>
      </w:r>
      <w:r w:rsidR="00897642" w:rsidRPr="005A45C4">
        <w:rPr>
          <w:rFonts w:ascii="Bookman Old Style" w:hAnsi="Bookman Old Style"/>
          <w:bCs/>
        </w:rPr>
        <w:t xml:space="preserve"> la modificación al plazo máximo de prórroga de los contratos de energía suscritos con anterioridad a la </w:t>
      </w:r>
      <w:proofErr w:type="gramStart"/>
      <w:r w:rsidR="00897642" w:rsidRPr="005A45C4">
        <w:rPr>
          <w:rFonts w:ascii="Bookman Old Style" w:hAnsi="Bookman Old Style"/>
          <w:bCs/>
        </w:rPr>
        <w:t>entrada en vigencia</w:t>
      </w:r>
      <w:proofErr w:type="gramEnd"/>
      <w:r w:rsidR="00897642" w:rsidRPr="005A45C4">
        <w:rPr>
          <w:rFonts w:ascii="Bookman Old Style" w:hAnsi="Bookman Old Style"/>
          <w:bCs/>
        </w:rPr>
        <w:t xml:space="preserve"> de la Resolución CREG 101 021 de 2022,</w:t>
      </w:r>
      <w:r w:rsidR="00F73326" w:rsidRPr="005A45C4">
        <w:rPr>
          <w:rFonts w:ascii="Bookman Old Style" w:hAnsi="Bookman Old Style"/>
          <w:bCs/>
        </w:rPr>
        <w:t xml:space="preserve"> </w:t>
      </w:r>
      <w:r w:rsidR="009B7D44" w:rsidRPr="005A45C4">
        <w:rPr>
          <w:rFonts w:ascii="Bookman Old Style" w:hAnsi="Bookman Old Style"/>
          <w:bCs/>
        </w:rPr>
        <w:t>con el fin de garantizar la disponibilidad del servicio público domiciliario de energía eléctrica en los mercados de ZNI</w:t>
      </w:r>
      <w:r w:rsidR="00306584" w:rsidRPr="005A45C4">
        <w:rPr>
          <w:rFonts w:ascii="Bookman Old Style" w:hAnsi="Bookman Old Style"/>
          <w:bCs/>
        </w:rPr>
        <w:t xml:space="preserve"> atendidos a través de</w:t>
      </w:r>
      <w:r w:rsidR="005A51BB" w:rsidRPr="005A45C4">
        <w:rPr>
          <w:rFonts w:ascii="Bookman Old Style" w:hAnsi="Bookman Old Style"/>
          <w:bCs/>
        </w:rPr>
        <w:t xml:space="preserve"> contratos de compra de energía.</w:t>
      </w:r>
    </w:p>
    <w:p w14:paraId="123BC474" w14:textId="145565F1" w:rsidR="001F6BB1" w:rsidRPr="005A45C4" w:rsidRDefault="001F6BB1" w:rsidP="009B7D44">
      <w:pPr>
        <w:ind w:left="0"/>
        <w:jc w:val="both"/>
        <w:rPr>
          <w:rFonts w:ascii="Bookman Old Style" w:hAnsi="Bookman Old Style"/>
          <w:bCs/>
        </w:rPr>
      </w:pPr>
    </w:p>
    <w:p w14:paraId="62E64E7E" w14:textId="2B348CBE" w:rsidR="00AB0C6C" w:rsidRPr="005A45C4" w:rsidRDefault="007F1DC7" w:rsidP="009B7D44">
      <w:pPr>
        <w:ind w:left="0"/>
        <w:jc w:val="both"/>
        <w:rPr>
          <w:rFonts w:ascii="Bookman Old Style" w:hAnsi="Bookman Old Style"/>
          <w:bCs/>
        </w:rPr>
      </w:pPr>
      <w:r w:rsidRPr="005A45C4">
        <w:rPr>
          <w:rFonts w:ascii="Bookman Old Style" w:hAnsi="Bookman Old Style"/>
          <w:bCs/>
        </w:rPr>
        <w:lastRenderedPageBreak/>
        <w:t>En ese sentido</w:t>
      </w:r>
      <w:r w:rsidR="00FD2547" w:rsidRPr="005A45C4">
        <w:rPr>
          <w:rFonts w:ascii="Bookman Old Style" w:hAnsi="Bookman Old Style"/>
          <w:bCs/>
        </w:rPr>
        <w:t>,</w:t>
      </w:r>
      <w:r w:rsidRPr="005A45C4">
        <w:rPr>
          <w:rFonts w:ascii="Bookman Old Style" w:hAnsi="Bookman Old Style"/>
          <w:bCs/>
        </w:rPr>
        <w:t xml:space="preserve"> l</w:t>
      </w:r>
      <w:r w:rsidR="009B7D44" w:rsidRPr="005A45C4">
        <w:rPr>
          <w:rFonts w:ascii="Bookman Old Style" w:hAnsi="Bookman Old Style"/>
          <w:bCs/>
        </w:rPr>
        <w:t>a CREG sometió a consulta pública el proyecto de Resolución CREG 701 059 de</w:t>
      </w:r>
      <w:r w:rsidR="00AC28A9" w:rsidRPr="005A45C4">
        <w:rPr>
          <w:rFonts w:ascii="Bookman Old Style" w:hAnsi="Bookman Old Style"/>
          <w:bCs/>
        </w:rPr>
        <w:t>l 10 de agosto de</w:t>
      </w:r>
      <w:r w:rsidR="009B7D44" w:rsidRPr="005A45C4">
        <w:rPr>
          <w:rFonts w:ascii="Bookman Old Style" w:hAnsi="Bookman Old Style"/>
          <w:bCs/>
        </w:rPr>
        <w:t xml:space="preserve"> 2024 “</w:t>
      </w:r>
      <w:r w:rsidR="009B7D44" w:rsidRPr="005A45C4">
        <w:rPr>
          <w:rFonts w:ascii="Bookman Old Style" w:hAnsi="Bookman Old Style"/>
          <w:bCs/>
          <w:i/>
          <w:iCs/>
        </w:rPr>
        <w:t>Por la cual se modifica el artículo 17 de la Resolución CREG 101 021 de 2022</w:t>
      </w:r>
      <w:r w:rsidR="009B7D44" w:rsidRPr="005A45C4">
        <w:rPr>
          <w:rFonts w:ascii="Bookman Old Style" w:hAnsi="Bookman Old Style"/>
          <w:bCs/>
        </w:rPr>
        <w:t xml:space="preserve">”, cuyo periodo de recepción de comentarios finalizó el 23 de agosto de 2024. </w:t>
      </w:r>
    </w:p>
    <w:p w14:paraId="1076D06E" w14:textId="77777777" w:rsidR="00AB0C6C" w:rsidRPr="005A45C4" w:rsidRDefault="00AB0C6C" w:rsidP="009B7D44">
      <w:pPr>
        <w:ind w:left="0"/>
        <w:jc w:val="both"/>
        <w:rPr>
          <w:rFonts w:ascii="Bookman Old Style" w:hAnsi="Bookman Old Style"/>
          <w:bCs/>
        </w:rPr>
      </w:pPr>
    </w:p>
    <w:p w14:paraId="1605329D" w14:textId="18A08A6C" w:rsidR="00AD5B4A" w:rsidRPr="005A45C4" w:rsidRDefault="00E32298" w:rsidP="009B7D44">
      <w:pPr>
        <w:ind w:left="0"/>
        <w:jc w:val="both"/>
        <w:rPr>
          <w:rFonts w:ascii="Bookman Old Style" w:hAnsi="Bookman Old Style"/>
          <w:bCs/>
        </w:rPr>
      </w:pPr>
      <w:r w:rsidRPr="005A45C4">
        <w:rPr>
          <w:rFonts w:ascii="Bookman Old Style" w:hAnsi="Bookman Old Style"/>
          <w:bCs/>
        </w:rPr>
        <w:t>S</w:t>
      </w:r>
      <w:r w:rsidR="009B7D44" w:rsidRPr="005A45C4">
        <w:rPr>
          <w:rFonts w:ascii="Bookman Old Style" w:hAnsi="Bookman Old Style"/>
          <w:bCs/>
        </w:rPr>
        <w:t xml:space="preserve">e recibieron comentarios por parte de la empresa LEGAL SERVICES ENTERPRISE bajo el radicado CREG E2024012825. </w:t>
      </w:r>
      <w:r w:rsidR="00AD5B4A" w:rsidRPr="005A45C4">
        <w:rPr>
          <w:rFonts w:ascii="Bookman Old Style" w:hAnsi="Bookman Old Style"/>
          <w:bCs/>
        </w:rPr>
        <w:t xml:space="preserve">En el documento CREG </w:t>
      </w:r>
      <w:r w:rsidR="005A45C4" w:rsidRPr="005A45C4">
        <w:rPr>
          <w:rFonts w:ascii="Bookman Old Style" w:hAnsi="Bookman Old Style"/>
          <w:bCs/>
        </w:rPr>
        <w:t>901 146</w:t>
      </w:r>
      <w:r w:rsidR="00AD5B4A" w:rsidRPr="005A45C4">
        <w:rPr>
          <w:rFonts w:ascii="Bookman Old Style" w:hAnsi="Bookman Old Style"/>
          <w:bCs/>
        </w:rPr>
        <w:t xml:space="preserve"> </w:t>
      </w:r>
      <w:r w:rsidR="00FD48FA" w:rsidRPr="005A45C4">
        <w:rPr>
          <w:rFonts w:ascii="Bookman Old Style" w:hAnsi="Bookman Old Style"/>
          <w:bCs/>
        </w:rPr>
        <w:t xml:space="preserve">del </w:t>
      </w:r>
      <w:r w:rsidR="00D52AC2" w:rsidRPr="005A45C4">
        <w:rPr>
          <w:rFonts w:ascii="Bookman Old Style" w:hAnsi="Bookman Old Style"/>
          <w:bCs/>
        </w:rPr>
        <w:t>17</w:t>
      </w:r>
      <w:r w:rsidR="00FD48FA" w:rsidRPr="005A45C4">
        <w:rPr>
          <w:rFonts w:ascii="Bookman Old Style" w:hAnsi="Bookman Old Style"/>
          <w:bCs/>
        </w:rPr>
        <w:t xml:space="preserve"> </w:t>
      </w:r>
      <w:r w:rsidR="00AD5B4A" w:rsidRPr="005A45C4">
        <w:rPr>
          <w:rFonts w:ascii="Bookman Old Style" w:hAnsi="Bookman Old Style"/>
          <w:bCs/>
        </w:rPr>
        <w:t>de</w:t>
      </w:r>
      <w:r w:rsidR="00FD48FA" w:rsidRPr="005A45C4">
        <w:rPr>
          <w:rFonts w:ascii="Bookman Old Style" w:hAnsi="Bookman Old Style"/>
          <w:bCs/>
        </w:rPr>
        <w:t xml:space="preserve"> </w:t>
      </w:r>
      <w:r w:rsidR="00797CC3" w:rsidRPr="005A45C4">
        <w:rPr>
          <w:rFonts w:ascii="Bookman Old Style" w:hAnsi="Bookman Old Style"/>
          <w:bCs/>
        </w:rPr>
        <w:t xml:space="preserve">octubre </w:t>
      </w:r>
      <w:r w:rsidR="00FD48FA" w:rsidRPr="005A45C4">
        <w:rPr>
          <w:rFonts w:ascii="Bookman Old Style" w:hAnsi="Bookman Old Style"/>
          <w:bCs/>
        </w:rPr>
        <w:t>de</w:t>
      </w:r>
      <w:r w:rsidR="00AD5B4A" w:rsidRPr="005A45C4">
        <w:rPr>
          <w:rFonts w:ascii="Bookman Old Style" w:hAnsi="Bookman Old Style"/>
          <w:bCs/>
        </w:rPr>
        <w:t xml:space="preserve"> 2024 se encuentra el análisis </w:t>
      </w:r>
      <w:r w:rsidR="00C04DE0" w:rsidRPr="005A45C4">
        <w:rPr>
          <w:rFonts w:ascii="Bookman Old Style" w:hAnsi="Bookman Old Style"/>
          <w:bCs/>
        </w:rPr>
        <w:t>y respuesta a</w:t>
      </w:r>
      <w:r w:rsidR="00AD5B4A" w:rsidRPr="005A45C4">
        <w:rPr>
          <w:rFonts w:ascii="Bookman Old Style" w:hAnsi="Bookman Old Style"/>
          <w:bCs/>
        </w:rPr>
        <w:t xml:space="preserve"> cada uno de los comentarios </w:t>
      </w:r>
      <w:r w:rsidR="00C04DE0" w:rsidRPr="005A45C4">
        <w:rPr>
          <w:rFonts w:ascii="Bookman Old Style" w:hAnsi="Bookman Old Style"/>
          <w:bCs/>
        </w:rPr>
        <w:t xml:space="preserve">recibidos, los cuales </w:t>
      </w:r>
      <w:r w:rsidR="005B5C99" w:rsidRPr="005A45C4">
        <w:rPr>
          <w:rFonts w:ascii="Bookman Old Style" w:hAnsi="Bookman Old Style"/>
          <w:bCs/>
        </w:rPr>
        <w:t>sustenta</w:t>
      </w:r>
      <w:r w:rsidR="00C04DE0" w:rsidRPr="005A45C4">
        <w:rPr>
          <w:rFonts w:ascii="Bookman Old Style" w:hAnsi="Bookman Old Style"/>
          <w:bCs/>
        </w:rPr>
        <w:t>n</w:t>
      </w:r>
      <w:r w:rsidR="005B5C99" w:rsidRPr="005A45C4">
        <w:rPr>
          <w:rFonts w:ascii="Bookman Old Style" w:hAnsi="Bookman Old Style"/>
          <w:bCs/>
        </w:rPr>
        <w:t xml:space="preserve"> las decisiones que aquí se adoptan.</w:t>
      </w:r>
    </w:p>
    <w:p w14:paraId="753A8F04" w14:textId="77777777" w:rsidR="009B7D44" w:rsidRPr="005A45C4" w:rsidRDefault="009B7D44" w:rsidP="009B7D44">
      <w:pPr>
        <w:ind w:left="0"/>
        <w:jc w:val="both"/>
        <w:rPr>
          <w:rFonts w:ascii="Bookman Old Style" w:hAnsi="Bookman Old Style"/>
          <w:bCs/>
        </w:rPr>
      </w:pPr>
    </w:p>
    <w:p w14:paraId="7EF79586" w14:textId="254F7C34" w:rsidR="009B7D44" w:rsidRPr="005A45C4" w:rsidRDefault="009B7D44" w:rsidP="009B7D44">
      <w:pPr>
        <w:ind w:left="0"/>
        <w:jc w:val="both"/>
        <w:rPr>
          <w:rFonts w:ascii="Bookman Old Style" w:hAnsi="Bookman Old Style"/>
          <w:bCs/>
        </w:rPr>
      </w:pPr>
      <w:r w:rsidRPr="005A45C4">
        <w:rPr>
          <w:rFonts w:ascii="Bookman Old Style" w:hAnsi="Bookman Old Style"/>
          <w:bCs/>
        </w:rPr>
        <w:t xml:space="preserve">Con base en lo establecido en el artículo 4 del Decreto 2897 de 2010, reglamentario de la Ley 1340 de 2009, se respondió el cuestionario establecido por la Superintendencia de Industria y Comercio para efectos de evaluar la incidencia sobre la libre competencia de los mercados, donde, aplicando lo señalado en la presente resolución, la respuesta al conjunto de preguntas fue negativa, en la medida en que no plantea ninguna restricción indebida a la libre competencia. </w:t>
      </w:r>
      <w:r w:rsidR="006E2939" w:rsidRPr="005A45C4">
        <w:rPr>
          <w:rFonts w:ascii="Bookman Old Style" w:hAnsi="Bookman Old Style"/>
          <w:bCs/>
        </w:rPr>
        <w:t xml:space="preserve">La </w:t>
      </w:r>
      <w:r w:rsidR="00791F6D" w:rsidRPr="005A45C4">
        <w:rPr>
          <w:rFonts w:ascii="Bookman Old Style" w:hAnsi="Bookman Old Style"/>
          <w:bCs/>
        </w:rPr>
        <w:t>transcripción</w:t>
      </w:r>
      <w:r w:rsidR="006E2939" w:rsidRPr="005A45C4">
        <w:rPr>
          <w:rFonts w:ascii="Bookman Old Style" w:hAnsi="Bookman Old Style"/>
          <w:bCs/>
        </w:rPr>
        <w:t xml:space="preserve"> y diligenciamiento del cuestionario </w:t>
      </w:r>
      <w:r w:rsidR="00791F6D" w:rsidRPr="005A45C4">
        <w:rPr>
          <w:rFonts w:ascii="Bookman Old Style" w:hAnsi="Bookman Old Style"/>
          <w:bCs/>
        </w:rPr>
        <w:t xml:space="preserve">se encuentra en el anexo 2 del </w:t>
      </w:r>
      <w:r w:rsidR="00277F1F" w:rsidRPr="005A45C4">
        <w:rPr>
          <w:rFonts w:ascii="Bookman Old Style" w:hAnsi="Bookman Old Style"/>
          <w:bCs/>
        </w:rPr>
        <w:t>d</w:t>
      </w:r>
      <w:r w:rsidRPr="005A45C4">
        <w:rPr>
          <w:rFonts w:ascii="Bookman Old Style" w:hAnsi="Bookman Old Style"/>
          <w:bCs/>
        </w:rPr>
        <w:t xml:space="preserve">ocumento </w:t>
      </w:r>
      <w:r w:rsidR="005A45C4" w:rsidRPr="005A45C4">
        <w:rPr>
          <w:rFonts w:ascii="Bookman Old Style" w:hAnsi="Bookman Old Style"/>
          <w:bCs/>
        </w:rPr>
        <w:t>CREG 901 146</w:t>
      </w:r>
      <w:r w:rsidR="005A45C4" w:rsidRPr="005A45C4">
        <w:rPr>
          <w:rFonts w:ascii="Bookman Old Style" w:hAnsi="Bookman Old Style"/>
          <w:bCs/>
        </w:rPr>
        <w:t xml:space="preserve"> </w:t>
      </w:r>
      <w:r w:rsidRPr="005A45C4">
        <w:rPr>
          <w:rFonts w:ascii="Bookman Old Style" w:hAnsi="Bookman Old Style"/>
          <w:bCs/>
        </w:rPr>
        <w:t xml:space="preserve">del </w:t>
      </w:r>
      <w:r w:rsidR="00D52AC2" w:rsidRPr="005A45C4">
        <w:rPr>
          <w:rFonts w:ascii="Bookman Old Style" w:hAnsi="Bookman Old Style"/>
          <w:bCs/>
        </w:rPr>
        <w:t>17</w:t>
      </w:r>
      <w:r w:rsidRPr="005A45C4">
        <w:rPr>
          <w:rFonts w:ascii="Bookman Old Style" w:hAnsi="Bookman Old Style"/>
          <w:bCs/>
        </w:rPr>
        <w:t xml:space="preserve"> de </w:t>
      </w:r>
      <w:r w:rsidR="00941945" w:rsidRPr="005A45C4">
        <w:rPr>
          <w:rFonts w:ascii="Bookman Old Style" w:hAnsi="Bookman Old Style"/>
          <w:bCs/>
        </w:rPr>
        <w:t xml:space="preserve">octubre </w:t>
      </w:r>
      <w:r w:rsidRPr="005A45C4">
        <w:rPr>
          <w:rFonts w:ascii="Bookman Old Style" w:hAnsi="Bookman Old Style"/>
          <w:bCs/>
        </w:rPr>
        <w:t>de 2024</w:t>
      </w:r>
      <w:r w:rsidR="0057605C" w:rsidRPr="005A45C4">
        <w:rPr>
          <w:rFonts w:ascii="Bookman Old Style" w:hAnsi="Bookman Old Style"/>
          <w:bCs/>
        </w:rPr>
        <w:t>.</w:t>
      </w:r>
    </w:p>
    <w:p w14:paraId="7B30234C" w14:textId="77777777" w:rsidR="009B7D44" w:rsidRPr="005A45C4" w:rsidRDefault="009B7D44" w:rsidP="009B7D44">
      <w:pPr>
        <w:ind w:left="0"/>
        <w:rPr>
          <w:rFonts w:ascii="Bookman Old Style" w:hAnsi="Bookman Old Style"/>
          <w:b/>
        </w:rPr>
      </w:pPr>
    </w:p>
    <w:p w14:paraId="502FA376" w14:textId="76B54E84" w:rsidR="00045D3D" w:rsidRPr="005A45C4" w:rsidRDefault="00045D3D" w:rsidP="00045D3D">
      <w:pPr>
        <w:ind w:left="0"/>
        <w:jc w:val="both"/>
        <w:rPr>
          <w:rFonts w:ascii="Bookman Old Style" w:hAnsi="Bookman Old Style"/>
        </w:rPr>
      </w:pPr>
      <w:r w:rsidRPr="005A45C4">
        <w:rPr>
          <w:rFonts w:ascii="Bookman Old Style" w:hAnsi="Bookman Old Style"/>
        </w:rPr>
        <w:t xml:space="preserve">La Comisión de Regulación de Energía y Gas, en su Sesión </w:t>
      </w:r>
      <w:r w:rsidR="00797CC3" w:rsidRPr="005A45C4">
        <w:rPr>
          <w:rFonts w:ascii="Bookman Old Style" w:hAnsi="Bookman Old Style"/>
        </w:rPr>
        <w:t>1347</w:t>
      </w:r>
      <w:r w:rsidR="00DF3CA2" w:rsidRPr="005A45C4">
        <w:rPr>
          <w:rFonts w:ascii="Bookman Old Style" w:hAnsi="Bookman Old Style"/>
        </w:rPr>
        <w:t xml:space="preserve"> del </w:t>
      </w:r>
      <w:r w:rsidR="00797CC3" w:rsidRPr="005A45C4">
        <w:rPr>
          <w:rFonts w:ascii="Bookman Old Style" w:hAnsi="Bookman Old Style"/>
        </w:rPr>
        <w:t>17</w:t>
      </w:r>
      <w:r w:rsidRPr="005A45C4">
        <w:rPr>
          <w:rFonts w:ascii="Bookman Old Style" w:hAnsi="Bookman Old Style"/>
        </w:rPr>
        <w:t xml:space="preserve"> de </w:t>
      </w:r>
      <w:r w:rsidR="00797CC3" w:rsidRPr="005A45C4">
        <w:rPr>
          <w:rFonts w:ascii="Bookman Old Style" w:hAnsi="Bookman Old Style"/>
        </w:rPr>
        <w:t>octubre</w:t>
      </w:r>
      <w:r w:rsidRPr="005A45C4">
        <w:rPr>
          <w:rFonts w:ascii="Bookman Old Style" w:hAnsi="Bookman Old Style"/>
        </w:rPr>
        <w:t xml:space="preserve"> de 20</w:t>
      </w:r>
      <w:r w:rsidR="00797CC3" w:rsidRPr="005A45C4">
        <w:rPr>
          <w:rFonts w:ascii="Bookman Old Style" w:hAnsi="Bookman Old Style"/>
        </w:rPr>
        <w:t>24</w:t>
      </w:r>
      <w:r w:rsidRPr="005A45C4">
        <w:rPr>
          <w:rFonts w:ascii="Bookman Old Style" w:hAnsi="Bookman Old Style"/>
        </w:rPr>
        <w:t>, acordó expedir esta resolución.</w:t>
      </w:r>
    </w:p>
    <w:p w14:paraId="3DB41754" w14:textId="77777777" w:rsidR="00045D3D" w:rsidRPr="005A45C4" w:rsidRDefault="00045D3D" w:rsidP="00045D3D">
      <w:pPr>
        <w:suppressAutoHyphens/>
        <w:jc w:val="center"/>
        <w:rPr>
          <w:rFonts w:ascii="Bookman Old Style" w:hAnsi="Bookman Old Style"/>
          <w:b/>
          <w:spacing w:val="-3"/>
        </w:rPr>
      </w:pPr>
    </w:p>
    <w:p w14:paraId="40EFC463" w14:textId="77777777" w:rsidR="00045D3D" w:rsidRPr="005A45C4" w:rsidRDefault="00045D3D" w:rsidP="00045D3D">
      <w:pPr>
        <w:suppressAutoHyphens/>
        <w:jc w:val="center"/>
        <w:rPr>
          <w:rFonts w:ascii="Bookman Old Style" w:hAnsi="Bookman Old Style"/>
          <w:spacing w:val="-3"/>
          <w:lang w:val="pt-PT"/>
        </w:rPr>
      </w:pPr>
      <w:r w:rsidRPr="005A45C4">
        <w:rPr>
          <w:rFonts w:ascii="Bookman Old Style" w:hAnsi="Bookman Old Style"/>
          <w:b/>
          <w:spacing w:val="-3"/>
          <w:lang w:val="pt-PT"/>
        </w:rPr>
        <w:t>R E S U E L V E:</w:t>
      </w:r>
    </w:p>
    <w:p w14:paraId="494DDFC2" w14:textId="77777777" w:rsidR="00045D3D" w:rsidRPr="005A45C4" w:rsidRDefault="00045D3D" w:rsidP="00045D3D">
      <w:pPr>
        <w:jc w:val="center"/>
        <w:rPr>
          <w:rFonts w:ascii="Bookman Old Style" w:hAnsi="Bookman Old Style"/>
          <w:lang w:val="pt-PT"/>
        </w:rPr>
      </w:pPr>
    </w:p>
    <w:p w14:paraId="564E7518" w14:textId="28131F5B" w:rsidR="00212E6C" w:rsidRPr="005A45C4" w:rsidRDefault="00045D3D" w:rsidP="00212E6C">
      <w:pPr>
        <w:ind w:left="0"/>
        <w:jc w:val="both"/>
        <w:rPr>
          <w:rFonts w:ascii="Bookman Old Style" w:hAnsi="Bookman Old Style"/>
          <w:bCs/>
        </w:rPr>
      </w:pPr>
      <w:r w:rsidRPr="005A45C4">
        <w:rPr>
          <w:rFonts w:ascii="Bookman Old Style" w:hAnsi="Bookman Old Style"/>
          <w:b/>
          <w:lang w:val="pt-PT"/>
        </w:rPr>
        <w:t xml:space="preserve">ARTÍCULO 1. </w:t>
      </w:r>
      <w:r w:rsidR="00212E6C" w:rsidRPr="005A45C4">
        <w:rPr>
          <w:rFonts w:ascii="Bookman Old Style" w:hAnsi="Bookman Old Style"/>
          <w:bCs/>
        </w:rPr>
        <w:t>Modifíquese el numeral 17.1 del artículo 17 de la Resolución CREG 101 021 de 2022, el cual quedará de la siguiente manera:</w:t>
      </w:r>
    </w:p>
    <w:p w14:paraId="1AEF01B9" w14:textId="77777777" w:rsidR="00212E6C" w:rsidRPr="005A45C4" w:rsidRDefault="00212E6C" w:rsidP="0067432F">
      <w:pPr>
        <w:ind w:left="0"/>
        <w:jc w:val="both"/>
        <w:rPr>
          <w:rFonts w:ascii="Bookman Old Style" w:hAnsi="Bookman Old Style"/>
          <w:bCs/>
        </w:rPr>
      </w:pPr>
    </w:p>
    <w:p w14:paraId="6F11567F" w14:textId="77777777" w:rsidR="008B34E8" w:rsidRPr="005A45C4" w:rsidRDefault="0040393A" w:rsidP="0067432F">
      <w:pPr>
        <w:jc w:val="both"/>
        <w:rPr>
          <w:rFonts w:ascii="Bookman Old Style" w:hAnsi="Bookman Old Style"/>
          <w:bCs/>
          <w:i/>
          <w:iCs/>
        </w:rPr>
      </w:pPr>
      <w:r w:rsidRPr="005A45C4">
        <w:rPr>
          <w:rFonts w:ascii="Bookman Old Style" w:hAnsi="Bookman Old Style"/>
          <w:b/>
          <w:i/>
          <w:iCs/>
          <w:lang w:val="es-MX"/>
        </w:rPr>
        <w:t>17.1 Prórroga contratos vigentes:</w:t>
      </w:r>
      <w:r w:rsidRPr="005A45C4">
        <w:rPr>
          <w:rFonts w:ascii="Bookman Old Style" w:hAnsi="Bookman Old Style"/>
          <w:bCs/>
          <w:i/>
          <w:iCs/>
          <w:lang w:val="es-MX"/>
        </w:rPr>
        <w:t xml:space="preserve"> Los contratos que se encuentren suscritos con anterioridad a la fecha de entrada en vigencia de la presente resolución, y se venzan durante la vigencia de la misma, se podrán prorrogar, de acuerdo con las condiciones en que fueron suscritos, sin que su plazo supere </w:t>
      </w:r>
      <w:r w:rsidRPr="005A45C4">
        <w:rPr>
          <w:rFonts w:ascii="Bookman Old Style" w:hAnsi="Bookman Old Style"/>
          <w:bCs/>
          <w:i/>
          <w:iCs/>
        </w:rPr>
        <w:t xml:space="preserve">el 30 de agosto de 2026. </w:t>
      </w:r>
    </w:p>
    <w:p w14:paraId="2DC2D2FE" w14:textId="77777777" w:rsidR="008B34E8" w:rsidRPr="005A45C4" w:rsidRDefault="008B34E8" w:rsidP="0067432F">
      <w:pPr>
        <w:jc w:val="both"/>
        <w:rPr>
          <w:rFonts w:ascii="Bookman Old Style" w:hAnsi="Bookman Old Style"/>
          <w:bCs/>
          <w:i/>
          <w:iCs/>
        </w:rPr>
      </w:pPr>
    </w:p>
    <w:p w14:paraId="2729099A" w14:textId="459BF5BC" w:rsidR="0040393A" w:rsidRPr="005A45C4" w:rsidRDefault="0040393A" w:rsidP="0067432F">
      <w:pPr>
        <w:jc w:val="both"/>
        <w:rPr>
          <w:rFonts w:ascii="Bookman Old Style" w:hAnsi="Bookman Old Style"/>
          <w:bCs/>
          <w:i/>
          <w:iCs/>
          <w:lang w:val="es-CO"/>
        </w:rPr>
      </w:pPr>
      <w:r w:rsidRPr="005A45C4">
        <w:rPr>
          <w:rFonts w:ascii="Bookman Old Style" w:hAnsi="Bookman Old Style"/>
          <w:bCs/>
          <w:i/>
          <w:iCs/>
        </w:rPr>
        <w:t xml:space="preserve">Así mismo, los comercializadores de ZNI que tenían suscritos contratos con anterioridad a la fecha de </w:t>
      </w:r>
      <w:proofErr w:type="gramStart"/>
      <w:r w:rsidRPr="005A45C4">
        <w:rPr>
          <w:rFonts w:ascii="Bookman Old Style" w:hAnsi="Bookman Old Style"/>
          <w:bCs/>
          <w:i/>
          <w:iCs/>
        </w:rPr>
        <w:t>entrada en vigencia</w:t>
      </w:r>
      <w:proofErr w:type="gramEnd"/>
      <w:r w:rsidRPr="005A45C4">
        <w:rPr>
          <w:rFonts w:ascii="Bookman Old Style" w:hAnsi="Bookman Old Style"/>
          <w:bCs/>
          <w:i/>
          <w:iCs/>
        </w:rPr>
        <w:t xml:space="preserve"> de la presente resolución y que los mismos hayan finalizado antes del 31 de agosto de 2024, podrán suscribir directamente contratos de energía, considerando las condiciones</w:t>
      </w:r>
      <w:r w:rsidR="00896ECD" w:rsidRPr="005A45C4">
        <w:rPr>
          <w:rFonts w:ascii="Bookman Old Style" w:hAnsi="Bookman Old Style"/>
          <w:bCs/>
          <w:i/>
          <w:iCs/>
        </w:rPr>
        <w:t xml:space="preserve"> en que fueron su</w:t>
      </w:r>
      <w:r w:rsidR="00467429" w:rsidRPr="005A45C4">
        <w:rPr>
          <w:rFonts w:ascii="Bookman Old Style" w:hAnsi="Bookman Old Style"/>
          <w:bCs/>
          <w:i/>
          <w:iCs/>
        </w:rPr>
        <w:t>s</w:t>
      </w:r>
      <w:r w:rsidR="00896ECD" w:rsidRPr="005A45C4">
        <w:rPr>
          <w:rFonts w:ascii="Bookman Old Style" w:hAnsi="Bookman Old Style"/>
          <w:bCs/>
          <w:i/>
          <w:iCs/>
        </w:rPr>
        <w:t>critos</w:t>
      </w:r>
      <w:r w:rsidRPr="005A45C4">
        <w:rPr>
          <w:rFonts w:ascii="Bookman Old Style" w:hAnsi="Bookman Old Style"/>
          <w:bCs/>
          <w:i/>
          <w:iCs/>
        </w:rPr>
        <w:t xml:space="preserve"> </w:t>
      </w:r>
      <w:r w:rsidR="00467429" w:rsidRPr="005A45C4">
        <w:rPr>
          <w:rFonts w:ascii="Bookman Old Style" w:hAnsi="Bookman Old Style"/>
          <w:bCs/>
          <w:i/>
          <w:iCs/>
        </w:rPr>
        <w:t>los</w:t>
      </w:r>
      <w:r w:rsidRPr="005A45C4">
        <w:rPr>
          <w:rFonts w:ascii="Bookman Old Style" w:hAnsi="Bookman Old Style"/>
          <w:bCs/>
          <w:i/>
          <w:iCs/>
        </w:rPr>
        <w:t xml:space="preserve"> contratos</w:t>
      </w:r>
      <w:r w:rsidR="00467429" w:rsidRPr="005A45C4">
        <w:rPr>
          <w:rFonts w:ascii="Bookman Old Style" w:hAnsi="Bookman Old Style"/>
          <w:bCs/>
          <w:i/>
          <w:iCs/>
        </w:rPr>
        <w:t xml:space="preserve"> ya</w:t>
      </w:r>
      <w:r w:rsidRPr="005A45C4">
        <w:rPr>
          <w:rFonts w:ascii="Bookman Old Style" w:hAnsi="Bookman Old Style"/>
          <w:bCs/>
          <w:i/>
          <w:iCs/>
        </w:rPr>
        <w:t xml:space="preserve"> finalizados, sin que su plazo supere el 30 de agosto de 2026. </w:t>
      </w:r>
    </w:p>
    <w:p w14:paraId="1F032986" w14:textId="77777777" w:rsidR="00045D3D" w:rsidRPr="005A45C4" w:rsidRDefault="00045D3D" w:rsidP="00045D3D">
      <w:pPr>
        <w:rPr>
          <w:rFonts w:ascii="Bookman Old Style" w:hAnsi="Bookman Old Style"/>
        </w:rPr>
      </w:pPr>
    </w:p>
    <w:p w14:paraId="575CB3AC" w14:textId="3BB176A4" w:rsidR="00045D3D" w:rsidRPr="005A45C4" w:rsidRDefault="00045D3D" w:rsidP="00DF3CA2">
      <w:pPr>
        <w:ind w:left="0"/>
        <w:jc w:val="both"/>
        <w:rPr>
          <w:rFonts w:ascii="Bookman Old Style" w:hAnsi="Bookman Old Style"/>
          <w:iCs/>
        </w:rPr>
      </w:pPr>
      <w:r w:rsidRPr="005A45C4">
        <w:rPr>
          <w:rFonts w:ascii="Bookman Old Style" w:hAnsi="Bookman Old Style"/>
          <w:b/>
        </w:rPr>
        <w:t>ARTÍCULO 2.</w:t>
      </w:r>
      <w:r w:rsidR="008B68BA" w:rsidRPr="005A45C4">
        <w:rPr>
          <w:rFonts w:ascii="Bookman Old Style" w:hAnsi="Bookman Old Style"/>
          <w:iCs/>
          <w:sz w:val="22"/>
        </w:rPr>
        <w:t xml:space="preserve"> </w:t>
      </w:r>
      <w:r w:rsidR="00C83604" w:rsidRPr="005A45C4">
        <w:rPr>
          <w:rFonts w:ascii="Bookman Old Style" w:hAnsi="Bookman Old Style"/>
          <w:iCs/>
        </w:rPr>
        <w:t>Esta resolución rige a partir de su publicación en el</w:t>
      </w:r>
      <w:r w:rsidR="00C83604" w:rsidRPr="005A45C4">
        <w:rPr>
          <w:rFonts w:ascii="Bookman Old Style" w:hAnsi="Bookman Old Style"/>
          <w:i/>
        </w:rPr>
        <w:t xml:space="preserve"> Diario Oficial.</w:t>
      </w:r>
    </w:p>
    <w:p w14:paraId="1A65BDF4" w14:textId="77777777" w:rsidR="00045D3D" w:rsidRPr="005A45C4" w:rsidRDefault="00045D3D" w:rsidP="008B68BA">
      <w:pPr>
        <w:ind w:left="0"/>
        <w:jc w:val="both"/>
        <w:rPr>
          <w:rFonts w:ascii="Bookman Old Style" w:hAnsi="Bookman Old Style"/>
          <w:iCs/>
          <w:sz w:val="22"/>
        </w:rPr>
      </w:pPr>
    </w:p>
    <w:p w14:paraId="292B1F06" w14:textId="500965DE" w:rsidR="00045D3D" w:rsidRPr="005A45C4" w:rsidRDefault="00045D3D" w:rsidP="00045D3D">
      <w:pPr>
        <w:jc w:val="center"/>
        <w:rPr>
          <w:rFonts w:ascii="Bookman Old Style" w:hAnsi="Bookman Old Style"/>
          <w:b/>
        </w:rPr>
      </w:pPr>
      <w:r w:rsidRPr="005A45C4">
        <w:rPr>
          <w:rFonts w:ascii="Bookman Old Style" w:hAnsi="Bookman Old Style"/>
          <w:b/>
        </w:rPr>
        <w:t>PU</w:t>
      </w:r>
      <w:r w:rsidR="00CA03C8" w:rsidRPr="005A45C4">
        <w:rPr>
          <w:rFonts w:ascii="Bookman Old Style" w:hAnsi="Bookman Old Style"/>
          <w:b/>
        </w:rPr>
        <w:t>B</w:t>
      </w:r>
      <w:r w:rsidRPr="005A45C4">
        <w:rPr>
          <w:rFonts w:ascii="Bookman Old Style" w:hAnsi="Bookman Old Style"/>
          <w:b/>
        </w:rPr>
        <w:t>LÍQUESE Y CÚMPLASE</w:t>
      </w:r>
    </w:p>
    <w:p w14:paraId="7651F574" w14:textId="77777777" w:rsidR="00045D3D" w:rsidRPr="005A45C4" w:rsidRDefault="00045D3D" w:rsidP="00045D3D">
      <w:pPr>
        <w:rPr>
          <w:rFonts w:ascii="Bookman Old Style" w:hAnsi="Bookman Old Style"/>
        </w:rPr>
      </w:pPr>
    </w:p>
    <w:p w14:paraId="2A65BEAB" w14:textId="755CAE08" w:rsidR="00045D3D" w:rsidRPr="005A45C4" w:rsidRDefault="00045D3D" w:rsidP="00045D3D">
      <w:pPr>
        <w:ind w:left="0"/>
        <w:rPr>
          <w:rFonts w:ascii="Bookman Old Style" w:hAnsi="Bookman Old Style"/>
        </w:rPr>
      </w:pPr>
      <w:r w:rsidRPr="005A45C4">
        <w:rPr>
          <w:rFonts w:ascii="Bookman Old Style" w:hAnsi="Bookman Old Style"/>
        </w:rPr>
        <w:t>Dada en Bogotá, D.C.</w:t>
      </w:r>
      <w:r w:rsidR="00CA3AA6" w:rsidRPr="005A45C4">
        <w:rPr>
          <w:rFonts w:ascii="Bookman Old Style" w:hAnsi="Bookman Old Style"/>
        </w:rPr>
        <w:t xml:space="preserve"> a</w:t>
      </w:r>
      <w:r w:rsidR="00E91DB4" w:rsidRPr="005A45C4">
        <w:rPr>
          <w:rFonts w:ascii="Bookman Old Style" w:hAnsi="Bookman Old Style"/>
        </w:rPr>
        <w:t xml:space="preserve"> los </w:t>
      </w:r>
      <w:r w:rsidR="00581F2E" w:rsidRPr="005A45C4">
        <w:rPr>
          <w:rFonts w:ascii="Bookman Old Style" w:hAnsi="Bookman Old Style"/>
        </w:rPr>
        <w:t>17</w:t>
      </w:r>
      <w:r w:rsidR="00E91DB4" w:rsidRPr="005A45C4">
        <w:rPr>
          <w:rFonts w:ascii="Bookman Old Style" w:hAnsi="Bookman Old Style"/>
        </w:rPr>
        <w:t xml:space="preserve"> días de </w:t>
      </w:r>
      <w:r w:rsidR="00581F2E" w:rsidRPr="005A45C4">
        <w:rPr>
          <w:rFonts w:ascii="Bookman Old Style" w:hAnsi="Bookman Old Style"/>
        </w:rPr>
        <w:t>octubre</w:t>
      </w:r>
      <w:r w:rsidR="00E91DB4" w:rsidRPr="005A45C4">
        <w:rPr>
          <w:rFonts w:ascii="Bookman Old Style" w:hAnsi="Bookman Old Style"/>
        </w:rPr>
        <w:t xml:space="preserve"> de 2024</w:t>
      </w:r>
    </w:p>
    <w:p w14:paraId="1C505DDF" w14:textId="77777777" w:rsidR="00045D3D" w:rsidRPr="005A45C4" w:rsidRDefault="00045D3D" w:rsidP="00045D3D">
      <w:pPr>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F77D2D" w:rsidRPr="00666660" w14:paraId="1893E0FE" w14:textId="77777777" w:rsidTr="00C44E5F">
        <w:trPr>
          <w:jc w:val="center"/>
        </w:trPr>
        <w:tc>
          <w:tcPr>
            <w:tcW w:w="5067" w:type="dxa"/>
          </w:tcPr>
          <w:p w14:paraId="1490FA11" w14:textId="4783AA4A" w:rsidR="00257014" w:rsidRPr="005A45C4" w:rsidRDefault="00A07B83" w:rsidP="00C44E5F">
            <w:pPr>
              <w:tabs>
                <w:tab w:val="left" w:pos="-720"/>
              </w:tabs>
              <w:suppressAutoHyphens/>
              <w:ind w:left="0"/>
              <w:jc w:val="center"/>
              <w:rPr>
                <w:rFonts w:ascii="Bookman Old Style" w:hAnsi="Bookman Old Style" w:cs="Arial"/>
                <w:b/>
                <w:spacing w:val="-3"/>
              </w:rPr>
            </w:pPr>
            <w:r w:rsidRPr="005A45C4">
              <w:rPr>
                <w:rFonts w:ascii="Bookman Old Style" w:hAnsi="Bookman Old Style" w:cs="Arial"/>
                <w:b/>
                <w:spacing w:val="-3"/>
              </w:rPr>
              <w:t xml:space="preserve">OMAR ANDRÉS CAMACHO </w:t>
            </w:r>
          </w:p>
          <w:p w14:paraId="61DF825D" w14:textId="77777777" w:rsidR="00D479E2" w:rsidRPr="005A45C4" w:rsidRDefault="00F77D2D" w:rsidP="00C44E5F">
            <w:pPr>
              <w:tabs>
                <w:tab w:val="left" w:pos="-720"/>
              </w:tabs>
              <w:suppressAutoHyphens/>
              <w:ind w:left="0"/>
              <w:jc w:val="center"/>
            </w:pPr>
            <w:r w:rsidRPr="005A45C4">
              <w:rPr>
                <w:rFonts w:ascii="Bookman Old Style" w:hAnsi="Bookman Old Style"/>
              </w:rPr>
              <w:t>Ministro de Minas y Energía</w:t>
            </w:r>
          </w:p>
          <w:p w14:paraId="6AD75F25" w14:textId="2B727AD8" w:rsidR="00F77D2D" w:rsidRPr="005A45C4" w:rsidRDefault="00F77D2D" w:rsidP="00C44E5F">
            <w:pPr>
              <w:tabs>
                <w:tab w:val="left" w:pos="-720"/>
              </w:tabs>
              <w:suppressAutoHyphens/>
              <w:ind w:left="0"/>
              <w:jc w:val="center"/>
              <w:rPr>
                <w:rFonts w:ascii="Bookman Old Style" w:hAnsi="Bookman Old Style" w:cs="Arial"/>
                <w:b/>
                <w:strike/>
                <w:spacing w:val="-3"/>
              </w:rPr>
            </w:pPr>
            <w:r w:rsidRPr="005A45C4">
              <w:rPr>
                <w:rFonts w:ascii="Bookman Old Style" w:hAnsi="Bookman Old Style"/>
              </w:rPr>
              <w:t>Presidente</w:t>
            </w:r>
          </w:p>
        </w:tc>
        <w:tc>
          <w:tcPr>
            <w:tcW w:w="4429" w:type="dxa"/>
          </w:tcPr>
          <w:p w14:paraId="7E60EE1F" w14:textId="77777777" w:rsidR="00FE7295" w:rsidRPr="005A45C4" w:rsidRDefault="00FE7295" w:rsidP="00C44E5F">
            <w:pPr>
              <w:tabs>
                <w:tab w:val="left" w:pos="-720"/>
              </w:tabs>
              <w:suppressAutoHyphens/>
              <w:ind w:left="0"/>
              <w:jc w:val="center"/>
              <w:rPr>
                <w:rFonts w:ascii="Bookman Old Style" w:hAnsi="Bookman Old Style" w:cs="Arial"/>
                <w:b/>
              </w:rPr>
            </w:pPr>
            <w:r w:rsidRPr="005A45C4">
              <w:rPr>
                <w:rFonts w:ascii="Bookman Old Style" w:hAnsi="Bookman Old Style" w:cs="Arial"/>
                <w:b/>
              </w:rPr>
              <w:t>ANTONIO JIMÉNEZ RIVERA</w:t>
            </w:r>
          </w:p>
          <w:p w14:paraId="734E2950" w14:textId="730E15A2" w:rsidR="00F77D2D" w:rsidRPr="00666660" w:rsidRDefault="00F77D2D" w:rsidP="00C44E5F">
            <w:pPr>
              <w:tabs>
                <w:tab w:val="left" w:pos="-720"/>
              </w:tabs>
              <w:suppressAutoHyphens/>
              <w:ind w:left="0"/>
              <w:jc w:val="center"/>
              <w:rPr>
                <w:rFonts w:ascii="Bookman Old Style" w:hAnsi="Bookman Old Style" w:cs="Arial"/>
                <w:b/>
                <w:spacing w:val="-3"/>
              </w:rPr>
            </w:pPr>
            <w:r w:rsidRPr="005A45C4">
              <w:rPr>
                <w:rFonts w:ascii="Bookman Old Style" w:hAnsi="Bookman Old Style" w:cs="Arial"/>
                <w:spacing w:val="-3"/>
              </w:rPr>
              <w:t>Director Ejecutivo</w:t>
            </w:r>
          </w:p>
        </w:tc>
      </w:tr>
    </w:tbl>
    <w:p w14:paraId="185A0E4A" w14:textId="376CA2FC" w:rsidR="00E060BE" w:rsidRPr="00E060BE" w:rsidRDefault="00E060BE" w:rsidP="00B84F62">
      <w:pPr>
        <w:ind w:left="0"/>
        <w:rPr>
          <w:rFonts w:ascii="Bookman Old Style" w:hAnsi="Bookman Old Style" w:cs="Arial"/>
        </w:rPr>
      </w:pPr>
    </w:p>
    <w:sectPr w:rsidR="00E060BE" w:rsidRPr="00E060BE" w:rsidSect="005A59EF">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9EA21" w14:textId="77777777" w:rsidR="00636642" w:rsidRDefault="00636642">
      <w:r>
        <w:separator/>
      </w:r>
    </w:p>
  </w:endnote>
  <w:endnote w:type="continuationSeparator" w:id="0">
    <w:p w14:paraId="660E3F47" w14:textId="77777777" w:rsidR="00636642" w:rsidRDefault="0063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DDE89" w14:textId="77777777" w:rsidR="00636642" w:rsidRDefault="00636642">
      <w:r>
        <w:separator/>
      </w:r>
    </w:p>
  </w:footnote>
  <w:footnote w:type="continuationSeparator" w:id="0">
    <w:p w14:paraId="39D64C59" w14:textId="77777777" w:rsidR="00636642" w:rsidRDefault="0063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0B4AA2E4"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 xml:space="preserve">RESOLUCIÓN </w:t>
    </w:r>
    <w:proofErr w:type="gramStart"/>
    <w:r w:rsidRPr="00654384">
      <w:rPr>
        <w:rFonts w:ascii="Bookman Old Style" w:hAnsi="Bookman Old Style" w:cs="Arial"/>
        <w:b w:val="0"/>
        <w:sz w:val="22"/>
        <w:szCs w:val="22"/>
      </w:rPr>
      <w:t>No.</w:t>
    </w:r>
    <w:r w:rsidR="00951F79">
      <w:rPr>
        <w:rFonts w:ascii="Bookman Old Style" w:hAnsi="Bookman Old Style" w:cs="Arial"/>
        <w:b w:val="0"/>
        <w:sz w:val="22"/>
        <w:szCs w:val="22"/>
      </w:rPr>
      <w:t xml:space="preserve"> </w:t>
    </w:r>
    <w:r w:rsidR="005A45C4">
      <w:rPr>
        <w:rFonts w:ascii="Bookman Old Style" w:hAnsi="Bookman Old Style" w:cs="Arial"/>
        <w:b w:val="0"/>
        <w:sz w:val="22"/>
        <w:szCs w:val="22"/>
      </w:rPr>
      <w:t xml:space="preserve">  </w:t>
    </w:r>
    <w:proofErr w:type="gramEnd"/>
    <w:r w:rsidR="005A45C4">
      <w:rPr>
        <w:rFonts w:ascii="Bookman Old Style" w:hAnsi="Bookman Old Style" w:cs="Arial"/>
        <w:b w:val="0"/>
        <w:sz w:val="22"/>
        <w:szCs w:val="22"/>
      </w:rPr>
      <w:t xml:space="preserve">      </w:t>
    </w:r>
    <w:r w:rsidR="00951F79">
      <w:rPr>
        <w:rFonts w:ascii="Bookman Old Style" w:hAnsi="Bookman Old Style" w:cs="Arial"/>
        <w:b w:val="0"/>
        <w:sz w:val="22"/>
        <w:szCs w:val="22"/>
      </w:rPr>
      <w:t xml:space="preserve"> </w:t>
    </w:r>
    <w:r w:rsidR="005A45C4" w:rsidRPr="005A45C4">
      <w:rPr>
        <w:rFonts w:ascii="Bookman Old Style" w:hAnsi="Bookman Old Style" w:cs="Arial"/>
        <w:bCs/>
        <w:sz w:val="22"/>
        <w:szCs w:val="22"/>
        <w:u w:val="single"/>
      </w:rPr>
      <w:t>101 060</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5A45C4">
      <w:rPr>
        <w:rFonts w:ascii="Bookman Old Style" w:hAnsi="Bookman Old Style" w:cs="Arial"/>
        <w:b w:val="0"/>
        <w:sz w:val="22"/>
        <w:szCs w:val="22"/>
      </w:rPr>
      <w:t xml:space="preserve">   </w:t>
    </w:r>
    <w:r w:rsidR="000D26F8">
      <w:rPr>
        <w:rFonts w:ascii="Bookman Old Style" w:hAnsi="Bookman Old Style" w:cs="Arial"/>
        <w:b w:val="0"/>
        <w:sz w:val="22"/>
        <w:szCs w:val="22"/>
      </w:rPr>
      <w:t xml:space="preserve"> </w:t>
    </w:r>
    <w:r w:rsidR="005A45C4" w:rsidRPr="005A45C4">
      <w:rPr>
        <w:rFonts w:ascii="Bookman Old Style" w:hAnsi="Bookman Old Style"/>
        <w:bCs/>
        <w:szCs w:val="24"/>
        <w:u w:val="single"/>
      </w:rPr>
      <w:t>17 OCT.2024</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7216"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34B44A8B" w:rsidR="00045D3D" w:rsidRPr="00045D3D" w:rsidRDefault="00D20F80" w:rsidP="00045D3D">
    <w:pPr>
      <w:ind w:left="0"/>
      <w:jc w:val="both"/>
      <w:rPr>
        <w:rFonts w:ascii="Bookman Old Style" w:hAnsi="Bookman Old Style"/>
        <w:sz w:val="22"/>
        <w:szCs w:val="22"/>
      </w:rPr>
    </w:pPr>
    <w:r w:rsidRPr="00D20F80">
      <w:rPr>
        <w:rFonts w:ascii="Bookman Old Style" w:hAnsi="Bookman Old Style"/>
        <w:sz w:val="22"/>
        <w:szCs w:val="22"/>
      </w:rPr>
      <w:t xml:space="preserve">Por la cual se modifica </w:t>
    </w:r>
    <w:r w:rsidR="00A61C0A">
      <w:rPr>
        <w:rFonts w:ascii="Bookman Old Style" w:hAnsi="Bookman Old Style"/>
        <w:sz w:val="22"/>
        <w:szCs w:val="22"/>
      </w:rPr>
      <w:t>numeral 17.1 d</w:t>
    </w:r>
    <w:r w:rsidRPr="00D20F80">
      <w:rPr>
        <w:rFonts w:ascii="Bookman Old Style" w:hAnsi="Bookman Old Style"/>
        <w:sz w:val="22"/>
        <w:szCs w:val="22"/>
      </w:rPr>
      <w:t>el artículo 17 de la Resolución CREG 101 021 de 2022</w:t>
    </w:r>
    <w:r w:rsidR="00045D3D" w:rsidRPr="00045D3D">
      <w:rPr>
        <w:rFonts w:ascii="Bookman Old Style" w:hAnsi="Bookman Old Style"/>
        <w:sz w:val="22"/>
        <w:szCs w:val="22"/>
      </w:rPr>
      <w:t xml:space="preserve"> </w: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0"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1"/>
  </w:num>
  <w:num w:numId="2" w16cid:durableId="1497382030">
    <w:abstractNumId w:val="5"/>
  </w:num>
  <w:num w:numId="3" w16cid:durableId="1643658739">
    <w:abstractNumId w:val="20"/>
  </w:num>
  <w:num w:numId="4" w16cid:durableId="1416053916">
    <w:abstractNumId w:val="6"/>
  </w:num>
  <w:num w:numId="5" w16cid:durableId="1460681335">
    <w:abstractNumId w:val="15"/>
  </w:num>
  <w:num w:numId="6" w16cid:durableId="432214895">
    <w:abstractNumId w:val="4"/>
  </w:num>
  <w:num w:numId="7" w16cid:durableId="845751384">
    <w:abstractNumId w:val="3"/>
  </w:num>
  <w:num w:numId="8" w16cid:durableId="29301030">
    <w:abstractNumId w:val="17"/>
  </w:num>
  <w:num w:numId="9" w16cid:durableId="2003662021">
    <w:abstractNumId w:val="16"/>
  </w:num>
  <w:num w:numId="10" w16cid:durableId="2014674860">
    <w:abstractNumId w:val="12"/>
  </w:num>
  <w:num w:numId="11" w16cid:durableId="958032325">
    <w:abstractNumId w:val="21"/>
  </w:num>
  <w:num w:numId="12" w16cid:durableId="1838691975">
    <w:abstractNumId w:val="19"/>
  </w:num>
  <w:num w:numId="13" w16cid:durableId="273679532">
    <w:abstractNumId w:val="10"/>
  </w:num>
  <w:num w:numId="14" w16cid:durableId="2070683866">
    <w:abstractNumId w:val="2"/>
  </w:num>
  <w:num w:numId="15" w16cid:durableId="1975476040">
    <w:abstractNumId w:val="13"/>
  </w:num>
  <w:num w:numId="16" w16cid:durableId="83963299">
    <w:abstractNumId w:val="1"/>
  </w:num>
  <w:num w:numId="17" w16cid:durableId="353533871">
    <w:abstractNumId w:val="9"/>
  </w:num>
  <w:num w:numId="18" w16cid:durableId="788664195">
    <w:abstractNumId w:val="0"/>
  </w:num>
  <w:num w:numId="19" w16cid:durableId="1454788596">
    <w:abstractNumId w:val="18"/>
  </w:num>
  <w:num w:numId="20" w16cid:durableId="1999069271">
    <w:abstractNumId w:val="14"/>
  </w:num>
  <w:num w:numId="21" w16cid:durableId="1075667280">
    <w:abstractNumId w:val="7"/>
  </w:num>
  <w:num w:numId="22" w16cid:durableId="40371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07BCB"/>
    <w:rsid w:val="00012259"/>
    <w:rsid w:val="00025383"/>
    <w:rsid w:val="00036101"/>
    <w:rsid w:val="00045D3D"/>
    <w:rsid w:val="00063657"/>
    <w:rsid w:val="000640B2"/>
    <w:rsid w:val="00076680"/>
    <w:rsid w:val="00076A1D"/>
    <w:rsid w:val="000772FD"/>
    <w:rsid w:val="0008073E"/>
    <w:rsid w:val="00091CDB"/>
    <w:rsid w:val="000A19AC"/>
    <w:rsid w:val="000B2EC9"/>
    <w:rsid w:val="000D26F8"/>
    <w:rsid w:val="000F29DF"/>
    <w:rsid w:val="00106654"/>
    <w:rsid w:val="0013526C"/>
    <w:rsid w:val="00136EFC"/>
    <w:rsid w:val="001405C6"/>
    <w:rsid w:val="00141013"/>
    <w:rsid w:val="001708C6"/>
    <w:rsid w:val="00192CBF"/>
    <w:rsid w:val="00192FF1"/>
    <w:rsid w:val="001A5F1B"/>
    <w:rsid w:val="001B1C22"/>
    <w:rsid w:val="001B34C6"/>
    <w:rsid w:val="001D7832"/>
    <w:rsid w:val="001E07DB"/>
    <w:rsid w:val="001F6BB1"/>
    <w:rsid w:val="00210DC1"/>
    <w:rsid w:val="00211D34"/>
    <w:rsid w:val="00212E6C"/>
    <w:rsid w:val="00214F04"/>
    <w:rsid w:val="002352B9"/>
    <w:rsid w:val="00257014"/>
    <w:rsid w:val="00266CD6"/>
    <w:rsid w:val="002673AC"/>
    <w:rsid w:val="00275DAB"/>
    <w:rsid w:val="00277F1F"/>
    <w:rsid w:val="002903C0"/>
    <w:rsid w:val="002A782A"/>
    <w:rsid w:val="002B11E2"/>
    <w:rsid w:val="002B24B8"/>
    <w:rsid w:val="002C1C64"/>
    <w:rsid w:val="002D3AE9"/>
    <w:rsid w:val="002D4510"/>
    <w:rsid w:val="002D700C"/>
    <w:rsid w:val="002E3F45"/>
    <w:rsid w:val="002F0734"/>
    <w:rsid w:val="002F175F"/>
    <w:rsid w:val="002F46E7"/>
    <w:rsid w:val="00306584"/>
    <w:rsid w:val="003101DA"/>
    <w:rsid w:val="003111C3"/>
    <w:rsid w:val="00314757"/>
    <w:rsid w:val="003163BC"/>
    <w:rsid w:val="003211CE"/>
    <w:rsid w:val="0035403A"/>
    <w:rsid w:val="0036394B"/>
    <w:rsid w:val="00366DB6"/>
    <w:rsid w:val="003675D7"/>
    <w:rsid w:val="003709B5"/>
    <w:rsid w:val="003759C2"/>
    <w:rsid w:val="00382C56"/>
    <w:rsid w:val="00397365"/>
    <w:rsid w:val="003A0719"/>
    <w:rsid w:val="003A31F6"/>
    <w:rsid w:val="003C3447"/>
    <w:rsid w:val="003D076C"/>
    <w:rsid w:val="003E78B5"/>
    <w:rsid w:val="003F7D75"/>
    <w:rsid w:val="0040393A"/>
    <w:rsid w:val="00415BAB"/>
    <w:rsid w:val="00415ED2"/>
    <w:rsid w:val="0042068C"/>
    <w:rsid w:val="0044318E"/>
    <w:rsid w:val="00443B35"/>
    <w:rsid w:val="0045488D"/>
    <w:rsid w:val="00467429"/>
    <w:rsid w:val="0047122B"/>
    <w:rsid w:val="00473B7A"/>
    <w:rsid w:val="00490045"/>
    <w:rsid w:val="004960E9"/>
    <w:rsid w:val="004A2E88"/>
    <w:rsid w:val="004A5305"/>
    <w:rsid w:val="004D7634"/>
    <w:rsid w:val="004E611A"/>
    <w:rsid w:val="004F6460"/>
    <w:rsid w:val="004F7189"/>
    <w:rsid w:val="005300D3"/>
    <w:rsid w:val="00535D6E"/>
    <w:rsid w:val="00542A10"/>
    <w:rsid w:val="00544F82"/>
    <w:rsid w:val="005451E6"/>
    <w:rsid w:val="005509D2"/>
    <w:rsid w:val="0057605C"/>
    <w:rsid w:val="00581F2E"/>
    <w:rsid w:val="00593C4F"/>
    <w:rsid w:val="005946A8"/>
    <w:rsid w:val="005A4407"/>
    <w:rsid w:val="005A45C4"/>
    <w:rsid w:val="005A51BB"/>
    <w:rsid w:val="005A59EF"/>
    <w:rsid w:val="005B1C7E"/>
    <w:rsid w:val="005B5C99"/>
    <w:rsid w:val="005C6976"/>
    <w:rsid w:val="005D228D"/>
    <w:rsid w:val="005F5759"/>
    <w:rsid w:val="005F6F41"/>
    <w:rsid w:val="00613984"/>
    <w:rsid w:val="00625DC6"/>
    <w:rsid w:val="00636642"/>
    <w:rsid w:val="0064391D"/>
    <w:rsid w:val="00651821"/>
    <w:rsid w:val="00654182"/>
    <w:rsid w:val="00654384"/>
    <w:rsid w:val="006675CD"/>
    <w:rsid w:val="006704C7"/>
    <w:rsid w:val="0067432F"/>
    <w:rsid w:val="00684D9B"/>
    <w:rsid w:val="0068510A"/>
    <w:rsid w:val="00697556"/>
    <w:rsid w:val="006B4647"/>
    <w:rsid w:val="006B4C2B"/>
    <w:rsid w:val="006B6194"/>
    <w:rsid w:val="006B6D47"/>
    <w:rsid w:val="006C5AFE"/>
    <w:rsid w:val="006E0799"/>
    <w:rsid w:val="006E2939"/>
    <w:rsid w:val="006F2EC8"/>
    <w:rsid w:val="006F6D95"/>
    <w:rsid w:val="00706F13"/>
    <w:rsid w:val="007072E8"/>
    <w:rsid w:val="0071618D"/>
    <w:rsid w:val="00725FA4"/>
    <w:rsid w:val="00740446"/>
    <w:rsid w:val="007438A9"/>
    <w:rsid w:val="0074491E"/>
    <w:rsid w:val="00760890"/>
    <w:rsid w:val="0076247A"/>
    <w:rsid w:val="00767862"/>
    <w:rsid w:val="00775964"/>
    <w:rsid w:val="007765FE"/>
    <w:rsid w:val="00777D3C"/>
    <w:rsid w:val="007912C3"/>
    <w:rsid w:val="00791F6D"/>
    <w:rsid w:val="0079465E"/>
    <w:rsid w:val="00794E2E"/>
    <w:rsid w:val="00795BFB"/>
    <w:rsid w:val="00797CC3"/>
    <w:rsid w:val="007A6181"/>
    <w:rsid w:val="007B2760"/>
    <w:rsid w:val="007B5A60"/>
    <w:rsid w:val="007E36AB"/>
    <w:rsid w:val="007F1DC7"/>
    <w:rsid w:val="007F3299"/>
    <w:rsid w:val="00802963"/>
    <w:rsid w:val="00806C01"/>
    <w:rsid w:val="008135DA"/>
    <w:rsid w:val="008148CC"/>
    <w:rsid w:val="0082086F"/>
    <w:rsid w:val="008211A4"/>
    <w:rsid w:val="00834EC5"/>
    <w:rsid w:val="0084693A"/>
    <w:rsid w:val="00873150"/>
    <w:rsid w:val="0087657D"/>
    <w:rsid w:val="008807D5"/>
    <w:rsid w:val="00880832"/>
    <w:rsid w:val="00886EE1"/>
    <w:rsid w:val="0088727D"/>
    <w:rsid w:val="00890EDF"/>
    <w:rsid w:val="00896ECD"/>
    <w:rsid w:val="00897642"/>
    <w:rsid w:val="00897C75"/>
    <w:rsid w:val="008B34E8"/>
    <w:rsid w:val="008B68BA"/>
    <w:rsid w:val="008C1130"/>
    <w:rsid w:val="008D18E6"/>
    <w:rsid w:val="008D7A9B"/>
    <w:rsid w:val="008E0060"/>
    <w:rsid w:val="008E7091"/>
    <w:rsid w:val="008E76AC"/>
    <w:rsid w:val="008F21F6"/>
    <w:rsid w:val="00900F2D"/>
    <w:rsid w:val="00941945"/>
    <w:rsid w:val="00951F79"/>
    <w:rsid w:val="00955AE9"/>
    <w:rsid w:val="00974AB5"/>
    <w:rsid w:val="0098706D"/>
    <w:rsid w:val="009935FB"/>
    <w:rsid w:val="009B7D44"/>
    <w:rsid w:val="009E68E6"/>
    <w:rsid w:val="009F4A54"/>
    <w:rsid w:val="009F4BEC"/>
    <w:rsid w:val="009F5874"/>
    <w:rsid w:val="00A06511"/>
    <w:rsid w:val="00A07ADE"/>
    <w:rsid w:val="00A07B83"/>
    <w:rsid w:val="00A1242B"/>
    <w:rsid w:val="00A141F5"/>
    <w:rsid w:val="00A25FD7"/>
    <w:rsid w:val="00A30143"/>
    <w:rsid w:val="00A3062D"/>
    <w:rsid w:val="00A363C9"/>
    <w:rsid w:val="00A43AFF"/>
    <w:rsid w:val="00A61C0A"/>
    <w:rsid w:val="00A7793A"/>
    <w:rsid w:val="00A950C0"/>
    <w:rsid w:val="00AA4CC7"/>
    <w:rsid w:val="00AA5E8E"/>
    <w:rsid w:val="00AA78EC"/>
    <w:rsid w:val="00AB0C6C"/>
    <w:rsid w:val="00AB2BAD"/>
    <w:rsid w:val="00AB6CA7"/>
    <w:rsid w:val="00AC28A9"/>
    <w:rsid w:val="00AD01E4"/>
    <w:rsid w:val="00AD0858"/>
    <w:rsid w:val="00AD5B4A"/>
    <w:rsid w:val="00AE02E3"/>
    <w:rsid w:val="00AE7340"/>
    <w:rsid w:val="00AF1BBD"/>
    <w:rsid w:val="00B0684E"/>
    <w:rsid w:val="00B10207"/>
    <w:rsid w:val="00B141E7"/>
    <w:rsid w:val="00B16A46"/>
    <w:rsid w:val="00B2503B"/>
    <w:rsid w:val="00B33634"/>
    <w:rsid w:val="00B351B4"/>
    <w:rsid w:val="00B46BCA"/>
    <w:rsid w:val="00B478AA"/>
    <w:rsid w:val="00B84F62"/>
    <w:rsid w:val="00B87806"/>
    <w:rsid w:val="00B87EC9"/>
    <w:rsid w:val="00B96A09"/>
    <w:rsid w:val="00BA1A8D"/>
    <w:rsid w:val="00BA3947"/>
    <w:rsid w:val="00BA404E"/>
    <w:rsid w:val="00BB1E1D"/>
    <w:rsid w:val="00BC38FD"/>
    <w:rsid w:val="00BF38C2"/>
    <w:rsid w:val="00C034CB"/>
    <w:rsid w:val="00C04DE0"/>
    <w:rsid w:val="00C051A8"/>
    <w:rsid w:val="00C054BC"/>
    <w:rsid w:val="00C127FC"/>
    <w:rsid w:val="00C17897"/>
    <w:rsid w:val="00C2061F"/>
    <w:rsid w:val="00C409D5"/>
    <w:rsid w:val="00C435C3"/>
    <w:rsid w:val="00C44E5F"/>
    <w:rsid w:val="00C51B7C"/>
    <w:rsid w:val="00C5761E"/>
    <w:rsid w:val="00C6234B"/>
    <w:rsid w:val="00C63EAE"/>
    <w:rsid w:val="00C73260"/>
    <w:rsid w:val="00C7629F"/>
    <w:rsid w:val="00C83604"/>
    <w:rsid w:val="00C8661B"/>
    <w:rsid w:val="00C976D3"/>
    <w:rsid w:val="00CA03C8"/>
    <w:rsid w:val="00CA139A"/>
    <w:rsid w:val="00CA2899"/>
    <w:rsid w:val="00CA3894"/>
    <w:rsid w:val="00CA3A3D"/>
    <w:rsid w:val="00CA3AA6"/>
    <w:rsid w:val="00CA77FB"/>
    <w:rsid w:val="00CB379B"/>
    <w:rsid w:val="00CB5DD0"/>
    <w:rsid w:val="00CC51D4"/>
    <w:rsid w:val="00CC65DA"/>
    <w:rsid w:val="00CE61EB"/>
    <w:rsid w:val="00CF21B9"/>
    <w:rsid w:val="00CF6BF9"/>
    <w:rsid w:val="00D03800"/>
    <w:rsid w:val="00D065D3"/>
    <w:rsid w:val="00D14C94"/>
    <w:rsid w:val="00D20F80"/>
    <w:rsid w:val="00D342A6"/>
    <w:rsid w:val="00D45CA6"/>
    <w:rsid w:val="00D464BF"/>
    <w:rsid w:val="00D479E2"/>
    <w:rsid w:val="00D52AC2"/>
    <w:rsid w:val="00D53E26"/>
    <w:rsid w:val="00D83F43"/>
    <w:rsid w:val="00DB182C"/>
    <w:rsid w:val="00DB461B"/>
    <w:rsid w:val="00DC5B45"/>
    <w:rsid w:val="00DD4F0E"/>
    <w:rsid w:val="00DD5177"/>
    <w:rsid w:val="00DF0BF0"/>
    <w:rsid w:val="00DF16F5"/>
    <w:rsid w:val="00DF3CA2"/>
    <w:rsid w:val="00DF753F"/>
    <w:rsid w:val="00E01463"/>
    <w:rsid w:val="00E05E0A"/>
    <w:rsid w:val="00E060BE"/>
    <w:rsid w:val="00E32298"/>
    <w:rsid w:val="00E343AF"/>
    <w:rsid w:val="00E534CF"/>
    <w:rsid w:val="00E63920"/>
    <w:rsid w:val="00E7537F"/>
    <w:rsid w:val="00E81CB4"/>
    <w:rsid w:val="00E8585B"/>
    <w:rsid w:val="00E87F41"/>
    <w:rsid w:val="00E91DB4"/>
    <w:rsid w:val="00EA3F15"/>
    <w:rsid w:val="00EA7847"/>
    <w:rsid w:val="00EB43B4"/>
    <w:rsid w:val="00EB4C2F"/>
    <w:rsid w:val="00EE2E6E"/>
    <w:rsid w:val="00F0759E"/>
    <w:rsid w:val="00F07FF8"/>
    <w:rsid w:val="00F1548E"/>
    <w:rsid w:val="00F16A43"/>
    <w:rsid w:val="00F46780"/>
    <w:rsid w:val="00F50FE5"/>
    <w:rsid w:val="00F55DB1"/>
    <w:rsid w:val="00F6179B"/>
    <w:rsid w:val="00F671C3"/>
    <w:rsid w:val="00F73326"/>
    <w:rsid w:val="00F77D2D"/>
    <w:rsid w:val="00F81CE1"/>
    <w:rsid w:val="00F821A3"/>
    <w:rsid w:val="00F9314A"/>
    <w:rsid w:val="00F940B2"/>
    <w:rsid w:val="00FA7C85"/>
    <w:rsid w:val="00FC58EF"/>
    <w:rsid w:val="00FD15D2"/>
    <w:rsid w:val="00FD2547"/>
    <w:rsid w:val="00FD33DF"/>
    <w:rsid w:val="00FD48FA"/>
    <w:rsid w:val="00FE39D7"/>
    <w:rsid w:val="00FE72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Revisin">
    <w:name w:val="Revision"/>
    <w:hidden/>
    <w:uiPriority w:val="99"/>
    <w:semiHidden/>
    <w:rsid w:val="005451E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1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8C42CE87DF4F4FA9E3AB51A63EFD9C" ma:contentTypeVersion="15" ma:contentTypeDescription="Crear nuevo documento." ma:contentTypeScope="" ma:versionID="4f14dbd190b07184d47c8ee629d52765">
  <xsd:schema xmlns:xsd="http://www.w3.org/2001/XMLSchema" xmlns:xs="http://www.w3.org/2001/XMLSchema" xmlns:p="http://schemas.microsoft.com/office/2006/metadata/properties" xmlns:ns2="442751cd-85a6-4d9f-a3da-9ea20e9e0a20" xmlns:ns3="bbe900ca-133d-4e71-bf25-4fa3d6075698" targetNamespace="http://schemas.microsoft.com/office/2006/metadata/properties" ma:root="true" ma:fieldsID="17cde56d952778eaebc6c570ef461e61" ns2:_="" ns3:_="">
    <xsd:import namespace="442751cd-85a6-4d9f-a3da-9ea20e9e0a20"/>
    <xsd:import namespace="bbe900ca-133d-4e71-bf25-4fa3d60756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751cd-85a6-4d9f-a3da-9ea20e9e0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900ca-133d-4e71-bf25-4fa3d607569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48c527d9-7727-4564-9d15-815acd2d3370}" ma:internalName="TaxCatchAll" ma:showField="CatchAllData" ma:web="bbe900ca-133d-4e71-bf25-4fa3d6075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16DF8-AAB5-45C0-BBB2-0E926F84C623}">
  <ds:schemaRefs>
    <ds:schemaRef ds:uri="http://schemas.openxmlformats.org/officeDocument/2006/bibliography"/>
  </ds:schemaRefs>
</ds:datastoreItem>
</file>

<file path=customXml/itemProps2.xml><?xml version="1.0" encoding="utf-8"?>
<ds:datastoreItem xmlns:ds="http://schemas.openxmlformats.org/officeDocument/2006/customXml" ds:itemID="{761FFBA1-E4F3-4010-9A53-CA5289F3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751cd-85a6-4d9f-a3da-9ea20e9e0a20"/>
    <ds:schemaRef ds:uri="bbe900ca-133d-4e71-bf25-4fa3d6075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76549-0B24-4E19-AC1F-8CFB02F24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40</TotalTime>
  <Pages>4</Pages>
  <Words>1598</Words>
  <Characters>8790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20</cp:revision>
  <cp:lastPrinted>2011-07-21T13:53:00Z</cp:lastPrinted>
  <dcterms:created xsi:type="dcterms:W3CDTF">2024-10-17T19:10:00Z</dcterms:created>
  <dcterms:modified xsi:type="dcterms:W3CDTF">2024-11-14T20:56:00Z</dcterms:modified>
</cp:coreProperties>
</file>