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88EEE" w14:textId="77777777" w:rsidR="002953DC" w:rsidRPr="00CA4DEA" w:rsidRDefault="002953DC" w:rsidP="001653F2">
      <w:pPr>
        <w:rPr>
          <w:rFonts w:ascii="Helvetica" w:hAnsi="Helvetica" w:cs="Helvetica"/>
          <w:kern w:val="0"/>
          <w:sz w:val="24"/>
          <w:szCs w:val="24"/>
          <w:lang w:val="es-MX"/>
          <w14:ligatures w14:val="none"/>
        </w:rPr>
      </w:pPr>
    </w:p>
    <w:p w14:paraId="17A2D1B3" w14:textId="77777777" w:rsidR="00CA4DEA" w:rsidRPr="00CA4DEA" w:rsidRDefault="00CA4DEA" w:rsidP="00CA4DEA">
      <w:pPr>
        <w:rPr>
          <w:rFonts w:ascii="Helvetica" w:hAnsi="Helvetica" w:cs="Helvetica"/>
          <w:lang w:val="es-MX"/>
        </w:rPr>
      </w:pPr>
      <w:r w:rsidRPr="00CA4DEA">
        <w:rPr>
          <w:rFonts w:ascii="Helvetica" w:hAnsi="Helvetica" w:cs="Helvetica"/>
          <w:lang w:val="es-MX"/>
        </w:rPr>
        <w:t xml:space="preserve">Bogotá, D. C.,  </w:t>
      </w:r>
      <w:r w:rsidRPr="00CA4DEA">
        <w:rPr>
          <w:rFonts w:ascii="Helvetica" w:hAnsi="Helvetica" w:cs="Helvetica"/>
          <w:lang w:val="es-MX"/>
        </w:rPr>
        <w:fldChar w:fldCharType="begin"/>
      </w:r>
      <w:r w:rsidRPr="00CA4DEA">
        <w:rPr>
          <w:rFonts w:ascii="Helvetica" w:hAnsi="Helvetica" w:cs="Helvetica"/>
          <w:lang w:val="es-MX"/>
        </w:rPr>
        <w:instrText xml:space="preserve"> MERGEFIELD  Fecha  \* MERGEFORMAT </w:instrText>
      </w:r>
      <w:r w:rsidRPr="00CA4DEA">
        <w:rPr>
          <w:rFonts w:ascii="Helvetica" w:hAnsi="Helvetica" w:cs="Helvetica"/>
          <w:lang w:val="es-MX"/>
        </w:rPr>
        <w:fldChar w:fldCharType="separate"/>
      </w:r>
      <w:r w:rsidRPr="00CA4DEA">
        <w:rPr>
          <w:rFonts w:ascii="Helvetica" w:hAnsi="Helvetica" w:cs="Helvetica"/>
          <w:noProof/>
          <w:lang w:val="es-MX"/>
        </w:rPr>
        <w:t>20 de septiembre de 2024</w:t>
      </w:r>
      <w:r w:rsidRPr="00CA4DEA">
        <w:rPr>
          <w:rFonts w:ascii="Helvetica" w:hAnsi="Helvetica" w:cs="Helvetica"/>
          <w:lang w:val="es-MX"/>
        </w:rPr>
        <w:fldChar w:fldCharType="end"/>
      </w:r>
    </w:p>
    <w:p w14:paraId="5C537AEB" w14:textId="77777777" w:rsidR="00CA4DEA" w:rsidRPr="00CA4DEA" w:rsidRDefault="00CA4DEA" w:rsidP="00CA4DEA">
      <w:pPr>
        <w:pStyle w:val="Encabezado"/>
        <w:rPr>
          <w:rFonts w:ascii="Helvetica" w:hAnsi="Helvetica" w:cs="Helvetica"/>
          <w:lang w:val="es-MX"/>
        </w:rPr>
      </w:pPr>
    </w:p>
    <w:p w14:paraId="099F80BC" w14:textId="77777777" w:rsidR="00CA4DEA" w:rsidRPr="00CA4DEA" w:rsidRDefault="00CA4DEA" w:rsidP="00CA4DEA">
      <w:pPr>
        <w:rPr>
          <w:rFonts w:ascii="Helvetica" w:hAnsi="Helvetica" w:cs="Helvetica"/>
          <w:lang w:val="es-MX"/>
        </w:rPr>
      </w:pPr>
    </w:p>
    <w:p w14:paraId="471A6D56" w14:textId="04A39A45" w:rsidR="00CA4DEA" w:rsidRDefault="00CA4DEA" w:rsidP="00CA4DEA">
      <w:pPr>
        <w:jc w:val="center"/>
        <w:rPr>
          <w:rFonts w:ascii="Helvetica" w:hAnsi="Helvetica" w:cs="Helvetica"/>
          <w:b/>
          <w:bCs/>
          <w:lang w:val="es-MX"/>
        </w:rPr>
      </w:pPr>
      <w:r w:rsidRPr="00CA4DEA">
        <w:rPr>
          <w:rFonts w:ascii="Helvetica" w:hAnsi="Helvetica" w:cs="Helvetica"/>
          <w:b/>
          <w:bCs/>
          <w:lang w:val="es-MX"/>
        </w:rPr>
        <w:t xml:space="preserve">AUTO </w:t>
      </w:r>
      <w:r w:rsidRPr="00CA4DEA">
        <w:rPr>
          <w:rFonts w:ascii="Helvetica" w:hAnsi="Helvetica" w:cs="Helvetica"/>
          <w:b/>
          <w:bCs/>
          <w:lang w:val="es-MX"/>
        </w:rPr>
        <w:fldChar w:fldCharType="begin"/>
      </w:r>
      <w:r w:rsidRPr="00CA4DEA">
        <w:rPr>
          <w:rFonts w:ascii="Helvetica" w:hAnsi="Helvetica" w:cs="Helvetica"/>
          <w:b/>
          <w:bCs/>
          <w:lang w:val="es-MX"/>
        </w:rPr>
        <w:instrText xml:space="preserve"> MERGEFIELD  Fecha  \* MERGEFORMAT </w:instrText>
      </w:r>
      <w:r w:rsidRPr="00CA4DEA">
        <w:rPr>
          <w:rFonts w:ascii="Helvetica" w:hAnsi="Helvetica" w:cs="Helvetica"/>
          <w:b/>
          <w:bCs/>
          <w:lang w:val="es-MX"/>
        </w:rPr>
        <w:fldChar w:fldCharType="separate"/>
      </w:r>
      <w:r w:rsidRPr="00CA4DEA">
        <w:rPr>
          <w:rFonts w:ascii="Helvetica" w:hAnsi="Helvetica" w:cs="Helvetica"/>
          <w:b/>
          <w:bCs/>
          <w:noProof/>
          <w:lang w:val="es-MX"/>
        </w:rPr>
        <w:t>0000349 de 2024</w:t>
      </w:r>
      <w:r w:rsidRPr="00CA4DEA">
        <w:rPr>
          <w:rFonts w:ascii="Helvetica" w:hAnsi="Helvetica" w:cs="Helvetica"/>
          <w:b/>
          <w:bCs/>
          <w:lang w:val="es-MX"/>
        </w:rPr>
        <w:fldChar w:fldCharType="end"/>
      </w:r>
    </w:p>
    <w:p w14:paraId="2E3F7368" w14:textId="77777777" w:rsidR="007D1A94" w:rsidRPr="00CA4DEA" w:rsidRDefault="007D1A94" w:rsidP="00CA4DEA">
      <w:pPr>
        <w:jc w:val="center"/>
        <w:rPr>
          <w:rFonts w:ascii="Helvetica" w:hAnsi="Helvetica" w:cs="Helvetica"/>
          <w:b/>
          <w:bCs/>
          <w:lang w:val="es-MX"/>
        </w:rPr>
      </w:pPr>
    </w:p>
    <w:p w14:paraId="6E4B5001" w14:textId="77777777" w:rsidR="002953DC" w:rsidRPr="00CA4DEA" w:rsidRDefault="002953DC" w:rsidP="006E4FD7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LA COMISIÓN DE REGULACIÓN DE ENERGÍA Y GAS</w:t>
      </w:r>
    </w:p>
    <w:p w14:paraId="5A493990" w14:textId="77777777" w:rsidR="002953DC" w:rsidRPr="00CA4DEA" w:rsidRDefault="002953DC" w:rsidP="007C70CF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DIRECCIÓN EJECUTIVA</w:t>
      </w:r>
    </w:p>
    <w:p w14:paraId="46322540" w14:textId="77777777" w:rsidR="002953DC" w:rsidRPr="00CA4DEA" w:rsidRDefault="002953DC" w:rsidP="007C70CF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</w:p>
    <w:p w14:paraId="0CCBDD39" w14:textId="3BD0807B" w:rsidR="002953DC" w:rsidRPr="00CA4DEA" w:rsidRDefault="002953DC" w:rsidP="007060CC">
      <w:pPr>
        <w:ind w:left="1410" w:hanging="1410"/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Asunto:</w:t>
      </w:r>
      <w:r w:rsidRPr="00CA4DEA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ab/>
      </w: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Actuación administrativa iniciada de oficio para la definición de las metas de los indicadores de calidad media del sexto año del periodo tarifario, para </w:t>
      </w:r>
      <w:r w:rsidRPr="00CA4DEA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Empresa Municipal de Energía Eléctrica S.A. E.S.P.</w:t>
      </w:r>
    </w:p>
    <w:p w14:paraId="03F28670" w14:textId="77777777" w:rsidR="002953DC" w:rsidRPr="00CA4DEA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</w:p>
    <w:p w14:paraId="0A1C290B" w14:textId="77777777" w:rsidR="002953DC" w:rsidRPr="00CA4DEA" w:rsidRDefault="002953DC" w:rsidP="002C7D54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SE CONSIDERA QUE:</w:t>
      </w:r>
    </w:p>
    <w:p w14:paraId="755F40DE" w14:textId="77777777" w:rsidR="002953DC" w:rsidRPr="00CA4DEA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De acuerdo con lo previsto en el literal d) del artículo 23, y el artículo 41, ambos de la Ley 143 de 1994, es función de la Comisión de Regulación de Energía y Gas fijar las tarifas por el acceso y uso de las redes eléctricas.  </w:t>
      </w:r>
    </w:p>
    <w:p w14:paraId="6248757D" w14:textId="77777777" w:rsidR="002953DC" w:rsidRPr="00CA4DEA" w:rsidRDefault="002953DC" w:rsidP="002C7D54">
      <w:pPr>
        <w:jc w:val="both"/>
        <w:rPr>
          <w:rFonts w:ascii="Helvetica" w:hAnsi="Helvetica" w:cs="Helvetica"/>
        </w:rPr>
      </w:pP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Mediante la Resolución CREG 015 de 2018, modificada por las Resoluciones CREG 085 de 2018, 036 y 199 de 2019, 167 y 195 de 2020, 222 de 2021, 101 009, 101 012, 101 022, 101 027 de 2022, 101 032 de 2022 y 101 019 de 2023, la Comisión estableció la metodología para la remuneración de la actividad de distribución de energía eléctrica en el Sistema Interconectado Nacional.  </w:t>
      </w:r>
    </w:p>
    <w:p w14:paraId="10D02B88" w14:textId="4DD96254" w:rsidR="002953DC" w:rsidRPr="00CA4DEA" w:rsidRDefault="002953DC" w:rsidP="5AF96E0C">
      <w:pPr>
        <w:jc w:val="both"/>
        <w:rPr>
          <w:rFonts w:ascii="Helvetica" w:hAnsi="Helvetica" w:cs="Helvetica"/>
          <w:sz w:val="24"/>
          <w:szCs w:val="24"/>
          <w:lang w:val="es-ES"/>
        </w:rPr>
      </w:pPr>
      <w:r w:rsidRPr="00CA4DEA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En la Resolución CREG </w:t>
      </w:r>
      <w:r w:rsidRPr="00CA4DEA">
        <w:rPr>
          <w:rFonts w:ascii="Helvetica" w:hAnsi="Helvetica" w:cs="Helvetica"/>
          <w:noProof/>
          <w:kern w:val="0"/>
          <w:sz w:val="24"/>
          <w:szCs w:val="24"/>
          <w:lang w:val="es-ES"/>
          <w14:ligatures w14:val="none"/>
        </w:rPr>
        <w:t>219 de 2021</w:t>
      </w:r>
      <w:r w:rsidRPr="00CA4DEA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 se aprobaron las metas de calidad media para los indicadores de duración y de frecuencia de eventos del quinto año del periodo tarifario para </w:t>
      </w:r>
      <w:r w:rsidRPr="00CA4DEA">
        <w:rPr>
          <w:rFonts w:ascii="Helvetica" w:hAnsi="Helvetica" w:cs="Helvetica"/>
          <w:noProof/>
          <w:kern w:val="0"/>
          <w:sz w:val="24"/>
          <w:szCs w:val="24"/>
          <w:lang w:val="es-ES"/>
          <w14:ligatures w14:val="none"/>
        </w:rPr>
        <w:t>la Empresa Municipal de Energía Eléctrica S.A. E.S.P.</w:t>
      </w:r>
      <w:r w:rsidRPr="00CA4DEA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 </w:t>
      </w:r>
    </w:p>
    <w:p w14:paraId="1D22C232" w14:textId="77777777" w:rsidR="002953DC" w:rsidRPr="00CA4DEA" w:rsidRDefault="002953DC" w:rsidP="00981FDC">
      <w:pPr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En el numeral 5.2.3.2.1 del anexo general de la Resolución CREG 015 de 2018, con respecto a las metas de calidad media, se estableció que “</w:t>
      </w:r>
      <w:r w:rsidRPr="00CA4DEA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Después del año 5 del periodo tarifario, la CREG estimará y publicará, mediante circular, las metas de calidad anual de cada OR hasta que se expida una nueva regulación.”</w:t>
      </w:r>
    </w:p>
    <w:p w14:paraId="5980BE12" w14:textId="77777777" w:rsidR="002953DC" w:rsidRPr="00CA4DEA" w:rsidRDefault="002953DC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Mediante la Circular CREG 053 de 2024 se establecieron los criterios y consideraciones para la definición de las metas de calidad media para los años sexto y séptimo de aplicación de la Resolución CREG 015 de 2018.</w:t>
      </w:r>
    </w:p>
    <w:p w14:paraId="3B08A470" w14:textId="77777777" w:rsidR="002953DC" w:rsidRPr="00CA4DEA" w:rsidRDefault="002953DC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En el numeral 5 de los criterios y consideraciones para la definición de las metas de calidad media se estableció lo siguiente:</w:t>
      </w:r>
    </w:p>
    <w:p w14:paraId="559925BE" w14:textId="77777777" w:rsidR="002953DC" w:rsidRPr="00CA4DEA" w:rsidRDefault="002953DC" w:rsidP="006534F9">
      <w:pPr>
        <w:ind w:left="708"/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lastRenderedPageBreak/>
        <w:t>“5. APROBACIÓN DE METAS POR OR</w:t>
      </w:r>
    </w:p>
    <w:p w14:paraId="6F49C7AE" w14:textId="77777777" w:rsidR="002953DC" w:rsidRPr="00CA4DEA" w:rsidRDefault="002953DC" w:rsidP="006534F9">
      <w:pPr>
        <w:ind w:left="708"/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Las metas de los años sexto y séptimo del periodo tarifario serán aprobadas a cada OR mediante resolución particular que se expida con base en las disposiciones contenidas en el presente documento. Para ello la Comisión iniciará las respectivas actuaciones administrativas de oficio.”</w:t>
      </w:r>
    </w:p>
    <w:p w14:paraId="7C7E605C" w14:textId="77777777" w:rsidR="002953DC" w:rsidRPr="00CA4DEA" w:rsidRDefault="002953DC" w:rsidP="5AF96E0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Con base en lo anterior, esta Comisión encuentra procedente iniciar de oficio la actuación administrativa tendiente a establecer las metas de calidad media para el año sexto del periodo tarifario de aplicación de la Resolución CREG 015 de 2018.  </w:t>
      </w:r>
    </w:p>
    <w:p w14:paraId="174396E5" w14:textId="77777777" w:rsidR="002953DC" w:rsidRPr="00CA4DEA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De conformidad con el numeral 1 del artículo 7 del Decreto 1260 de 2013, le corresponde al director ejecutivo, impulsar las actuaciones administrativas tendientes a la expedición de las decisiones misionales.  </w:t>
      </w:r>
    </w:p>
    <w:p w14:paraId="17009135" w14:textId="77777777" w:rsidR="002953DC" w:rsidRPr="00CA4DEA" w:rsidRDefault="002953DC" w:rsidP="002C7D54">
      <w:pPr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>En mérito de lo expuesto;</w:t>
      </w:r>
    </w:p>
    <w:p w14:paraId="0BCF52B5" w14:textId="77777777" w:rsidR="002953DC" w:rsidRPr="00CA4DEA" w:rsidRDefault="002953DC" w:rsidP="00A74B2A">
      <w:pPr>
        <w:jc w:val="center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RESUELVE:</w:t>
      </w:r>
    </w:p>
    <w:p w14:paraId="2BA4A2ED" w14:textId="182C6B03" w:rsidR="002953DC" w:rsidRPr="00CA4DEA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PRIMERO.</w:t>
      </w: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Iniciar la respectiva actuación administrativa, con el objeto de </w:t>
      </w:r>
      <w:r w:rsidRPr="00CA4DEA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establecer las metas de calidad media para el año sexto del periodo tarifario de aplicación de la Resolución CREG 015 de 2018</w:t>
      </w: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para </w:t>
      </w:r>
      <w:r w:rsidRPr="00CA4DEA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Empresa Municipal de Energía Eléctrica S.A. E.S.P.</w:t>
      </w: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 </w:t>
      </w:r>
    </w:p>
    <w:p w14:paraId="660B2846" w14:textId="77777777" w:rsidR="002953DC" w:rsidRPr="00CA4DEA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SEGUNDO.</w:t>
      </w: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Asignar la presente actuación al Expediente </w:t>
      </w:r>
      <w:r w:rsidRPr="00CA4DEA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20240137</w:t>
      </w: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.    </w:t>
      </w:r>
    </w:p>
    <w:p w14:paraId="5514FEE3" w14:textId="77777777" w:rsidR="002953DC" w:rsidRPr="00CA4DEA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TERCERO.</w:t>
      </w: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Publicar en la página Web de la CREG y en el Diario Oficial, el extracto que para los efectos del artículo 37 del Código de Procedimiento Administrativo y de lo Contencioso Administrativo se anexa al presente auto.  </w:t>
      </w:r>
    </w:p>
    <w:p w14:paraId="2183352A" w14:textId="3CDFC782" w:rsidR="002953DC" w:rsidRPr="00CA4DEA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CA4DEA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CUARTO.</w:t>
      </w: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Comunicar a </w:t>
      </w:r>
      <w:r w:rsidRPr="00CA4DEA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Empresa Municipal de Energía Eléctrica S.A. E.S.P.</w:t>
      </w:r>
      <w:r w:rsidRPr="00CA4DEA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, el contenido del presente auto.  </w:t>
      </w:r>
    </w:p>
    <w:p w14:paraId="419B58E9" w14:textId="77777777" w:rsidR="002953DC" w:rsidRPr="00CA4DEA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</w:p>
    <w:p w14:paraId="7FAEB583" w14:textId="77777777" w:rsidR="002953DC" w:rsidRPr="00CA4DEA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  <w:r w:rsidRPr="00CA4DEA"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  <w:t>COMUNÍQUESE, PUBLÍQUESE Y CÚMPLASE</w:t>
      </w:r>
    </w:p>
    <w:p w14:paraId="6C765EBE" w14:textId="77777777" w:rsidR="002953DC" w:rsidRPr="00CA4DEA" w:rsidRDefault="002953DC" w:rsidP="007D1A94">
      <w:pPr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</w:p>
    <w:p w14:paraId="141D9E7B" w14:textId="77777777" w:rsidR="002953DC" w:rsidRPr="00CA4DEA" w:rsidRDefault="002953DC" w:rsidP="007D1A94">
      <w:pPr>
        <w:spacing w:after="0" w:line="240" w:lineRule="auto"/>
        <w:ind w:left="1416" w:hanging="1416"/>
        <w:jc w:val="both"/>
        <w:rPr>
          <w:rFonts w:ascii="Helvetica" w:hAnsi="Helvetica" w:cs="Helvetica"/>
          <w:kern w:val="0"/>
          <w:sz w:val="24"/>
          <w:szCs w:val="24"/>
          <w14:ligatures w14:val="none"/>
        </w:rPr>
      </w:pPr>
      <w:r w:rsidRPr="00CA4DEA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</w:t>
      </w:r>
    </w:p>
    <w:p w14:paraId="4F55871C" w14:textId="77777777" w:rsidR="002953DC" w:rsidRPr="00CA4DEA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  <w:r w:rsidRPr="00CA4DEA"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  <w:t>ANTONIO JIMÉNEZ RIVERA</w:t>
      </w:r>
    </w:p>
    <w:p w14:paraId="4F43B995" w14:textId="502332DF" w:rsidR="007D1A94" w:rsidRPr="00E015A5" w:rsidRDefault="002953DC" w:rsidP="00E015A5">
      <w:pPr>
        <w:jc w:val="center"/>
        <w:rPr>
          <w:rFonts w:ascii="Helvetica" w:hAnsi="Helvetica" w:cs="Helvetica"/>
          <w:kern w:val="0"/>
          <w:sz w:val="24"/>
          <w:szCs w:val="24"/>
          <w14:ligatures w14:val="none"/>
        </w:rPr>
      </w:pPr>
      <w:r w:rsidRPr="00CA4DEA">
        <w:rPr>
          <w:rFonts w:ascii="Helvetica" w:hAnsi="Helvetica" w:cs="Helvetica"/>
          <w:kern w:val="0"/>
          <w:sz w:val="24"/>
          <w:szCs w:val="24"/>
          <w14:ligatures w14:val="none"/>
        </w:rPr>
        <w:t>Director Ejecutivo</w:t>
      </w:r>
    </w:p>
    <w:sectPr w:rsidR="007D1A94" w:rsidRPr="00E015A5" w:rsidSect="00893A24">
      <w:headerReference w:type="default" r:id="rId10"/>
      <w:footerReference w:type="default" r:id="rId11"/>
      <w:pgSz w:w="12240" w:h="15840"/>
      <w:pgMar w:top="1417" w:right="1701" w:bottom="1417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653D0" w14:textId="77777777" w:rsidR="00C70A71" w:rsidRDefault="00C70A71" w:rsidP="00142756">
      <w:pPr>
        <w:spacing w:after="0" w:line="240" w:lineRule="auto"/>
      </w:pPr>
      <w:r>
        <w:separator/>
      </w:r>
    </w:p>
  </w:endnote>
  <w:endnote w:type="continuationSeparator" w:id="0">
    <w:p w14:paraId="76A69E82" w14:textId="77777777" w:rsidR="00C70A71" w:rsidRDefault="00C70A71" w:rsidP="001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B3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C83B53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13CBED94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165FE24" w14:textId="77777777" w:rsidR="00142756" w:rsidRPr="00256928" w:rsidRDefault="00142756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10D36779" w14:textId="77777777" w:rsidR="00142756" w:rsidRDefault="00142756">
    <w:pPr>
      <w:pStyle w:val="Piedepgina"/>
    </w:pPr>
  </w:p>
  <w:p w14:paraId="19354FDF" w14:textId="77777777" w:rsidR="00142756" w:rsidRDefault="00142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1FBA" w14:textId="77777777" w:rsidR="00C70A71" w:rsidRDefault="00C70A71" w:rsidP="00142756">
      <w:pPr>
        <w:spacing w:after="0" w:line="240" w:lineRule="auto"/>
      </w:pPr>
      <w:r>
        <w:separator/>
      </w:r>
    </w:p>
  </w:footnote>
  <w:footnote w:type="continuationSeparator" w:id="0">
    <w:p w14:paraId="75D1E902" w14:textId="77777777" w:rsidR="00C70A71" w:rsidRDefault="00C70A71" w:rsidP="0014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40A5" w14:textId="77777777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779416" wp14:editId="1078D228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230AEC" wp14:editId="0966B0AB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5EC480" w14:textId="77777777" w:rsidR="00142756" w:rsidRDefault="001427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03ECC"/>
    <w:rsid w:val="00031634"/>
    <w:rsid w:val="00063FE1"/>
    <w:rsid w:val="00066F92"/>
    <w:rsid w:val="00076BA1"/>
    <w:rsid w:val="0008137C"/>
    <w:rsid w:val="0008208B"/>
    <w:rsid w:val="00090554"/>
    <w:rsid w:val="000A0DCB"/>
    <w:rsid w:val="000A2CA3"/>
    <w:rsid w:val="000A47C1"/>
    <w:rsid w:val="000C7FE8"/>
    <w:rsid w:val="000D3595"/>
    <w:rsid w:val="000F3027"/>
    <w:rsid w:val="000F6AB6"/>
    <w:rsid w:val="00101657"/>
    <w:rsid w:val="00117E81"/>
    <w:rsid w:val="00123E2C"/>
    <w:rsid w:val="00135AE9"/>
    <w:rsid w:val="001407D2"/>
    <w:rsid w:val="00142756"/>
    <w:rsid w:val="001653F2"/>
    <w:rsid w:val="00190E6A"/>
    <w:rsid w:val="001B0593"/>
    <w:rsid w:val="001B650C"/>
    <w:rsid w:val="001D5CC3"/>
    <w:rsid w:val="001E0137"/>
    <w:rsid w:val="001E088A"/>
    <w:rsid w:val="0020793D"/>
    <w:rsid w:val="00214FF8"/>
    <w:rsid w:val="00222F87"/>
    <w:rsid w:val="00226472"/>
    <w:rsid w:val="00233D59"/>
    <w:rsid w:val="00263693"/>
    <w:rsid w:val="002723B2"/>
    <w:rsid w:val="00287240"/>
    <w:rsid w:val="002953DC"/>
    <w:rsid w:val="002C7D54"/>
    <w:rsid w:val="002D0039"/>
    <w:rsid w:val="002E34EA"/>
    <w:rsid w:val="002E4BD2"/>
    <w:rsid w:val="002F2230"/>
    <w:rsid w:val="0031336F"/>
    <w:rsid w:val="00313784"/>
    <w:rsid w:val="00320DEF"/>
    <w:rsid w:val="00324E0C"/>
    <w:rsid w:val="00327625"/>
    <w:rsid w:val="00332D78"/>
    <w:rsid w:val="003735DE"/>
    <w:rsid w:val="003822A0"/>
    <w:rsid w:val="003B5515"/>
    <w:rsid w:val="003D1853"/>
    <w:rsid w:val="003D3988"/>
    <w:rsid w:val="003E58CD"/>
    <w:rsid w:val="00491062"/>
    <w:rsid w:val="0049201C"/>
    <w:rsid w:val="004A452A"/>
    <w:rsid w:val="004B6CF2"/>
    <w:rsid w:val="004F5D96"/>
    <w:rsid w:val="005044AE"/>
    <w:rsid w:val="005170E9"/>
    <w:rsid w:val="00520E9B"/>
    <w:rsid w:val="005256D5"/>
    <w:rsid w:val="005321A6"/>
    <w:rsid w:val="00556FC2"/>
    <w:rsid w:val="005879CA"/>
    <w:rsid w:val="005A2E99"/>
    <w:rsid w:val="005B6650"/>
    <w:rsid w:val="005D6CEC"/>
    <w:rsid w:val="005D7474"/>
    <w:rsid w:val="005F5DB5"/>
    <w:rsid w:val="006065F0"/>
    <w:rsid w:val="00626D0F"/>
    <w:rsid w:val="0064055C"/>
    <w:rsid w:val="006534F9"/>
    <w:rsid w:val="0066576A"/>
    <w:rsid w:val="006802A8"/>
    <w:rsid w:val="006A08EF"/>
    <w:rsid w:val="006B534A"/>
    <w:rsid w:val="006B644B"/>
    <w:rsid w:val="006C4EC6"/>
    <w:rsid w:val="006C6CEA"/>
    <w:rsid w:val="006C7EC2"/>
    <w:rsid w:val="006D11ED"/>
    <w:rsid w:val="006E4FD7"/>
    <w:rsid w:val="006E6C54"/>
    <w:rsid w:val="007060CC"/>
    <w:rsid w:val="007142E5"/>
    <w:rsid w:val="007313ED"/>
    <w:rsid w:val="007C44D6"/>
    <w:rsid w:val="007C70CF"/>
    <w:rsid w:val="007D1A94"/>
    <w:rsid w:val="007D3EA2"/>
    <w:rsid w:val="007F60F4"/>
    <w:rsid w:val="008035DF"/>
    <w:rsid w:val="00834045"/>
    <w:rsid w:val="00855790"/>
    <w:rsid w:val="00893A24"/>
    <w:rsid w:val="008B1E20"/>
    <w:rsid w:val="008C00CB"/>
    <w:rsid w:val="008F0338"/>
    <w:rsid w:val="00912D95"/>
    <w:rsid w:val="00927C44"/>
    <w:rsid w:val="00943025"/>
    <w:rsid w:val="00981FDC"/>
    <w:rsid w:val="00991638"/>
    <w:rsid w:val="009B2266"/>
    <w:rsid w:val="009B5A35"/>
    <w:rsid w:val="009C0F03"/>
    <w:rsid w:val="009C1D5D"/>
    <w:rsid w:val="009E507B"/>
    <w:rsid w:val="00A03F11"/>
    <w:rsid w:val="00A27DF4"/>
    <w:rsid w:val="00A34112"/>
    <w:rsid w:val="00A37A91"/>
    <w:rsid w:val="00A45855"/>
    <w:rsid w:val="00A70D4D"/>
    <w:rsid w:val="00A74B2A"/>
    <w:rsid w:val="00A86A58"/>
    <w:rsid w:val="00AA29CC"/>
    <w:rsid w:val="00AB52F6"/>
    <w:rsid w:val="00AE462B"/>
    <w:rsid w:val="00B02687"/>
    <w:rsid w:val="00B06A97"/>
    <w:rsid w:val="00B075DE"/>
    <w:rsid w:val="00B36BDD"/>
    <w:rsid w:val="00B546D4"/>
    <w:rsid w:val="00B71B39"/>
    <w:rsid w:val="00B8513A"/>
    <w:rsid w:val="00B85CF6"/>
    <w:rsid w:val="00B966B6"/>
    <w:rsid w:val="00B972B3"/>
    <w:rsid w:val="00BC4835"/>
    <w:rsid w:val="00BD28C8"/>
    <w:rsid w:val="00C14EEF"/>
    <w:rsid w:val="00C30526"/>
    <w:rsid w:val="00C353C6"/>
    <w:rsid w:val="00C41111"/>
    <w:rsid w:val="00C70A71"/>
    <w:rsid w:val="00C83DC2"/>
    <w:rsid w:val="00CA4DEA"/>
    <w:rsid w:val="00CB0C40"/>
    <w:rsid w:val="00CC461B"/>
    <w:rsid w:val="00D02097"/>
    <w:rsid w:val="00D72122"/>
    <w:rsid w:val="00D876BC"/>
    <w:rsid w:val="00D9001B"/>
    <w:rsid w:val="00DA7138"/>
    <w:rsid w:val="00DB1842"/>
    <w:rsid w:val="00DC0E8E"/>
    <w:rsid w:val="00DE6665"/>
    <w:rsid w:val="00E015A5"/>
    <w:rsid w:val="00E0524A"/>
    <w:rsid w:val="00EB2DFD"/>
    <w:rsid w:val="00EB7C61"/>
    <w:rsid w:val="00EE6D1C"/>
    <w:rsid w:val="00EF259E"/>
    <w:rsid w:val="00F2005E"/>
    <w:rsid w:val="00F50851"/>
    <w:rsid w:val="00F7244B"/>
    <w:rsid w:val="00F750B0"/>
    <w:rsid w:val="00F93EF5"/>
    <w:rsid w:val="00F942A2"/>
    <w:rsid w:val="00F961EC"/>
    <w:rsid w:val="00FC6C0D"/>
    <w:rsid w:val="00FC78DE"/>
    <w:rsid w:val="043C6048"/>
    <w:rsid w:val="05E999B6"/>
    <w:rsid w:val="07F33817"/>
    <w:rsid w:val="0BC9F629"/>
    <w:rsid w:val="0C9F4A57"/>
    <w:rsid w:val="13318D2C"/>
    <w:rsid w:val="1E9C77F8"/>
    <w:rsid w:val="243A9FAE"/>
    <w:rsid w:val="2A6E7552"/>
    <w:rsid w:val="39EBCE47"/>
    <w:rsid w:val="4A606B66"/>
    <w:rsid w:val="5328F545"/>
    <w:rsid w:val="533256F7"/>
    <w:rsid w:val="5AF96E0C"/>
    <w:rsid w:val="5CEDD8AB"/>
    <w:rsid w:val="6C9976FA"/>
    <w:rsid w:val="712312E9"/>
    <w:rsid w:val="722DF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60FFE"/>
  <w15:chartTrackingRefBased/>
  <w15:docId w15:val="{F77EF4F2-EEF4-4913-8627-731301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customStyle="1" w:styleId="Ciudad">
    <w:name w:val="Ciudad"/>
    <w:basedOn w:val="Normal"/>
    <w:qFormat/>
    <w:rsid w:val="00F750B0"/>
    <w:pPr>
      <w:spacing w:before="240" w:after="360" w:line="360" w:lineRule="auto"/>
    </w:pPr>
    <w:rPr>
      <w:kern w:val="0"/>
      <w:sz w:val="24"/>
      <w:szCs w:val="24"/>
      <w14:ligatures w14:val="none"/>
    </w:rPr>
  </w:style>
  <w:style w:type="paragraph" w:customStyle="1" w:styleId="Asunto">
    <w:name w:val="Asunto"/>
    <w:basedOn w:val="Normal"/>
    <w:qFormat/>
    <w:rsid w:val="00F750B0"/>
    <w:pPr>
      <w:spacing w:before="360" w:after="360" w:line="360" w:lineRule="auto"/>
      <w:contextualSpacing/>
    </w:pPr>
    <w:rPr>
      <w:kern w:val="0"/>
      <w:sz w:val="24"/>
      <w:szCs w:val="24"/>
      <w14:ligatures w14:val="none"/>
    </w:rPr>
  </w:style>
  <w:style w:type="paragraph" w:customStyle="1" w:styleId="Expediente">
    <w:name w:val="Expediente"/>
    <w:basedOn w:val="Asunto"/>
    <w:qFormat/>
    <w:rsid w:val="00F750B0"/>
    <w:pPr>
      <w:spacing w:before="0"/>
    </w:pPr>
  </w:style>
  <w:style w:type="character" w:customStyle="1" w:styleId="DestinarioCar">
    <w:name w:val="Destinario Car"/>
    <w:basedOn w:val="Fuentedeprrafopredeter"/>
    <w:link w:val="Destinario"/>
    <w:locked/>
    <w:rsid w:val="00F750B0"/>
  </w:style>
  <w:style w:type="paragraph" w:customStyle="1" w:styleId="Destinario">
    <w:name w:val="Destinario"/>
    <w:basedOn w:val="Normal"/>
    <w:link w:val="DestinarioCar"/>
    <w:qFormat/>
    <w:rsid w:val="00F750B0"/>
    <w:pPr>
      <w:spacing w:before="120" w:after="120" w:line="360" w:lineRule="auto"/>
      <w:contextualSpacing/>
    </w:pPr>
  </w:style>
  <w:style w:type="paragraph" w:customStyle="1" w:styleId="Cordialmente">
    <w:name w:val="Cordialmente"/>
    <w:basedOn w:val="Normal"/>
    <w:qFormat/>
    <w:rsid w:val="00F750B0"/>
    <w:pPr>
      <w:spacing w:before="120" w:after="480" w:line="360" w:lineRule="auto"/>
    </w:pPr>
    <w:rPr>
      <w:kern w:val="0"/>
      <w:sz w:val="24"/>
      <w:szCs w:val="24"/>
      <w14:ligatures w14:val="none"/>
    </w:rPr>
  </w:style>
  <w:style w:type="paragraph" w:customStyle="1" w:styleId="Director">
    <w:name w:val="Director"/>
    <w:basedOn w:val="Normal"/>
    <w:qFormat/>
    <w:rsid w:val="00F750B0"/>
    <w:pPr>
      <w:spacing w:before="120" w:after="360" w:line="360" w:lineRule="auto"/>
      <w:contextualSpacing/>
    </w:pPr>
    <w:rPr>
      <w:kern w:val="0"/>
      <w:sz w:val="24"/>
      <w:szCs w:val="24"/>
      <w14:ligatures w14:val="none"/>
    </w:rPr>
  </w:style>
  <w:style w:type="paragraph" w:styleId="Revisin">
    <w:name w:val="Revision"/>
    <w:hidden/>
    <w:uiPriority w:val="99"/>
    <w:semiHidden/>
    <w:rsid w:val="00C14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27c683-ebd0-4e75-9c9b-930d1b233c64" xsi:nil="true"/>
    <lcf76f155ced4ddcb4097134ff3c332f xmlns="8bd55fe9-8577-4cfc-8d96-a754a8c01d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4F5DE90C8A5F4689815843AD71BE8B" ma:contentTypeVersion="17" ma:contentTypeDescription="Crear nuevo documento." ma:contentTypeScope="" ma:versionID="bbaea3f7da10d00f3fed915cd60f3acc">
  <xsd:schema xmlns:xsd="http://www.w3.org/2001/XMLSchema" xmlns:xs="http://www.w3.org/2001/XMLSchema" xmlns:p="http://schemas.microsoft.com/office/2006/metadata/properties" xmlns:ns2="8bd55fe9-8577-4cfc-8d96-a754a8c01d86" xmlns:ns3="a127c683-ebd0-4e75-9c9b-930d1b233c64" targetNamespace="http://schemas.microsoft.com/office/2006/metadata/properties" ma:root="true" ma:fieldsID="2cb1e64618ce1a5b2b18853d18f234c0" ns2:_="" ns3:_="">
    <xsd:import namespace="8bd55fe9-8577-4cfc-8d96-a754a8c01d86"/>
    <xsd:import namespace="a127c683-ebd0-4e75-9c9b-930d1b233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5fe9-8577-4cfc-8d96-a754a8c0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c683-ebd0-4e75-9c9b-930d1b233c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e232c4-8246-4015-82cb-ce01546593ad}" ma:internalName="TaxCatchAll" ma:showField="CatchAllData" ma:web="a127c683-ebd0-4e75-9c9b-930d1b233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CF896-8491-4F19-AC84-5209D9FAC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D7ACB-70B8-4197-BC6F-F331A8716387}">
  <ds:schemaRefs>
    <ds:schemaRef ds:uri="http://schemas.microsoft.com/office/2006/metadata/properties"/>
    <ds:schemaRef ds:uri="http://schemas.microsoft.com/office/infopath/2007/PartnerControls"/>
    <ds:schemaRef ds:uri="a127c683-ebd0-4e75-9c9b-930d1b233c64"/>
    <ds:schemaRef ds:uri="8bd55fe9-8577-4cfc-8d96-a754a8c01d86"/>
  </ds:schemaRefs>
</ds:datastoreItem>
</file>

<file path=customXml/itemProps3.xml><?xml version="1.0" encoding="utf-8"?>
<ds:datastoreItem xmlns:ds="http://schemas.openxmlformats.org/officeDocument/2006/customXml" ds:itemID="{A9047B87-0E88-43A0-A272-0D0085BA29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05F229-631F-425E-AB67-D21E6487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5fe9-8577-4cfc-8d96-a754a8c01d86"/>
    <ds:schemaRef ds:uri="a127c683-ebd0-4e75-9c9b-930d1b23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Wilson Sanchez Sanchez</cp:lastModifiedBy>
  <cp:revision>9</cp:revision>
  <cp:lastPrinted>2024-09-20T14:21:00Z</cp:lastPrinted>
  <dcterms:created xsi:type="dcterms:W3CDTF">2024-08-30T16:29:00Z</dcterms:created>
  <dcterms:modified xsi:type="dcterms:W3CDTF">2024-09-20T14:22:00Z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0x010100744F5DE90C8A5F4689815843AD71BE8B</vt:lpwstr>
  </property>
  <property fmtid="{D5CDD505-2E9C-101B-9397-08002B2CF9AE}" pid="3" name="MediaServiceImageTags">
    <vt:lpwstr/>
  </property>
</Properties>
</file>