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3824" w14:textId="77777777" w:rsidR="00B02C48" w:rsidRPr="00750DD0" w:rsidRDefault="00B02C48" w:rsidP="00B02C48">
      <w:pPr>
        <w:rPr>
          <w:rFonts w:ascii="Helvetica" w:hAnsi="Helvetica" w:cs="Helvetica"/>
          <w:sz w:val="22"/>
          <w:szCs w:val="22"/>
          <w:lang w:val="es-MX"/>
        </w:rPr>
      </w:pPr>
      <w:r w:rsidRPr="00750DD0">
        <w:rPr>
          <w:rFonts w:ascii="Helvetica" w:hAnsi="Helvetica" w:cs="Helvetica"/>
          <w:sz w:val="22"/>
          <w:szCs w:val="22"/>
          <w:lang w:val="es-MX"/>
        </w:rPr>
        <w:t xml:space="preserve">Bogotá, D. C.,  </w:t>
      </w:r>
      <w:r w:rsidRPr="00750DD0">
        <w:rPr>
          <w:rFonts w:ascii="Helvetica" w:hAnsi="Helvetica" w:cs="Helvetica"/>
          <w:sz w:val="22"/>
          <w:szCs w:val="22"/>
          <w:lang w:val="es-MX"/>
        </w:rPr>
        <w:fldChar w:fldCharType="begin"/>
      </w:r>
      <w:r w:rsidRPr="00750DD0">
        <w:rPr>
          <w:rFonts w:ascii="Helvetica" w:hAnsi="Helvetica" w:cs="Helvetica"/>
          <w:sz w:val="22"/>
          <w:szCs w:val="22"/>
          <w:lang w:val="es-MX"/>
        </w:rPr>
        <w:instrText xml:space="preserve"> MERGEFIELD  Fecha  \* MERGEFORMAT </w:instrText>
      </w:r>
      <w:r w:rsidRPr="00750DD0">
        <w:rPr>
          <w:rFonts w:ascii="Helvetica" w:hAnsi="Helvetica" w:cs="Helvetica"/>
          <w:sz w:val="22"/>
          <w:szCs w:val="22"/>
          <w:lang w:val="es-MX"/>
        </w:rPr>
        <w:fldChar w:fldCharType="separate"/>
      </w:r>
      <w:r w:rsidRPr="00750DD0">
        <w:rPr>
          <w:rFonts w:ascii="Helvetica" w:hAnsi="Helvetica" w:cs="Helvetica"/>
          <w:noProof/>
          <w:sz w:val="22"/>
          <w:szCs w:val="22"/>
          <w:lang w:val="es-MX"/>
        </w:rPr>
        <w:t>27 de agosto de 2024</w:t>
      </w:r>
      <w:r w:rsidRPr="00750DD0">
        <w:rPr>
          <w:rFonts w:ascii="Helvetica" w:hAnsi="Helvetica" w:cs="Helvetica"/>
          <w:sz w:val="22"/>
          <w:szCs w:val="22"/>
          <w:lang w:val="es-MX"/>
        </w:rPr>
        <w:fldChar w:fldCharType="end"/>
      </w:r>
    </w:p>
    <w:p w14:paraId="5CA10781" w14:textId="77777777" w:rsidR="00B02C48" w:rsidRPr="00750DD0" w:rsidRDefault="00B02C48" w:rsidP="00B02C48">
      <w:pPr>
        <w:rPr>
          <w:rFonts w:ascii="Helvetica" w:hAnsi="Helvetica" w:cs="Helvetica"/>
          <w:sz w:val="22"/>
          <w:szCs w:val="22"/>
          <w:lang w:val="es-MX"/>
        </w:rPr>
      </w:pPr>
    </w:p>
    <w:p w14:paraId="28A9B7E8" w14:textId="77777777" w:rsidR="00B02C48" w:rsidRPr="00750DD0" w:rsidRDefault="00B02C48" w:rsidP="00B02C48">
      <w:pPr>
        <w:pStyle w:val="Ttulo5"/>
        <w:spacing w:before="0" w:line="220" w:lineRule="atLeast"/>
        <w:ind w:left="720"/>
        <w:jc w:val="center"/>
        <w:rPr>
          <w:rFonts w:ascii="Helvetica" w:eastAsia="Times New Roman" w:hAnsi="Helvetica" w:cs="Helvetica"/>
          <w:b/>
          <w:bCs/>
          <w:i/>
          <w:iCs/>
          <w:noProof/>
          <w:color w:val="auto"/>
          <w:spacing w:val="-5"/>
          <w:kern w:val="60"/>
          <w:sz w:val="40"/>
          <w:szCs w:val="40"/>
        </w:rPr>
      </w:pPr>
      <w:r w:rsidRPr="00750DD0">
        <w:rPr>
          <w:rFonts w:ascii="Helvetica" w:eastAsia="Times New Roman" w:hAnsi="Helvetica" w:cs="Helvetica"/>
          <w:b/>
          <w:bCs/>
          <w:i/>
          <w:iCs/>
          <w:noProof/>
          <w:color w:val="auto"/>
          <w:spacing w:val="-5"/>
          <w:kern w:val="60"/>
          <w:sz w:val="40"/>
          <w:szCs w:val="40"/>
        </w:rPr>
        <w:t xml:space="preserve">CIRCULAR No. </w:t>
      </w:r>
      <w:r w:rsidRPr="00750DD0">
        <w:rPr>
          <w:rFonts w:ascii="Helvetica" w:eastAsia="Times New Roman" w:hAnsi="Helvetica" w:cs="Helvetica"/>
          <w:b/>
          <w:bCs/>
          <w:i/>
          <w:iCs/>
          <w:noProof/>
          <w:color w:val="auto"/>
          <w:spacing w:val="-5"/>
          <w:kern w:val="60"/>
          <w:sz w:val="40"/>
          <w:szCs w:val="40"/>
        </w:rPr>
        <w:fldChar w:fldCharType="begin"/>
      </w:r>
      <w:r w:rsidRPr="00750DD0">
        <w:rPr>
          <w:rFonts w:ascii="Helvetica" w:eastAsia="Times New Roman" w:hAnsi="Helvetica" w:cs="Helvetica"/>
          <w:b/>
          <w:bCs/>
          <w:i/>
          <w:iCs/>
          <w:noProof/>
          <w:color w:val="auto"/>
          <w:spacing w:val="-5"/>
          <w:kern w:val="60"/>
          <w:sz w:val="40"/>
          <w:szCs w:val="40"/>
        </w:rPr>
        <w:instrText xml:space="preserve"> MERGEFIELD  NumeroCircular  \* MERGEFORMAT </w:instrText>
      </w:r>
      <w:r w:rsidRPr="00750DD0">
        <w:rPr>
          <w:rFonts w:ascii="Helvetica" w:eastAsia="Times New Roman" w:hAnsi="Helvetica" w:cs="Helvetica"/>
          <w:b/>
          <w:bCs/>
          <w:i/>
          <w:iCs/>
          <w:noProof/>
          <w:color w:val="auto"/>
          <w:spacing w:val="-5"/>
          <w:kern w:val="60"/>
          <w:sz w:val="40"/>
          <w:szCs w:val="40"/>
        </w:rPr>
        <w:fldChar w:fldCharType="separate"/>
      </w:r>
      <w:r w:rsidRPr="00750DD0">
        <w:rPr>
          <w:rFonts w:ascii="Helvetica" w:eastAsia="Times New Roman" w:hAnsi="Helvetica" w:cs="Helvetica"/>
          <w:b/>
          <w:bCs/>
          <w:i/>
          <w:iCs/>
          <w:noProof/>
          <w:color w:val="auto"/>
          <w:spacing w:val="-5"/>
          <w:kern w:val="60"/>
          <w:sz w:val="40"/>
          <w:szCs w:val="40"/>
        </w:rPr>
        <w:t>061 de 2024</w:t>
      </w:r>
      <w:r w:rsidRPr="00750DD0">
        <w:rPr>
          <w:rFonts w:ascii="Helvetica" w:eastAsia="Times New Roman" w:hAnsi="Helvetica" w:cs="Helvetica"/>
          <w:b/>
          <w:bCs/>
          <w:i/>
          <w:iCs/>
          <w:noProof/>
          <w:color w:val="auto"/>
          <w:spacing w:val="-5"/>
          <w:kern w:val="60"/>
          <w:sz w:val="40"/>
          <w:szCs w:val="40"/>
        </w:rPr>
        <w:fldChar w:fldCharType="end"/>
      </w:r>
    </w:p>
    <w:p w14:paraId="1201032B" w14:textId="77777777" w:rsidR="00B02C48" w:rsidRPr="00750DD0" w:rsidRDefault="00B02C48" w:rsidP="00B02C48">
      <w:pPr>
        <w:pStyle w:val="Ttulo5"/>
        <w:spacing w:before="0" w:line="220" w:lineRule="atLeast"/>
        <w:ind w:left="720"/>
        <w:jc w:val="center"/>
        <w:rPr>
          <w:rFonts w:ascii="Helvetica" w:eastAsia="Times New Roman" w:hAnsi="Helvetica" w:cs="Arial"/>
          <w:b/>
          <w:bCs/>
          <w:noProof/>
          <w:color w:val="auto"/>
          <w:spacing w:val="-5"/>
          <w:kern w:val="60"/>
          <w:sz w:val="40"/>
          <w:szCs w:val="40"/>
        </w:rPr>
      </w:pPr>
    </w:p>
    <w:p w14:paraId="6AC6F73F" w14:textId="77777777" w:rsidR="00B02C48" w:rsidRPr="00750DD0" w:rsidRDefault="00B02C48" w:rsidP="00B02C48">
      <w:pPr>
        <w:tabs>
          <w:tab w:val="left" w:pos="709"/>
        </w:tabs>
        <w:ind w:left="1418" w:hanging="1418"/>
        <w:jc w:val="both"/>
        <w:rPr>
          <w:rFonts w:ascii="Helvetica" w:eastAsia="Times New Roman" w:hAnsi="Helvetica" w:cs="Arial"/>
          <w:spacing w:val="-5"/>
          <w:sz w:val="22"/>
          <w:szCs w:val="22"/>
        </w:rPr>
      </w:pPr>
      <w:r w:rsidRPr="00750DD0">
        <w:rPr>
          <w:rFonts w:ascii="Helvetica" w:hAnsi="Helvetica" w:cs="Arial"/>
          <w:b/>
        </w:rPr>
        <w:t>PARA:</w:t>
      </w:r>
      <w:r w:rsidRPr="00750DD0">
        <w:rPr>
          <w:rFonts w:ascii="Helvetica" w:hAnsi="Helvetica" w:cs="Arial"/>
          <w:b/>
        </w:rPr>
        <w:tab/>
      </w:r>
      <w:r w:rsidRPr="00750DD0">
        <w:rPr>
          <w:rFonts w:ascii="Helvetica" w:hAnsi="Helvetica" w:cs="Arial"/>
          <w:b/>
        </w:rPr>
        <w:fldChar w:fldCharType="begin"/>
      </w:r>
      <w:r w:rsidRPr="00750DD0">
        <w:rPr>
          <w:rFonts w:ascii="Helvetica" w:hAnsi="Helvetica" w:cs="Arial"/>
          <w:b/>
        </w:rPr>
        <w:instrText xml:space="preserve"> MERGEFIELD  Destinatario  \* MERGEFORMAT </w:instrText>
      </w:r>
      <w:r w:rsidRPr="00750DD0">
        <w:rPr>
          <w:rFonts w:ascii="Helvetica" w:hAnsi="Helvetica" w:cs="Arial"/>
          <w:b/>
        </w:rPr>
        <w:fldChar w:fldCharType="separate"/>
      </w:r>
      <w:r w:rsidRPr="00750DD0">
        <w:rPr>
          <w:rFonts w:ascii="Helvetica" w:hAnsi="Helvetica" w:cs="Arial"/>
          <w:b/>
          <w:noProof/>
        </w:rPr>
        <w:t>COMERCIALIZADORES MAYORISTAS, TRANSPORTADORES, DISTRIBUIDORES Y COMERCIALIZADORES MINORISTAS DE GLP Y DEMÁS INTERESADOS</w:t>
      </w:r>
      <w:r w:rsidRPr="00750DD0">
        <w:rPr>
          <w:rFonts w:ascii="Helvetica" w:hAnsi="Helvetica" w:cs="Arial"/>
          <w:b/>
        </w:rPr>
        <w:fldChar w:fldCharType="end"/>
      </w:r>
    </w:p>
    <w:p w14:paraId="6E0825CB" w14:textId="77777777" w:rsidR="00B02C48" w:rsidRPr="00750DD0" w:rsidRDefault="00B02C48" w:rsidP="00B02C48">
      <w:pPr>
        <w:tabs>
          <w:tab w:val="left" w:pos="709"/>
        </w:tabs>
        <w:ind w:left="1418" w:hanging="1418"/>
        <w:jc w:val="both"/>
        <w:rPr>
          <w:rFonts w:ascii="Helvetica" w:hAnsi="Helvetica" w:cs="Arial"/>
          <w:b/>
        </w:rPr>
      </w:pPr>
      <w:r w:rsidRPr="00750DD0">
        <w:rPr>
          <w:rFonts w:ascii="Helvetica" w:hAnsi="Helvetica" w:cs="Arial"/>
          <w:b/>
        </w:rPr>
        <w:t>DE:</w:t>
      </w:r>
      <w:r w:rsidRPr="00750DD0">
        <w:rPr>
          <w:rFonts w:ascii="Helvetica" w:hAnsi="Helvetica" w:cs="Arial"/>
          <w:b/>
        </w:rPr>
        <w:tab/>
      </w:r>
      <w:r w:rsidRPr="00750DD0">
        <w:rPr>
          <w:rFonts w:ascii="Helvetica" w:hAnsi="Helvetica" w:cs="Arial"/>
          <w:b/>
        </w:rPr>
        <w:tab/>
      </w:r>
      <w:r w:rsidRPr="00750DD0">
        <w:rPr>
          <w:rFonts w:ascii="Helvetica" w:hAnsi="Helvetica" w:cs="Arial"/>
          <w:b/>
        </w:rPr>
        <w:fldChar w:fldCharType="begin"/>
      </w:r>
      <w:r w:rsidRPr="00750DD0">
        <w:rPr>
          <w:rFonts w:ascii="Helvetica" w:hAnsi="Helvetica" w:cs="Arial"/>
          <w:b/>
        </w:rPr>
        <w:instrText xml:space="preserve"> MERGEFIELD  Remitente  \* MERGEFORMAT </w:instrText>
      </w:r>
      <w:r w:rsidRPr="00750DD0">
        <w:rPr>
          <w:rFonts w:ascii="Helvetica" w:hAnsi="Helvetica" w:cs="Arial"/>
          <w:b/>
        </w:rPr>
        <w:fldChar w:fldCharType="separate"/>
      </w:r>
      <w:r w:rsidRPr="00750DD0">
        <w:rPr>
          <w:rFonts w:ascii="Helvetica" w:hAnsi="Helvetica" w:cs="Arial"/>
          <w:b/>
          <w:noProof/>
        </w:rPr>
        <w:t>DIRECCIÓN EJECUTIVA</w:t>
      </w:r>
      <w:r w:rsidRPr="00750DD0">
        <w:rPr>
          <w:rFonts w:ascii="Helvetica" w:hAnsi="Helvetica" w:cs="Arial"/>
          <w:b/>
        </w:rPr>
        <w:fldChar w:fldCharType="end"/>
      </w:r>
    </w:p>
    <w:p w14:paraId="499ECAF7" w14:textId="77777777" w:rsidR="00B02C48" w:rsidRPr="00750DD0" w:rsidRDefault="00B02C48" w:rsidP="00B02C48">
      <w:pPr>
        <w:pStyle w:val="Sangradetextonormal"/>
        <w:ind w:left="1410" w:hanging="1410"/>
        <w:rPr>
          <w:rFonts w:ascii="Helvetica" w:hAnsi="Helvetica" w:cs="Arial"/>
          <w:b/>
        </w:rPr>
      </w:pPr>
      <w:r w:rsidRPr="00750DD0">
        <w:rPr>
          <w:rFonts w:ascii="Helvetica" w:hAnsi="Helvetica" w:cs="Arial"/>
          <w:b/>
        </w:rPr>
        <w:t>ASUNTO:</w:t>
      </w:r>
      <w:r w:rsidRPr="00750DD0">
        <w:rPr>
          <w:rFonts w:ascii="Helvetica" w:hAnsi="Helvetica" w:cs="Arial"/>
          <w:b/>
        </w:rPr>
        <w:tab/>
        <w:t xml:space="preserve">PUBLICACIÓN DE LAS CAPACIDADES DE COMPRA ARTÍCULO 9 DE LA RESOLUCIÓN CREG 063 DE 2016 </w:t>
      </w:r>
    </w:p>
    <w:p w14:paraId="6BDD470F" w14:textId="77777777" w:rsidR="00B02C48" w:rsidRPr="00750DD0" w:rsidRDefault="00B02C48" w:rsidP="00B02C48">
      <w:pPr>
        <w:pStyle w:val="Sangradetextonormal"/>
        <w:ind w:left="1410"/>
        <w:rPr>
          <w:rFonts w:ascii="Helvetica" w:hAnsi="Helvetica" w:cs="Arial"/>
          <w:b/>
        </w:rPr>
      </w:pPr>
      <w:r w:rsidRPr="00750DD0">
        <w:rPr>
          <w:rFonts w:ascii="Helvetica" w:hAnsi="Helvetica" w:cs="Arial"/>
          <w:b/>
        </w:rPr>
        <w:t>DÉCIMO SÉPTIMO PERÍODO DE COMPRA</w:t>
      </w:r>
    </w:p>
    <w:p w14:paraId="22FC08C8" w14:textId="77777777" w:rsidR="00B02C48" w:rsidRPr="00750DD0" w:rsidRDefault="00B02C48" w:rsidP="00B02C48">
      <w:pPr>
        <w:pStyle w:val="Textoindependiente"/>
        <w:spacing w:after="0" w:line="240" w:lineRule="auto"/>
        <w:ind w:left="1410" w:hanging="1410"/>
        <w:rPr>
          <w:rFonts w:ascii="Helvetica" w:hAnsi="Helvetica" w:cs="Arial"/>
          <w:sz w:val="24"/>
          <w:szCs w:val="24"/>
        </w:rPr>
      </w:pPr>
    </w:p>
    <w:p w14:paraId="39E99DB9" w14:textId="7A8C5961" w:rsidR="00B02C48" w:rsidRPr="00750DD0" w:rsidRDefault="00B02C48" w:rsidP="00B02C48">
      <w:pPr>
        <w:jc w:val="both"/>
        <w:rPr>
          <w:rFonts w:ascii="Helvetica" w:eastAsia="Times New Roman" w:hAnsi="Helvetica" w:cs="Arial"/>
          <w:spacing w:val="-5"/>
          <w:sz w:val="22"/>
          <w:szCs w:val="22"/>
        </w:rPr>
      </w:pPr>
      <w:r w:rsidRPr="00750DD0">
        <w:rPr>
          <w:rFonts w:ascii="Helvetica" w:eastAsia="Times New Roman" w:hAnsi="Helvetica" w:cs="Arial"/>
          <w:spacing w:val="-5"/>
          <w:sz w:val="22"/>
          <w:szCs w:val="22"/>
        </w:rPr>
        <w:t>En ejercicio de sus facultades regulatorias previstas, entre otras, en la Ley 142 de 1994 y en el artículo 62 de la Ley 1151 de 2007</w:t>
      </w:r>
      <w:r w:rsidRPr="00750DD0">
        <w:rPr>
          <w:rFonts w:ascii="Helvetica" w:eastAsia="Times New Roman" w:hAnsi="Helvetica" w:cs="Arial"/>
          <w:spacing w:val="-5"/>
          <w:sz w:val="22"/>
          <w:szCs w:val="22"/>
          <w:vertAlign w:val="superscript"/>
        </w:rPr>
        <w:footnoteReference w:id="1"/>
      </w:r>
      <w:r w:rsidRPr="00750DD0">
        <w:rPr>
          <w:rFonts w:ascii="Helvetica" w:eastAsia="Times New Roman" w:hAnsi="Helvetica" w:cs="Arial"/>
          <w:spacing w:val="-5"/>
          <w:sz w:val="22"/>
          <w:szCs w:val="22"/>
        </w:rPr>
        <w:t xml:space="preserve">, la Comisión de Regulación de Energía y Gas </w:t>
      </w:r>
      <w:bookmarkStart w:id="0" w:name="_Int_IVPtVLou"/>
      <w:r w:rsidR="008D618C">
        <w:rPr>
          <w:rFonts w:ascii="Helvetica" w:eastAsia="Times New Roman" w:hAnsi="Helvetica" w:cs="Arial"/>
          <w:spacing w:val="-5"/>
          <w:sz w:val="22"/>
          <w:szCs w:val="22"/>
        </w:rPr>
        <w:t>(</w:t>
      </w:r>
      <w:r w:rsidRPr="00750DD0">
        <w:rPr>
          <w:rFonts w:ascii="Helvetica" w:eastAsia="Times New Roman" w:hAnsi="Helvetica" w:cs="Arial"/>
          <w:spacing w:val="-5"/>
          <w:sz w:val="22"/>
          <w:szCs w:val="22"/>
        </w:rPr>
        <w:t>CREG</w:t>
      </w:r>
      <w:bookmarkEnd w:id="0"/>
      <w:r w:rsidR="008D618C">
        <w:rPr>
          <w:rFonts w:ascii="Helvetica" w:eastAsia="Times New Roman" w:hAnsi="Helvetica" w:cs="Arial"/>
          <w:spacing w:val="-5"/>
          <w:sz w:val="22"/>
          <w:szCs w:val="22"/>
        </w:rPr>
        <w:t>)</w:t>
      </w:r>
      <w:r w:rsidRPr="00750DD0">
        <w:rPr>
          <w:rFonts w:ascii="Helvetica" w:eastAsia="Times New Roman" w:hAnsi="Helvetica" w:cs="Arial"/>
          <w:spacing w:val="-5"/>
          <w:sz w:val="22"/>
          <w:szCs w:val="22"/>
        </w:rPr>
        <w:t>, expidió la Resolución CREG 063 de 2016 “</w:t>
      </w:r>
      <w:r w:rsidRPr="00750DD0">
        <w:rPr>
          <w:rFonts w:ascii="Helvetica" w:eastAsia="Times New Roman" w:hAnsi="Helvetica" w:cs="Arial"/>
          <w:i/>
          <w:iCs/>
          <w:spacing w:val="-5"/>
          <w:sz w:val="22"/>
          <w:szCs w:val="22"/>
        </w:rPr>
        <w:t xml:space="preserve">Por la cual se establecen parámetros de conducta y la participación de los agentes dentro de las actividades de comercialización mayorista y distribución de </w:t>
      </w:r>
      <w:bookmarkStart w:id="1" w:name="_Int_S8KyV477"/>
      <w:r w:rsidRPr="00750DD0">
        <w:rPr>
          <w:rFonts w:ascii="Helvetica" w:eastAsia="Times New Roman" w:hAnsi="Helvetica" w:cs="Arial"/>
          <w:i/>
          <w:iCs/>
          <w:spacing w:val="-5"/>
          <w:sz w:val="22"/>
          <w:szCs w:val="22"/>
        </w:rPr>
        <w:t>GLP</w:t>
      </w:r>
      <w:bookmarkEnd w:id="1"/>
      <w:r w:rsidRPr="00750DD0">
        <w:rPr>
          <w:rFonts w:ascii="Helvetica" w:eastAsia="Times New Roman" w:hAnsi="Helvetica" w:cs="Arial"/>
          <w:spacing w:val="-5"/>
          <w:sz w:val="22"/>
          <w:szCs w:val="22"/>
        </w:rPr>
        <w:t xml:space="preserve">”. </w:t>
      </w:r>
    </w:p>
    <w:p w14:paraId="52549D78" w14:textId="4EF00D10" w:rsidR="00B02C48" w:rsidRPr="00750DD0" w:rsidRDefault="00B02C48" w:rsidP="00B02C48">
      <w:pPr>
        <w:spacing w:before="240"/>
        <w:jc w:val="both"/>
        <w:rPr>
          <w:rFonts w:ascii="Helvetica" w:hAnsi="Helvetica" w:cs="Arial"/>
          <w:sz w:val="22"/>
          <w:szCs w:val="22"/>
        </w:rPr>
      </w:pPr>
      <w:r w:rsidRPr="00750DD0">
        <w:rPr>
          <w:rFonts w:ascii="Helvetica" w:eastAsia="Times New Roman" w:hAnsi="Helvetica" w:cs="Arial"/>
          <w:spacing w:val="-5"/>
          <w:sz w:val="22"/>
          <w:szCs w:val="22"/>
        </w:rPr>
        <w:t xml:space="preserve">Mediante la Resolución CREG 503 005 de 2024, la CREG definió la capacidad de compra para </w:t>
      </w:r>
      <w:r w:rsidRPr="00750DD0">
        <w:rPr>
          <w:rFonts w:ascii="Helvetica" w:eastAsia="Times New Roman" w:hAnsi="Helvetica" w:cs="Arial"/>
          <w:sz w:val="22"/>
          <w:szCs w:val="22"/>
        </w:rPr>
        <w:t>sesenta</w:t>
      </w:r>
      <w:r w:rsidR="008D618C">
        <w:rPr>
          <w:rFonts w:ascii="Helvetica" w:eastAsia="Times New Roman" w:hAnsi="Helvetica" w:cs="Arial"/>
          <w:sz w:val="22"/>
          <w:szCs w:val="22"/>
        </w:rPr>
        <w:t xml:space="preserve"> y un</w:t>
      </w:r>
      <w:r w:rsidRPr="00750DD0">
        <w:rPr>
          <w:rFonts w:ascii="Helvetica" w:eastAsia="Times New Roman" w:hAnsi="Helvetica" w:cs="Arial"/>
          <w:sz w:val="22"/>
          <w:szCs w:val="22"/>
        </w:rPr>
        <w:t xml:space="preserve"> (61)</w:t>
      </w:r>
      <w:r w:rsidRPr="00750DD0">
        <w:rPr>
          <w:rFonts w:ascii="Helvetica" w:hAnsi="Helvetica" w:cs="Arial"/>
          <w:sz w:val="22"/>
          <w:szCs w:val="22"/>
        </w:rPr>
        <w:t xml:space="preserve"> distribuidores de</w:t>
      </w:r>
      <w:r w:rsidR="008D618C">
        <w:rPr>
          <w:rFonts w:ascii="Helvetica" w:hAnsi="Helvetica" w:cs="Arial"/>
          <w:sz w:val="22"/>
          <w:szCs w:val="22"/>
        </w:rPr>
        <w:t xml:space="preserve"> Gas Licuado de Petróleo</w:t>
      </w:r>
      <w:r w:rsidRPr="00750DD0">
        <w:rPr>
          <w:rFonts w:ascii="Helvetica" w:hAnsi="Helvetica" w:cs="Arial"/>
          <w:sz w:val="22"/>
          <w:szCs w:val="22"/>
        </w:rPr>
        <w:t xml:space="preserve"> </w:t>
      </w:r>
      <w:r w:rsidR="008D618C">
        <w:rPr>
          <w:rFonts w:ascii="Helvetica" w:hAnsi="Helvetica" w:cs="Arial"/>
          <w:sz w:val="22"/>
          <w:szCs w:val="22"/>
        </w:rPr>
        <w:t>(</w:t>
      </w:r>
      <w:r w:rsidRPr="00750DD0">
        <w:rPr>
          <w:rFonts w:ascii="Helvetica" w:hAnsi="Helvetica" w:cs="Arial"/>
          <w:sz w:val="22"/>
          <w:szCs w:val="22"/>
        </w:rPr>
        <w:t>GLP</w:t>
      </w:r>
      <w:r w:rsidR="008D618C">
        <w:rPr>
          <w:rFonts w:ascii="Helvetica" w:hAnsi="Helvetica" w:cs="Arial"/>
          <w:sz w:val="22"/>
          <w:szCs w:val="22"/>
        </w:rPr>
        <w:t>)</w:t>
      </w:r>
      <w:r w:rsidRPr="00750DD0">
        <w:rPr>
          <w:rFonts w:ascii="Helvetica" w:hAnsi="Helvetica" w:cs="Arial"/>
          <w:sz w:val="22"/>
          <w:szCs w:val="22"/>
        </w:rPr>
        <w:t xml:space="preserve"> que, de acuerdo con la información del Sistema Único de Información de Servicios Públicos Domiciliarios </w:t>
      </w:r>
      <w:r w:rsidR="008D618C">
        <w:rPr>
          <w:rFonts w:ascii="Helvetica" w:hAnsi="Helvetica" w:cs="Arial"/>
          <w:sz w:val="22"/>
          <w:szCs w:val="22"/>
        </w:rPr>
        <w:t>(</w:t>
      </w:r>
      <w:r w:rsidRPr="00750DD0">
        <w:rPr>
          <w:rFonts w:ascii="Helvetica" w:hAnsi="Helvetica" w:cs="Arial"/>
          <w:sz w:val="22"/>
          <w:szCs w:val="22"/>
        </w:rPr>
        <w:t>SUI</w:t>
      </w:r>
      <w:r w:rsidR="008D618C">
        <w:rPr>
          <w:rFonts w:ascii="Helvetica" w:hAnsi="Helvetica" w:cs="Arial"/>
          <w:sz w:val="22"/>
          <w:szCs w:val="22"/>
        </w:rPr>
        <w:t>)</w:t>
      </w:r>
      <w:r w:rsidRPr="00750DD0">
        <w:rPr>
          <w:rFonts w:ascii="Helvetica" w:hAnsi="Helvetica" w:cs="Arial"/>
          <w:sz w:val="22"/>
          <w:szCs w:val="22"/>
        </w:rPr>
        <w:t xml:space="preserve">, y del Registro Único de Prestadores de Servicios Públicos </w:t>
      </w:r>
      <w:bookmarkStart w:id="2" w:name="_Int_9iJUaQU5"/>
      <w:r w:rsidR="008D618C">
        <w:rPr>
          <w:rFonts w:ascii="Helvetica" w:hAnsi="Helvetica" w:cs="Arial"/>
          <w:sz w:val="22"/>
          <w:szCs w:val="22"/>
        </w:rPr>
        <w:t>(</w:t>
      </w:r>
      <w:proofErr w:type="spellStart"/>
      <w:r w:rsidRPr="00750DD0">
        <w:rPr>
          <w:rFonts w:ascii="Helvetica" w:hAnsi="Helvetica" w:cs="Arial"/>
          <w:sz w:val="22"/>
          <w:szCs w:val="22"/>
        </w:rPr>
        <w:t>RUPS</w:t>
      </w:r>
      <w:bookmarkEnd w:id="2"/>
      <w:proofErr w:type="spellEnd"/>
      <w:r w:rsidR="008D618C">
        <w:rPr>
          <w:rFonts w:ascii="Helvetica" w:hAnsi="Helvetica" w:cs="Arial"/>
          <w:sz w:val="22"/>
          <w:szCs w:val="22"/>
        </w:rPr>
        <w:t>)</w:t>
      </w:r>
      <w:r w:rsidRPr="00750DD0">
        <w:rPr>
          <w:rFonts w:ascii="Helvetica" w:hAnsi="Helvetica" w:cs="Arial"/>
          <w:sz w:val="22"/>
          <w:szCs w:val="22"/>
        </w:rPr>
        <w:t xml:space="preserve">, realizan la actividad de distribución de GLP en cilindros y/o a granel. </w:t>
      </w:r>
    </w:p>
    <w:p w14:paraId="1329E794" w14:textId="040C60E0" w:rsidR="00B02C48" w:rsidRPr="00750DD0" w:rsidRDefault="00B02C48" w:rsidP="00B02C48">
      <w:pPr>
        <w:spacing w:before="240"/>
        <w:jc w:val="both"/>
        <w:rPr>
          <w:rFonts w:ascii="Helvetica" w:eastAsia="MS Mincho" w:hAnsi="Helvetica" w:cs="Arial"/>
          <w:sz w:val="22"/>
          <w:szCs w:val="22"/>
        </w:rPr>
      </w:pPr>
      <w:r w:rsidRPr="00750DD0">
        <w:rPr>
          <w:rFonts w:ascii="Helvetica" w:eastAsia="MS Mincho" w:hAnsi="Helvetica" w:cs="Arial"/>
          <w:sz w:val="22"/>
          <w:szCs w:val="22"/>
        </w:rPr>
        <w:lastRenderedPageBreak/>
        <w:t>Atendiendo lo previsto en el artículo 3 de la Resolución CREG 063 de 2016</w:t>
      </w:r>
      <w:r w:rsidR="008D618C">
        <w:rPr>
          <w:rFonts w:ascii="Helvetica" w:eastAsia="MS Mincho" w:hAnsi="Helvetica" w:cs="Arial"/>
          <w:sz w:val="22"/>
          <w:szCs w:val="22"/>
        </w:rPr>
        <w:t>,</w:t>
      </w:r>
      <w:r w:rsidRPr="00750DD0">
        <w:rPr>
          <w:rFonts w:ascii="Helvetica" w:eastAsia="MS Mincho" w:hAnsi="Helvetica" w:cs="Arial"/>
          <w:sz w:val="22"/>
          <w:szCs w:val="22"/>
        </w:rPr>
        <w:t xml:space="preserve"> el décimo séptimo período de compra inicia el primero (1) de septiembre de 2024 y termina el veintiocho (28) de febrero de 2024</w:t>
      </w:r>
      <w:r w:rsidRPr="00750DD0">
        <w:rPr>
          <w:rStyle w:val="Refdenotaalpie"/>
          <w:rFonts w:ascii="Helvetica" w:eastAsia="MS Mincho" w:hAnsi="Helvetica" w:cs="Arial"/>
          <w:sz w:val="22"/>
          <w:szCs w:val="22"/>
        </w:rPr>
        <w:footnoteReference w:id="2"/>
      </w:r>
      <w:r w:rsidRPr="00750DD0">
        <w:rPr>
          <w:rFonts w:ascii="Helvetica" w:eastAsia="MS Mincho" w:hAnsi="Helvetica" w:cs="Arial"/>
          <w:sz w:val="22"/>
          <w:szCs w:val="22"/>
        </w:rPr>
        <w:t>. En atención a lo anterior, dichas capacidades serán aplicables para las cantidades que sean comercializadas o que se estén comercializando a partir de la expedición de la presente circular y hasta la finalización del décimo séptimo período de compra.</w:t>
      </w:r>
    </w:p>
    <w:p w14:paraId="49A5CA38" w14:textId="04609DDB" w:rsidR="00B02C48" w:rsidRPr="00750DD0" w:rsidRDefault="00B02C48" w:rsidP="00B02C48">
      <w:pPr>
        <w:spacing w:before="240"/>
        <w:jc w:val="both"/>
        <w:rPr>
          <w:rFonts w:ascii="Helvetica" w:eastAsia="MS Mincho" w:hAnsi="Helvetica" w:cs="Arial"/>
          <w:sz w:val="22"/>
          <w:szCs w:val="22"/>
        </w:rPr>
      </w:pPr>
      <w:r w:rsidRPr="00750DD0">
        <w:rPr>
          <w:rFonts w:ascii="Helvetica" w:eastAsia="MS Mincho" w:hAnsi="Helvetica" w:cs="Arial"/>
          <w:sz w:val="22"/>
          <w:szCs w:val="22"/>
        </w:rPr>
        <w:t>De acuerdo con lo establecido en la regulación para la aplicación de la capacidad de compra, así como para el cumplimiento de las obligaciones consagradas en la Resolución CREG 063 de 2016</w:t>
      </w:r>
      <w:r w:rsidR="008D618C">
        <w:rPr>
          <w:rFonts w:ascii="Helvetica" w:eastAsia="MS Mincho" w:hAnsi="Helvetica" w:cs="Arial"/>
          <w:sz w:val="22"/>
          <w:szCs w:val="22"/>
        </w:rPr>
        <w:t>,</w:t>
      </w:r>
      <w:r w:rsidRPr="00750DD0">
        <w:rPr>
          <w:rFonts w:ascii="Helvetica" w:eastAsia="MS Mincho" w:hAnsi="Helvetica" w:cs="Arial"/>
          <w:sz w:val="22"/>
          <w:szCs w:val="22"/>
        </w:rPr>
        <w:t xml:space="preserve"> para el caso de los comercializadores mayoristas y los distribuidores de GLP, dicha capacidad debe estar definida y publicada por la CREG con anterioridad al inicio de un período de compra. </w:t>
      </w:r>
    </w:p>
    <w:p w14:paraId="784B9BAF" w14:textId="77777777" w:rsidR="00B02C48" w:rsidRDefault="00B02C48" w:rsidP="00B02C48">
      <w:pPr>
        <w:spacing w:before="240"/>
        <w:jc w:val="both"/>
        <w:rPr>
          <w:rFonts w:ascii="Helvetica" w:eastAsia="Times New Roman" w:hAnsi="Helvetica" w:cs="Arial"/>
          <w:sz w:val="22"/>
          <w:szCs w:val="22"/>
          <w:lang w:val="es-ES" w:eastAsia="es-ES"/>
        </w:rPr>
      </w:pPr>
      <w:r w:rsidRPr="00750DD0">
        <w:rPr>
          <w:rFonts w:ascii="Helvetica" w:eastAsia="Times New Roman" w:hAnsi="Helvetica" w:cs="Arial"/>
          <w:spacing w:val="-5"/>
          <w:sz w:val="22"/>
          <w:szCs w:val="22"/>
        </w:rPr>
        <w:t xml:space="preserve">Como resultado de las actuaciones administrativas desarrolladas en virtud de lo dispuesto en el artículo 8 de la Resolución CREG 063 de 2016, y una vez vencidos los términos para interponer recurso de reposición en contra de la Resolución CREG 503 005 de 2024, </w:t>
      </w:r>
      <w:r w:rsidRPr="00750DD0">
        <w:rPr>
          <w:rFonts w:ascii="Helvetica" w:eastAsia="Times New Roman" w:hAnsi="Helvetica" w:cs="Arial"/>
          <w:sz w:val="22"/>
          <w:szCs w:val="22"/>
          <w:lang w:val="es-ES" w:eastAsia="es-ES"/>
        </w:rPr>
        <w:t>la CREG aprobó la publicación de la presente Circular, atendiendo lo previsto en el artículo 9 de la Resolución CREG 063 de 2016, la cual contiene las capacidades definidas y en firme para los distribuidores de GLP que deben ser consideradas para el décimo séptimo período de compra por parte de los comercializadores mayoristas y distribuidores de GLP, a efectos de dar cumplimiento a las obligaciones establecidas en la regulación</w:t>
      </w:r>
      <w:r w:rsidRPr="00750DD0">
        <w:rPr>
          <w:rStyle w:val="Refdenotaalpie"/>
          <w:rFonts w:ascii="Helvetica" w:eastAsia="Times New Roman" w:hAnsi="Helvetica" w:cs="Arial"/>
          <w:sz w:val="22"/>
          <w:szCs w:val="22"/>
          <w:lang w:val="es-ES" w:eastAsia="es-ES"/>
        </w:rPr>
        <w:footnoteReference w:id="3"/>
      </w:r>
      <w:r w:rsidRPr="00750DD0">
        <w:rPr>
          <w:rFonts w:ascii="Helvetica" w:eastAsia="Times New Roman" w:hAnsi="Helvetica" w:cs="Arial"/>
          <w:sz w:val="22"/>
          <w:szCs w:val="22"/>
          <w:lang w:val="es-ES" w:eastAsia="es-ES"/>
        </w:rPr>
        <w:t>. Estas capacidades de compra se consignan en la tabla a continuación:</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6100"/>
        <w:gridCol w:w="1417"/>
      </w:tblGrid>
      <w:tr w:rsidR="00B02C48" w:rsidRPr="00750DD0" w14:paraId="2294B68A" w14:textId="77777777" w:rsidTr="00FB6B69">
        <w:trPr>
          <w:trHeight w:val="640"/>
          <w:tblHeader/>
          <w:jc w:val="center"/>
        </w:trPr>
        <w:tc>
          <w:tcPr>
            <w:tcW w:w="988" w:type="dxa"/>
            <w:shd w:val="clear" w:color="auto" w:fill="auto"/>
            <w:noWrap/>
            <w:vAlign w:val="center"/>
            <w:hideMark/>
          </w:tcPr>
          <w:p w14:paraId="3408337D" w14:textId="77777777" w:rsidR="00B02C48" w:rsidRPr="00750DD0" w:rsidRDefault="00B02C48" w:rsidP="00FB6B69">
            <w:pPr>
              <w:spacing w:before="0" w:after="0" w:line="240" w:lineRule="auto"/>
              <w:jc w:val="center"/>
              <w:rPr>
                <w:rFonts w:ascii="Helvetica" w:hAnsi="Helvetica" w:cs="Helvetica"/>
                <w:b/>
                <w:bCs/>
                <w:color w:val="000000"/>
                <w:sz w:val="22"/>
                <w:szCs w:val="22"/>
                <w:lang w:eastAsia="es-CO"/>
              </w:rPr>
            </w:pPr>
            <w:r w:rsidRPr="00750DD0">
              <w:rPr>
                <w:rFonts w:ascii="Helvetica" w:hAnsi="Helvetica" w:cs="Helvetica"/>
                <w:b/>
                <w:bCs/>
                <w:color w:val="000000"/>
                <w:sz w:val="22"/>
                <w:szCs w:val="22"/>
                <w:lang w:eastAsia="es-CO"/>
              </w:rPr>
              <w:t>Código SUI</w:t>
            </w:r>
          </w:p>
        </w:tc>
        <w:tc>
          <w:tcPr>
            <w:tcW w:w="6100" w:type="dxa"/>
            <w:shd w:val="clear" w:color="auto" w:fill="auto"/>
            <w:noWrap/>
            <w:vAlign w:val="center"/>
            <w:hideMark/>
          </w:tcPr>
          <w:p w14:paraId="39AC0818" w14:textId="77777777" w:rsidR="00B02C48" w:rsidRPr="00750DD0" w:rsidRDefault="00B02C48" w:rsidP="00FB6B69">
            <w:pPr>
              <w:spacing w:before="0" w:after="0" w:line="240" w:lineRule="auto"/>
              <w:jc w:val="center"/>
              <w:rPr>
                <w:rFonts w:ascii="Helvetica" w:hAnsi="Helvetica" w:cs="Helvetica"/>
                <w:b/>
                <w:bCs/>
                <w:color w:val="000000"/>
                <w:sz w:val="22"/>
                <w:szCs w:val="22"/>
                <w:lang w:eastAsia="es-CO"/>
              </w:rPr>
            </w:pPr>
            <w:r w:rsidRPr="00750DD0">
              <w:rPr>
                <w:rFonts w:ascii="Helvetica" w:hAnsi="Helvetica" w:cs="Helvetica"/>
                <w:b/>
                <w:bCs/>
                <w:color w:val="000000"/>
                <w:sz w:val="22"/>
                <w:szCs w:val="22"/>
                <w:lang w:eastAsia="es-CO"/>
              </w:rPr>
              <w:t>Empresa</w:t>
            </w:r>
          </w:p>
        </w:tc>
        <w:tc>
          <w:tcPr>
            <w:tcW w:w="1417" w:type="dxa"/>
            <w:shd w:val="clear" w:color="auto" w:fill="auto"/>
            <w:noWrap/>
            <w:vAlign w:val="center"/>
            <w:hideMark/>
          </w:tcPr>
          <w:p w14:paraId="17BF57B7" w14:textId="77777777" w:rsidR="00B02C48" w:rsidRPr="00750DD0" w:rsidRDefault="00B02C48" w:rsidP="00FB6B69">
            <w:pPr>
              <w:spacing w:before="0" w:after="0" w:line="240" w:lineRule="auto"/>
              <w:jc w:val="center"/>
              <w:rPr>
                <w:rFonts w:ascii="Helvetica" w:hAnsi="Helvetica" w:cs="Helvetica"/>
                <w:b/>
                <w:bCs/>
                <w:color w:val="000000"/>
                <w:sz w:val="22"/>
                <w:szCs w:val="22"/>
                <w:lang w:eastAsia="es-CO"/>
              </w:rPr>
            </w:pPr>
            <w:r w:rsidRPr="00750DD0">
              <w:rPr>
                <w:rFonts w:ascii="Helvetica" w:hAnsi="Helvetica" w:cs="Helvetica"/>
                <w:b/>
                <w:bCs/>
                <w:color w:val="000000"/>
                <w:sz w:val="22"/>
                <w:szCs w:val="22"/>
                <w:lang w:eastAsia="es-CO"/>
              </w:rPr>
              <w:t>Capacidad (kg)</w:t>
            </w:r>
          </w:p>
        </w:tc>
      </w:tr>
      <w:tr w:rsidR="00B02C48" w:rsidRPr="00750DD0" w14:paraId="7D07E0F1" w14:textId="77777777" w:rsidTr="001E07FA">
        <w:trPr>
          <w:trHeight w:val="300"/>
          <w:jc w:val="center"/>
        </w:trPr>
        <w:tc>
          <w:tcPr>
            <w:tcW w:w="988" w:type="dxa"/>
            <w:shd w:val="clear" w:color="auto" w:fill="auto"/>
            <w:noWrap/>
            <w:vAlign w:val="center"/>
            <w:hideMark/>
          </w:tcPr>
          <w:p w14:paraId="3E2B824E"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522</w:t>
            </w:r>
          </w:p>
        </w:tc>
        <w:tc>
          <w:tcPr>
            <w:tcW w:w="6100" w:type="dxa"/>
            <w:shd w:val="clear" w:color="auto" w:fill="auto"/>
            <w:vAlign w:val="center"/>
            <w:hideMark/>
          </w:tcPr>
          <w:p w14:paraId="2632D0B1"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COLGAS S.A. E.S.P.</w:t>
            </w:r>
          </w:p>
        </w:tc>
        <w:tc>
          <w:tcPr>
            <w:tcW w:w="1417" w:type="dxa"/>
            <w:shd w:val="clear" w:color="auto" w:fill="auto"/>
            <w:noWrap/>
            <w:vAlign w:val="center"/>
            <w:hideMark/>
          </w:tcPr>
          <w:p w14:paraId="067CCE6D"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163.668.642</w:t>
            </w:r>
          </w:p>
        </w:tc>
      </w:tr>
      <w:tr w:rsidR="00B02C48" w:rsidRPr="00750DD0" w14:paraId="265D8454" w14:textId="77777777" w:rsidTr="001E07FA">
        <w:trPr>
          <w:trHeight w:val="300"/>
          <w:jc w:val="center"/>
        </w:trPr>
        <w:tc>
          <w:tcPr>
            <w:tcW w:w="988" w:type="dxa"/>
            <w:shd w:val="clear" w:color="auto" w:fill="auto"/>
            <w:noWrap/>
            <w:vAlign w:val="center"/>
            <w:hideMark/>
          </w:tcPr>
          <w:p w14:paraId="324D8A58"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543</w:t>
            </w:r>
          </w:p>
        </w:tc>
        <w:tc>
          <w:tcPr>
            <w:tcW w:w="6100" w:type="dxa"/>
            <w:shd w:val="clear" w:color="auto" w:fill="auto"/>
            <w:vAlign w:val="center"/>
            <w:hideMark/>
          </w:tcPr>
          <w:p w14:paraId="63C11122"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PROVIGAS S.A.S.  E.S.P.</w:t>
            </w:r>
          </w:p>
        </w:tc>
        <w:tc>
          <w:tcPr>
            <w:tcW w:w="1417" w:type="dxa"/>
            <w:shd w:val="clear" w:color="auto" w:fill="auto"/>
            <w:noWrap/>
            <w:vAlign w:val="center"/>
            <w:hideMark/>
          </w:tcPr>
          <w:p w14:paraId="00BB23EA"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2.610.462</w:t>
            </w:r>
          </w:p>
        </w:tc>
      </w:tr>
      <w:tr w:rsidR="00B02C48" w:rsidRPr="00750DD0" w14:paraId="0A351680" w14:textId="77777777" w:rsidTr="001E07FA">
        <w:trPr>
          <w:trHeight w:val="300"/>
          <w:jc w:val="center"/>
        </w:trPr>
        <w:tc>
          <w:tcPr>
            <w:tcW w:w="988" w:type="dxa"/>
            <w:shd w:val="clear" w:color="auto" w:fill="auto"/>
            <w:noWrap/>
            <w:vAlign w:val="center"/>
            <w:hideMark/>
          </w:tcPr>
          <w:p w14:paraId="6CAA467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976</w:t>
            </w:r>
          </w:p>
        </w:tc>
        <w:tc>
          <w:tcPr>
            <w:tcW w:w="6100" w:type="dxa"/>
            <w:shd w:val="clear" w:color="auto" w:fill="auto"/>
            <w:vAlign w:val="center"/>
            <w:hideMark/>
          </w:tcPr>
          <w:p w14:paraId="5B5DE7D5"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ZIPA SAS ESP</w:t>
            </w:r>
          </w:p>
        </w:tc>
        <w:tc>
          <w:tcPr>
            <w:tcW w:w="1417" w:type="dxa"/>
            <w:shd w:val="clear" w:color="auto" w:fill="auto"/>
            <w:noWrap/>
            <w:vAlign w:val="center"/>
            <w:hideMark/>
          </w:tcPr>
          <w:p w14:paraId="3C93B936"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10.479.528</w:t>
            </w:r>
          </w:p>
        </w:tc>
      </w:tr>
      <w:tr w:rsidR="00B02C48" w:rsidRPr="00750DD0" w14:paraId="557E959F" w14:textId="77777777" w:rsidTr="001E07FA">
        <w:trPr>
          <w:trHeight w:val="300"/>
          <w:jc w:val="center"/>
        </w:trPr>
        <w:tc>
          <w:tcPr>
            <w:tcW w:w="988" w:type="dxa"/>
            <w:shd w:val="clear" w:color="auto" w:fill="auto"/>
            <w:noWrap/>
            <w:vAlign w:val="center"/>
            <w:hideMark/>
          </w:tcPr>
          <w:p w14:paraId="31ACE3B9"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lastRenderedPageBreak/>
              <w:t>1115</w:t>
            </w:r>
          </w:p>
        </w:tc>
        <w:tc>
          <w:tcPr>
            <w:tcW w:w="6100" w:type="dxa"/>
            <w:shd w:val="clear" w:color="auto" w:fill="auto"/>
            <w:vAlign w:val="center"/>
            <w:hideMark/>
          </w:tcPr>
          <w:p w14:paraId="50A90506"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VELOGAS S.A.  E.S.P.</w:t>
            </w:r>
          </w:p>
        </w:tc>
        <w:tc>
          <w:tcPr>
            <w:tcW w:w="1417" w:type="dxa"/>
            <w:shd w:val="clear" w:color="auto" w:fill="auto"/>
            <w:noWrap/>
            <w:vAlign w:val="center"/>
            <w:hideMark/>
          </w:tcPr>
          <w:p w14:paraId="7F32A8B1"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592.034</w:t>
            </w:r>
          </w:p>
        </w:tc>
      </w:tr>
      <w:tr w:rsidR="00B02C48" w:rsidRPr="00750DD0" w14:paraId="7CEAD936" w14:textId="77777777" w:rsidTr="001E07FA">
        <w:trPr>
          <w:trHeight w:val="530"/>
          <w:jc w:val="center"/>
        </w:trPr>
        <w:tc>
          <w:tcPr>
            <w:tcW w:w="988" w:type="dxa"/>
            <w:shd w:val="clear" w:color="auto" w:fill="auto"/>
            <w:noWrap/>
            <w:vAlign w:val="center"/>
            <w:hideMark/>
          </w:tcPr>
          <w:p w14:paraId="743ED06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1195</w:t>
            </w:r>
          </w:p>
        </w:tc>
        <w:tc>
          <w:tcPr>
            <w:tcW w:w="6100" w:type="dxa"/>
            <w:shd w:val="clear" w:color="auto" w:fill="auto"/>
            <w:vAlign w:val="center"/>
            <w:hideMark/>
          </w:tcPr>
          <w:p w14:paraId="28CDB884"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ENVASADORA DE GAS DE PUERTO SALGAR S.A. EMPRESA DE SERVICIOS PUBLICOS</w:t>
            </w:r>
          </w:p>
        </w:tc>
        <w:tc>
          <w:tcPr>
            <w:tcW w:w="1417" w:type="dxa"/>
            <w:shd w:val="clear" w:color="auto" w:fill="auto"/>
            <w:noWrap/>
            <w:vAlign w:val="center"/>
            <w:hideMark/>
          </w:tcPr>
          <w:p w14:paraId="772C6350"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3.253.587</w:t>
            </w:r>
          </w:p>
        </w:tc>
      </w:tr>
      <w:tr w:rsidR="00B02C48" w:rsidRPr="00750DD0" w14:paraId="4AFC6C74" w14:textId="77777777" w:rsidTr="001E07FA">
        <w:trPr>
          <w:trHeight w:val="300"/>
          <w:jc w:val="center"/>
        </w:trPr>
        <w:tc>
          <w:tcPr>
            <w:tcW w:w="988" w:type="dxa"/>
            <w:shd w:val="clear" w:color="auto" w:fill="auto"/>
            <w:noWrap/>
            <w:vAlign w:val="center"/>
            <w:hideMark/>
          </w:tcPr>
          <w:p w14:paraId="589BF536"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1330</w:t>
            </w:r>
          </w:p>
        </w:tc>
        <w:tc>
          <w:tcPr>
            <w:tcW w:w="6100" w:type="dxa"/>
            <w:shd w:val="clear" w:color="auto" w:fill="auto"/>
            <w:vAlign w:val="center"/>
            <w:hideMark/>
          </w:tcPr>
          <w:p w14:paraId="721AF78C"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GRANADOS GOMEZ Y CIA S.A.S E.S.P</w:t>
            </w:r>
          </w:p>
        </w:tc>
        <w:tc>
          <w:tcPr>
            <w:tcW w:w="1417" w:type="dxa"/>
            <w:shd w:val="clear" w:color="auto" w:fill="auto"/>
            <w:noWrap/>
            <w:vAlign w:val="center"/>
            <w:hideMark/>
          </w:tcPr>
          <w:p w14:paraId="0F97BB63"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4.407.053</w:t>
            </w:r>
          </w:p>
        </w:tc>
      </w:tr>
      <w:tr w:rsidR="00B02C48" w:rsidRPr="00750DD0" w14:paraId="27017EEA" w14:textId="77777777" w:rsidTr="001E07FA">
        <w:trPr>
          <w:trHeight w:val="300"/>
          <w:jc w:val="center"/>
        </w:trPr>
        <w:tc>
          <w:tcPr>
            <w:tcW w:w="988" w:type="dxa"/>
            <w:shd w:val="clear" w:color="auto" w:fill="auto"/>
            <w:noWrap/>
            <w:vAlign w:val="center"/>
            <w:hideMark/>
          </w:tcPr>
          <w:p w14:paraId="50D96D6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1564</w:t>
            </w:r>
          </w:p>
        </w:tc>
        <w:tc>
          <w:tcPr>
            <w:tcW w:w="6100" w:type="dxa"/>
            <w:shd w:val="clear" w:color="auto" w:fill="auto"/>
            <w:vAlign w:val="center"/>
            <w:hideMark/>
          </w:tcPr>
          <w:p w14:paraId="40475C17"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ELECTROGAS SA ESP</w:t>
            </w:r>
          </w:p>
        </w:tc>
        <w:tc>
          <w:tcPr>
            <w:tcW w:w="1417" w:type="dxa"/>
            <w:shd w:val="clear" w:color="auto" w:fill="auto"/>
            <w:noWrap/>
            <w:vAlign w:val="center"/>
            <w:hideMark/>
          </w:tcPr>
          <w:p w14:paraId="0CA4BD5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2.030.847</w:t>
            </w:r>
          </w:p>
        </w:tc>
      </w:tr>
      <w:tr w:rsidR="00B02C48" w:rsidRPr="00750DD0" w14:paraId="70AE1BB5" w14:textId="77777777" w:rsidTr="001E07FA">
        <w:trPr>
          <w:trHeight w:val="300"/>
          <w:jc w:val="center"/>
        </w:trPr>
        <w:tc>
          <w:tcPr>
            <w:tcW w:w="988" w:type="dxa"/>
            <w:shd w:val="clear" w:color="auto" w:fill="auto"/>
            <w:noWrap/>
            <w:vAlign w:val="center"/>
            <w:hideMark/>
          </w:tcPr>
          <w:p w14:paraId="7F6EA09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1595</w:t>
            </w:r>
          </w:p>
        </w:tc>
        <w:tc>
          <w:tcPr>
            <w:tcW w:w="6100" w:type="dxa"/>
            <w:shd w:val="clear" w:color="auto" w:fill="auto"/>
            <w:vAlign w:val="center"/>
            <w:hideMark/>
          </w:tcPr>
          <w:p w14:paraId="52138291"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GASES DEL CAGUAN S. A. E.S.P.</w:t>
            </w:r>
          </w:p>
        </w:tc>
        <w:tc>
          <w:tcPr>
            <w:tcW w:w="1417" w:type="dxa"/>
            <w:shd w:val="clear" w:color="auto" w:fill="auto"/>
            <w:noWrap/>
            <w:vAlign w:val="center"/>
            <w:hideMark/>
          </w:tcPr>
          <w:p w14:paraId="5184DA0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355.238</w:t>
            </w:r>
          </w:p>
        </w:tc>
      </w:tr>
      <w:tr w:rsidR="00B02C48" w:rsidRPr="00750DD0" w14:paraId="3A7ABEB1" w14:textId="77777777" w:rsidTr="001E07FA">
        <w:trPr>
          <w:trHeight w:val="300"/>
          <w:jc w:val="center"/>
        </w:trPr>
        <w:tc>
          <w:tcPr>
            <w:tcW w:w="988" w:type="dxa"/>
            <w:shd w:val="clear" w:color="auto" w:fill="auto"/>
            <w:noWrap/>
            <w:vAlign w:val="center"/>
            <w:hideMark/>
          </w:tcPr>
          <w:p w14:paraId="6269D9AD"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1598</w:t>
            </w:r>
          </w:p>
        </w:tc>
        <w:tc>
          <w:tcPr>
            <w:tcW w:w="6100" w:type="dxa"/>
            <w:shd w:val="clear" w:color="auto" w:fill="auto"/>
            <w:vAlign w:val="center"/>
            <w:hideMark/>
          </w:tcPr>
          <w:p w14:paraId="11D0A37B"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NEIVA S.A. E.S.P.</w:t>
            </w:r>
          </w:p>
        </w:tc>
        <w:tc>
          <w:tcPr>
            <w:tcW w:w="1417" w:type="dxa"/>
            <w:shd w:val="clear" w:color="auto" w:fill="auto"/>
            <w:noWrap/>
            <w:vAlign w:val="center"/>
            <w:hideMark/>
          </w:tcPr>
          <w:p w14:paraId="0C1C732A"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4.190.990</w:t>
            </w:r>
          </w:p>
        </w:tc>
      </w:tr>
      <w:tr w:rsidR="00B02C48" w:rsidRPr="00750DD0" w14:paraId="0A8F4C80" w14:textId="77777777" w:rsidTr="001E07FA">
        <w:trPr>
          <w:trHeight w:val="300"/>
          <w:jc w:val="center"/>
        </w:trPr>
        <w:tc>
          <w:tcPr>
            <w:tcW w:w="988" w:type="dxa"/>
            <w:shd w:val="clear" w:color="auto" w:fill="auto"/>
            <w:noWrap/>
            <w:vAlign w:val="center"/>
            <w:hideMark/>
          </w:tcPr>
          <w:p w14:paraId="11F25B2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1634</w:t>
            </w:r>
          </w:p>
        </w:tc>
        <w:tc>
          <w:tcPr>
            <w:tcW w:w="6100" w:type="dxa"/>
            <w:shd w:val="clear" w:color="auto" w:fill="auto"/>
            <w:vAlign w:val="center"/>
            <w:hideMark/>
          </w:tcPr>
          <w:p w14:paraId="199EB7C3"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RAYOGAS S.A.S ESP</w:t>
            </w:r>
          </w:p>
        </w:tc>
        <w:tc>
          <w:tcPr>
            <w:tcW w:w="1417" w:type="dxa"/>
            <w:shd w:val="clear" w:color="auto" w:fill="auto"/>
            <w:noWrap/>
            <w:vAlign w:val="center"/>
            <w:hideMark/>
          </w:tcPr>
          <w:p w14:paraId="78FC8535"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15.519.153</w:t>
            </w:r>
          </w:p>
        </w:tc>
      </w:tr>
      <w:tr w:rsidR="00B02C48" w:rsidRPr="00750DD0" w14:paraId="5FA3AEF0" w14:textId="77777777" w:rsidTr="001E07FA">
        <w:trPr>
          <w:trHeight w:val="300"/>
          <w:jc w:val="center"/>
        </w:trPr>
        <w:tc>
          <w:tcPr>
            <w:tcW w:w="988" w:type="dxa"/>
            <w:shd w:val="clear" w:color="auto" w:fill="auto"/>
            <w:noWrap/>
            <w:vAlign w:val="center"/>
            <w:hideMark/>
          </w:tcPr>
          <w:p w14:paraId="367682EC"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1713</w:t>
            </w:r>
          </w:p>
        </w:tc>
        <w:tc>
          <w:tcPr>
            <w:tcW w:w="6100" w:type="dxa"/>
            <w:shd w:val="clear" w:color="auto" w:fill="auto"/>
            <w:vAlign w:val="center"/>
            <w:hideMark/>
          </w:tcPr>
          <w:p w14:paraId="7B8968F4"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INTERMUNICIPAL DE GAS S.A. E.S.P.</w:t>
            </w:r>
          </w:p>
        </w:tc>
        <w:tc>
          <w:tcPr>
            <w:tcW w:w="1417" w:type="dxa"/>
            <w:shd w:val="clear" w:color="auto" w:fill="auto"/>
            <w:noWrap/>
            <w:vAlign w:val="center"/>
            <w:hideMark/>
          </w:tcPr>
          <w:p w14:paraId="618C54F2"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315.236</w:t>
            </w:r>
          </w:p>
        </w:tc>
      </w:tr>
      <w:tr w:rsidR="00B02C48" w:rsidRPr="00750DD0" w14:paraId="4A341535" w14:textId="77777777" w:rsidTr="001E07FA">
        <w:trPr>
          <w:trHeight w:val="300"/>
          <w:jc w:val="center"/>
        </w:trPr>
        <w:tc>
          <w:tcPr>
            <w:tcW w:w="988" w:type="dxa"/>
            <w:shd w:val="clear" w:color="auto" w:fill="auto"/>
            <w:noWrap/>
            <w:vAlign w:val="center"/>
            <w:hideMark/>
          </w:tcPr>
          <w:p w14:paraId="257B2407"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1714</w:t>
            </w:r>
          </w:p>
        </w:tc>
        <w:tc>
          <w:tcPr>
            <w:tcW w:w="6100" w:type="dxa"/>
            <w:shd w:val="clear" w:color="auto" w:fill="auto"/>
            <w:vAlign w:val="center"/>
            <w:hideMark/>
          </w:tcPr>
          <w:p w14:paraId="0021D72B"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VILLA GAS S.A. E.S.P.</w:t>
            </w:r>
          </w:p>
        </w:tc>
        <w:tc>
          <w:tcPr>
            <w:tcW w:w="1417" w:type="dxa"/>
            <w:shd w:val="clear" w:color="auto" w:fill="auto"/>
            <w:noWrap/>
            <w:vAlign w:val="center"/>
            <w:hideMark/>
          </w:tcPr>
          <w:p w14:paraId="2D48500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1.035.572</w:t>
            </w:r>
          </w:p>
        </w:tc>
      </w:tr>
      <w:tr w:rsidR="00B02C48" w:rsidRPr="00750DD0" w14:paraId="78A17A26" w14:textId="77777777" w:rsidTr="001E07FA">
        <w:trPr>
          <w:trHeight w:val="300"/>
          <w:jc w:val="center"/>
        </w:trPr>
        <w:tc>
          <w:tcPr>
            <w:tcW w:w="988" w:type="dxa"/>
            <w:shd w:val="clear" w:color="auto" w:fill="auto"/>
            <w:noWrap/>
            <w:vAlign w:val="center"/>
            <w:hideMark/>
          </w:tcPr>
          <w:p w14:paraId="4B1E7E9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1715</w:t>
            </w:r>
          </w:p>
        </w:tc>
        <w:tc>
          <w:tcPr>
            <w:tcW w:w="6100" w:type="dxa"/>
            <w:shd w:val="clear" w:color="auto" w:fill="auto"/>
            <w:vAlign w:val="center"/>
            <w:hideMark/>
          </w:tcPr>
          <w:p w14:paraId="6BEBA672"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EL SOL S.A. E.S.P.</w:t>
            </w:r>
          </w:p>
        </w:tc>
        <w:tc>
          <w:tcPr>
            <w:tcW w:w="1417" w:type="dxa"/>
            <w:shd w:val="clear" w:color="auto" w:fill="auto"/>
            <w:noWrap/>
            <w:vAlign w:val="center"/>
            <w:hideMark/>
          </w:tcPr>
          <w:p w14:paraId="4A5D4EB6"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379.847</w:t>
            </w:r>
          </w:p>
        </w:tc>
      </w:tr>
      <w:tr w:rsidR="00B02C48" w:rsidRPr="00750DD0" w14:paraId="13771F2A" w14:textId="77777777" w:rsidTr="001E07FA">
        <w:trPr>
          <w:trHeight w:val="300"/>
          <w:jc w:val="center"/>
        </w:trPr>
        <w:tc>
          <w:tcPr>
            <w:tcW w:w="988" w:type="dxa"/>
            <w:shd w:val="clear" w:color="auto" w:fill="auto"/>
            <w:noWrap/>
            <w:vAlign w:val="center"/>
            <w:hideMark/>
          </w:tcPr>
          <w:p w14:paraId="65D8026E"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1854</w:t>
            </w:r>
          </w:p>
        </w:tc>
        <w:tc>
          <w:tcPr>
            <w:tcW w:w="6100" w:type="dxa"/>
            <w:shd w:val="clear" w:color="auto" w:fill="auto"/>
            <w:vAlign w:val="center"/>
            <w:hideMark/>
          </w:tcPr>
          <w:p w14:paraId="2AE23544"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LIDAGAS S.A E.S.P.</w:t>
            </w:r>
          </w:p>
        </w:tc>
        <w:tc>
          <w:tcPr>
            <w:tcW w:w="1417" w:type="dxa"/>
            <w:shd w:val="clear" w:color="auto" w:fill="auto"/>
            <w:noWrap/>
            <w:vAlign w:val="center"/>
            <w:hideMark/>
          </w:tcPr>
          <w:p w14:paraId="43223C7B"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5.091.302</w:t>
            </w:r>
          </w:p>
        </w:tc>
      </w:tr>
      <w:tr w:rsidR="00B02C48" w:rsidRPr="00750DD0" w14:paraId="7EC5707D" w14:textId="77777777" w:rsidTr="001E07FA">
        <w:trPr>
          <w:trHeight w:val="300"/>
          <w:jc w:val="center"/>
        </w:trPr>
        <w:tc>
          <w:tcPr>
            <w:tcW w:w="988" w:type="dxa"/>
            <w:shd w:val="clear" w:color="auto" w:fill="auto"/>
            <w:noWrap/>
            <w:vAlign w:val="center"/>
            <w:hideMark/>
          </w:tcPr>
          <w:p w14:paraId="5BF357FC"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2180</w:t>
            </w:r>
          </w:p>
        </w:tc>
        <w:tc>
          <w:tcPr>
            <w:tcW w:w="6100" w:type="dxa"/>
            <w:shd w:val="clear" w:color="auto" w:fill="auto"/>
            <w:vAlign w:val="center"/>
            <w:hideMark/>
          </w:tcPr>
          <w:p w14:paraId="2183549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CAQUETA S.A  E.S.P</w:t>
            </w:r>
          </w:p>
        </w:tc>
        <w:tc>
          <w:tcPr>
            <w:tcW w:w="1417" w:type="dxa"/>
            <w:shd w:val="clear" w:color="auto" w:fill="auto"/>
            <w:noWrap/>
            <w:vAlign w:val="center"/>
            <w:hideMark/>
          </w:tcPr>
          <w:p w14:paraId="464FCF03"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1.954.963</w:t>
            </w:r>
          </w:p>
        </w:tc>
      </w:tr>
      <w:tr w:rsidR="00B02C48" w:rsidRPr="00750DD0" w14:paraId="056013DD" w14:textId="77777777" w:rsidTr="001E07FA">
        <w:trPr>
          <w:trHeight w:val="300"/>
          <w:jc w:val="center"/>
        </w:trPr>
        <w:tc>
          <w:tcPr>
            <w:tcW w:w="988" w:type="dxa"/>
            <w:shd w:val="clear" w:color="auto" w:fill="auto"/>
            <w:noWrap/>
            <w:vAlign w:val="center"/>
            <w:hideMark/>
          </w:tcPr>
          <w:p w14:paraId="777979C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2676</w:t>
            </w:r>
          </w:p>
        </w:tc>
        <w:tc>
          <w:tcPr>
            <w:tcW w:w="6100" w:type="dxa"/>
            <w:shd w:val="clear" w:color="auto" w:fill="auto"/>
            <w:vAlign w:val="center"/>
            <w:hideMark/>
          </w:tcPr>
          <w:p w14:paraId="0A417F45"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SUPERGAS DE NARIÑO S.A.S. E.S.P.</w:t>
            </w:r>
          </w:p>
        </w:tc>
        <w:tc>
          <w:tcPr>
            <w:tcW w:w="1417" w:type="dxa"/>
            <w:shd w:val="clear" w:color="auto" w:fill="auto"/>
            <w:noWrap/>
            <w:vAlign w:val="center"/>
            <w:hideMark/>
          </w:tcPr>
          <w:p w14:paraId="0DBC218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4.660.955</w:t>
            </w:r>
          </w:p>
        </w:tc>
      </w:tr>
      <w:tr w:rsidR="00B02C48" w:rsidRPr="00750DD0" w14:paraId="459461A8" w14:textId="77777777" w:rsidTr="001E07FA">
        <w:trPr>
          <w:trHeight w:val="300"/>
          <w:jc w:val="center"/>
        </w:trPr>
        <w:tc>
          <w:tcPr>
            <w:tcW w:w="988" w:type="dxa"/>
            <w:shd w:val="clear" w:color="auto" w:fill="auto"/>
            <w:noWrap/>
            <w:vAlign w:val="center"/>
            <w:hideMark/>
          </w:tcPr>
          <w:p w14:paraId="51E6BF8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2923</w:t>
            </w:r>
          </w:p>
        </w:tc>
        <w:tc>
          <w:tcPr>
            <w:tcW w:w="6100" w:type="dxa"/>
            <w:shd w:val="clear" w:color="auto" w:fill="auto"/>
            <w:vAlign w:val="center"/>
            <w:hideMark/>
          </w:tcPr>
          <w:p w14:paraId="1C4D96E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DISTRIBUIDORA DE GAS MONZAGAS S.A. E.S.P.</w:t>
            </w:r>
          </w:p>
        </w:tc>
        <w:tc>
          <w:tcPr>
            <w:tcW w:w="1417" w:type="dxa"/>
            <w:shd w:val="clear" w:color="auto" w:fill="auto"/>
            <w:noWrap/>
            <w:vAlign w:val="center"/>
            <w:hideMark/>
          </w:tcPr>
          <w:p w14:paraId="67A1CF23"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880.511</w:t>
            </w:r>
          </w:p>
        </w:tc>
      </w:tr>
      <w:tr w:rsidR="00B02C48" w:rsidRPr="00750DD0" w14:paraId="44E44D7B" w14:textId="77777777" w:rsidTr="001E07FA">
        <w:trPr>
          <w:trHeight w:val="300"/>
          <w:jc w:val="center"/>
        </w:trPr>
        <w:tc>
          <w:tcPr>
            <w:tcW w:w="988" w:type="dxa"/>
            <w:shd w:val="clear" w:color="auto" w:fill="auto"/>
            <w:noWrap/>
            <w:vAlign w:val="center"/>
            <w:hideMark/>
          </w:tcPr>
          <w:p w14:paraId="6873521B"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3080</w:t>
            </w:r>
          </w:p>
        </w:tc>
        <w:tc>
          <w:tcPr>
            <w:tcW w:w="6100" w:type="dxa"/>
            <w:shd w:val="clear" w:color="auto" w:fill="auto"/>
            <w:vAlign w:val="center"/>
            <w:hideMark/>
          </w:tcPr>
          <w:p w14:paraId="2B21BB1D"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LA LLAMA OLÍMPICA S.A, E.S.P.</w:t>
            </w:r>
          </w:p>
        </w:tc>
        <w:tc>
          <w:tcPr>
            <w:tcW w:w="1417" w:type="dxa"/>
            <w:shd w:val="clear" w:color="auto" w:fill="auto"/>
            <w:noWrap/>
            <w:vAlign w:val="center"/>
            <w:hideMark/>
          </w:tcPr>
          <w:p w14:paraId="48141131"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1.366.037</w:t>
            </w:r>
          </w:p>
        </w:tc>
      </w:tr>
      <w:tr w:rsidR="00B02C48" w:rsidRPr="00750DD0" w14:paraId="5978E716" w14:textId="77777777" w:rsidTr="001E07FA">
        <w:trPr>
          <w:trHeight w:val="300"/>
          <w:jc w:val="center"/>
        </w:trPr>
        <w:tc>
          <w:tcPr>
            <w:tcW w:w="988" w:type="dxa"/>
            <w:shd w:val="clear" w:color="auto" w:fill="auto"/>
            <w:noWrap/>
            <w:vAlign w:val="center"/>
            <w:hideMark/>
          </w:tcPr>
          <w:p w14:paraId="057D48DF"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lastRenderedPageBreak/>
              <w:t>3358</w:t>
            </w:r>
          </w:p>
        </w:tc>
        <w:tc>
          <w:tcPr>
            <w:tcW w:w="6100" w:type="dxa"/>
            <w:shd w:val="clear" w:color="auto" w:fill="auto"/>
            <w:vAlign w:val="center"/>
            <w:hideMark/>
          </w:tcPr>
          <w:p w14:paraId="326136AE"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COMPAÑIA DE SERVICIOS PUBLICOS S.A E.S.P</w:t>
            </w:r>
          </w:p>
        </w:tc>
        <w:tc>
          <w:tcPr>
            <w:tcW w:w="1417" w:type="dxa"/>
            <w:shd w:val="clear" w:color="auto" w:fill="auto"/>
            <w:noWrap/>
            <w:vAlign w:val="center"/>
            <w:hideMark/>
          </w:tcPr>
          <w:p w14:paraId="567B765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5.858.410</w:t>
            </w:r>
          </w:p>
        </w:tc>
      </w:tr>
      <w:tr w:rsidR="00B02C48" w:rsidRPr="00750DD0" w14:paraId="696F19DC" w14:textId="77777777" w:rsidTr="001E07FA">
        <w:trPr>
          <w:trHeight w:val="505"/>
          <w:jc w:val="center"/>
        </w:trPr>
        <w:tc>
          <w:tcPr>
            <w:tcW w:w="988" w:type="dxa"/>
            <w:shd w:val="clear" w:color="auto" w:fill="auto"/>
            <w:noWrap/>
            <w:vAlign w:val="center"/>
            <w:hideMark/>
          </w:tcPr>
          <w:p w14:paraId="0E462943"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6026</w:t>
            </w:r>
          </w:p>
        </w:tc>
        <w:tc>
          <w:tcPr>
            <w:tcW w:w="6100" w:type="dxa"/>
            <w:shd w:val="clear" w:color="auto" w:fill="auto"/>
            <w:vAlign w:val="center"/>
            <w:hideMark/>
          </w:tcPr>
          <w:p w14:paraId="34A9A2E4"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MONTAGAS S.A. EMPRESA DE SERVICIOS PÚBLICOS DOMICILIARIOS MONTAGAS SA E S P</w:t>
            </w:r>
          </w:p>
        </w:tc>
        <w:tc>
          <w:tcPr>
            <w:tcW w:w="1417" w:type="dxa"/>
            <w:shd w:val="clear" w:color="auto" w:fill="auto"/>
            <w:noWrap/>
            <w:vAlign w:val="center"/>
            <w:hideMark/>
          </w:tcPr>
          <w:p w14:paraId="6ADADD77"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27.623.407</w:t>
            </w:r>
          </w:p>
        </w:tc>
      </w:tr>
      <w:tr w:rsidR="00B02C48" w:rsidRPr="00750DD0" w14:paraId="48F01F37" w14:textId="77777777" w:rsidTr="001E07FA">
        <w:trPr>
          <w:trHeight w:val="300"/>
          <w:jc w:val="center"/>
        </w:trPr>
        <w:tc>
          <w:tcPr>
            <w:tcW w:w="988" w:type="dxa"/>
            <w:shd w:val="clear" w:color="auto" w:fill="auto"/>
            <w:noWrap/>
            <w:vAlign w:val="center"/>
            <w:hideMark/>
          </w:tcPr>
          <w:p w14:paraId="66400208"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20420</w:t>
            </w:r>
          </w:p>
        </w:tc>
        <w:tc>
          <w:tcPr>
            <w:tcW w:w="6100" w:type="dxa"/>
            <w:shd w:val="clear" w:color="auto" w:fill="auto"/>
            <w:vAlign w:val="center"/>
            <w:hideMark/>
          </w:tcPr>
          <w:p w14:paraId="409AE97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TURGAS S.A. E.S.P.</w:t>
            </w:r>
          </w:p>
        </w:tc>
        <w:tc>
          <w:tcPr>
            <w:tcW w:w="1417" w:type="dxa"/>
            <w:shd w:val="clear" w:color="auto" w:fill="auto"/>
            <w:noWrap/>
            <w:vAlign w:val="center"/>
            <w:hideMark/>
          </w:tcPr>
          <w:p w14:paraId="11FA432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1.108.820</w:t>
            </w:r>
          </w:p>
        </w:tc>
      </w:tr>
      <w:tr w:rsidR="00B02C48" w:rsidRPr="00750DD0" w14:paraId="4C2E2869" w14:textId="77777777" w:rsidTr="001E07FA">
        <w:trPr>
          <w:trHeight w:val="300"/>
          <w:jc w:val="center"/>
        </w:trPr>
        <w:tc>
          <w:tcPr>
            <w:tcW w:w="988" w:type="dxa"/>
            <w:shd w:val="clear" w:color="auto" w:fill="auto"/>
            <w:noWrap/>
            <w:vAlign w:val="center"/>
            <w:hideMark/>
          </w:tcPr>
          <w:p w14:paraId="3EEA6336"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21578</w:t>
            </w:r>
          </w:p>
        </w:tc>
        <w:tc>
          <w:tcPr>
            <w:tcW w:w="6100" w:type="dxa"/>
            <w:shd w:val="clear" w:color="auto" w:fill="auto"/>
            <w:vAlign w:val="center"/>
            <w:hideMark/>
          </w:tcPr>
          <w:p w14:paraId="40ECED7A"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ESP DIGASPRO SAS</w:t>
            </w:r>
          </w:p>
        </w:tc>
        <w:tc>
          <w:tcPr>
            <w:tcW w:w="1417" w:type="dxa"/>
            <w:shd w:val="clear" w:color="auto" w:fill="auto"/>
            <w:noWrap/>
            <w:vAlign w:val="center"/>
            <w:hideMark/>
          </w:tcPr>
          <w:p w14:paraId="5C5F3982"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1.524.533</w:t>
            </w:r>
          </w:p>
        </w:tc>
      </w:tr>
      <w:tr w:rsidR="00B02C48" w:rsidRPr="00750DD0" w14:paraId="370C1619" w14:textId="77777777" w:rsidTr="001E07FA">
        <w:trPr>
          <w:trHeight w:val="300"/>
          <w:jc w:val="center"/>
        </w:trPr>
        <w:tc>
          <w:tcPr>
            <w:tcW w:w="988" w:type="dxa"/>
            <w:shd w:val="clear" w:color="auto" w:fill="auto"/>
            <w:noWrap/>
            <w:vAlign w:val="center"/>
            <w:hideMark/>
          </w:tcPr>
          <w:p w14:paraId="21D12B79"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22167</w:t>
            </w:r>
          </w:p>
        </w:tc>
        <w:tc>
          <w:tcPr>
            <w:tcW w:w="6100" w:type="dxa"/>
            <w:shd w:val="clear" w:color="auto" w:fill="auto"/>
            <w:vAlign w:val="center"/>
            <w:hideMark/>
          </w:tcPr>
          <w:p w14:paraId="707D86F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ROSCOGAS S.A. E.S.P</w:t>
            </w:r>
          </w:p>
        </w:tc>
        <w:tc>
          <w:tcPr>
            <w:tcW w:w="1417" w:type="dxa"/>
            <w:shd w:val="clear" w:color="auto" w:fill="auto"/>
            <w:noWrap/>
            <w:vAlign w:val="center"/>
            <w:hideMark/>
          </w:tcPr>
          <w:p w14:paraId="1AAE980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17.695.285</w:t>
            </w:r>
          </w:p>
        </w:tc>
      </w:tr>
      <w:tr w:rsidR="00B02C48" w:rsidRPr="00750DD0" w14:paraId="4FFED4C1" w14:textId="77777777" w:rsidTr="001E07FA">
        <w:trPr>
          <w:trHeight w:val="530"/>
          <w:jc w:val="center"/>
        </w:trPr>
        <w:tc>
          <w:tcPr>
            <w:tcW w:w="988" w:type="dxa"/>
            <w:shd w:val="clear" w:color="auto" w:fill="auto"/>
            <w:noWrap/>
            <w:vAlign w:val="center"/>
            <w:hideMark/>
          </w:tcPr>
          <w:p w14:paraId="65B87BB8"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22818</w:t>
            </w:r>
          </w:p>
        </w:tc>
        <w:tc>
          <w:tcPr>
            <w:tcW w:w="6100" w:type="dxa"/>
            <w:shd w:val="clear" w:color="auto" w:fill="auto"/>
            <w:vAlign w:val="center"/>
            <w:hideMark/>
          </w:tcPr>
          <w:p w14:paraId="716F3C59"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 xml:space="preserve">COMBUSTIBLES LÍQUIDOS DE COLOMBIA S.A. E.S.P. </w:t>
            </w:r>
          </w:p>
        </w:tc>
        <w:tc>
          <w:tcPr>
            <w:tcW w:w="1417" w:type="dxa"/>
            <w:shd w:val="clear" w:color="auto" w:fill="auto"/>
            <w:noWrap/>
            <w:vAlign w:val="center"/>
            <w:hideMark/>
          </w:tcPr>
          <w:p w14:paraId="536B21DC"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17.956.951</w:t>
            </w:r>
          </w:p>
        </w:tc>
      </w:tr>
      <w:tr w:rsidR="00B02C48" w:rsidRPr="00750DD0" w14:paraId="08B1BE4B" w14:textId="77777777" w:rsidTr="001E07FA">
        <w:trPr>
          <w:trHeight w:val="300"/>
          <w:jc w:val="center"/>
        </w:trPr>
        <w:tc>
          <w:tcPr>
            <w:tcW w:w="988" w:type="dxa"/>
            <w:shd w:val="clear" w:color="auto" w:fill="auto"/>
            <w:noWrap/>
            <w:vAlign w:val="center"/>
            <w:hideMark/>
          </w:tcPr>
          <w:p w14:paraId="7E34D62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23312</w:t>
            </w:r>
          </w:p>
        </w:tc>
        <w:tc>
          <w:tcPr>
            <w:tcW w:w="6100" w:type="dxa"/>
            <w:shd w:val="clear" w:color="auto" w:fill="auto"/>
            <w:vAlign w:val="center"/>
            <w:hideMark/>
          </w:tcPr>
          <w:p w14:paraId="4C08F23B"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INVERSIONES GLP SAS ESP</w:t>
            </w:r>
          </w:p>
        </w:tc>
        <w:tc>
          <w:tcPr>
            <w:tcW w:w="1417" w:type="dxa"/>
            <w:shd w:val="clear" w:color="auto" w:fill="auto"/>
            <w:noWrap/>
            <w:vAlign w:val="center"/>
            <w:hideMark/>
          </w:tcPr>
          <w:p w14:paraId="0E41ADB5"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89.235.275</w:t>
            </w:r>
          </w:p>
        </w:tc>
      </w:tr>
      <w:tr w:rsidR="00B02C48" w:rsidRPr="00750DD0" w14:paraId="1FF867CC" w14:textId="77777777" w:rsidTr="001E07FA">
        <w:trPr>
          <w:trHeight w:val="300"/>
          <w:jc w:val="center"/>
        </w:trPr>
        <w:tc>
          <w:tcPr>
            <w:tcW w:w="988" w:type="dxa"/>
            <w:shd w:val="clear" w:color="auto" w:fill="auto"/>
            <w:noWrap/>
            <w:vAlign w:val="center"/>
            <w:hideMark/>
          </w:tcPr>
          <w:p w14:paraId="25DDE5F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24860</w:t>
            </w:r>
          </w:p>
        </w:tc>
        <w:tc>
          <w:tcPr>
            <w:tcW w:w="6100" w:type="dxa"/>
            <w:shd w:val="clear" w:color="auto" w:fill="auto"/>
            <w:vAlign w:val="center"/>
            <w:hideMark/>
          </w:tcPr>
          <w:p w14:paraId="4CCB05D9" w14:textId="77777777" w:rsidR="00B02C48" w:rsidRPr="00750DD0" w:rsidRDefault="00B02C48" w:rsidP="001E07FA">
            <w:pPr>
              <w:rPr>
                <w:rFonts w:ascii="Helvetica" w:hAnsi="Helvetica" w:cs="Helvetica"/>
                <w:color w:val="000000"/>
                <w:sz w:val="22"/>
                <w:szCs w:val="22"/>
                <w:lang w:val="en-GB" w:eastAsia="es-CO"/>
              </w:rPr>
            </w:pPr>
            <w:r w:rsidRPr="00750DD0">
              <w:rPr>
                <w:rFonts w:ascii="Helvetica" w:hAnsi="Helvetica" w:cs="Helvetica"/>
                <w:color w:val="000000"/>
                <w:sz w:val="22"/>
                <w:szCs w:val="22"/>
                <w:lang w:val="en-GB" w:eastAsia="es-CO"/>
              </w:rPr>
              <w:t>FEDEGAS S.A.S. E.S.P.</w:t>
            </w:r>
          </w:p>
        </w:tc>
        <w:tc>
          <w:tcPr>
            <w:tcW w:w="1417" w:type="dxa"/>
            <w:shd w:val="clear" w:color="auto" w:fill="auto"/>
            <w:noWrap/>
            <w:vAlign w:val="center"/>
            <w:hideMark/>
          </w:tcPr>
          <w:p w14:paraId="23AC319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2.664.868</w:t>
            </w:r>
          </w:p>
        </w:tc>
      </w:tr>
      <w:tr w:rsidR="00B02C48" w:rsidRPr="00750DD0" w14:paraId="441132CE" w14:textId="77777777" w:rsidTr="001E07FA">
        <w:trPr>
          <w:trHeight w:val="530"/>
          <w:jc w:val="center"/>
        </w:trPr>
        <w:tc>
          <w:tcPr>
            <w:tcW w:w="988" w:type="dxa"/>
            <w:shd w:val="clear" w:color="auto" w:fill="auto"/>
            <w:noWrap/>
            <w:vAlign w:val="center"/>
            <w:hideMark/>
          </w:tcPr>
          <w:p w14:paraId="17B2B81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24869</w:t>
            </w:r>
          </w:p>
        </w:tc>
        <w:tc>
          <w:tcPr>
            <w:tcW w:w="6100" w:type="dxa"/>
            <w:shd w:val="clear" w:color="auto" w:fill="auto"/>
            <w:vAlign w:val="center"/>
            <w:hideMark/>
          </w:tcPr>
          <w:p w14:paraId="3E4CAF3B"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CHILCO DISTRIBUIDORA DE GAS Y ENERGIA S.A.S E.S.P</w:t>
            </w:r>
          </w:p>
        </w:tc>
        <w:tc>
          <w:tcPr>
            <w:tcW w:w="1417" w:type="dxa"/>
            <w:shd w:val="clear" w:color="auto" w:fill="auto"/>
            <w:noWrap/>
            <w:vAlign w:val="center"/>
            <w:hideMark/>
          </w:tcPr>
          <w:p w14:paraId="1EEB4DB7"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68.408.991</w:t>
            </w:r>
          </w:p>
        </w:tc>
      </w:tr>
      <w:tr w:rsidR="00B02C48" w:rsidRPr="00750DD0" w14:paraId="13368019" w14:textId="77777777" w:rsidTr="001E07FA">
        <w:trPr>
          <w:trHeight w:val="300"/>
          <w:jc w:val="center"/>
        </w:trPr>
        <w:tc>
          <w:tcPr>
            <w:tcW w:w="988" w:type="dxa"/>
            <w:shd w:val="clear" w:color="auto" w:fill="auto"/>
            <w:noWrap/>
            <w:vAlign w:val="center"/>
            <w:hideMark/>
          </w:tcPr>
          <w:p w14:paraId="62D6F40E"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24963</w:t>
            </w:r>
          </w:p>
        </w:tc>
        <w:tc>
          <w:tcPr>
            <w:tcW w:w="6100" w:type="dxa"/>
            <w:shd w:val="clear" w:color="auto" w:fill="auto"/>
            <w:vAlign w:val="center"/>
            <w:hideMark/>
          </w:tcPr>
          <w:p w14:paraId="6B5DBA83"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SUPERIOR DE COLOMBIA SA ESP</w:t>
            </w:r>
          </w:p>
        </w:tc>
        <w:tc>
          <w:tcPr>
            <w:tcW w:w="1417" w:type="dxa"/>
            <w:shd w:val="clear" w:color="auto" w:fill="auto"/>
            <w:noWrap/>
            <w:vAlign w:val="center"/>
            <w:hideMark/>
          </w:tcPr>
          <w:p w14:paraId="05C93658"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2.481.973</w:t>
            </w:r>
          </w:p>
        </w:tc>
      </w:tr>
      <w:tr w:rsidR="00B02C48" w:rsidRPr="00750DD0" w14:paraId="5DD9B620" w14:textId="77777777" w:rsidTr="001E07FA">
        <w:trPr>
          <w:trHeight w:val="300"/>
          <w:jc w:val="center"/>
        </w:trPr>
        <w:tc>
          <w:tcPr>
            <w:tcW w:w="988" w:type="dxa"/>
            <w:shd w:val="clear" w:color="auto" w:fill="auto"/>
            <w:noWrap/>
            <w:vAlign w:val="center"/>
            <w:hideMark/>
          </w:tcPr>
          <w:p w14:paraId="2CDD066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25709</w:t>
            </w:r>
          </w:p>
        </w:tc>
        <w:tc>
          <w:tcPr>
            <w:tcW w:w="6100" w:type="dxa"/>
            <w:shd w:val="clear" w:color="auto" w:fill="auto"/>
            <w:vAlign w:val="center"/>
            <w:hideMark/>
          </w:tcPr>
          <w:p w14:paraId="364BE75A"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RAPIDGAS SAS ESP</w:t>
            </w:r>
          </w:p>
        </w:tc>
        <w:tc>
          <w:tcPr>
            <w:tcW w:w="1417" w:type="dxa"/>
            <w:shd w:val="clear" w:color="auto" w:fill="auto"/>
            <w:noWrap/>
            <w:vAlign w:val="center"/>
            <w:hideMark/>
          </w:tcPr>
          <w:p w14:paraId="18F72F2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1.271.230</w:t>
            </w:r>
          </w:p>
        </w:tc>
      </w:tr>
      <w:tr w:rsidR="00B02C48" w:rsidRPr="00750DD0" w14:paraId="18A434C3" w14:textId="77777777" w:rsidTr="001E07FA">
        <w:trPr>
          <w:trHeight w:val="300"/>
          <w:jc w:val="center"/>
        </w:trPr>
        <w:tc>
          <w:tcPr>
            <w:tcW w:w="988" w:type="dxa"/>
            <w:shd w:val="clear" w:color="auto" w:fill="auto"/>
            <w:noWrap/>
            <w:vAlign w:val="center"/>
            <w:hideMark/>
          </w:tcPr>
          <w:p w14:paraId="042CCF3B"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25939</w:t>
            </w:r>
          </w:p>
        </w:tc>
        <w:tc>
          <w:tcPr>
            <w:tcW w:w="6100" w:type="dxa"/>
            <w:shd w:val="clear" w:color="auto" w:fill="auto"/>
            <w:vAlign w:val="center"/>
            <w:hideMark/>
          </w:tcPr>
          <w:p w14:paraId="4616C999"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CITYGAS DISTRIBUIDORA S.A.S. E.S.P</w:t>
            </w:r>
          </w:p>
        </w:tc>
        <w:tc>
          <w:tcPr>
            <w:tcW w:w="1417" w:type="dxa"/>
            <w:shd w:val="clear" w:color="auto" w:fill="auto"/>
            <w:noWrap/>
            <w:vAlign w:val="center"/>
            <w:hideMark/>
          </w:tcPr>
          <w:p w14:paraId="7340D124"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3.987.355</w:t>
            </w:r>
          </w:p>
        </w:tc>
      </w:tr>
      <w:tr w:rsidR="00B02C48" w:rsidRPr="00750DD0" w14:paraId="58574C4C" w14:textId="77777777" w:rsidTr="001E07FA">
        <w:trPr>
          <w:trHeight w:val="530"/>
          <w:jc w:val="center"/>
        </w:trPr>
        <w:tc>
          <w:tcPr>
            <w:tcW w:w="988" w:type="dxa"/>
            <w:shd w:val="clear" w:color="auto" w:fill="auto"/>
            <w:noWrap/>
            <w:vAlign w:val="center"/>
            <w:hideMark/>
          </w:tcPr>
          <w:p w14:paraId="6E88D8DB"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25954</w:t>
            </w:r>
          </w:p>
        </w:tc>
        <w:tc>
          <w:tcPr>
            <w:tcW w:w="6100" w:type="dxa"/>
            <w:shd w:val="clear" w:color="auto" w:fill="auto"/>
            <w:vAlign w:val="center"/>
            <w:hideMark/>
          </w:tcPr>
          <w:p w14:paraId="12F4365C"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DISTRIBUIDORA DE GAS DEL PACIFICO DIGAS SAS ESP</w:t>
            </w:r>
          </w:p>
        </w:tc>
        <w:tc>
          <w:tcPr>
            <w:tcW w:w="1417" w:type="dxa"/>
            <w:shd w:val="clear" w:color="auto" w:fill="auto"/>
            <w:noWrap/>
            <w:vAlign w:val="center"/>
            <w:hideMark/>
          </w:tcPr>
          <w:p w14:paraId="3DD61102"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1.322.909</w:t>
            </w:r>
          </w:p>
        </w:tc>
      </w:tr>
      <w:tr w:rsidR="00B02C48" w:rsidRPr="00750DD0" w14:paraId="31ED4449" w14:textId="77777777" w:rsidTr="001E07FA">
        <w:trPr>
          <w:trHeight w:val="300"/>
          <w:jc w:val="center"/>
        </w:trPr>
        <w:tc>
          <w:tcPr>
            <w:tcW w:w="988" w:type="dxa"/>
            <w:shd w:val="clear" w:color="auto" w:fill="auto"/>
            <w:noWrap/>
            <w:vAlign w:val="center"/>
            <w:hideMark/>
          </w:tcPr>
          <w:p w14:paraId="2816DFE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26219</w:t>
            </w:r>
          </w:p>
        </w:tc>
        <w:tc>
          <w:tcPr>
            <w:tcW w:w="6100" w:type="dxa"/>
            <w:shd w:val="clear" w:color="auto" w:fill="auto"/>
            <w:vAlign w:val="center"/>
            <w:hideMark/>
          </w:tcPr>
          <w:p w14:paraId="10981755"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EXPRESS COLOMBIA SAS ESP</w:t>
            </w:r>
          </w:p>
        </w:tc>
        <w:tc>
          <w:tcPr>
            <w:tcW w:w="1417" w:type="dxa"/>
            <w:shd w:val="clear" w:color="auto" w:fill="auto"/>
            <w:noWrap/>
            <w:vAlign w:val="center"/>
            <w:hideMark/>
          </w:tcPr>
          <w:p w14:paraId="35C3C1C4"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988.909</w:t>
            </w:r>
          </w:p>
        </w:tc>
      </w:tr>
      <w:tr w:rsidR="00B02C48" w:rsidRPr="00750DD0" w14:paraId="0CAE983B" w14:textId="77777777" w:rsidTr="001E07FA">
        <w:trPr>
          <w:trHeight w:val="530"/>
          <w:jc w:val="center"/>
        </w:trPr>
        <w:tc>
          <w:tcPr>
            <w:tcW w:w="988" w:type="dxa"/>
            <w:shd w:val="clear" w:color="auto" w:fill="auto"/>
            <w:noWrap/>
            <w:vAlign w:val="center"/>
            <w:hideMark/>
          </w:tcPr>
          <w:p w14:paraId="7661745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lastRenderedPageBreak/>
              <w:t>26226</w:t>
            </w:r>
          </w:p>
        </w:tc>
        <w:tc>
          <w:tcPr>
            <w:tcW w:w="6100" w:type="dxa"/>
            <w:shd w:val="clear" w:color="auto" w:fill="auto"/>
            <w:vAlign w:val="center"/>
            <w:hideMark/>
          </w:tcPr>
          <w:p w14:paraId="13B8326D"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COMPROPANO SOCIEDAD POR ACCIONES SIMPLIFICADA E.S.P</w:t>
            </w:r>
          </w:p>
        </w:tc>
        <w:tc>
          <w:tcPr>
            <w:tcW w:w="1417" w:type="dxa"/>
            <w:shd w:val="clear" w:color="auto" w:fill="auto"/>
            <w:noWrap/>
            <w:vAlign w:val="center"/>
            <w:hideMark/>
          </w:tcPr>
          <w:p w14:paraId="1C7341C3"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1.111.219</w:t>
            </w:r>
          </w:p>
        </w:tc>
      </w:tr>
      <w:tr w:rsidR="00B02C48" w:rsidRPr="00750DD0" w14:paraId="45B96B42" w14:textId="77777777" w:rsidTr="001E07FA">
        <w:trPr>
          <w:trHeight w:val="300"/>
          <w:jc w:val="center"/>
        </w:trPr>
        <w:tc>
          <w:tcPr>
            <w:tcW w:w="988" w:type="dxa"/>
            <w:shd w:val="clear" w:color="auto" w:fill="auto"/>
            <w:noWrap/>
            <w:vAlign w:val="center"/>
            <w:hideMark/>
          </w:tcPr>
          <w:p w14:paraId="2112C05D"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26548</w:t>
            </w:r>
          </w:p>
        </w:tc>
        <w:tc>
          <w:tcPr>
            <w:tcW w:w="6100" w:type="dxa"/>
            <w:shd w:val="clear" w:color="auto" w:fill="auto"/>
            <w:vAlign w:val="center"/>
            <w:hideMark/>
          </w:tcPr>
          <w:p w14:paraId="676A7AB6"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GASES ANDINOS DE COLOMBIA S.A.S. E.S.P.</w:t>
            </w:r>
          </w:p>
        </w:tc>
        <w:tc>
          <w:tcPr>
            <w:tcW w:w="1417" w:type="dxa"/>
            <w:shd w:val="clear" w:color="auto" w:fill="auto"/>
            <w:noWrap/>
            <w:vAlign w:val="center"/>
            <w:hideMark/>
          </w:tcPr>
          <w:p w14:paraId="7AF28A88"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333.622</w:t>
            </w:r>
          </w:p>
        </w:tc>
      </w:tr>
      <w:tr w:rsidR="00B02C48" w:rsidRPr="00750DD0" w14:paraId="2EA97A48" w14:textId="77777777" w:rsidTr="001E07FA">
        <w:trPr>
          <w:trHeight w:val="300"/>
          <w:jc w:val="center"/>
        </w:trPr>
        <w:tc>
          <w:tcPr>
            <w:tcW w:w="988" w:type="dxa"/>
            <w:shd w:val="clear" w:color="auto" w:fill="auto"/>
            <w:noWrap/>
            <w:vAlign w:val="center"/>
            <w:hideMark/>
          </w:tcPr>
          <w:p w14:paraId="75549386"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26554</w:t>
            </w:r>
          </w:p>
        </w:tc>
        <w:tc>
          <w:tcPr>
            <w:tcW w:w="6100" w:type="dxa"/>
            <w:shd w:val="clear" w:color="auto" w:fill="auto"/>
            <w:vAlign w:val="center"/>
            <w:hideMark/>
          </w:tcPr>
          <w:p w14:paraId="48AC5FA2"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UNION DE COLOMBIA S.A.S. E.S.P.</w:t>
            </w:r>
          </w:p>
        </w:tc>
        <w:tc>
          <w:tcPr>
            <w:tcW w:w="1417" w:type="dxa"/>
            <w:shd w:val="clear" w:color="auto" w:fill="auto"/>
            <w:noWrap/>
            <w:vAlign w:val="center"/>
            <w:hideMark/>
          </w:tcPr>
          <w:p w14:paraId="17DDAFA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1.108.911</w:t>
            </w:r>
          </w:p>
        </w:tc>
      </w:tr>
      <w:tr w:rsidR="00B02C48" w:rsidRPr="00750DD0" w14:paraId="2CFA4CE6" w14:textId="77777777" w:rsidTr="001E07FA">
        <w:trPr>
          <w:trHeight w:val="300"/>
          <w:jc w:val="center"/>
        </w:trPr>
        <w:tc>
          <w:tcPr>
            <w:tcW w:w="988" w:type="dxa"/>
            <w:shd w:val="clear" w:color="auto" w:fill="auto"/>
            <w:noWrap/>
            <w:vAlign w:val="center"/>
            <w:hideMark/>
          </w:tcPr>
          <w:p w14:paraId="36C4EE5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26677</w:t>
            </w:r>
          </w:p>
        </w:tc>
        <w:tc>
          <w:tcPr>
            <w:tcW w:w="6100" w:type="dxa"/>
            <w:shd w:val="clear" w:color="auto" w:fill="auto"/>
            <w:vAlign w:val="center"/>
            <w:hideMark/>
          </w:tcPr>
          <w:p w14:paraId="3BF8D68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CENTRAL DE HIDROCARBUROS GC SAS ESP</w:t>
            </w:r>
          </w:p>
        </w:tc>
        <w:tc>
          <w:tcPr>
            <w:tcW w:w="1417" w:type="dxa"/>
            <w:shd w:val="clear" w:color="auto" w:fill="auto"/>
            <w:noWrap/>
            <w:vAlign w:val="center"/>
            <w:hideMark/>
          </w:tcPr>
          <w:p w14:paraId="5449C43D"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1.078.556</w:t>
            </w:r>
          </w:p>
        </w:tc>
      </w:tr>
      <w:tr w:rsidR="00B02C48" w:rsidRPr="00750DD0" w14:paraId="0E43262C" w14:textId="77777777" w:rsidTr="001E07FA">
        <w:trPr>
          <w:trHeight w:val="530"/>
          <w:jc w:val="center"/>
        </w:trPr>
        <w:tc>
          <w:tcPr>
            <w:tcW w:w="988" w:type="dxa"/>
            <w:shd w:val="clear" w:color="auto" w:fill="auto"/>
            <w:noWrap/>
            <w:vAlign w:val="center"/>
            <w:hideMark/>
          </w:tcPr>
          <w:p w14:paraId="1964ED3F"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26857</w:t>
            </w:r>
          </w:p>
        </w:tc>
        <w:tc>
          <w:tcPr>
            <w:tcW w:w="6100" w:type="dxa"/>
            <w:shd w:val="clear" w:color="auto" w:fill="auto"/>
            <w:vAlign w:val="center"/>
            <w:hideMark/>
          </w:tcPr>
          <w:p w14:paraId="4FEE4D9F"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COMERCIALIZADORA CENTRO ORIENTE S.A. E.S.P.</w:t>
            </w:r>
          </w:p>
        </w:tc>
        <w:tc>
          <w:tcPr>
            <w:tcW w:w="1417" w:type="dxa"/>
            <w:shd w:val="clear" w:color="auto" w:fill="auto"/>
            <w:noWrap/>
            <w:vAlign w:val="center"/>
            <w:hideMark/>
          </w:tcPr>
          <w:p w14:paraId="0424AE66"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2.220.997</w:t>
            </w:r>
          </w:p>
        </w:tc>
      </w:tr>
      <w:tr w:rsidR="00B02C48" w:rsidRPr="00750DD0" w14:paraId="5DDA77EB" w14:textId="77777777" w:rsidTr="001E07FA">
        <w:trPr>
          <w:trHeight w:val="300"/>
          <w:jc w:val="center"/>
        </w:trPr>
        <w:tc>
          <w:tcPr>
            <w:tcW w:w="988" w:type="dxa"/>
            <w:shd w:val="clear" w:color="auto" w:fill="auto"/>
            <w:noWrap/>
            <w:vAlign w:val="center"/>
            <w:hideMark/>
          </w:tcPr>
          <w:p w14:paraId="411C126B"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26878</w:t>
            </w:r>
          </w:p>
        </w:tc>
        <w:tc>
          <w:tcPr>
            <w:tcW w:w="6100" w:type="dxa"/>
            <w:shd w:val="clear" w:color="auto" w:fill="auto"/>
            <w:vAlign w:val="center"/>
            <w:hideMark/>
          </w:tcPr>
          <w:p w14:paraId="6CFB61B1"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MULTIGAS DE COLOMBIA S.A.S. E.S.P.</w:t>
            </w:r>
          </w:p>
        </w:tc>
        <w:tc>
          <w:tcPr>
            <w:tcW w:w="1417" w:type="dxa"/>
            <w:shd w:val="clear" w:color="auto" w:fill="auto"/>
            <w:noWrap/>
            <w:vAlign w:val="center"/>
            <w:hideMark/>
          </w:tcPr>
          <w:p w14:paraId="02DFC6C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352.047</w:t>
            </w:r>
          </w:p>
        </w:tc>
      </w:tr>
      <w:tr w:rsidR="00B02C48" w:rsidRPr="00750DD0" w14:paraId="336A031E" w14:textId="77777777" w:rsidTr="001E07FA">
        <w:trPr>
          <w:trHeight w:val="300"/>
          <w:jc w:val="center"/>
        </w:trPr>
        <w:tc>
          <w:tcPr>
            <w:tcW w:w="988" w:type="dxa"/>
            <w:shd w:val="clear" w:color="auto" w:fill="auto"/>
            <w:noWrap/>
            <w:vAlign w:val="center"/>
            <w:hideMark/>
          </w:tcPr>
          <w:p w14:paraId="21375D39"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27812</w:t>
            </w:r>
          </w:p>
        </w:tc>
        <w:tc>
          <w:tcPr>
            <w:tcW w:w="6100" w:type="dxa"/>
            <w:shd w:val="clear" w:color="auto" w:fill="auto"/>
            <w:vAlign w:val="center"/>
            <w:hideMark/>
          </w:tcPr>
          <w:p w14:paraId="64001EEF"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PAC S.A.S. ESP.</w:t>
            </w:r>
          </w:p>
        </w:tc>
        <w:tc>
          <w:tcPr>
            <w:tcW w:w="1417" w:type="dxa"/>
            <w:shd w:val="clear" w:color="auto" w:fill="auto"/>
            <w:noWrap/>
            <w:vAlign w:val="center"/>
            <w:hideMark/>
          </w:tcPr>
          <w:p w14:paraId="73AF9EB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1.966.600</w:t>
            </w:r>
          </w:p>
        </w:tc>
      </w:tr>
      <w:tr w:rsidR="00B02C48" w:rsidRPr="00750DD0" w14:paraId="145F7D35" w14:textId="77777777" w:rsidTr="001E07FA">
        <w:trPr>
          <w:trHeight w:val="300"/>
          <w:jc w:val="center"/>
        </w:trPr>
        <w:tc>
          <w:tcPr>
            <w:tcW w:w="988" w:type="dxa"/>
            <w:shd w:val="clear" w:color="auto" w:fill="auto"/>
            <w:noWrap/>
            <w:vAlign w:val="center"/>
            <w:hideMark/>
          </w:tcPr>
          <w:p w14:paraId="050667F3"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29451</w:t>
            </w:r>
          </w:p>
        </w:tc>
        <w:tc>
          <w:tcPr>
            <w:tcW w:w="6100" w:type="dxa"/>
            <w:shd w:val="clear" w:color="auto" w:fill="auto"/>
            <w:vAlign w:val="center"/>
            <w:hideMark/>
          </w:tcPr>
          <w:p w14:paraId="61CE84C8"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PORVENIR ESP SAS</w:t>
            </w:r>
          </w:p>
        </w:tc>
        <w:tc>
          <w:tcPr>
            <w:tcW w:w="1417" w:type="dxa"/>
            <w:shd w:val="clear" w:color="auto" w:fill="auto"/>
            <w:noWrap/>
            <w:vAlign w:val="center"/>
            <w:hideMark/>
          </w:tcPr>
          <w:p w14:paraId="4AC8CCA4"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1.022.651</w:t>
            </w:r>
          </w:p>
        </w:tc>
      </w:tr>
      <w:tr w:rsidR="00B02C48" w:rsidRPr="00750DD0" w14:paraId="65146AE8" w14:textId="77777777" w:rsidTr="001E07FA">
        <w:trPr>
          <w:trHeight w:val="300"/>
          <w:jc w:val="center"/>
        </w:trPr>
        <w:tc>
          <w:tcPr>
            <w:tcW w:w="988" w:type="dxa"/>
            <w:shd w:val="clear" w:color="auto" w:fill="auto"/>
            <w:noWrap/>
            <w:vAlign w:val="center"/>
            <w:hideMark/>
          </w:tcPr>
          <w:p w14:paraId="2E5314A0"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32073</w:t>
            </w:r>
          </w:p>
        </w:tc>
        <w:tc>
          <w:tcPr>
            <w:tcW w:w="6100" w:type="dxa"/>
            <w:shd w:val="clear" w:color="auto" w:fill="auto"/>
            <w:vAlign w:val="center"/>
            <w:hideMark/>
          </w:tcPr>
          <w:p w14:paraId="444B04B5"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MEGAS S.A.S. ESP</w:t>
            </w:r>
          </w:p>
        </w:tc>
        <w:tc>
          <w:tcPr>
            <w:tcW w:w="1417" w:type="dxa"/>
            <w:shd w:val="clear" w:color="auto" w:fill="auto"/>
            <w:noWrap/>
            <w:vAlign w:val="center"/>
            <w:hideMark/>
          </w:tcPr>
          <w:p w14:paraId="0D0071A4"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3.760.130</w:t>
            </w:r>
          </w:p>
        </w:tc>
      </w:tr>
      <w:tr w:rsidR="00B02C48" w:rsidRPr="00750DD0" w14:paraId="121F27AD" w14:textId="77777777" w:rsidTr="001E07FA">
        <w:trPr>
          <w:trHeight w:val="530"/>
          <w:jc w:val="center"/>
        </w:trPr>
        <w:tc>
          <w:tcPr>
            <w:tcW w:w="988" w:type="dxa"/>
            <w:shd w:val="clear" w:color="auto" w:fill="auto"/>
            <w:noWrap/>
            <w:vAlign w:val="center"/>
            <w:hideMark/>
          </w:tcPr>
          <w:p w14:paraId="5B562750"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32253</w:t>
            </w:r>
          </w:p>
        </w:tc>
        <w:tc>
          <w:tcPr>
            <w:tcW w:w="6100" w:type="dxa"/>
            <w:shd w:val="clear" w:color="auto" w:fill="auto"/>
            <w:vAlign w:val="center"/>
            <w:hideMark/>
          </w:tcPr>
          <w:p w14:paraId="132F0A85"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COMERCIALIZADORA DE GAS CASANARE S.A.S. E.S.P.</w:t>
            </w:r>
          </w:p>
        </w:tc>
        <w:tc>
          <w:tcPr>
            <w:tcW w:w="1417" w:type="dxa"/>
            <w:shd w:val="clear" w:color="auto" w:fill="auto"/>
            <w:noWrap/>
            <w:vAlign w:val="center"/>
            <w:hideMark/>
          </w:tcPr>
          <w:p w14:paraId="0EB35DB8"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217.034</w:t>
            </w:r>
          </w:p>
        </w:tc>
      </w:tr>
      <w:tr w:rsidR="00B02C48" w:rsidRPr="00750DD0" w14:paraId="184B3992" w14:textId="77777777" w:rsidTr="001E07FA">
        <w:trPr>
          <w:trHeight w:val="300"/>
          <w:jc w:val="center"/>
        </w:trPr>
        <w:tc>
          <w:tcPr>
            <w:tcW w:w="988" w:type="dxa"/>
            <w:shd w:val="clear" w:color="auto" w:fill="auto"/>
            <w:noWrap/>
            <w:vAlign w:val="center"/>
            <w:hideMark/>
          </w:tcPr>
          <w:p w14:paraId="5041C46E"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32733</w:t>
            </w:r>
          </w:p>
        </w:tc>
        <w:tc>
          <w:tcPr>
            <w:tcW w:w="6100" w:type="dxa"/>
            <w:shd w:val="clear" w:color="auto" w:fill="auto"/>
            <w:vAlign w:val="center"/>
            <w:hideMark/>
          </w:tcPr>
          <w:p w14:paraId="06198CBA"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EMPRESA MIXTA DE GAS S.A.S. E.S.P.</w:t>
            </w:r>
          </w:p>
        </w:tc>
        <w:tc>
          <w:tcPr>
            <w:tcW w:w="1417" w:type="dxa"/>
            <w:shd w:val="clear" w:color="auto" w:fill="auto"/>
            <w:noWrap/>
            <w:vAlign w:val="center"/>
            <w:hideMark/>
          </w:tcPr>
          <w:p w14:paraId="1D386A1A"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275.534</w:t>
            </w:r>
          </w:p>
        </w:tc>
      </w:tr>
      <w:tr w:rsidR="00B02C48" w:rsidRPr="00750DD0" w14:paraId="37F2534A" w14:textId="77777777" w:rsidTr="001E07FA">
        <w:trPr>
          <w:trHeight w:val="300"/>
          <w:jc w:val="center"/>
        </w:trPr>
        <w:tc>
          <w:tcPr>
            <w:tcW w:w="988" w:type="dxa"/>
            <w:shd w:val="clear" w:color="auto" w:fill="auto"/>
            <w:noWrap/>
            <w:vAlign w:val="center"/>
            <w:hideMark/>
          </w:tcPr>
          <w:p w14:paraId="18EC4C84"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32793</w:t>
            </w:r>
          </w:p>
        </w:tc>
        <w:tc>
          <w:tcPr>
            <w:tcW w:w="6100" w:type="dxa"/>
            <w:shd w:val="clear" w:color="auto" w:fill="auto"/>
            <w:vAlign w:val="center"/>
            <w:hideMark/>
          </w:tcPr>
          <w:p w14:paraId="3C401974"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COLOMBOGAS S.A.S. E.S.P.</w:t>
            </w:r>
          </w:p>
        </w:tc>
        <w:tc>
          <w:tcPr>
            <w:tcW w:w="1417" w:type="dxa"/>
            <w:shd w:val="clear" w:color="auto" w:fill="auto"/>
            <w:noWrap/>
            <w:vAlign w:val="center"/>
            <w:hideMark/>
          </w:tcPr>
          <w:p w14:paraId="021D4525"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689.301</w:t>
            </w:r>
          </w:p>
        </w:tc>
      </w:tr>
      <w:tr w:rsidR="00B02C48" w:rsidRPr="00750DD0" w14:paraId="2EE5F298" w14:textId="77777777" w:rsidTr="001E07FA">
        <w:trPr>
          <w:trHeight w:val="300"/>
          <w:jc w:val="center"/>
        </w:trPr>
        <w:tc>
          <w:tcPr>
            <w:tcW w:w="988" w:type="dxa"/>
            <w:shd w:val="clear" w:color="auto" w:fill="auto"/>
            <w:noWrap/>
            <w:vAlign w:val="center"/>
            <w:hideMark/>
          </w:tcPr>
          <w:p w14:paraId="66721639"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33453</w:t>
            </w:r>
          </w:p>
        </w:tc>
        <w:tc>
          <w:tcPr>
            <w:tcW w:w="6100" w:type="dxa"/>
            <w:shd w:val="clear" w:color="auto" w:fill="auto"/>
            <w:vAlign w:val="center"/>
            <w:hideMark/>
          </w:tcPr>
          <w:p w14:paraId="41CB7F78"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COLOMBIA SAS ESP</w:t>
            </w:r>
          </w:p>
        </w:tc>
        <w:tc>
          <w:tcPr>
            <w:tcW w:w="1417" w:type="dxa"/>
            <w:shd w:val="clear" w:color="auto" w:fill="auto"/>
            <w:noWrap/>
            <w:vAlign w:val="center"/>
            <w:hideMark/>
          </w:tcPr>
          <w:p w14:paraId="36E5F49D"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1.653.342</w:t>
            </w:r>
          </w:p>
        </w:tc>
      </w:tr>
      <w:tr w:rsidR="00B02C48" w:rsidRPr="00750DD0" w14:paraId="30C7238A" w14:textId="77777777" w:rsidTr="001E07FA">
        <w:trPr>
          <w:trHeight w:val="530"/>
          <w:jc w:val="center"/>
        </w:trPr>
        <w:tc>
          <w:tcPr>
            <w:tcW w:w="988" w:type="dxa"/>
            <w:shd w:val="clear" w:color="auto" w:fill="auto"/>
            <w:noWrap/>
            <w:vAlign w:val="center"/>
            <w:hideMark/>
          </w:tcPr>
          <w:p w14:paraId="4698769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33573</w:t>
            </w:r>
          </w:p>
        </w:tc>
        <w:tc>
          <w:tcPr>
            <w:tcW w:w="6100" w:type="dxa"/>
            <w:shd w:val="clear" w:color="auto" w:fill="auto"/>
            <w:vAlign w:val="center"/>
            <w:hideMark/>
          </w:tcPr>
          <w:p w14:paraId="620AD36D"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COMERCIALIZADORA G.L.P  DEL ORIENTE SAS   ESP</w:t>
            </w:r>
          </w:p>
        </w:tc>
        <w:tc>
          <w:tcPr>
            <w:tcW w:w="1417" w:type="dxa"/>
            <w:shd w:val="clear" w:color="auto" w:fill="auto"/>
            <w:noWrap/>
            <w:vAlign w:val="center"/>
            <w:hideMark/>
          </w:tcPr>
          <w:p w14:paraId="545DE280"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1.048.182</w:t>
            </w:r>
          </w:p>
        </w:tc>
      </w:tr>
      <w:tr w:rsidR="00B02C48" w:rsidRPr="00750DD0" w14:paraId="1A25CEA2" w14:textId="77777777" w:rsidTr="001E07FA">
        <w:trPr>
          <w:trHeight w:val="300"/>
          <w:jc w:val="center"/>
        </w:trPr>
        <w:tc>
          <w:tcPr>
            <w:tcW w:w="988" w:type="dxa"/>
            <w:shd w:val="clear" w:color="auto" w:fill="auto"/>
            <w:noWrap/>
            <w:vAlign w:val="center"/>
            <w:hideMark/>
          </w:tcPr>
          <w:p w14:paraId="62AB333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36154</w:t>
            </w:r>
          </w:p>
        </w:tc>
        <w:tc>
          <w:tcPr>
            <w:tcW w:w="6100" w:type="dxa"/>
            <w:shd w:val="clear" w:color="auto" w:fill="auto"/>
            <w:vAlign w:val="center"/>
            <w:hideMark/>
          </w:tcPr>
          <w:p w14:paraId="5CD85C6E"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ENTREGAMOS G.L.P. E.S.P. S.A.S.</w:t>
            </w:r>
          </w:p>
        </w:tc>
        <w:tc>
          <w:tcPr>
            <w:tcW w:w="1417" w:type="dxa"/>
            <w:shd w:val="clear" w:color="auto" w:fill="auto"/>
            <w:noWrap/>
            <w:vAlign w:val="center"/>
            <w:hideMark/>
          </w:tcPr>
          <w:p w14:paraId="735EE28A"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317.433</w:t>
            </w:r>
          </w:p>
        </w:tc>
      </w:tr>
      <w:tr w:rsidR="00B02C48" w:rsidRPr="00750DD0" w14:paraId="229A721C" w14:textId="77777777" w:rsidTr="001E07FA">
        <w:trPr>
          <w:trHeight w:val="1050"/>
          <w:jc w:val="center"/>
        </w:trPr>
        <w:tc>
          <w:tcPr>
            <w:tcW w:w="988" w:type="dxa"/>
            <w:shd w:val="clear" w:color="auto" w:fill="auto"/>
            <w:noWrap/>
            <w:vAlign w:val="center"/>
            <w:hideMark/>
          </w:tcPr>
          <w:p w14:paraId="3774D220"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lastRenderedPageBreak/>
              <w:t>36695</w:t>
            </w:r>
          </w:p>
        </w:tc>
        <w:tc>
          <w:tcPr>
            <w:tcW w:w="6100" w:type="dxa"/>
            <w:shd w:val="clear" w:color="auto" w:fill="auto"/>
            <w:vAlign w:val="center"/>
            <w:hideMark/>
          </w:tcPr>
          <w:p w14:paraId="17ADF516"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DISTRIBUIDORA DE GAS DEL FONCE SOCIEDAD POR ACCIONES SIMPLIFICADA EMPRESA DE SERVICIO PUBLICOS DOMICILIARIOS S.A.S. E.S.P.</w:t>
            </w:r>
          </w:p>
        </w:tc>
        <w:tc>
          <w:tcPr>
            <w:tcW w:w="1417" w:type="dxa"/>
            <w:shd w:val="clear" w:color="auto" w:fill="auto"/>
            <w:noWrap/>
            <w:vAlign w:val="center"/>
            <w:hideMark/>
          </w:tcPr>
          <w:p w14:paraId="07A01035"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324.845</w:t>
            </w:r>
          </w:p>
        </w:tc>
      </w:tr>
      <w:tr w:rsidR="00B02C48" w:rsidRPr="00750DD0" w14:paraId="1A476674" w14:textId="77777777" w:rsidTr="001E07FA">
        <w:trPr>
          <w:trHeight w:val="530"/>
          <w:jc w:val="center"/>
        </w:trPr>
        <w:tc>
          <w:tcPr>
            <w:tcW w:w="988" w:type="dxa"/>
            <w:shd w:val="clear" w:color="auto" w:fill="auto"/>
            <w:noWrap/>
            <w:vAlign w:val="center"/>
            <w:hideMark/>
          </w:tcPr>
          <w:p w14:paraId="1A186022"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37174</w:t>
            </w:r>
          </w:p>
        </w:tc>
        <w:tc>
          <w:tcPr>
            <w:tcW w:w="6100" w:type="dxa"/>
            <w:shd w:val="clear" w:color="auto" w:fill="auto"/>
            <w:vAlign w:val="center"/>
            <w:hideMark/>
          </w:tcPr>
          <w:p w14:paraId="342CC887"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TERMOGAS SOLUCIONES ENERGETICAS SAS ESP</w:t>
            </w:r>
          </w:p>
        </w:tc>
        <w:tc>
          <w:tcPr>
            <w:tcW w:w="1417" w:type="dxa"/>
            <w:shd w:val="clear" w:color="auto" w:fill="auto"/>
            <w:noWrap/>
            <w:vAlign w:val="center"/>
            <w:hideMark/>
          </w:tcPr>
          <w:p w14:paraId="3515A428"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244.236</w:t>
            </w:r>
          </w:p>
        </w:tc>
      </w:tr>
      <w:tr w:rsidR="00B02C48" w:rsidRPr="00750DD0" w14:paraId="68FB8B1B" w14:textId="77777777" w:rsidTr="001E07FA">
        <w:trPr>
          <w:trHeight w:val="300"/>
          <w:jc w:val="center"/>
        </w:trPr>
        <w:tc>
          <w:tcPr>
            <w:tcW w:w="988" w:type="dxa"/>
            <w:shd w:val="clear" w:color="auto" w:fill="auto"/>
            <w:noWrap/>
            <w:vAlign w:val="center"/>
            <w:hideMark/>
          </w:tcPr>
          <w:p w14:paraId="40323467"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40255</w:t>
            </w:r>
          </w:p>
        </w:tc>
        <w:tc>
          <w:tcPr>
            <w:tcW w:w="6100" w:type="dxa"/>
            <w:shd w:val="clear" w:color="auto" w:fill="auto"/>
            <w:vAlign w:val="center"/>
            <w:hideMark/>
          </w:tcPr>
          <w:p w14:paraId="61111919"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BTU ENERGY S.A.S. E.S.P.</w:t>
            </w:r>
          </w:p>
        </w:tc>
        <w:tc>
          <w:tcPr>
            <w:tcW w:w="1417" w:type="dxa"/>
            <w:shd w:val="clear" w:color="auto" w:fill="auto"/>
            <w:noWrap/>
            <w:vAlign w:val="center"/>
            <w:hideMark/>
          </w:tcPr>
          <w:p w14:paraId="67FCD16F"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151.641</w:t>
            </w:r>
          </w:p>
        </w:tc>
      </w:tr>
      <w:tr w:rsidR="00B02C48" w:rsidRPr="00750DD0" w14:paraId="61C22A24" w14:textId="77777777" w:rsidTr="001E07FA">
        <w:trPr>
          <w:trHeight w:val="530"/>
          <w:jc w:val="center"/>
        </w:trPr>
        <w:tc>
          <w:tcPr>
            <w:tcW w:w="988" w:type="dxa"/>
            <w:shd w:val="clear" w:color="auto" w:fill="auto"/>
            <w:noWrap/>
            <w:vAlign w:val="center"/>
            <w:hideMark/>
          </w:tcPr>
          <w:p w14:paraId="15146759"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50403</w:t>
            </w:r>
          </w:p>
        </w:tc>
        <w:tc>
          <w:tcPr>
            <w:tcW w:w="6100" w:type="dxa"/>
            <w:shd w:val="clear" w:color="auto" w:fill="auto"/>
            <w:vAlign w:val="center"/>
            <w:hideMark/>
          </w:tcPr>
          <w:p w14:paraId="4ACD8152"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EMPRESA DE SERVICIOS PUBLICOS SONYGAS S.A.S E.S.P.</w:t>
            </w:r>
          </w:p>
        </w:tc>
        <w:tc>
          <w:tcPr>
            <w:tcW w:w="1417" w:type="dxa"/>
            <w:shd w:val="clear" w:color="auto" w:fill="auto"/>
            <w:noWrap/>
            <w:vAlign w:val="center"/>
            <w:hideMark/>
          </w:tcPr>
          <w:p w14:paraId="48E70546"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178.392</w:t>
            </w:r>
          </w:p>
        </w:tc>
      </w:tr>
      <w:tr w:rsidR="00B02C48" w:rsidRPr="00750DD0" w14:paraId="56E5B9FF" w14:textId="77777777" w:rsidTr="001E07FA">
        <w:trPr>
          <w:trHeight w:val="300"/>
          <w:jc w:val="center"/>
        </w:trPr>
        <w:tc>
          <w:tcPr>
            <w:tcW w:w="988" w:type="dxa"/>
            <w:shd w:val="clear" w:color="auto" w:fill="auto"/>
            <w:noWrap/>
            <w:vAlign w:val="center"/>
            <w:hideMark/>
          </w:tcPr>
          <w:p w14:paraId="70D78D8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50426</w:t>
            </w:r>
          </w:p>
        </w:tc>
        <w:tc>
          <w:tcPr>
            <w:tcW w:w="6100" w:type="dxa"/>
            <w:shd w:val="clear" w:color="auto" w:fill="auto"/>
            <w:vAlign w:val="center"/>
            <w:hideMark/>
          </w:tcPr>
          <w:p w14:paraId="185C7352"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D-UNO SAS ESP</w:t>
            </w:r>
          </w:p>
        </w:tc>
        <w:tc>
          <w:tcPr>
            <w:tcW w:w="1417" w:type="dxa"/>
            <w:shd w:val="clear" w:color="auto" w:fill="auto"/>
            <w:noWrap/>
            <w:vAlign w:val="center"/>
            <w:hideMark/>
          </w:tcPr>
          <w:p w14:paraId="2DC0C22B"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861.644</w:t>
            </w:r>
          </w:p>
        </w:tc>
      </w:tr>
      <w:tr w:rsidR="00B02C48" w:rsidRPr="00750DD0" w14:paraId="07FC46A8" w14:textId="77777777" w:rsidTr="001E07FA">
        <w:trPr>
          <w:trHeight w:val="300"/>
          <w:jc w:val="center"/>
        </w:trPr>
        <w:tc>
          <w:tcPr>
            <w:tcW w:w="988" w:type="dxa"/>
            <w:shd w:val="clear" w:color="auto" w:fill="auto"/>
            <w:noWrap/>
            <w:vAlign w:val="center"/>
            <w:hideMark/>
          </w:tcPr>
          <w:p w14:paraId="461D4553"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53426</w:t>
            </w:r>
          </w:p>
        </w:tc>
        <w:tc>
          <w:tcPr>
            <w:tcW w:w="6100" w:type="dxa"/>
            <w:shd w:val="clear" w:color="auto" w:fill="auto"/>
            <w:vAlign w:val="center"/>
            <w:hideMark/>
          </w:tcPr>
          <w:p w14:paraId="6BF96B4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GASO COLOMBIA</w:t>
            </w:r>
          </w:p>
        </w:tc>
        <w:tc>
          <w:tcPr>
            <w:tcW w:w="1417" w:type="dxa"/>
            <w:shd w:val="clear" w:color="auto" w:fill="auto"/>
            <w:noWrap/>
            <w:vAlign w:val="center"/>
            <w:hideMark/>
          </w:tcPr>
          <w:p w14:paraId="5A9457E1"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29.855</w:t>
            </w:r>
          </w:p>
        </w:tc>
      </w:tr>
      <w:tr w:rsidR="00B02C48" w:rsidRPr="00750DD0" w14:paraId="5A4BE3CE" w14:textId="77777777" w:rsidTr="001E07FA">
        <w:trPr>
          <w:trHeight w:val="300"/>
          <w:jc w:val="center"/>
        </w:trPr>
        <w:tc>
          <w:tcPr>
            <w:tcW w:w="988" w:type="dxa"/>
            <w:shd w:val="clear" w:color="auto" w:fill="auto"/>
            <w:noWrap/>
            <w:vAlign w:val="center"/>
            <w:hideMark/>
          </w:tcPr>
          <w:p w14:paraId="742F4E6E"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57692</w:t>
            </w:r>
          </w:p>
        </w:tc>
        <w:tc>
          <w:tcPr>
            <w:tcW w:w="6100" w:type="dxa"/>
            <w:shd w:val="clear" w:color="auto" w:fill="auto"/>
            <w:vAlign w:val="center"/>
            <w:hideMark/>
          </w:tcPr>
          <w:p w14:paraId="55E0C307"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ECOGAS ENERGIA SAS ESP</w:t>
            </w:r>
          </w:p>
        </w:tc>
        <w:tc>
          <w:tcPr>
            <w:tcW w:w="1417" w:type="dxa"/>
            <w:shd w:val="clear" w:color="auto" w:fill="auto"/>
            <w:noWrap/>
            <w:vAlign w:val="center"/>
            <w:hideMark/>
          </w:tcPr>
          <w:p w14:paraId="2AA6C121"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415.442</w:t>
            </w:r>
          </w:p>
        </w:tc>
      </w:tr>
      <w:tr w:rsidR="00B02C48" w:rsidRPr="00750DD0" w14:paraId="0B62520F" w14:textId="77777777" w:rsidTr="001E07FA">
        <w:trPr>
          <w:trHeight w:val="300"/>
          <w:jc w:val="center"/>
        </w:trPr>
        <w:tc>
          <w:tcPr>
            <w:tcW w:w="988" w:type="dxa"/>
            <w:shd w:val="clear" w:color="auto" w:fill="auto"/>
            <w:noWrap/>
            <w:vAlign w:val="center"/>
            <w:hideMark/>
          </w:tcPr>
          <w:p w14:paraId="2C6F475B"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62410</w:t>
            </w:r>
          </w:p>
        </w:tc>
        <w:tc>
          <w:tcPr>
            <w:tcW w:w="6100" w:type="dxa"/>
            <w:shd w:val="clear" w:color="auto" w:fill="auto"/>
            <w:vAlign w:val="center"/>
            <w:hideMark/>
          </w:tcPr>
          <w:p w14:paraId="441128A7"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GRANELGAS S.A.S. E.S.P.</w:t>
            </w:r>
          </w:p>
        </w:tc>
        <w:tc>
          <w:tcPr>
            <w:tcW w:w="1417" w:type="dxa"/>
            <w:shd w:val="clear" w:color="auto" w:fill="auto"/>
            <w:noWrap/>
            <w:vAlign w:val="center"/>
            <w:hideMark/>
          </w:tcPr>
          <w:p w14:paraId="61516A27"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149.054</w:t>
            </w:r>
          </w:p>
        </w:tc>
      </w:tr>
      <w:tr w:rsidR="00B02C48" w:rsidRPr="00750DD0" w14:paraId="019EED4D" w14:textId="77777777" w:rsidTr="001E07FA">
        <w:trPr>
          <w:trHeight w:val="300"/>
          <w:jc w:val="center"/>
        </w:trPr>
        <w:tc>
          <w:tcPr>
            <w:tcW w:w="988" w:type="dxa"/>
            <w:shd w:val="clear" w:color="auto" w:fill="auto"/>
            <w:noWrap/>
            <w:vAlign w:val="center"/>
            <w:hideMark/>
          </w:tcPr>
          <w:p w14:paraId="55F2AE8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63235</w:t>
            </w:r>
          </w:p>
        </w:tc>
        <w:tc>
          <w:tcPr>
            <w:tcW w:w="6100" w:type="dxa"/>
            <w:shd w:val="clear" w:color="auto" w:fill="auto"/>
            <w:vAlign w:val="center"/>
            <w:hideMark/>
          </w:tcPr>
          <w:p w14:paraId="5A1EBA99"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CONTINENTAL DE GLP SAS ESP</w:t>
            </w:r>
          </w:p>
        </w:tc>
        <w:tc>
          <w:tcPr>
            <w:tcW w:w="1417" w:type="dxa"/>
            <w:shd w:val="clear" w:color="auto" w:fill="auto"/>
            <w:noWrap/>
            <w:vAlign w:val="center"/>
            <w:hideMark/>
          </w:tcPr>
          <w:p w14:paraId="67E970F2"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1.308.603</w:t>
            </w:r>
          </w:p>
        </w:tc>
      </w:tr>
      <w:tr w:rsidR="00B02C48" w:rsidRPr="00750DD0" w14:paraId="709CEAF9" w14:textId="77777777" w:rsidTr="001E07FA">
        <w:trPr>
          <w:trHeight w:val="300"/>
          <w:jc w:val="center"/>
        </w:trPr>
        <w:tc>
          <w:tcPr>
            <w:tcW w:w="988" w:type="dxa"/>
            <w:shd w:val="clear" w:color="auto" w:fill="auto"/>
            <w:noWrap/>
            <w:vAlign w:val="center"/>
            <w:hideMark/>
          </w:tcPr>
          <w:p w14:paraId="49026057"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63494</w:t>
            </w:r>
          </w:p>
        </w:tc>
        <w:tc>
          <w:tcPr>
            <w:tcW w:w="6100" w:type="dxa"/>
            <w:shd w:val="clear" w:color="auto" w:fill="auto"/>
            <w:vAlign w:val="center"/>
            <w:hideMark/>
          </w:tcPr>
          <w:p w14:paraId="7B36BA60"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CND DISTRIBUIDORA DE GAS S.A.S E.S.P.</w:t>
            </w:r>
          </w:p>
        </w:tc>
        <w:tc>
          <w:tcPr>
            <w:tcW w:w="1417" w:type="dxa"/>
            <w:shd w:val="clear" w:color="auto" w:fill="auto"/>
            <w:noWrap/>
            <w:vAlign w:val="center"/>
            <w:hideMark/>
          </w:tcPr>
          <w:p w14:paraId="7D98F932"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349.912</w:t>
            </w:r>
          </w:p>
        </w:tc>
      </w:tr>
      <w:tr w:rsidR="00B02C48" w:rsidRPr="00750DD0" w14:paraId="2C565135" w14:textId="77777777" w:rsidTr="001E07FA">
        <w:trPr>
          <w:trHeight w:val="300"/>
          <w:jc w:val="center"/>
        </w:trPr>
        <w:tc>
          <w:tcPr>
            <w:tcW w:w="988" w:type="dxa"/>
            <w:shd w:val="clear" w:color="auto" w:fill="auto"/>
            <w:noWrap/>
            <w:vAlign w:val="center"/>
            <w:hideMark/>
          </w:tcPr>
          <w:p w14:paraId="4EEF3D6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65980</w:t>
            </w:r>
          </w:p>
        </w:tc>
        <w:tc>
          <w:tcPr>
            <w:tcW w:w="6100" w:type="dxa"/>
            <w:shd w:val="clear" w:color="auto" w:fill="auto"/>
            <w:vAlign w:val="center"/>
            <w:hideMark/>
          </w:tcPr>
          <w:p w14:paraId="4B1293DF"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LIENGAS COLOMBIA SAS ESP</w:t>
            </w:r>
          </w:p>
        </w:tc>
        <w:tc>
          <w:tcPr>
            <w:tcW w:w="1417" w:type="dxa"/>
            <w:shd w:val="clear" w:color="auto" w:fill="auto"/>
            <w:noWrap/>
            <w:vAlign w:val="center"/>
            <w:hideMark/>
          </w:tcPr>
          <w:p w14:paraId="22BF9F7D"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1.532.000</w:t>
            </w:r>
          </w:p>
        </w:tc>
      </w:tr>
      <w:tr w:rsidR="00B02C48" w:rsidRPr="00750DD0" w14:paraId="49450669" w14:textId="77777777" w:rsidTr="001E07FA">
        <w:trPr>
          <w:trHeight w:val="300"/>
          <w:jc w:val="center"/>
        </w:trPr>
        <w:tc>
          <w:tcPr>
            <w:tcW w:w="988" w:type="dxa"/>
            <w:shd w:val="clear" w:color="auto" w:fill="auto"/>
            <w:noWrap/>
            <w:vAlign w:val="center"/>
            <w:hideMark/>
          </w:tcPr>
          <w:p w14:paraId="06762D15"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67200</w:t>
            </w:r>
          </w:p>
        </w:tc>
        <w:tc>
          <w:tcPr>
            <w:tcW w:w="6100" w:type="dxa"/>
            <w:shd w:val="clear" w:color="auto" w:fill="auto"/>
            <w:vAlign w:val="center"/>
            <w:hideMark/>
          </w:tcPr>
          <w:p w14:paraId="7EAC3566"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ECONOMYGAS S.A.S. E.S.P.</w:t>
            </w:r>
          </w:p>
        </w:tc>
        <w:tc>
          <w:tcPr>
            <w:tcW w:w="1417" w:type="dxa"/>
            <w:shd w:val="clear" w:color="auto" w:fill="auto"/>
            <w:noWrap/>
            <w:vAlign w:val="center"/>
            <w:hideMark/>
          </w:tcPr>
          <w:p w14:paraId="2F8981CB"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239.137</w:t>
            </w:r>
          </w:p>
        </w:tc>
      </w:tr>
      <w:tr w:rsidR="00B02C48" w:rsidRPr="00750DD0" w14:paraId="3436724A" w14:textId="77777777" w:rsidTr="001E07FA">
        <w:trPr>
          <w:trHeight w:val="300"/>
          <w:jc w:val="center"/>
        </w:trPr>
        <w:tc>
          <w:tcPr>
            <w:tcW w:w="988" w:type="dxa"/>
            <w:shd w:val="clear" w:color="auto" w:fill="auto"/>
            <w:noWrap/>
            <w:vAlign w:val="center"/>
            <w:hideMark/>
          </w:tcPr>
          <w:p w14:paraId="7813D6CA"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67999</w:t>
            </w:r>
          </w:p>
        </w:tc>
        <w:tc>
          <w:tcPr>
            <w:tcW w:w="6100" w:type="dxa"/>
            <w:shd w:val="clear" w:color="auto" w:fill="auto"/>
            <w:vAlign w:val="center"/>
            <w:hideMark/>
          </w:tcPr>
          <w:p w14:paraId="2C23EBC2"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GAS PRO-NACIONAL S.A.S. E.S.P.</w:t>
            </w:r>
          </w:p>
        </w:tc>
        <w:tc>
          <w:tcPr>
            <w:tcW w:w="1417" w:type="dxa"/>
            <w:shd w:val="clear" w:color="auto" w:fill="auto"/>
            <w:noWrap/>
            <w:vAlign w:val="center"/>
            <w:hideMark/>
          </w:tcPr>
          <w:p w14:paraId="79184C5D"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221.180</w:t>
            </w:r>
          </w:p>
        </w:tc>
      </w:tr>
      <w:tr w:rsidR="00B02C48" w:rsidRPr="00750DD0" w14:paraId="07CED3B0" w14:textId="77777777" w:rsidTr="001E07FA">
        <w:trPr>
          <w:trHeight w:val="300"/>
          <w:jc w:val="center"/>
        </w:trPr>
        <w:tc>
          <w:tcPr>
            <w:tcW w:w="988" w:type="dxa"/>
            <w:shd w:val="clear" w:color="auto" w:fill="auto"/>
            <w:noWrap/>
            <w:vAlign w:val="center"/>
            <w:hideMark/>
          </w:tcPr>
          <w:p w14:paraId="27CB46F1" w14:textId="77777777" w:rsidR="00B02C48" w:rsidRPr="00750DD0" w:rsidRDefault="00B02C48" w:rsidP="001E07FA">
            <w:pPr>
              <w:jc w:val="center"/>
              <w:rPr>
                <w:rFonts w:ascii="Helvetica" w:hAnsi="Helvetica" w:cs="Helvetica"/>
                <w:color w:val="000000"/>
                <w:sz w:val="22"/>
                <w:szCs w:val="22"/>
                <w:lang w:eastAsia="es-CO"/>
              </w:rPr>
            </w:pPr>
            <w:r w:rsidRPr="00750DD0">
              <w:rPr>
                <w:rFonts w:ascii="Helvetica" w:hAnsi="Helvetica" w:cs="Helvetica"/>
                <w:color w:val="000000"/>
                <w:sz w:val="22"/>
                <w:szCs w:val="22"/>
                <w:lang w:eastAsia="es-CO"/>
              </w:rPr>
              <w:t>151907</w:t>
            </w:r>
          </w:p>
        </w:tc>
        <w:tc>
          <w:tcPr>
            <w:tcW w:w="6100" w:type="dxa"/>
            <w:shd w:val="clear" w:color="auto" w:fill="auto"/>
            <w:vAlign w:val="center"/>
            <w:hideMark/>
          </w:tcPr>
          <w:p w14:paraId="3C6D5F05" w14:textId="77777777" w:rsidR="00B02C48" w:rsidRPr="00750DD0" w:rsidRDefault="00B02C48" w:rsidP="001E07FA">
            <w:pPr>
              <w:rPr>
                <w:rFonts w:ascii="Helvetica" w:hAnsi="Helvetica" w:cs="Helvetica"/>
                <w:color w:val="000000"/>
                <w:sz w:val="22"/>
                <w:szCs w:val="22"/>
                <w:lang w:eastAsia="es-CO"/>
              </w:rPr>
            </w:pPr>
            <w:r w:rsidRPr="00750DD0">
              <w:rPr>
                <w:rFonts w:ascii="Helvetica" w:hAnsi="Helvetica" w:cs="Helvetica"/>
                <w:color w:val="000000"/>
                <w:sz w:val="22"/>
                <w:szCs w:val="22"/>
                <w:lang w:eastAsia="es-CO"/>
              </w:rPr>
              <w:t>ASTRO GASPLUS E.S.P. S.A.S</w:t>
            </w:r>
          </w:p>
        </w:tc>
        <w:tc>
          <w:tcPr>
            <w:tcW w:w="1417" w:type="dxa"/>
            <w:shd w:val="clear" w:color="auto" w:fill="auto"/>
            <w:noWrap/>
            <w:vAlign w:val="center"/>
            <w:hideMark/>
          </w:tcPr>
          <w:p w14:paraId="4AE329FE" w14:textId="77777777" w:rsidR="00B02C48" w:rsidRPr="00750DD0" w:rsidRDefault="00B02C48" w:rsidP="001E07FA">
            <w:pPr>
              <w:jc w:val="right"/>
              <w:rPr>
                <w:rFonts w:ascii="Helvetica" w:hAnsi="Helvetica" w:cs="Helvetica"/>
                <w:color w:val="000000"/>
                <w:sz w:val="22"/>
                <w:szCs w:val="22"/>
                <w:lang w:eastAsia="es-CO"/>
              </w:rPr>
            </w:pPr>
            <w:r w:rsidRPr="00750DD0">
              <w:rPr>
                <w:rFonts w:ascii="Helvetica" w:hAnsi="Helvetica" w:cs="Helvetica"/>
                <w:color w:val="000000"/>
                <w:sz w:val="22"/>
                <w:szCs w:val="22"/>
                <w:lang w:eastAsia="es-CO"/>
              </w:rPr>
              <w:t>1.465.362</w:t>
            </w:r>
          </w:p>
        </w:tc>
      </w:tr>
    </w:tbl>
    <w:p w14:paraId="0487CEFA" w14:textId="77777777" w:rsidR="00B02C48" w:rsidRPr="00750DD0" w:rsidRDefault="00B02C48" w:rsidP="00B02C48">
      <w:pPr>
        <w:jc w:val="both"/>
        <w:rPr>
          <w:rFonts w:ascii="Helvetica" w:eastAsia="Arial" w:hAnsi="Helvetica" w:cs="Arial"/>
          <w:sz w:val="22"/>
          <w:szCs w:val="22"/>
          <w:lang w:val="es-ES"/>
        </w:rPr>
      </w:pPr>
      <w:r w:rsidRPr="00750DD0">
        <w:rPr>
          <w:rFonts w:ascii="Helvetica" w:eastAsia="Arial" w:hAnsi="Helvetica" w:cs="Arial"/>
          <w:sz w:val="22"/>
          <w:szCs w:val="22"/>
          <w:lang w:val="es-ES"/>
        </w:rPr>
        <w:lastRenderedPageBreak/>
        <w:t>Para el caso del comercializador mayorista de fuentes con precio regulado, cuando lleva a cabo las asignaciones de la OPC, deberá tener en cuenta que el concepto de “</w:t>
      </w:r>
      <w:r w:rsidRPr="00750DD0">
        <w:rPr>
          <w:rFonts w:ascii="Helvetica" w:eastAsia="Arial" w:hAnsi="Helvetica" w:cs="Arial"/>
          <w:i/>
          <w:iCs/>
          <w:sz w:val="22"/>
          <w:szCs w:val="22"/>
          <w:lang w:val="es-ES"/>
        </w:rPr>
        <w:t>capacidad de compra ajustada</w:t>
      </w:r>
      <w:r w:rsidRPr="00750DD0">
        <w:rPr>
          <w:rFonts w:ascii="Helvetica" w:eastAsia="Arial" w:hAnsi="Helvetica" w:cs="Arial"/>
          <w:sz w:val="22"/>
          <w:szCs w:val="22"/>
          <w:lang w:val="es-ES"/>
        </w:rPr>
        <w:t xml:space="preserve">” se aplica únicamente a los distribuidores de GLP a los cuales se les haya definido y </w:t>
      </w:r>
      <w:proofErr w:type="gramStart"/>
      <w:r w:rsidRPr="00750DD0">
        <w:rPr>
          <w:rFonts w:ascii="Helvetica" w:eastAsia="Arial" w:hAnsi="Helvetica" w:cs="Arial"/>
          <w:sz w:val="22"/>
          <w:szCs w:val="22"/>
          <w:lang w:val="es-ES"/>
        </w:rPr>
        <w:t>publicado capacidad</w:t>
      </w:r>
      <w:proofErr w:type="gramEnd"/>
      <w:r w:rsidRPr="00750DD0">
        <w:rPr>
          <w:rFonts w:ascii="Helvetica" w:eastAsia="Arial" w:hAnsi="Helvetica" w:cs="Arial"/>
          <w:sz w:val="22"/>
          <w:szCs w:val="22"/>
          <w:lang w:val="es-ES"/>
        </w:rPr>
        <w:t xml:space="preserve"> de compra en los términos de la Resolución CREG 503 005 de 2024 y lo dispuesto en la presente circular. En los demás casos, dicho concepto corresponde a lo que se refiera las solicitudes que presenten</w:t>
      </w:r>
      <w:r w:rsidRPr="00750DD0">
        <w:rPr>
          <w:rFonts w:ascii="Helvetica" w:eastAsia="Arial" w:hAnsi="Helvetica"/>
          <w:vertAlign w:val="superscript"/>
          <w:lang w:val="es-ES"/>
        </w:rPr>
        <w:footnoteReference w:id="4"/>
      </w:r>
      <w:r w:rsidRPr="00750DD0">
        <w:rPr>
          <w:rFonts w:ascii="Helvetica" w:eastAsia="Arial" w:hAnsi="Helvetica" w:cs="Arial"/>
          <w:sz w:val="22"/>
          <w:szCs w:val="22"/>
          <w:lang w:val="es-ES"/>
        </w:rPr>
        <w:t>.</w:t>
      </w:r>
    </w:p>
    <w:p w14:paraId="691C0B88" w14:textId="77777777" w:rsidR="00B02C48" w:rsidRPr="00750DD0" w:rsidRDefault="00B02C48" w:rsidP="00B02C48">
      <w:pPr>
        <w:jc w:val="both"/>
        <w:rPr>
          <w:rFonts w:ascii="Helvetica" w:eastAsia="Arial" w:hAnsi="Helvetica" w:cs="Arial"/>
          <w:sz w:val="22"/>
          <w:szCs w:val="22"/>
          <w:lang w:val="es-ES"/>
        </w:rPr>
      </w:pPr>
      <w:r w:rsidRPr="00750DD0">
        <w:rPr>
          <w:rFonts w:ascii="Helvetica" w:eastAsia="Arial" w:hAnsi="Helvetica" w:cs="Arial"/>
          <w:sz w:val="22"/>
          <w:szCs w:val="22"/>
          <w:lang w:val="es-ES"/>
        </w:rPr>
        <w:t>Por último, se reitera el cumplimiento que se debe dar por parte de los comercializadores mayoristas a las obligaciones previstas en la regulación, entre otras las siguientes:</w:t>
      </w:r>
    </w:p>
    <w:p w14:paraId="73F361E1" w14:textId="77777777" w:rsidR="00B02C48" w:rsidRPr="00750DD0" w:rsidRDefault="00B02C48" w:rsidP="00B02C48">
      <w:pPr>
        <w:pStyle w:val="Prrafodelista"/>
        <w:numPr>
          <w:ilvl w:val="0"/>
          <w:numId w:val="1"/>
        </w:numPr>
        <w:spacing w:before="240" w:line="360" w:lineRule="auto"/>
        <w:ind w:left="426"/>
        <w:jc w:val="both"/>
        <w:rPr>
          <w:rFonts w:ascii="Helvetica" w:eastAsia="Times New Roman" w:hAnsi="Helvetica" w:cs="Arial"/>
          <w:sz w:val="22"/>
          <w:szCs w:val="22"/>
          <w:lang w:eastAsia="es-ES"/>
        </w:rPr>
      </w:pPr>
      <w:r w:rsidRPr="00750DD0">
        <w:rPr>
          <w:rFonts w:ascii="Helvetica" w:hAnsi="Helvetica" w:cs="Arial"/>
          <w:sz w:val="22"/>
          <w:szCs w:val="22"/>
          <w:lang w:val="es-MX"/>
        </w:rPr>
        <w:t>Abstenerse de ofrecer y vender GLP a un distribuidor cuando, de manera directa o a través de la representación de otro comercializador mayorista, dicha oferta o venta lleve al distribuidor a exceder su capacidad de compra, de acuerdo con lo previsto en la regulación (Literal g del artículo 6 de la Resolución CREG 053 de 2011).</w:t>
      </w:r>
    </w:p>
    <w:p w14:paraId="5AFEF025" w14:textId="022EB2B9" w:rsidR="00B02C48" w:rsidRPr="00750DD0" w:rsidRDefault="00B02C48" w:rsidP="00B02C48">
      <w:pPr>
        <w:pStyle w:val="Textoindependiente"/>
        <w:numPr>
          <w:ilvl w:val="0"/>
          <w:numId w:val="1"/>
        </w:numPr>
        <w:spacing w:before="240" w:after="0" w:line="360" w:lineRule="auto"/>
        <w:ind w:left="426"/>
        <w:rPr>
          <w:rFonts w:ascii="Helvetica" w:hAnsi="Helvetica" w:cs="Arial"/>
          <w:sz w:val="22"/>
          <w:szCs w:val="22"/>
        </w:rPr>
      </w:pPr>
      <w:r w:rsidRPr="00750DD0">
        <w:rPr>
          <w:rFonts w:ascii="Helvetica" w:hAnsi="Helvetica" w:cs="Arial"/>
          <w:sz w:val="22"/>
          <w:szCs w:val="22"/>
        </w:rPr>
        <w:t>De acuerdo con lo previsto en los literales d y e del artículo 9 de la Resolución CREG 053 de 2011, para el caso de los comercializadores con precio libre estos deben contar con una página web donde se pueda consultar las cantidades disponibles y contratadas (i. e. producto pendiente de comercializar y cantidades contratadas, plazo y agente distribuidor o comercializador con las cuales las tiene contratadas), por lo que en este último caso, cualquier agente, incluidos los órganos de supervisión, vigilancia y control, ateniendo esta obligación prevista en la regulación podrán consultar dicha información. En el caso de los comercializadores mayoristas de precio regulado</w:t>
      </w:r>
      <w:r w:rsidR="008A7DA2">
        <w:rPr>
          <w:rFonts w:ascii="Helvetica" w:hAnsi="Helvetica" w:cs="Arial"/>
          <w:sz w:val="22"/>
          <w:szCs w:val="22"/>
        </w:rPr>
        <w:t>,</w:t>
      </w:r>
      <w:r w:rsidRPr="00750DD0">
        <w:rPr>
          <w:rFonts w:ascii="Helvetica" w:hAnsi="Helvetica" w:cs="Arial"/>
          <w:sz w:val="22"/>
          <w:szCs w:val="22"/>
        </w:rPr>
        <w:t xml:space="preserve"> dicha obligación debe permitir verificar las cantidades contratadas como parte de la asignación resultante, tanto de una OPC inicial, así como de una OPC adicional.</w:t>
      </w:r>
    </w:p>
    <w:p w14:paraId="014F9B94" w14:textId="77777777" w:rsidR="00B02C48" w:rsidRPr="00750DD0" w:rsidRDefault="00B02C48" w:rsidP="00B02C48">
      <w:pPr>
        <w:pStyle w:val="Textoindependiente"/>
        <w:spacing w:before="240" w:after="0" w:line="360" w:lineRule="auto"/>
        <w:ind w:left="426"/>
        <w:rPr>
          <w:rFonts w:ascii="Helvetica" w:hAnsi="Helvetica" w:cs="Arial"/>
          <w:sz w:val="22"/>
          <w:szCs w:val="22"/>
        </w:rPr>
      </w:pPr>
      <w:r w:rsidRPr="00750DD0">
        <w:rPr>
          <w:rFonts w:ascii="Helvetica" w:hAnsi="Helvetica" w:cs="Arial"/>
          <w:sz w:val="22"/>
          <w:szCs w:val="22"/>
        </w:rPr>
        <w:t xml:space="preserve">Lo anterior, sin perjuicio de los mecanismos de verificación y/o declaración que definan las partes dentro de la autonomía de su voluntad en materia contractual a efectos de precisar que se está </w:t>
      </w:r>
      <w:r w:rsidRPr="00750DD0">
        <w:rPr>
          <w:rFonts w:ascii="Helvetica" w:hAnsi="Helvetica" w:cs="Arial"/>
          <w:sz w:val="22"/>
          <w:szCs w:val="22"/>
        </w:rPr>
        <w:lastRenderedPageBreak/>
        <w:t>dando cumplimiento a las obligaciones de los distribuidores de abstenerse de realizar compras que excedan su capacidad de compra, así como para el caso de los comercializadores mayoristas de abstenerse de ofrecer y vender producto a un distribuidor que lleve a exceder su capacidad de compra.</w:t>
      </w:r>
    </w:p>
    <w:p w14:paraId="661031F6" w14:textId="77777777" w:rsidR="00B02C48" w:rsidRPr="00750DD0" w:rsidRDefault="00B02C48" w:rsidP="00B02C48">
      <w:pPr>
        <w:pStyle w:val="Prrafodelista"/>
        <w:numPr>
          <w:ilvl w:val="0"/>
          <w:numId w:val="1"/>
        </w:numPr>
        <w:spacing w:before="240" w:line="360" w:lineRule="auto"/>
        <w:ind w:left="426" w:hanging="426"/>
        <w:jc w:val="both"/>
        <w:rPr>
          <w:rFonts w:ascii="Helvetica" w:hAnsi="Helvetica" w:cs="Arial"/>
          <w:sz w:val="22"/>
          <w:szCs w:val="22"/>
          <w:lang w:val="es-MX"/>
        </w:rPr>
      </w:pPr>
      <w:r w:rsidRPr="00750DD0">
        <w:rPr>
          <w:rFonts w:ascii="Helvetica" w:hAnsi="Helvetica" w:cs="Arial"/>
          <w:sz w:val="22"/>
          <w:szCs w:val="22"/>
          <w:lang w:val="es-MX"/>
        </w:rPr>
        <w:t>Igualmente, se reitera por parte de esta Comisión, en el caso de los distribuidores, el cumplimiento de la obligación de comprar el GLP, a granel y al por mayor, únicamente a comercializadores mayoristas legalmente establecidos, a través de contratos de suministro con éstos, con sujeción al reglamento de comercialización mayorista que establezca la CREG. Para estos efectos, el distribuidor debe abstenerse de realizar compras de GLP que excedan su capacidad de compra, de acuerdo con lo definido por la regulación (numeral 1 del artículo 7 de la Resolución CREG 023 de 2008).</w:t>
      </w:r>
    </w:p>
    <w:p w14:paraId="1659A93A" w14:textId="77777777" w:rsidR="00B02C48" w:rsidRPr="00750DD0" w:rsidRDefault="00B02C48" w:rsidP="00B02C48">
      <w:pPr>
        <w:pStyle w:val="Textoindependiente"/>
        <w:numPr>
          <w:ilvl w:val="0"/>
          <w:numId w:val="1"/>
        </w:numPr>
        <w:spacing w:before="240" w:after="0" w:line="360" w:lineRule="auto"/>
        <w:ind w:left="426"/>
        <w:rPr>
          <w:rFonts w:ascii="Helvetica" w:hAnsi="Helvetica" w:cs="Arial"/>
          <w:sz w:val="22"/>
          <w:szCs w:val="22"/>
        </w:rPr>
      </w:pPr>
      <w:r w:rsidRPr="00750DD0">
        <w:rPr>
          <w:rFonts w:ascii="Helvetica" w:hAnsi="Helvetica" w:cs="Arial"/>
          <w:sz w:val="22"/>
          <w:szCs w:val="22"/>
        </w:rPr>
        <w:t>Deberá observarse lo previsto en los artículos 13 y 14 del reglamento de comercialización mayorista de GLP, en relación con las condiciones generales para la oferta pública de GLP con precio regulado.</w:t>
      </w:r>
    </w:p>
    <w:p w14:paraId="08BDC282" w14:textId="77777777" w:rsidR="00B02C48" w:rsidRPr="00750DD0" w:rsidRDefault="00B02C48" w:rsidP="00B02C48">
      <w:pPr>
        <w:pStyle w:val="Textoindependiente"/>
        <w:spacing w:before="240" w:line="360" w:lineRule="auto"/>
        <w:ind w:left="426"/>
        <w:rPr>
          <w:rFonts w:ascii="Helvetica" w:hAnsi="Helvetica" w:cs="Arial"/>
          <w:sz w:val="22"/>
          <w:szCs w:val="22"/>
          <w:lang w:val="es-MX"/>
        </w:rPr>
      </w:pPr>
      <w:r w:rsidRPr="00750DD0">
        <w:rPr>
          <w:rFonts w:ascii="Helvetica" w:hAnsi="Helvetica" w:cs="Arial"/>
          <w:sz w:val="22"/>
          <w:szCs w:val="22"/>
          <w:lang w:val="es-MX"/>
        </w:rPr>
        <w:t>Para el caso del comercializador mayorista de fuentes con precio regulado cuando lleva a cabo la OPC, se debe tener en cuenta lo siguiente:</w:t>
      </w:r>
    </w:p>
    <w:p w14:paraId="72DB9DAF" w14:textId="0A08CEEE" w:rsidR="00B02C48" w:rsidRPr="00750DD0" w:rsidRDefault="00B02C48" w:rsidP="00B02C48">
      <w:pPr>
        <w:pStyle w:val="Textoindependiente"/>
        <w:spacing w:before="240" w:line="360" w:lineRule="auto"/>
        <w:ind w:left="426"/>
        <w:rPr>
          <w:rFonts w:ascii="Helvetica" w:hAnsi="Helvetica" w:cs="Arial"/>
          <w:sz w:val="22"/>
          <w:szCs w:val="22"/>
          <w:lang w:val="es-MX"/>
        </w:rPr>
      </w:pPr>
      <w:r w:rsidRPr="00750DD0">
        <w:rPr>
          <w:rFonts w:ascii="Helvetica" w:hAnsi="Helvetica" w:cs="Arial"/>
          <w:sz w:val="22"/>
          <w:szCs w:val="22"/>
          <w:lang w:val="es-MX"/>
        </w:rPr>
        <w:t xml:space="preserve">a. El concepto de “capacidad de compra ajustada” se aplica únicamente a los distribuidores de GLP a los cuales se les haya definido y </w:t>
      </w:r>
      <w:proofErr w:type="gramStart"/>
      <w:r w:rsidRPr="00750DD0">
        <w:rPr>
          <w:rFonts w:ascii="Helvetica" w:hAnsi="Helvetica" w:cs="Arial"/>
          <w:sz w:val="22"/>
          <w:szCs w:val="22"/>
          <w:lang w:val="es-MX"/>
        </w:rPr>
        <w:t>publicado capacidad</w:t>
      </w:r>
      <w:proofErr w:type="gramEnd"/>
      <w:r w:rsidRPr="00750DD0">
        <w:rPr>
          <w:rFonts w:ascii="Helvetica" w:hAnsi="Helvetica" w:cs="Arial"/>
          <w:sz w:val="22"/>
          <w:szCs w:val="22"/>
          <w:lang w:val="es-MX"/>
        </w:rPr>
        <w:t xml:space="preserve"> de compra en los términos de la Resolución CREG 503 00</w:t>
      </w:r>
      <w:r w:rsidR="008A7DA2">
        <w:rPr>
          <w:rFonts w:ascii="Helvetica" w:hAnsi="Helvetica" w:cs="Arial"/>
          <w:sz w:val="22"/>
          <w:szCs w:val="22"/>
          <w:lang w:val="es-MX"/>
        </w:rPr>
        <w:t>5</w:t>
      </w:r>
      <w:r w:rsidRPr="00750DD0">
        <w:rPr>
          <w:rFonts w:ascii="Helvetica" w:hAnsi="Helvetica" w:cs="Arial"/>
          <w:sz w:val="22"/>
          <w:szCs w:val="22"/>
          <w:lang w:val="es-MX"/>
        </w:rPr>
        <w:t xml:space="preserve"> de 202</w:t>
      </w:r>
      <w:r w:rsidR="008A7DA2">
        <w:rPr>
          <w:rFonts w:ascii="Helvetica" w:hAnsi="Helvetica" w:cs="Arial"/>
          <w:sz w:val="22"/>
          <w:szCs w:val="22"/>
          <w:lang w:val="es-MX"/>
        </w:rPr>
        <w:t>4</w:t>
      </w:r>
      <w:r w:rsidRPr="00750DD0">
        <w:rPr>
          <w:rFonts w:ascii="Helvetica" w:hAnsi="Helvetica" w:cs="Arial"/>
          <w:sz w:val="22"/>
          <w:szCs w:val="22"/>
          <w:lang w:val="es-MX"/>
        </w:rPr>
        <w:t xml:space="preserve"> y lo dispuesto en la presente Circular. En los demás casos dicho concepto corresponde a lo que se refiera las solicitudes que presenten.</w:t>
      </w:r>
    </w:p>
    <w:p w14:paraId="6E3D4612" w14:textId="77777777" w:rsidR="00B02C48" w:rsidRPr="00750DD0" w:rsidRDefault="00B02C48" w:rsidP="00B02C48">
      <w:pPr>
        <w:pStyle w:val="Textoindependiente"/>
        <w:spacing w:before="240" w:line="360" w:lineRule="auto"/>
        <w:ind w:left="426"/>
        <w:rPr>
          <w:rFonts w:ascii="Helvetica" w:hAnsi="Helvetica" w:cs="Arial"/>
          <w:sz w:val="22"/>
          <w:szCs w:val="22"/>
          <w:lang w:val="es-MX"/>
        </w:rPr>
      </w:pPr>
      <w:r w:rsidRPr="00750DD0">
        <w:rPr>
          <w:rFonts w:ascii="Helvetica" w:hAnsi="Helvetica" w:cs="Arial"/>
          <w:sz w:val="22"/>
          <w:szCs w:val="22"/>
          <w:lang w:val="es-MX"/>
        </w:rPr>
        <w:t>b. Frente a las ofertas de compra que cada distribuidor remita al comercializador mayorista que lleva a cabo la OPC, estas deberán modificarse según el siguiente procedimiento, el cual debe llevar a cabo el comercializador mayorista y del que resultan las ofertas de compra ajustadas:</w:t>
      </w:r>
    </w:p>
    <w:p w14:paraId="3FB6185A" w14:textId="77777777" w:rsidR="00B02C48" w:rsidRPr="00750DD0" w:rsidRDefault="00B02C48" w:rsidP="00B02C48">
      <w:pPr>
        <w:pStyle w:val="Textoindependiente"/>
        <w:numPr>
          <w:ilvl w:val="0"/>
          <w:numId w:val="2"/>
        </w:numPr>
        <w:spacing w:before="240" w:line="360" w:lineRule="auto"/>
        <w:rPr>
          <w:rFonts w:ascii="Helvetica" w:hAnsi="Helvetica" w:cs="Arial"/>
          <w:sz w:val="22"/>
          <w:szCs w:val="22"/>
          <w:lang w:val="es-MX"/>
        </w:rPr>
      </w:pPr>
      <w:r w:rsidRPr="00750DD0">
        <w:rPr>
          <w:rFonts w:ascii="Helvetica" w:hAnsi="Helvetica" w:cs="Arial"/>
          <w:sz w:val="22"/>
          <w:szCs w:val="22"/>
          <w:lang w:val="es-MX"/>
        </w:rPr>
        <w:lastRenderedPageBreak/>
        <w:t>Cuando la suma de las ofertas de compra remitidas por un distribuidor, para todas las fuentes ofrecidas, sea menor o igual que su capacidad disponible de compra, las ofertas de compra ajustadas para este distribuidor serán iguales a las ofertas de compra remitidas.</w:t>
      </w:r>
    </w:p>
    <w:p w14:paraId="47D0F941" w14:textId="77777777" w:rsidR="00B02C48" w:rsidRPr="00750DD0" w:rsidRDefault="00B02C48" w:rsidP="00B02C48">
      <w:pPr>
        <w:pStyle w:val="Textoindependiente"/>
        <w:numPr>
          <w:ilvl w:val="0"/>
          <w:numId w:val="2"/>
        </w:numPr>
        <w:spacing w:before="240" w:line="360" w:lineRule="auto"/>
        <w:rPr>
          <w:rFonts w:ascii="Helvetica" w:hAnsi="Helvetica" w:cs="Arial"/>
          <w:sz w:val="22"/>
          <w:szCs w:val="22"/>
          <w:lang w:val="es-MX"/>
        </w:rPr>
      </w:pPr>
      <w:r w:rsidRPr="00750DD0">
        <w:rPr>
          <w:rFonts w:ascii="Helvetica" w:hAnsi="Helvetica" w:cs="Arial"/>
          <w:sz w:val="22"/>
          <w:szCs w:val="22"/>
          <w:lang w:val="es-MX"/>
        </w:rPr>
        <w:t>Cuando la suma de las ofertas de compra remitidas por un distribuidor, para todas las fuentes ofrecidas, sea mayor que su capacidad disponible de compra, las ofertas de compra remitidas se ajustarán, fuente por fuente, de tal manera que la suma de las ofertas de compra ajustadas sea igual a la capacidad disponible de compra, manteniendo las proporciones, por fuente, de las ofertas de compra remitidas.</w:t>
      </w:r>
    </w:p>
    <w:p w14:paraId="36F7142C" w14:textId="0EF72D0C" w:rsidR="00B02C48" w:rsidRPr="00750DD0" w:rsidRDefault="00B02C48" w:rsidP="00B02C48">
      <w:pPr>
        <w:pStyle w:val="Textoindependiente"/>
        <w:spacing w:before="240" w:line="360" w:lineRule="auto"/>
        <w:rPr>
          <w:rFonts w:ascii="Helvetica" w:hAnsi="Helvetica" w:cs="Arial"/>
          <w:sz w:val="22"/>
          <w:szCs w:val="22"/>
        </w:rPr>
      </w:pPr>
      <w:r w:rsidRPr="00750DD0">
        <w:rPr>
          <w:rFonts w:ascii="Helvetica" w:hAnsi="Helvetica" w:cs="Arial"/>
          <w:sz w:val="22"/>
          <w:szCs w:val="22"/>
        </w:rPr>
        <w:t xml:space="preserve">Finalmente, esta Comisión recuerda a los interesados que, según lo dispuesto en el </w:t>
      </w:r>
      <w:r w:rsidR="008A7DA2">
        <w:rPr>
          <w:rFonts w:ascii="Helvetica" w:hAnsi="Helvetica" w:cs="Arial"/>
          <w:sz w:val="22"/>
          <w:szCs w:val="22"/>
        </w:rPr>
        <w:t>a</w:t>
      </w:r>
      <w:r w:rsidRPr="00750DD0">
        <w:rPr>
          <w:rFonts w:ascii="Helvetica" w:hAnsi="Helvetica" w:cs="Arial"/>
          <w:sz w:val="22"/>
          <w:szCs w:val="22"/>
        </w:rPr>
        <w:t>rtículo 1 de la Resolución CREG 023 de 2008</w:t>
      </w:r>
      <w:r w:rsidRPr="00750DD0">
        <w:rPr>
          <w:rStyle w:val="Refdenotaalpie"/>
          <w:rFonts w:ascii="Helvetica" w:hAnsi="Helvetica" w:cs="Arial"/>
          <w:sz w:val="22"/>
          <w:szCs w:val="22"/>
        </w:rPr>
        <w:footnoteReference w:id="5"/>
      </w:r>
      <w:r w:rsidRPr="00750DD0">
        <w:rPr>
          <w:rFonts w:ascii="Helvetica" w:hAnsi="Helvetica" w:cs="Arial"/>
          <w:sz w:val="22"/>
          <w:szCs w:val="22"/>
        </w:rPr>
        <w:t>, mediante la cual se establece el Reglamento de Distribución y Comercialización Minorista de Gas Licuado de Petróleo</w:t>
      </w:r>
      <w:r w:rsidR="008A7DA2">
        <w:rPr>
          <w:rFonts w:ascii="Helvetica" w:hAnsi="Helvetica" w:cs="Arial"/>
          <w:sz w:val="22"/>
          <w:szCs w:val="22"/>
        </w:rPr>
        <w:t>,</w:t>
      </w:r>
      <w:r w:rsidRPr="00750DD0">
        <w:rPr>
          <w:rFonts w:ascii="Helvetica" w:hAnsi="Helvetica" w:cs="Arial"/>
          <w:sz w:val="22"/>
          <w:szCs w:val="22"/>
        </w:rPr>
        <w:t xml:space="preserve"> se define al Distribuidor de GLP como “</w:t>
      </w:r>
      <w:r w:rsidRPr="00750DD0">
        <w:rPr>
          <w:rFonts w:ascii="Helvetica" w:hAnsi="Helvetica" w:cs="Arial"/>
          <w:i/>
          <w:iCs/>
          <w:sz w:val="22"/>
          <w:szCs w:val="22"/>
        </w:rPr>
        <w:t>la empresa de servicios públicos domiciliarios, que, cumpliendo con los requisitos exigidos en esta Resolución, realiza la actividad de distribución de GLP</w:t>
      </w:r>
      <w:r w:rsidRPr="00750DD0">
        <w:rPr>
          <w:rFonts w:ascii="Helvetica" w:hAnsi="Helvetica" w:cs="Arial"/>
          <w:sz w:val="22"/>
          <w:szCs w:val="22"/>
        </w:rPr>
        <w:t>”, así mismo, la distribución de GLP se precisa como la, “</w:t>
      </w:r>
      <w:r w:rsidRPr="00750DD0">
        <w:rPr>
          <w:rFonts w:ascii="Helvetica" w:hAnsi="Helvetica" w:cs="Arial"/>
          <w:i/>
          <w:iCs/>
          <w:sz w:val="22"/>
          <w:szCs w:val="22"/>
        </w:rPr>
        <w:t xml:space="preserve">Actividad que comprende las actividades de: i) Compra del GLP en el mercado mayorista con destino al usuario final, </w:t>
      </w:r>
      <w:proofErr w:type="spellStart"/>
      <w:r w:rsidRPr="00750DD0">
        <w:rPr>
          <w:rFonts w:ascii="Helvetica" w:hAnsi="Helvetica" w:cs="Arial"/>
          <w:i/>
          <w:iCs/>
          <w:sz w:val="22"/>
          <w:szCs w:val="22"/>
        </w:rPr>
        <w:t>ii</w:t>
      </w:r>
      <w:proofErr w:type="spellEnd"/>
      <w:r w:rsidRPr="00750DD0">
        <w:rPr>
          <w:rFonts w:ascii="Helvetica" w:hAnsi="Helvetica" w:cs="Arial"/>
          <w:i/>
          <w:iCs/>
          <w:sz w:val="22"/>
          <w:szCs w:val="22"/>
        </w:rPr>
        <w:t xml:space="preserve">) flete desde los puntos de entrega directa del producto o los puntos de salida del sistema de transporte hasta las plantas de envasado, </w:t>
      </w:r>
      <w:proofErr w:type="spellStart"/>
      <w:r w:rsidRPr="00750DD0">
        <w:rPr>
          <w:rFonts w:ascii="Helvetica" w:hAnsi="Helvetica" w:cs="Arial"/>
          <w:i/>
          <w:iCs/>
          <w:sz w:val="22"/>
          <w:szCs w:val="22"/>
        </w:rPr>
        <w:t>iii</w:t>
      </w:r>
      <w:proofErr w:type="spellEnd"/>
      <w:r w:rsidRPr="00750DD0">
        <w:rPr>
          <w:rFonts w:ascii="Helvetica" w:hAnsi="Helvetica" w:cs="Arial"/>
          <w:i/>
          <w:iCs/>
          <w:sz w:val="22"/>
          <w:szCs w:val="22"/>
        </w:rPr>
        <w:t xml:space="preserve">) envasado de cilindros marcados y </w:t>
      </w:r>
      <w:proofErr w:type="spellStart"/>
      <w:r w:rsidRPr="00750DD0">
        <w:rPr>
          <w:rFonts w:ascii="Helvetica" w:hAnsi="Helvetica" w:cs="Arial"/>
          <w:i/>
          <w:iCs/>
          <w:sz w:val="22"/>
          <w:szCs w:val="22"/>
        </w:rPr>
        <w:t>iv</w:t>
      </w:r>
      <w:proofErr w:type="spellEnd"/>
      <w:r w:rsidRPr="00750DD0">
        <w:rPr>
          <w:rFonts w:ascii="Helvetica" w:hAnsi="Helvetica" w:cs="Arial"/>
          <w:i/>
          <w:iCs/>
          <w:sz w:val="22"/>
          <w:szCs w:val="22"/>
        </w:rPr>
        <w:t>) operación de la planta de envasado correspondiente. Comprende además las actividades de flete y entrega de producto a granel a través de tanques estacionarios instalados en el domicilio de los usuarios finales y de venta de cilindros a través de puntos de venta</w:t>
      </w:r>
      <w:r w:rsidRPr="00750DD0">
        <w:rPr>
          <w:rFonts w:ascii="Helvetica" w:hAnsi="Helvetica" w:cs="Arial"/>
          <w:sz w:val="22"/>
          <w:szCs w:val="22"/>
        </w:rPr>
        <w:t xml:space="preserve">”. </w:t>
      </w:r>
    </w:p>
    <w:p w14:paraId="3FCDA27E" w14:textId="20F7ECA3" w:rsidR="00B02C48" w:rsidRPr="00750DD0" w:rsidRDefault="00B02C48" w:rsidP="00B02C48">
      <w:pPr>
        <w:pStyle w:val="Textoindependiente"/>
        <w:spacing w:before="240" w:line="360" w:lineRule="auto"/>
        <w:rPr>
          <w:rFonts w:ascii="Helvetica" w:hAnsi="Helvetica" w:cs="Arial"/>
          <w:sz w:val="22"/>
          <w:szCs w:val="22"/>
        </w:rPr>
      </w:pPr>
      <w:r w:rsidRPr="00750DD0">
        <w:rPr>
          <w:rFonts w:ascii="Helvetica" w:hAnsi="Helvetica" w:cs="Arial"/>
          <w:sz w:val="22"/>
          <w:szCs w:val="22"/>
        </w:rPr>
        <w:t xml:space="preserve">Así mismo, el </w:t>
      </w:r>
      <w:r w:rsidR="008A7DA2">
        <w:rPr>
          <w:rFonts w:ascii="Helvetica" w:hAnsi="Helvetica" w:cs="Arial"/>
          <w:sz w:val="22"/>
          <w:szCs w:val="22"/>
        </w:rPr>
        <w:t>a</w:t>
      </w:r>
      <w:r w:rsidRPr="00750DD0">
        <w:rPr>
          <w:rFonts w:ascii="Helvetica" w:hAnsi="Helvetica" w:cs="Arial"/>
          <w:sz w:val="22"/>
          <w:szCs w:val="22"/>
        </w:rPr>
        <w:t xml:space="preserve">rtículo 4 de la Resolución CREG 023 de 2008, modificado por el </w:t>
      </w:r>
      <w:r w:rsidR="008A7DA2">
        <w:rPr>
          <w:rFonts w:ascii="Helvetica" w:hAnsi="Helvetica" w:cs="Arial"/>
          <w:sz w:val="22"/>
          <w:szCs w:val="22"/>
        </w:rPr>
        <w:t>a</w:t>
      </w:r>
      <w:r w:rsidRPr="00750DD0">
        <w:rPr>
          <w:rFonts w:ascii="Helvetica" w:hAnsi="Helvetica" w:cs="Arial"/>
          <w:sz w:val="22"/>
          <w:szCs w:val="22"/>
        </w:rPr>
        <w:t>rtículo 2 de la Resoluciones CREG 177 de 2011, dispone los requisitos para la operación de los distribuidores, así:</w:t>
      </w:r>
    </w:p>
    <w:p w14:paraId="4EDF92B1" w14:textId="77777777" w:rsidR="00B02C48" w:rsidRPr="00FB6B69" w:rsidRDefault="00B02C48" w:rsidP="00B02C48">
      <w:pPr>
        <w:pStyle w:val="Textoindependiente"/>
        <w:spacing w:before="240" w:line="360" w:lineRule="auto"/>
        <w:ind w:left="567"/>
        <w:rPr>
          <w:rFonts w:ascii="Helvetica" w:hAnsi="Helvetica" w:cs="Arial"/>
          <w:i/>
          <w:iCs/>
          <w:sz w:val="21"/>
          <w:szCs w:val="21"/>
        </w:rPr>
      </w:pPr>
      <w:r w:rsidRPr="00FB6B69">
        <w:rPr>
          <w:rFonts w:ascii="Helvetica" w:hAnsi="Helvetica" w:cs="Arial"/>
          <w:i/>
          <w:iCs/>
          <w:sz w:val="21"/>
          <w:szCs w:val="21"/>
        </w:rPr>
        <w:t>“A efectos de desarrollar la actividad de distribución para la prestación del Servicio Público Domiciliario de GLP, los distribuidores deberán cumplir los siguientes requisitos:</w:t>
      </w:r>
    </w:p>
    <w:p w14:paraId="720B5EBF" w14:textId="77777777" w:rsidR="00B02C48" w:rsidRPr="00FB6B69" w:rsidRDefault="00B02C48" w:rsidP="00B02C48">
      <w:pPr>
        <w:pStyle w:val="Textoindependiente"/>
        <w:spacing w:before="240" w:line="360" w:lineRule="auto"/>
        <w:ind w:left="567"/>
        <w:rPr>
          <w:rFonts w:ascii="Helvetica" w:hAnsi="Helvetica" w:cs="Arial"/>
          <w:i/>
          <w:iCs/>
          <w:sz w:val="21"/>
          <w:szCs w:val="21"/>
        </w:rPr>
      </w:pPr>
      <w:r w:rsidRPr="00FB6B69">
        <w:rPr>
          <w:rFonts w:ascii="Helvetica" w:hAnsi="Helvetica" w:cs="Arial"/>
          <w:i/>
          <w:iCs/>
          <w:sz w:val="21"/>
          <w:szCs w:val="21"/>
        </w:rPr>
        <w:lastRenderedPageBreak/>
        <w:t>1. Organizarse en empresas de servicios públicos domiciliarios de conformidad con lo establecido en Ley 142 de 1994. Además deben estar debidamente registradas ante la Superintendencia de Servicios Públicos Domiciliarios y haber informado del inicio de sus actividades a la Comisión de Regulación de Energía y Gas en la forma determinada por esta Comisión.</w:t>
      </w:r>
    </w:p>
    <w:p w14:paraId="393ECC69" w14:textId="77777777" w:rsidR="00B02C48" w:rsidRPr="00FB6B69" w:rsidRDefault="00B02C48" w:rsidP="00B02C48">
      <w:pPr>
        <w:pStyle w:val="Textoindependiente"/>
        <w:spacing w:before="240" w:line="360" w:lineRule="auto"/>
        <w:ind w:left="567"/>
        <w:rPr>
          <w:rFonts w:ascii="Helvetica" w:hAnsi="Helvetica" w:cs="Arial"/>
          <w:i/>
          <w:iCs/>
          <w:sz w:val="21"/>
          <w:szCs w:val="21"/>
        </w:rPr>
      </w:pPr>
      <w:r w:rsidRPr="00FB6B69">
        <w:rPr>
          <w:rFonts w:ascii="Helvetica" w:hAnsi="Helvetica" w:cs="Arial"/>
          <w:i/>
          <w:iCs/>
          <w:sz w:val="21"/>
          <w:szCs w:val="21"/>
        </w:rPr>
        <w:t>2. Operar las Plantas de Envasado a través de las cuales se surte a sí mismo de cilindros envasados para la Comercialización Minorista a usuario final, o surte a Comercializadores Minoristas con los cuales tiene un Contrato de suministro de GLP envasado en los términos del Artículo 14 de esta Resolución. También a través de estas plantas llena las cisternas con las cuales abastece Tanques Estacionarios ubicados en los domicilios de usuarios finales.</w:t>
      </w:r>
    </w:p>
    <w:p w14:paraId="393497E9" w14:textId="77777777" w:rsidR="00B02C48" w:rsidRPr="00FB6B69" w:rsidRDefault="00B02C48" w:rsidP="00B02C48">
      <w:pPr>
        <w:pStyle w:val="Textoindependiente"/>
        <w:spacing w:before="240" w:line="360" w:lineRule="auto"/>
        <w:ind w:left="567"/>
        <w:rPr>
          <w:rFonts w:ascii="Helvetica" w:hAnsi="Helvetica" w:cs="Arial"/>
          <w:i/>
          <w:iCs/>
          <w:sz w:val="21"/>
          <w:szCs w:val="21"/>
        </w:rPr>
      </w:pPr>
      <w:r w:rsidRPr="00FB6B69">
        <w:rPr>
          <w:rFonts w:ascii="Helvetica" w:hAnsi="Helvetica" w:cs="Arial"/>
          <w:i/>
          <w:iCs/>
          <w:sz w:val="21"/>
          <w:szCs w:val="21"/>
        </w:rPr>
        <w:t>3. Contar con las Certificaciones de Conformidad y/o Calidad exigidas en el Reglamento Técnico vigente del Ministerio de Minas y Energía, para cada planta envasadora que opere y para cada uno de los procesos asociados.</w:t>
      </w:r>
    </w:p>
    <w:p w14:paraId="31B48F3A" w14:textId="623DDFB0" w:rsidR="00B02C48" w:rsidRPr="00FB6B69" w:rsidRDefault="00B02C48" w:rsidP="00B02C48">
      <w:pPr>
        <w:pStyle w:val="Textoindependiente"/>
        <w:spacing w:before="240" w:line="360" w:lineRule="auto"/>
        <w:ind w:left="567"/>
        <w:rPr>
          <w:rFonts w:ascii="Helvetica" w:hAnsi="Helvetica" w:cs="Arial"/>
          <w:sz w:val="21"/>
          <w:szCs w:val="21"/>
        </w:rPr>
      </w:pPr>
      <w:r w:rsidRPr="00FB6B69">
        <w:rPr>
          <w:rFonts w:ascii="Helvetica" w:hAnsi="Helvetica" w:cs="Arial"/>
          <w:i/>
          <w:iCs/>
          <w:sz w:val="21"/>
          <w:szCs w:val="21"/>
        </w:rPr>
        <w:t xml:space="preserve">4. Mantener pólizas de Responsabilidad Civil Extracontractual, expedidas por compañías de seguros establecidas legalmente en el país, que cubran los daños a terceros en sus bienes y personas originados por sus actividades </w:t>
      </w:r>
      <w:r w:rsidRPr="00FB6B69">
        <w:rPr>
          <w:rFonts w:ascii="Helvetica" w:hAnsi="Helvetica" w:cs="Arial"/>
          <w:sz w:val="21"/>
          <w:szCs w:val="21"/>
        </w:rPr>
        <w:t>(</w:t>
      </w:r>
      <w:r w:rsidR="008A7DA2" w:rsidRPr="00FB6B69">
        <w:rPr>
          <w:rFonts w:ascii="Helvetica" w:hAnsi="Helvetica" w:cs="Arial"/>
          <w:sz w:val="21"/>
          <w:szCs w:val="21"/>
        </w:rPr>
        <w:t>...</w:t>
      </w:r>
      <w:r w:rsidRPr="00FB6B69">
        <w:rPr>
          <w:rFonts w:ascii="Helvetica" w:hAnsi="Helvetica" w:cs="Arial"/>
          <w:sz w:val="21"/>
          <w:szCs w:val="21"/>
        </w:rPr>
        <w:t>)</w:t>
      </w:r>
    </w:p>
    <w:p w14:paraId="76E765C8" w14:textId="7ABB3ECC" w:rsidR="00B02C48" w:rsidRPr="00FB6B69" w:rsidRDefault="00B02C48" w:rsidP="00B02C48">
      <w:pPr>
        <w:pStyle w:val="Textoindependiente"/>
        <w:spacing w:before="240" w:line="360" w:lineRule="auto"/>
        <w:ind w:left="567"/>
        <w:rPr>
          <w:rFonts w:ascii="Helvetica" w:hAnsi="Helvetica" w:cs="Arial"/>
          <w:sz w:val="21"/>
          <w:szCs w:val="21"/>
        </w:rPr>
      </w:pPr>
      <w:r w:rsidRPr="00FB6B69">
        <w:rPr>
          <w:rFonts w:ascii="Helvetica" w:hAnsi="Helvetica" w:cs="Arial"/>
          <w:i/>
          <w:iCs/>
          <w:sz w:val="21"/>
          <w:szCs w:val="21"/>
        </w:rPr>
        <w:t xml:space="preserve">7. Ser propietario de los cilindros que envasa, los cuales deberán estar certificados y marcados de acuerdo con lo establecido en el artículo 10 de esta resolución, reportados de acuerdo con el artículo 11 de esta resolución y registrados de acuerdo con lo indicado en el numeral 8 del artículo 6o de esta resolución, modificado por el artículo 4o de la Resolución CREG 165 de 2008. Tanto los cilindros como los tanques estacionarios a través de los cuales se prestará el servicio público, deben estar en condiciones de operación que garanticen plenamente la seguridad de los usuarios, del personal que lo maniobra y de toda la comunidad en general, en cumplimiento de lo establecido en el correspondiente Reglamento Técnico vigente del Ministerio de Minas y Energía. </w:t>
      </w:r>
      <w:r w:rsidRPr="00FB6B69">
        <w:rPr>
          <w:rFonts w:ascii="Helvetica" w:hAnsi="Helvetica" w:cs="Arial"/>
          <w:sz w:val="21"/>
          <w:szCs w:val="21"/>
        </w:rPr>
        <w:t>(</w:t>
      </w:r>
      <w:r w:rsidR="008A7DA2" w:rsidRPr="00FB6B69">
        <w:rPr>
          <w:rFonts w:ascii="Helvetica" w:hAnsi="Helvetica" w:cs="Arial"/>
          <w:sz w:val="21"/>
          <w:szCs w:val="21"/>
        </w:rPr>
        <w:t>...</w:t>
      </w:r>
      <w:r w:rsidRPr="00FB6B69">
        <w:rPr>
          <w:rFonts w:ascii="Helvetica" w:hAnsi="Helvetica" w:cs="Arial"/>
          <w:sz w:val="21"/>
          <w:szCs w:val="21"/>
        </w:rPr>
        <w:t>)</w:t>
      </w:r>
      <w:r w:rsidR="008A7DA2" w:rsidRPr="00FB6B69">
        <w:rPr>
          <w:rFonts w:ascii="Helvetica" w:hAnsi="Helvetica" w:cs="Arial"/>
          <w:sz w:val="21"/>
          <w:szCs w:val="21"/>
        </w:rPr>
        <w:t>”</w:t>
      </w:r>
    </w:p>
    <w:p w14:paraId="26388EF6" w14:textId="77777777" w:rsidR="00B02C48" w:rsidRPr="00750DD0" w:rsidRDefault="00B02C48" w:rsidP="00B02C48">
      <w:pPr>
        <w:pStyle w:val="Textoindependiente"/>
        <w:spacing w:before="240" w:line="360" w:lineRule="auto"/>
        <w:rPr>
          <w:rFonts w:ascii="Helvetica" w:hAnsi="Helvetica" w:cs="Arial"/>
          <w:sz w:val="22"/>
          <w:szCs w:val="22"/>
        </w:rPr>
      </w:pPr>
      <w:r w:rsidRPr="00750DD0">
        <w:rPr>
          <w:rFonts w:ascii="Helvetica" w:hAnsi="Helvetica" w:cs="Arial"/>
          <w:sz w:val="22"/>
          <w:szCs w:val="22"/>
        </w:rPr>
        <w:t>Así mismo, el parágrafo 1 del citado artículo dispone:</w:t>
      </w:r>
    </w:p>
    <w:p w14:paraId="62D13D05" w14:textId="7C650C78" w:rsidR="00B02C48" w:rsidRPr="00FB6B69" w:rsidRDefault="008A7DA2" w:rsidP="00B02C48">
      <w:pPr>
        <w:pStyle w:val="Textoindependiente"/>
        <w:spacing w:before="240" w:line="360" w:lineRule="auto"/>
        <w:ind w:left="567"/>
        <w:rPr>
          <w:rFonts w:ascii="Helvetica" w:hAnsi="Helvetica" w:cs="Arial"/>
          <w:sz w:val="21"/>
          <w:szCs w:val="21"/>
        </w:rPr>
      </w:pPr>
      <w:r w:rsidRPr="00FB6B69">
        <w:rPr>
          <w:rFonts w:ascii="Helvetica" w:hAnsi="Helvetica" w:cs="Arial"/>
          <w:sz w:val="21"/>
          <w:szCs w:val="21"/>
        </w:rPr>
        <w:t>“</w:t>
      </w:r>
      <w:r w:rsidR="00B02C48" w:rsidRPr="00FB6B69">
        <w:rPr>
          <w:rFonts w:ascii="Helvetica" w:hAnsi="Helvetica" w:cs="Arial"/>
          <w:i/>
          <w:iCs/>
          <w:sz w:val="21"/>
          <w:szCs w:val="21"/>
        </w:rPr>
        <w:t xml:space="preserve">PARÁGRAFO 1o. Los distribuidores de GLP constituidos como tales a la fecha de expedición de la Resolución CREG 023 de 2008 y que a la misma fecha únicamente estén prestando el servicio a </w:t>
      </w:r>
      <w:r w:rsidR="00B02C48" w:rsidRPr="00FB6B69">
        <w:rPr>
          <w:rFonts w:ascii="Helvetica" w:hAnsi="Helvetica" w:cs="Arial"/>
          <w:i/>
          <w:iCs/>
          <w:sz w:val="21"/>
          <w:szCs w:val="21"/>
        </w:rPr>
        <w:lastRenderedPageBreak/>
        <w:t>usuarios a través de tanques estacionarios, como debe constar en los reportes de ventas informados al SUI, podrán constituirse como distribuidores a la luz de lo dispuesto en la mencionada resolución sin la obligación de cumplir los requisitos establecidos en los numerales 2, 3 y 7 de este artículo y sin perjuicio de las demás obligaciones y responsabilidades que le establece este Reglamento de Distribución. Si estos distribuidores deciden prestar el servicio en cilindros deberán dar cumplimiento a lo dispuesto en los artículos anteriormente mencionados</w:t>
      </w:r>
      <w:r w:rsidR="00916DC1" w:rsidRPr="00FB6B69">
        <w:rPr>
          <w:rFonts w:ascii="Helvetica" w:hAnsi="Helvetica" w:cs="Arial"/>
          <w:sz w:val="21"/>
          <w:szCs w:val="21"/>
        </w:rPr>
        <w:t>”.</w:t>
      </w:r>
    </w:p>
    <w:p w14:paraId="101ED7DD" w14:textId="4B9C5B3E" w:rsidR="00B02C48" w:rsidRPr="00750DD0" w:rsidRDefault="00B02C48" w:rsidP="00B02C48">
      <w:pPr>
        <w:pStyle w:val="Textoindependiente"/>
        <w:spacing w:before="240" w:line="360" w:lineRule="auto"/>
        <w:rPr>
          <w:rFonts w:ascii="Helvetica" w:hAnsi="Helvetica" w:cs="Arial"/>
          <w:sz w:val="22"/>
          <w:szCs w:val="22"/>
        </w:rPr>
      </w:pPr>
      <w:r w:rsidRPr="00750DD0">
        <w:rPr>
          <w:rFonts w:ascii="Helvetica" w:hAnsi="Helvetica" w:cs="Arial"/>
          <w:sz w:val="22"/>
          <w:szCs w:val="22"/>
        </w:rPr>
        <w:t>Teniendo en cuenta lo anterior, entiéndase que un distribuidor de GLP deberá cumplir con todas las actividades mencionadas en la norma transcrita, y que ninguna de ellas debe excluirse. En este sentido, se solicitará a la Superintendencia de Servicios Públicos Domiciliarios, la verificación del cumplimiento de dichos requisitos.</w:t>
      </w:r>
    </w:p>
    <w:p w14:paraId="0A4BF41C" w14:textId="77777777" w:rsidR="00B02C48" w:rsidRPr="00750DD0" w:rsidRDefault="00B02C48" w:rsidP="00B02C48">
      <w:pPr>
        <w:pStyle w:val="Textoindependiente"/>
        <w:spacing w:after="0" w:line="240" w:lineRule="auto"/>
        <w:rPr>
          <w:rFonts w:ascii="Helvetica" w:hAnsi="Helvetica" w:cs="Arial"/>
          <w:sz w:val="24"/>
          <w:szCs w:val="24"/>
          <w:lang w:val="pt-PT"/>
        </w:rPr>
      </w:pPr>
    </w:p>
    <w:p w14:paraId="1EE079D7" w14:textId="77777777" w:rsidR="00B02C48" w:rsidRPr="00FB6B69" w:rsidRDefault="00B02C48" w:rsidP="00B02C48">
      <w:pPr>
        <w:pStyle w:val="Textoindependiente"/>
        <w:spacing w:after="0" w:line="240" w:lineRule="auto"/>
        <w:rPr>
          <w:rFonts w:ascii="Helvetica" w:hAnsi="Helvetica" w:cs="Arial"/>
          <w:sz w:val="22"/>
          <w:szCs w:val="22"/>
        </w:rPr>
      </w:pPr>
      <w:r w:rsidRPr="00FB6B69">
        <w:rPr>
          <w:rFonts w:ascii="Helvetica" w:hAnsi="Helvetica" w:cs="Arial"/>
          <w:sz w:val="22"/>
          <w:szCs w:val="22"/>
        </w:rPr>
        <w:t>Cordialmente,</w:t>
      </w:r>
    </w:p>
    <w:p w14:paraId="24AEF244" w14:textId="77777777" w:rsidR="00B02C48" w:rsidRPr="00750DD0" w:rsidRDefault="00B02C48" w:rsidP="00FB6B69">
      <w:pPr>
        <w:pStyle w:val="Textoindependiente"/>
        <w:spacing w:before="0" w:after="0" w:line="240" w:lineRule="auto"/>
        <w:rPr>
          <w:rFonts w:ascii="Helvetica" w:hAnsi="Helvetica" w:cs="Arial"/>
          <w:sz w:val="24"/>
          <w:szCs w:val="24"/>
          <w:lang w:val="pt-PT"/>
        </w:rPr>
      </w:pPr>
    </w:p>
    <w:p w14:paraId="6690E747" w14:textId="77777777" w:rsidR="00B02C48" w:rsidRPr="00750DD0" w:rsidRDefault="00B02C48" w:rsidP="00FB6B69">
      <w:pPr>
        <w:pStyle w:val="Textoindependiente"/>
        <w:spacing w:after="0" w:line="240" w:lineRule="auto"/>
        <w:jc w:val="center"/>
        <w:rPr>
          <w:rFonts w:ascii="Helvetica" w:hAnsi="Helvetica" w:cs="Arial"/>
          <w:sz w:val="22"/>
          <w:szCs w:val="22"/>
          <w:lang w:val="pt-PT"/>
        </w:rPr>
      </w:pPr>
    </w:p>
    <w:p w14:paraId="5EF9A2EA" w14:textId="77777777" w:rsidR="00FB6B69" w:rsidRPr="009F1021" w:rsidRDefault="00FB6B69" w:rsidP="00FB6B69">
      <w:pPr>
        <w:spacing w:line="276" w:lineRule="auto"/>
        <w:jc w:val="center"/>
        <w:rPr>
          <w:rFonts w:cs="Helvetica"/>
          <w:b/>
          <w:bCs/>
        </w:rPr>
      </w:pPr>
      <w:r w:rsidRPr="009F1021">
        <w:rPr>
          <w:rFonts w:cs="Helvetica"/>
          <w:b/>
          <w:bCs/>
        </w:rPr>
        <w:t>ANTONIO JIMENEZ RIVERA</w:t>
      </w:r>
    </w:p>
    <w:p w14:paraId="0CB99869" w14:textId="6FAFDB42" w:rsidR="00FB6B69" w:rsidRPr="00FB6B69" w:rsidRDefault="00FB6B69" w:rsidP="00FB6B69">
      <w:pPr>
        <w:spacing w:after="0" w:line="276" w:lineRule="auto"/>
        <w:jc w:val="center"/>
        <w:rPr>
          <w:rFonts w:cs="Helvetica"/>
        </w:rPr>
      </w:pPr>
      <w:r w:rsidRPr="009F1021">
        <w:rPr>
          <w:rFonts w:cs="Helvetica"/>
        </w:rPr>
        <w:t>Director Ejecutivo</w:t>
      </w:r>
    </w:p>
    <w:sectPr w:rsidR="00FB6B69" w:rsidRPr="00FB6B69" w:rsidSect="008B0943">
      <w:headerReference w:type="default" r:id="rId8"/>
      <w:footerReference w:type="default" r:id="rId9"/>
      <w:headerReference w:type="first" r:id="rId10"/>
      <w:footerReference w:type="first" r:id="rId11"/>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17FE1" w14:textId="77777777" w:rsidR="002F02FA" w:rsidRDefault="002F02FA" w:rsidP="00AA0519">
      <w:r>
        <w:separator/>
      </w:r>
    </w:p>
  </w:endnote>
  <w:endnote w:type="continuationSeparator" w:id="0">
    <w:p w14:paraId="58179D7D" w14:textId="77777777" w:rsidR="002F02FA" w:rsidRDefault="002F02FA"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AFF" w:usb1="5000785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6889"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_____________________________________________________________________________</w:t>
    </w:r>
  </w:p>
  <w:p w14:paraId="061CF3D0"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Comisión de Regulación de Energía y Gas</w:t>
    </w:r>
  </w:p>
  <w:p w14:paraId="1FC23434"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Dirección: Calle 116 No.7 - 15, Bogotá D.C., Colombia</w:t>
    </w:r>
  </w:p>
  <w:p w14:paraId="785966DC"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Conmutador: (+57) 601 603 2020</w:t>
    </w:r>
  </w:p>
  <w:p w14:paraId="12EB656D" w14:textId="42DF550C" w:rsidR="00735E1F" w:rsidRPr="00B02C48" w:rsidRDefault="00B02C48" w:rsidP="00B02C48">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b/>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0724"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_____________________________________________________________________________</w:t>
    </w:r>
  </w:p>
  <w:p w14:paraId="5507A1FB"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Comisión de Regulación de Energía y Gas</w:t>
    </w:r>
  </w:p>
  <w:p w14:paraId="20DDF2FA"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Dirección: Calle 116 No.7 - 15, Bogotá D.C., Colombia</w:t>
    </w:r>
  </w:p>
  <w:p w14:paraId="7DBF1DA9" w14:textId="77777777" w:rsidR="00B02C48" w:rsidRDefault="00B02C48" w:rsidP="00B02C48">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Conmutador: (+57) 601 603 2020</w:t>
    </w:r>
  </w:p>
  <w:p w14:paraId="726A889B" w14:textId="142911D9" w:rsidR="003F2F4B" w:rsidRPr="00B02C48" w:rsidRDefault="00B02C48" w:rsidP="00B02C48">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b/>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0859" w14:textId="77777777" w:rsidR="002F02FA" w:rsidRDefault="002F02FA" w:rsidP="00AA0519">
      <w:r>
        <w:separator/>
      </w:r>
    </w:p>
  </w:footnote>
  <w:footnote w:type="continuationSeparator" w:id="0">
    <w:p w14:paraId="4397D94E" w14:textId="77777777" w:rsidR="002F02FA" w:rsidRDefault="002F02FA" w:rsidP="00AA0519">
      <w:r>
        <w:continuationSeparator/>
      </w:r>
    </w:p>
  </w:footnote>
  <w:footnote w:id="1">
    <w:p w14:paraId="4E34F65D" w14:textId="77777777" w:rsidR="00B02C48" w:rsidRPr="002542D3" w:rsidRDefault="00B02C48" w:rsidP="00B02C48">
      <w:pPr>
        <w:pStyle w:val="Textonotapie"/>
        <w:ind w:left="0"/>
        <w:jc w:val="both"/>
        <w:rPr>
          <w:rFonts w:ascii="Arial" w:hAnsi="Arial" w:cs="Arial"/>
          <w:sz w:val="16"/>
          <w:szCs w:val="16"/>
        </w:rPr>
      </w:pPr>
      <w:r w:rsidRPr="002542D3">
        <w:rPr>
          <w:rStyle w:val="Refdenotaalpie"/>
          <w:rFonts w:ascii="Arial" w:hAnsi="Arial" w:cs="Arial"/>
          <w:sz w:val="16"/>
          <w:szCs w:val="16"/>
        </w:rPr>
        <w:footnoteRef/>
      </w:r>
      <w:r w:rsidRPr="002542D3">
        <w:rPr>
          <w:rFonts w:ascii="Arial" w:hAnsi="Arial" w:cs="Arial"/>
          <w:sz w:val="16"/>
          <w:szCs w:val="16"/>
        </w:rPr>
        <w:t xml:space="preserve"> Dicho artículo se mantiene vigente toda vez que el artículo 267 de la Ley 1753 de 2015 establece en materia de vigencias y derogatorias que “con el fin de dar continuidad a los planes, programas y proyectos de mediano y largo plazo, los artículos de las Leyes 812 de 2003, 1151 de 2007 y 1450 de 2011 no derogados expresamente en el inciso anterior o por otras leyes, continuarán vigentes hasta que sean derogados o modificados por norma posterior.”</w:t>
      </w:r>
    </w:p>
  </w:footnote>
  <w:footnote w:id="2">
    <w:p w14:paraId="60DC266C" w14:textId="77777777" w:rsidR="00B02C48" w:rsidRPr="00032EF6" w:rsidRDefault="00B02C48" w:rsidP="00B02C48">
      <w:pPr>
        <w:pStyle w:val="Textonotapie"/>
        <w:ind w:left="0"/>
        <w:jc w:val="both"/>
        <w:rPr>
          <w:rFonts w:ascii="Arial" w:hAnsi="Arial" w:cs="Arial"/>
          <w:sz w:val="16"/>
          <w:szCs w:val="16"/>
        </w:rPr>
      </w:pPr>
      <w:r w:rsidRPr="00032EF6">
        <w:rPr>
          <w:rStyle w:val="Refdenotaalpie"/>
          <w:rFonts w:ascii="Arial" w:hAnsi="Arial" w:cs="Arial"/>
          <w:sz w:val="16"/>
          <w:szCs w:val="16"/>
        </w:rPr>
        <w:footnoteRef/>
      </w:r>
      <w:r w:rsidRPr="00032EF6">
        <w:rPr>
          <w:rStyle w:val="Refdenotaalpie"/>
          <w:rFonts w:ascii="Arial" w:hAnsi="Arial" w:cs="Arial"/>
          <w:sz w:val="16"/>
          <w:szCs w:val="16"/>
        </w:rPr>
        <w:t xml:space="preserve"> </w:t>
      </w:r>
      <w:r w:rsidRPr="00032EF6">
        <w:rPr>
          <w:rFonts w:ascii="Arial" w:hAnsi="Arial" w:cs="Arial"/>
          <w:sz w:val="16"/>
          <w:szCs w:val="16"/>
        </w:rPr>
        <w:t>Resolución CREG 103 002 de 2022</w:t>
      </w:r>
      <w:r>
        <w:rPr>
          <w:rFonts w:ascii="Arial" w:hAnsi="Arial" w:cs="Arial"/>
          <w:sz w:val="16"/>
          <w:szCs w:val="16"/>
        </w:rPr>
        <w:t>.</w:t>
      </w:r>
    </w:p>
  </w:footnote>
  <w:footnote w:id="3">
    <w:p w14:paraId="78BAF8DD" w14:textId="77777777" w:rsidR="00B02C48" w:rsidRPr="004F5089" w:rsidRDefault="00B02C48" w:rsidP="00B02C48">
      <w:pPr>
        <w:pStyle w:val="Textonotapie"/>
        <w:ind w:left="0"/>
        <w:jc w:val="both"/>
      </w:pPr>
      <w:r w:rsidRPr="00DE7DF1">
        <w:rPr>
          <w:rFonts w:ascii="Arial" w:hAnsi="Arial" w:cs="Arial"/>
          <w:sz w:val="18"/>
          <w:szCs w:val="16"/>
          <w:vertAlign w:val="superscript"/>
        </w:rPr>
        <w:footnoteRef/>
      </w:r>
      <w:r w:rsidRPr="00DE7DF1">
        <w:rPr>
          <w:rFonts w:ascii="Arial" w:hAnsi="Arial" w:cs="Arial"/>
          <w:sz w:val="18"/>
          <w:szCs w:val="16"/>
        </w:rPr>
        <w:t xml:space="preserve"> </w:t>
      </w:r>
      <w:r w:rsidRPr="005141DA">
        <w:rPr>
          <w:rFonts w:ascii="Arial" w:hAnsi="Arial" w:cs="Arial"/>
          <w:sz w:val="16"/>
          <w:szCs w:val="16"/>
        </w:rPr>
        <w:t>Esto, sin perjuicio de la aplicación de lo previsto en la fórmula del artículo 8 de la Resolución CREG 063 de 2016.</w:t>
      </w:r>
    </w:p>
  </w:footnote>
  <w:footnote w:id="4">
    <w:p w14:paraId="37EA2B40" w14:textId="77777777" w:rsidR="00B02C48" w:rsidRPr="00CB08A9" w:rsidRDefault="00B02C48" w:rsidP="00B02C48">
      <w:pPr>
        <w:pStyle w:val="Textonotapie"/>
        <w:ind w:left="0"/>
        <w:rPr>
          <w:rFonts w:ascii="Arial" w:hAnsi="Arial" w:cs="Arial"/>
          <w:sz w:val="18"/>
          <w:szCs w:val="18"/>
        </w:rPr>
      </w:pPr>
      <w:r w:rsidRPr="00CB08A9">
        <w:rPr>
          <w:rStyle w:val="Refdenotaalpie"/>
          <w:rFonts w:ascii="Arial" w:hAnsi="Arial" w:cs="Arial"/>
          <w:sz w:val="18"/>
          <w:szCs w:val="18"/>
        </w:rPr>
        <w:footnoteRef/>
      </w:r>
      <w:r w:rsidRPr="00CB08A9">
        <w:rPr>
          <w:rFonts w:ascii="Arial" w:hAnsi="Arial" w:cs="Arial"/>
          <w:sz w:val="18"/>
          <w:szCs w:val="18"/>
        </w:rPr>
        <w:t xml:space="preserve"> </w:t>
      </w:r>
      <w:r w:rsidRPr="00CB08A9">
        <w:rPr>
          <w:rFonts w:ascii="Arial" w:hAnsi="Arial" w:cs="Arial"/>
          <w:sz w:val="16"/>
          <w:szCs w:val="16"/>
        </w:rPr>
        <w:t>Conforme a lo establecido en l</w:t>
      </w:r>
      <w:r>
        <w:rPr>
          <w:rFonts w:ascii="Arial" w:hAnsi="Arial" w:cs="Arial"/>
          <w:sz w:val="16"/>
          <w:szCs w:val="16"/>
        </w:rPr>
        <w:t>os</w:t>
      </w:r>
      <w:r w:rsidRPr="00CB08A9">
        <w:rPr>
          <w:rFonts w:ascii="Arial" w:hAnsi="Arial" w:cs="Arial"/>
          <w:sz w:val="16"/>
          <w:szCs w:val="16"/>
        </w:rPr>
        <w:t xml:space="preserve"> </w:t>
      </w:r>
      <w:r>
        <w:rPr>
          <w:rFonts w:ascii="Arial" w:hAnsi="Arial" w:cs="Arial"/>
          <w:sz w:val="16"/>
          <w:szCs w:val="16"/>
        </w:rPr>
        <w:t>artículos 13 y 14</w:t>
      </w:r>
      <w:r w:rsidRPr="00CB08A9">
        <w:rPr>
          <w:rFonts w:ascii="Arial" w:hAnsi="Arial" w:cs="Arial"/>
          <w:sz w:val="16"/>
          <w:szCs w:val="16"/>
        </w:rPr>
        <w:t xml:space="preserve"> de la Resolución </w:t>
      </w:r>
      <w:r>
        <w:rPr>
          <w:rFonts w:ascii="Arial" w:hAnsi="Arial" w:cs="Arial"/>
          <w:sz w:val="16"/>
          <w:szCs w:val="16"/>
        </w:rPr>
        <w:t xml:space="preserve">CREG </w:t>
      </w:r>
      <w:r w:rsidRPr="00CB08A9">
        <w:rPr>
          <w:rFonts w:ascii="Arial" w:hAnsi="Arial" w:cs="Arial"/>
          <w:sz w:val="16"/>
          <w:szCs w:val="16"/>
        </w:rPr>
        <w:t>053 de 2011</w:t>
      </w:r>
      <w:r>
        <w:rPr>
          <w:rFonts w:ascii="Arial" w:hAnsi="Arial" w:cs="Arial"/>
          <w:sz w:val="16"/>
          <w:szCs w:val="16"/>
        </w:rPr>
        <w:t>, modificados por la Resolución CREG 063 del 2016.</w:t>
      </w:r>
    </w:p>
  </w:footnote>
  <w:footnote w:id="5">
    <w:p w14:paraId="2D89FE8F" w14:textId="77777777" w:rsidR="00B02C48" w:rsidRPr="00D203F6" w:rsidRDefault="00B02C48" w:rsidP="00B02C48">
      <w:pPr>
        <w:pStyle w:val="Textonotapie"/>
        <w:ind w:left="0"/>
        <w:rPr>
          <w:rFonts w:ascii="Arial" w:hAnsi="Arial" w:cs="Arial"/>
          <w:lang w:val="es-CO"/>
        </w:rPr>
      </w:pPr>
      <w:r w:rsidRPr="00D203F6">
        <w:rPr>
          <w:rStyle w:val="Refdenotaalpie"/>
          <w:rFonts w:ascii="Arial" w:hAnsi="Arial" w:cs="Arial"/>
          <w:sz w:val="18"/>
          <w:szCs w:val="18"/>
        </w:rPr>
        <w:footnoteRef/>
      </w:r>
      <w:r w:rsidRPr="00D203F6">
        <w:rPr>
          <w:rFonts w:ascii="Arial" w:hAnsi="Arial" w:cs="Arial"/>
          <w:sz w:val="18"/>
          <w:szCs w:val="18"/>
        </w:rPr>
        <w:t xml:space="preserve"> </w:t>
      </w:r>
      <w:r w:rsidRPr="00D203F6">
        <w:rPr>
          <w:rFonts w:ascii="Arial" w:hAnsi="Arial" w:cs="Arial"/>
          <w:sz w:val="16"/>
          <w:szCs w:val="16"/>
          <w:lang w:val="es-CO"/>
        </w:rPr>
        <w:t>Modificada por la Resolución CREG 177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AC6E" w14:textId="77777777" w:rsidR="00B02C48" w:rsidRDefault="00B02C48" w:rsidP="00B02C48">
    <w:pPr>
      <w:pStyle w:val="Encabezado"/>
      <w:tabs>
        <w:tab w:val="clear" w:pos="4419"/>
        <w:tab w:val="left" w:pos="7274"/>
      </w:tabs>
      <w:ind w:right="-1369"/>
    </w:pPr>
    <w:r>
      <w:rPr>
        <w:noProof/>
        <w:color w:val="000000"/>
      </w:rPr>
      <w:drawing>
        <wp:anchor distT="0" distB="0" distL="114300" distR="114300" simplePos="0" relativeHeight="251672576" behindDoc="0" locked="0" layoutInCell="1" hidden="0" allowOverlap="1" wp14:anchorId="2B0CE9DB" wp14:editId="29742DA2">
          <wp:simplePos x="0" y="0"/>
          <wp:positionH relativeFrom="margin">
            <wp:posOffset>5055870</wp:posOffset>
          </wp:positionH>
          <wp:positionV relativeFrom="margin">
            <wp:posOffset>-850265</wp:posOffset>
          </wp:positionV>
          <wp:extent cx="643890" cy="359410"/>
          <wp:effectExtent l="0" t="0" r="3810" b="2540"/>
          <wp:wrapSquare wrapText="bothSides" distT="0" distB="0" distL="114300" distR="114300"/>
          <wp:docPr id="1200131068" name="image2.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Logotipo&#10;&#10;Descripción generada automáticamente"/>
                  <pic:cNvPicPr preferRelativeResize="0"/>
                </pic:nvPicPr>
                <pic:blipFill>
                  <a:blip r:embed="rId1"/>
                  <a:srcRect/>
                  <a:stretch>
                    <a:fillRect/>
                  </a:stretch>
                </pic:blipFill>
                <pic:spPr>
                  <a:xfrm>
                    <a:off x="0" y="0"/>
                    <a:ext cx="643890" cy="359410"/>
                  </a:xfrm>
                  <a:prstGeom prst="rect">
                    <a:avLst/>
                  </a:prstGeom>
                  <a:ln/>
                </pic:spPr>
              </pic:pic>
            </a:graphicData>
          </a:graphic>
        </wp:anchor>
      </w:drawing>
    </w:r>
    <w:r>
      <w:rPr>
        <w:noProof/>
        <w:color w:val="000000"/>
      </w:rPr>
      <w:drawing>
        <wp:anchor distT="0" distB="0" distL="114300" distR="114300" simplePos="0" relativeHeight="251671552" behindDoc="0" locked="0" layoutInCell="1" hidden="0" allowOverlap="1" wp14:anchorId="690766BB" wp14:editId="5BFD0DB1">
          <wp:simplePos x="0" y="0"/>
          <wp:positionH relativeFrom="margin">
            <wp:posOffset>91440</wp:posOffset>
          </wp:positionH>
          <wp:positionV relativeFrom="margin">
            <wp:posOffset>-838835</wp:posOffset>
          </wp:positionV>
          <wp:extent cx="1033145" cy="359410"/>
          <wp:effectExtent l="0" t="0" r="0" b="2540"/>
          <wp:wrapSquare wrapText="bothSides" distT="0" distB="0" distL="114300" distR="114300"/>
          <wp:docPr id="1087453974" name="image1.jp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Un dibujo de una cara feliz&#10;&#10;Descripción generada automáticamente con confianza baja"/>
                  <pic:cNvPicPr preferRelativeResize="0"/>
                </pic:nvPicPr>
                <pic:blipFill>
                  <a:blip r:embed="rId2"/>
                  <a:srcRect/>
                  <a:stretch>
                    <a:fillRect/>
                  </a:stretch>
                </pic:blipFill>
                <pic:spPr>
                  <a:xfrm>
                    <a:off x="0" y="0"/>
                    <a:ext cx="1033145" cy="359410"/>
                  </a:xfrm>
                  <a:prstGeom prst="rect">
                    <a:avLst/>
                  </a:prstGeom>
                  <a:ln/>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6E53" w14:textId="77777777" w:rsidR="00B02C48" w:rsidRDefault="00B02C48" w:rsidP="00B02C48">
    <w:pPr>
      <w:pStyle w:val="Encabezado"/>
      <w:tabs>
        <w:tab w:val="clear" w:pos="4419"/>
        <w:tab w:val="left" w:pos="7274"/>
      </w:tabs>
      <w:ind w:right="-1369"/>
    </w:pPr>
    <w:r>
      <w:rPr>
        <w:noProof/>
        <w:color w:val="000000"/>
      </w:rPr>
      <w:drawing>
        <wp:anchor distT="0" distB="0" distL="114300" distR="114300" simplePos="0" relativeHeight="251669504" behindDoc="0" locked="0" layoutInCell="1" hidden="0" allowOverlap="1" wp14:anchorId="46964769" wp14:editId="0E3E5825">
          <wp:simplePos x="0" y="0"/>
          <wp:positionH relativeFrom="margin">
            <wp:posOffset>5055870</wp:posOffset>
          </wp:positionH>
          <wp:positionV relativeFrom="margin">
            <wp:posOffset>-850265</wp:posOffset>
          </wp:positionV>
          <wp:extent cx="643890" cy="359410"/>
          <wp:effectExtent l="0" t="0" r="3810" b="2540"/>
          <wp:wrapSquare wrapText="bothSides" distT="0" distB="0" distL="114300" distR="114300"/>
          <wp:docPr id="3" name="image2.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Logotipo&#10;&#10;Descripción generada automáticamente"/>
                  <pic:cNvPicPr preferRelativeResize="0"/>
                </pic:nvPicPr>
                <pic:blipFill>
                  <a:blip r:embed="rId1"/>
                  <a:srcRect/>
                  <a:stretch>
                    <a:fillRect/>
                  </a:stretch>
                </pic:blipFill>
                <pic:spPr>
                  <a:xfrm>
                    <a:off x="0" y="0"/>
                    <a:ext cx="643890" cy="359410"/>
                  </a:xfrm>
                  <a:prstGeom prst="rect">
                    <a:avLst/>
                  </a:prstGeom>
                  <a:ln/>
                </pic:spPr>
              </pic:pic>
            </a:graphicData>
          </a:graphic>
        </wp:anchor>
      </w:drawing>
    </w:r>
    <w:r>
      <w:rPr>
        <w:noProof/>
        <w:color w:val="000000"/>
      </w:rPr>
      <w:drawing>
        <wp:anchor distT="0" distB="0" distL="114300" distR="114300" simplePos="0" relativeHeight="251668480" behindDoc="0" locked="0" layoutInCell="1" hidden="0" allowOverlap="1" wp14:anchorId="08C8447C" wp14:editId="05F7EFA4">
          <wp:simplePos x="0" y="0"/>
          <wp:positionH relativeFrom="margin">
            <wp:posOffset>91440</wp:posOffset>
          </wp:positionH>
          <wp:positionV relativeFrom="margin">
            <wp:posOffset>-838835</wp:posOffset>
          </wp:positionV>
          <wp:extent cx="1033145" cy="359410"/>
          <wp:effectExtent l="0" t="0" r="0" b="2540"/>
          <wp:wrapSquare wrapText="bothSides" distT="0" distB="0" distL="114300" distR="114300"/>
          <wp:docPr id="5" name="image1.jp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Un dibujo de una cara feliz&#10;&#10;Descripción generada automáticamente con confianza baja"/>
                  <pic:cNvPicPr preferRelativeResize="0"/>
                </pic:nvPicPr>
                <pic:blipFill>
                  <a:blip r:embed="rId2"/>
                  <a:srcRect/>
                  <a:stretch>
                    <a:fillRect/>
                  </a:stretch>
                </pic:blipFill>
                <pic:spPr>
                  <a:xfrm>
                    <a:off x="0" y="0"/>
                    <a:ext cx="1033145" cy="359410"/>
                  </a:xfrm>
                  <a:prstGeom prst="rect">
                    <a:avLst/>
                  </a:prstGeom>
                  <a:ln/>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C69F6"/>
    <w:multiLevelType w:val="hybridMultilevel"/>
    <w:tmpl w:val="A948B9FE"/>
    <w:lvl w:ilvl="0" w:tplc="C5D658C4">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9C0033"/>
    <w:multiLevelType w:val="hybridMultilevel"/>
    <w:tmpl w:val="3E607416"/>
    <w:lvl w:ilvl="0" w:tplc="8D14B116">
      <w:start w:val="840"/>
      <w:numFmt w:val="bullet"/>
      <w:lvlText w:val="-"/>
      <w:lvlJc w:val="left"/>
      <w:pPr>
        <w:ind w:left="1080" w:hanging="360"/>
      </w:pPr>
      <w:rPr>
        <w:rFonts w:ascii="Arial" w:eastAsiaTheme="min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286593286">
    <w:abstractNumId w:val="0"/>
  </w:num>
  <w:num w:numId="2" w16cid:durableId="91435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31DE"/>
    <w:rsid w:val="00046BDF"/>
    <w:rsid w:val="00071BA7"/>
    <w:rsid w:val="00074D17"/>
    <w:rsid w:val="000B439A"/>
    <w:rsid w:val="000F11F6"/>
    <w:rsid w:val="000F38B4"/>
    <w:rsid w:val="00114F4C"/>
    <w:rsid w:val="001215BB"/>
    <w:rsid w:val="00124C31"/>
    <w:rsid w:val="0014353D"/>
    <w:rsid w:val="00153BE7"/>
    <w:rsid w:val="001E2DD2"/>
    <w:rsid w:val="001F303A"/>
    <w:rsid w:val="001F47AB"/>
    <w:rsid w:val="00212267"/>
    <w:rsid w:val="0024085D"/>
    <w:rsid w:val="002C26C3"/>
    <w:rsid w:val="002F02FA"/>
    <w:rsid w:val="00324760"/>
    <w:rsid w:val="00353D1D"/>
    <w:rsid w:val="0035632E"/>
    <w:rsid w:val="00361DFF"/>
    <w:rsid w:val="0038014E"/>
    <w:rsid w:val="003A7FC9"/>
    <w:rsid w:val="003B1FEC"/>
    <w:rsid w:val="003C7E1C"/>
    <w:rsid w:val="003F2F4B"/>
    <w:rsid w:val="00401E61"/>
    <w:rsid w:val="004142B1"/>
    <w:rsid w:val="004170AF"/>
    <w:rsid w:val="00447B4C"/>
    <w:rsid w:val="00456720"/>
    <w:rsid w:val="00457CC2"/>
    <w:rsid w:val="00483D6B"/>
    <w:rsid w:val="004A52E4"/>
    <w:rsid w:val="004A6CAB"/>
    <w:rsid w:val="004C0855"/>
    <w:rsid w:val="004C69B7"/>
    <w:rsid w:val="004E017D"/>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51863"/>
    <w:rsid w:val="006629AD"/>
    <w:rsid w:val="006E1726"/>
    <w:rsid w:val="006E22E8"/>
    <w:rsid w:val="00717096"/>
    <w:rsid w:val="007247FF"/>
    <w:rsid w:val="00735E1F"/>
    <w:rsid w:val="0074199A"/>
    <w:rsid w:val="00752DEC"/>
    <w:rsid w:val="00762CBD"/>
    <w:rsid w:val="0078631A"/>
    <w:rsid w:val="007A7C1D"/>
    <w:rsid w:val="007F42E3"/>
    <w:rsid w:val="007F4E31"/>
    <w:rsid w:val="008066FD"/>
    <w:rsid w:val="00823401"/>
    <w:rsid w:val="00847FE4"/>
    <w:rsid w:val="008776E3"/>
    <w:rsid w:val="008A7DA2"/>
    <w:rsid w:val="008B0943"/>
    <w:rsid w:val="008C0A5F"/>
    <w:rsid w:val="008D618C"/>
    <w:rsid w:val="00902889"/>
    <w:rsid w:val="00916DC1"/>
    <w:rsid w:val="00930F73"/>
    <w:rsid w:val="00957BE3"/>
    <w:rsid w:val="0096014A"/>
    <w:rsid w:val="00976702"/>
    <w:rsid w:val="009A3312"/>
    <w:rsid w:val="009E7865"/>
    <w:rsid w:val="009F3478"/>
    <w:rsid w:val="009F5428"/>
    <w:rsid w:val="00A15CDD"/>
    <w:rsid w:val="00A15D55"/>
    <w:rsid w:val="00A84924"/>
    <w:rsid w:val="00A90A86"/>
    <w:rsid w:val="00A92B44"/>
    <w:rsid w:val="00AA0519"/>
    <w:rsid w:val="00AA7A5F"/>
    <w:rsid w:val="00B02C48"/>
    <w:rsid w:val="00B37FAA"/>
    <w:rsid w:val="00B74DFE"/>
    <w:rsid w:val="00BA6D78"/>
    <w:rsid w:val="00C81E1F"/>
    <w:rsid w:val="00C9169C"/>
    <w:rsid w:val="00C93328"/>
    <w:rsid w:val="00CB3666"/>
    <w:rsid w:val="00CD6394"/>
    <w:rsid w:val="00CE66F4"/>
    <w:rsid w:val="00D31768"/>
    <w:rsid w:val="00D754A1"/>
    <w:rsid w:val="00D915DC"/>
    <w:rsid w:val="00DF79E2"/>
    <w:rsid w:val="00E035CC"/>
    <w:rsid w:val="00E56853"/>
    <w:rsid w:val="00E77923"/>
    <w:rsid w:val="00EC5291"/>
    <w:rsid w:val="00F02D43"/>
    <w:rsid w:val="00F13D47"/>
    <w:rsid w:val="00F35EFC"/>
    <w:rsid w:val="00F612C7"/>
    <w:rsid w:val="00F66BF3"/>
    <w:rsid w:val="00F80B1D"/>
    <w:rsid w:val="00F82573"/>
    <w:rsid w:val="00FA6661"/>
    <w:rsid w:val="00FB07C1"/>
    <w:rsid w:val="00FB6B69"/>
    <w:rsid w:val="00FC759B"/>
    <w:rsid w:val="00FD2A8B"/>
    <w:rsid w:val="00FD6ADE"/>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B02C48"/>
    <w:pPr>
      <w:spacing w:before="0" w:after="0" w:line="240" w:lineRule="auto"/>
      <w:ind w:left="567"/>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B02C48"/>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B02C48"/>
    <w:rPr>
      <w:vertAlign w:val="superscript"/>
    </w:rPr>
  </w:style>
  <w:style w:type="paragraph" w:styleId="Prrafodelista">
    <w:name w:val="List Paragraph"/>
    <w:basedOn w:val="Normal"/>
    <w:link w:val="PrrafodelistaCar"/>
    <w:uiPriority w:val="34"/>
    <w:qFormat/>
    <w:rsid w:val="00B02C48"/>
    <w:pPr>
      <w:spacing w:before="0" w:after="0" w:line="240" w:lineRule="auto"/>
      <w:ind w:left="720"/>
      <w:contextualSpacing/>
    </w:pPr>
    <w:rPr>
      <w:rFonts w:eastAsiaTheme="minorEastAsia"/>
      <w:lang w:val="es-ES_tradnl"/>
    </w:rPr>
  </w:style>
  <w:style w:type="character" w:customStyle="1" w:styleId="PrrafodelistaCar">
    <w:name w:val="Párrafo de lista Car"/>
    <w:link w:val="Prrafodelista"/>
    <w:uiPriority w:val="34"/>
    <w:rsid w:val="00B02C48"/>
    <w:rPr>
      <w:rFonts w:eastAsiaTheme="minorEastAsia"/>
      <w:lang w:val="es-ES_tradnl"/>
    </w:rPr>
  </w:style>
  <w:style w:type="paragraph" w:styleId="Revisin">
    <w:name w:val="Revision"/>
    <w:hidden/>
    <w:uiPriority w:val="99"/>
    <w:semiHidden/>
    <w:rsid w:val="008D618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2327</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3</cp:revision>
  <cp:lastPrinted>2024-08-27T17:42:00Z</cp:lastPrinted>
  <dcterms:created xsi:type="dcterms:W3CDTF">2024-08-27T16:25:00Z</dcterms:created>
  <dcterms:modified xsi:type="dcterms:W3CDTF">2024-08-27T17:43:00Z</dcterms:modified>
</cp:coreProperties>
</file>