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1CEC" w14:textId="64EC13EA" w:rsidR="00071BA7" w:rsidRDefault="00071BA7" w:rsidP="00993610">
      <w:pPr>
        <w:spacing w:before="0" w:after="0"/>
      </w:pPr>
    </w:p>
    <w:p w14:paraId="1A701F4E" w14:textId="77777777" w:rsidR="00913F4D" w:rsidRPr="00BC2D8F" w:rsidRDefault="00913F4D" w:rsidP="00913F4D">
      <w:pPr>
        <w:rPr>
          <w:rFonts w:ascii="Arial" w:hAnsi="Arial" w:cs="Arial"/>
          <w:sz w:val="22"/>
          <w:szCs w:val="22"/>
          <w:lang w:val="es-MX"/>
        </w:rPr>
      </w:pPr>
      <w:r w:rsidRPr="00BC2D8F">
        <w:rPr>
          <w:rFonts w:ascii="Arial" w:hAnsi="Arial" w:cs="Arial"/>
          <w:sz w:val="22"/>
          <w:szCs w:val="22"/>
          <w:lang w:val="es-MX"/>
        </w:rPr>
        <w:t xml:space="preserve">Bogotá, D. C.,  </w:t>
      </w:r>
      <w:r w:rsidRPr="00BC2D8F">
        <w:rPr>
          <w:rFonts w:ascii="Arial" w:hAnsi="Arial" w:cs="Arial"/>
          <w:sz w:val="22"/>
          <w:szCs w:val="22"/>
          <w:lang w:val="es-MX"/>
        </w:rPr>
        <w:fldChar w:fldCharType="begin"/>
      </w:r>
      <w:r w:rsidRPr="00BC2D8F"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 w:rsidRPr="00BC2D8F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BC2D8F">
        <w:rPr>
          <w:rFonts w:ascii="Arial" w:hAnsi="Arial" w:cs="Arial"/>
          <w:noProof/>
          <w:sz w:val="22"/>
          <w:szCs w:val="22"/>
          <w:lang w:val="es-MX"/>
        </w:rPr>
        <w:t>22 de agosto de 2024</w:t>
      </w:r>
      <w:r w:rsidRPr="00BC2D8F"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Pr="00BC2D8F" w:rsidRDefault="00BA6D78" w:rsidP="00BA6D78">
      <w:pPr>
        <w:rPr>
          <w:rFonts w:ascii="Arial" w:hAnsi="Arial" w:cs="Arial"/>
          <w:lang w:val="es-MX"/>
        </w:rPr>
      </w:pPr>
    </w:p>
    <w:p w14:paraId="0494DD4C" w14:textId="77777777" w:rsidR="00913F4D" w:rsidRPr="00BC2D8F" w:rsidRDefault="00913F4D" w:rsidP="00913F4D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058 de 2024</w:t>
      </w:r>
      <w:r w:rsidRPr="00BC2D8F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5456442B" w14:textId="77777777" w:rsidR="00B979CA" w:rsidRPr="00B979CA" w:rsidRDefault="00B979CA" w:rsidP="00B979CA"/>
    <w:p w14:paraId="74FF62B2" w14:textId="4D1632E7" w:rsidR="00BA6D78" w:rsidRPr="00BC2D8F" w:rsidRDefault="00BA6D78" w:rsidP="00993610">
      <w:pPr>
        <w:tabs>
          <w:tab w:val="left" w:pos="709"/>
        </w:tabs>
        <w:ind w:left="1276" w:hanging="1276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 w:rsidRPr="00BC2D8F">
        <w:rPr>
          <w:rFonts w:ascii="Arial" w:hAnsi="Arial" w:cs="Arial"/>
          <w:b/>
        </w:rPr>
        <w:t>PARA:</w:t>
      </w:r>
      <w:r w:rsidRPr="00BC2D8F">
        <w:rPr>
          <w:rFonts w:ascii="Arial" w:hAnsi="Arial" w:cs="Arial"/>
          <w:b/>
        </w:rPr>
        <w:tab/>
      </w:r>
      <w:r w:rsidRPr="00BC2D8F">
        <w:rPr>
          <w:rFonts w:ascii="Arial" w:hAnsi="Arial" w:cs="Arial"/>
          <w:b/>
        </w:rPr>
        <w:fldChar w:fldCharType="begin"/>
      </w:r>
      <w:r w:rsidRPr="00BC2D8F">
        <w:rPr>
          <w:rFonts w:ascii="Arial" w:hAnsi="Arial" w:cs="Arial"/>
          <w:b/>
        </w:rPr>
        <w:instrText xml:space="preserve"> MERGEFIELD  Destinatario  \* MERGEFORMAT </w:instrText>
      </w:r>
      <w:r w:rsidRPr="00BC2D8F">
        <w:rPr>
          <w:rFonts w:ascii="Arial" w:hAnsi="Arial" w:cs="Arial"/>
          <w:b/>
        </w:rPr>
        <w:fldChar w:fldCharType="separate"/>
      </w:r>
      <w:r w:rsidRPr="00BC2D8F">
        <w:rPr>
          <w:rFonts w:ascii="Arial" w:hAnsi="Arial" w:cs="Arial"/>
          <w:b/>
          <w:noProof/>
        </w:rPr>
        <w:t xml:space="preserve">AGENTES DEL MERCADO </w:t>
      </w:r>
      <w:r w:rsidR="00B269BC">
        <w:rPr>
          <w:rFonts w:ascii="Arial" w:hAnsi="Arial" w:cs="Arial"/>
          <w:b/>
          <w:noProof/>
        </w:rPr>
        <w:t xml:space="preserve">MAYORISTA </w:t>
      </w:r>
      <w:r w:rsidRPr="00BC2D8F">
        <w:rPr>
          <w:rFonts w:ascii="Arial" w:hAnsi="Arial" w:cs="Arial"/>
          <w:b/>
          <w:noProof/>
        </w:rPr>
        <w:t>DE GAS NATURAL</w:t>
      </w:r>
      <w:r w:rsidRPr="00BC2D8F">
        <w:rPr>
          <w:rFonts w:ascii="Arial" w:hAnsi="Arial" w:cs="Arial"/>
          <w:b/>
        </w:rPr>
        <w:fldChar w:fldCharType="end"/>
      </w:r>
    </w:p>
    <w:p w14:paraId="5ECA4954" w14:textId="3712B499" w:rsidR="00BA6D78" w:rsidRPr="00BC2D8F" w:rsidRDefault="00BA6D78" w:rsidP="00993610">
      <w:pPr>
        <w:tabs>
          <w:tab w:val="left" w:pos="709"/>
        </w:tabs>
        <w:ind w:left="1276" w:hanging="1276"/>
        <w:jc w:val="both"/>
        <w:rPr>
          <w:rFonts w:ascii="Arial" w:hAnsi="Arial" w:cs="Arial"/>
          <w:b/>
        </w:rPr>
      </w:pPr>
      <w:r w:rsidRPr="00BC2D8F">
        <w:rPr>
          <w:rFonts w:ascii="Arial" w:hAnsi="Arial" w:cs="Arial"/>
          <w:b/>
        </w:rPr>
        <w:t>DE:</w:t>
      </w:r>
      <w:r w:rsidRPr="00BC2D8F">
        <w:rPr>
          <w:rFonts w:ascii="Arial" w:hAnsi="Arial" w:cs="Arial"/>
          <w:b/>
        </w:rPr>
        <w:tab/>
      </w:r>
      <w:r w:rsidR="00993610" w:rsidRPr="00BC2D8F">
        <w:rPr>
          <w:rFonts w:ascii="Arial" w:hAnsi="Arial" w:cs="Arial"/>
          <w:b/>
        </w:rPr>
        <w:tab/>
      </w:r>
      <w:r w:rsidRPr="00BC2D8F">
        <w:rPr>
          <w:rFonts w:ascii="Arial" w:hAnsi="Arial" w:cs="Arial"/>
          <w:b/>
        </w:rPr>
        <w:fldChar w:fldCharType="begin"/>
      </w:r>
      <w:r w:rsidRPr="00BC2D8F">
        <w:rPr>
          <w:rFonts w:ascii="Arial" w:hAnsi="Arial" w:cs="Arial"/>
          <w:b/>
        </w:rPr>
        <w:instrText xml:space="preserve"> MERGEFIELD  Remitente  \* MERGEFORMAT </w:instrText>
      </w:r>
      <w:r w:rsidRPr="00BC2D8F">
        <w:rPr>
          <w:rFonts w:ascii="Arial" w:hAnsi="Arial" w:cs="Arial"/>
          <w:b/>
        </w:rPr>
        <w:fldChar w:fldCharType="separate"/>
      </w:r>
      <w:r w:rsidRPr="00BC2D8F">
        <w:rPr>
          <w:rFonts w:ascii="Arial" w:hAnsi="Arial" w:cs="Arial"/>
          <w:b/>
          <w:noProof/>
        </w:rPr>
        <w:t>DIRECCIÓN EJECUTIVA</w:t>
      </w:r>
      <w:r w:rsidRPr="00BC2D8F">
        <w:rPr>
          <w:rFonts w:ascii="Arial" w:hAnsi="Arial" w:cs="Arial"/>
          <w:b/>
        </w:rPr>
        <w:fldChar w:fldCharType="end"/>
      </w:r>
    </w:p>
    <w:p w14:paraId="3AF4582F" w14:textId="697165D6" w:rsidR="00BA6D78" w:rsidRPr="00BC2D8F" w:rsidRDefault="00BA6D78" w:rsidP="00993610">
      <w:pPr>
        <w:tabs>
          <w:tab w:val="left" w:pos="709"/>
        </w:tabs>
        <w:ind w:left="1276" w:hanging="1276"/>
        <w:jc w:val="both"/>
        <w:rPr>
          <w:rFonts w:ascii="Arial" w:hAnsi="Arial" w:cs="Arial"/>
          <w:b/>
        </w:rPr>
      </w:pPr>
      <w:r w:rsidRPr="00BC2D8F">
        <w:rPr>
          <w:rFonts w:ascii="Arial" w:hAnsi="Arial" w:cs="Arial"/>
          <w:b/>
        </w:rPr>
        <w:t>ASUNTO:</w:t>
      </w:r>
      <w:r w:rsidRPr="00BC2D8F">
        <w:rPr>
          <w:rFonts w:ascii="Arial" w:hAnsi="Arial" w:cs="Arial"/>
          <w:b/>
        </w:rPr>
        <w:tab/>
      </w:r>
      <w:r w:rsidR="00AD5B03">
        <w:rPr>
          <w:rFonts w:ascii="Arial" w:hAnsi="Arial" w:cs="Arial"/>
          <w:b/>
        </w:rPr>
        <w:t xml:space="preserve">MODIFICACIÓN AL </w:t>
      </w:r>
      <w:r w:rsidRPr="00BC2D8F">
        <w:rPr>
          <w:rFonts w:ascii="Arial" w:hAnsi="Arial" w:cs="Arial"/>
          <w:b/>
        </w:rPr>
        <w:fldChar w:fldCharType="begin"/>
      </w:r>
      <w:r w:rsidRPr="00BC2D8F">
        <w:rPr>
          <w:rFonts w:ascii="Arial" w:hAnsi="Arial" w:cs="Arial"/>
          <w:b/>
        </w:rPr>
        <w:instrText xml:space="preserve"> MERGEFIELD  Asunto  \* MERGEFORMAT </w:instrText>
      </w:r>
      <w:r w:rsidRPr="00BC2D8F">
        <w:rPr>
          <w:rFonts w:ascii="Arial" w:hAnsi="Arial" w:cs="Arial"/>
          <w:b/>
        </w:rPr>
        <w:fldChar w:fldCharType="separate"/>
      </w:r>
      <w:r w:rsidRPr="00BC2D8F">
        <w:rPr>
          <w:rFonts w:ascii="Arial" w:hAnsi="Arial" w:cs="Arial"/>
          <w:b/>
          <w:noProof/>
        </w:rPr>
        <w:t xml:space="preserve">CRONOGRAMA DE COMERCIALIZACIÓN DE GAS NATURAL </w:t>
      </w:r>
      <w:r w:rsidR="00ED13AA">
        <w:rPr>
          <w:rFonts w:ascii="Arial" w:hAnsi="Arial" w:cs="Arial"/>
          <w:b/>
          <w:noProof/>
        </w:rPr>
        <w:t xml:space="preserve">DEL </w:t>
      </w:r>
      <w:r w:rsidRPr="00BC2D8F">
        <w:rPr>
          <w:rFonts w:ascii="Arial" w:hAnsi="Arial" w:cs="Arial"/>
          <w:b/>
          <w:noProof/>
        </w:rPr>
        <w:t>AÑO 202</w:t>
      </w:r>
      <w:r w:rsidR="002406B0">
        <w:rPr>
          <w:rFonts w:ascii="Arial" w:hAnsi="Arial" w:cs="Arial"/>
          <w:b/>
          <w:noProof/>
        </w:rPr>
        <w:t>4</w:t>
      </w:r>
      <w:r w:rsidRPr="00BC2D8F">
        <w:rPr>
          <w:rFonts w:ascii="Arial" w:hAnsi="Arial" w:cs="Arial"/>
          <w:b/>
        </w:rPr>
        <w:fldChar w:fldCharType="end"/>
      </w:r>
      <w:r w:rsidR="00AD5B03">
        <w:rPr>
          <w:rFonts w:ascii="Arial" w:hAnsi="Arial" w:cs="Arial"/>
          <w:b/>
        </w:rPr>
        <w:t xml:space="preserve"> PUBLICADO MEDIANTE LA CIRCULAR CREG 04</w:t>
      </w:r>
      <w:r w:rsidR="009F1F3E">
        <w:rPr>
          <w:rFonts w:ascii="Arial" w:hAnsi="Arial" w:cs="Arial"/>
          <w:b/>
        </w:rPr>
        <w:t>7</w:t>
      </w:r>
      <w:r w:rsidR="00AD5B03">
        <w:rPr>
          <w:rFonts w:ascii="Arial" w:hAnsi="Arial" w:cs="Arial"/>
          <w:b/>
        </w:rPr>
        <w:t xml:space="preserve"> DE 2024</w:t>
      </w:r>
      <w:r w:rsidR="00ED13AA">
        <w:rPr>
          <w:rFonts w:ascii="Arial" w:hAnsi="Arial" w:cs="Arial"/>
          <w:b/>
        </w:rPr>
        <w:t xml:space="preserve"> </w:t>
      </w:r>
    </w:p>
    <w:p w14:paraId="3960EDB8" w14:textId="77777777" w:rsidR="00BA6D78" w:rsidRPr="00BC2D8F" w:rsidRDefault="00BA6D78" w:rsidP="00993610">
      <w:pPr>
        <w:spacing w:after="0"/>
        <w:rPr>
          <w:rFonts w:ascii="Arial" w:hAnsi="Arial" w:cs="Arial"/>
          <w:sz w:val="22"/>
          <w:szCs w:val="22"/>
        </w:rPr>
      </w:pPr>
    </w:p>
    <w:p w14:paraId="37488D3A" w14:textId="77777777" w:rsidR="009F1F3E" w:rsidRDefault="009F1F3E" w:rsidP="009F1F3E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Dirección Ejecutiva de la Comisión de Regulación de Energía y Gas, CREG, t</w:t>
      </w:r>
      <w:r w:rsidRPr="00BC2D8F">
        <w:rPr>
          <w:rFonts w:cs="Arial"/>
          <w:sz w:val="24"/>
          <w:szCs w:val="24"/>
        </w:rPr>
        <w:t>eniendo en cuenta lo dispuesto en el Artículo 22 de la Resolución CREG 186 de 2020</w:t>
      </w:r>
      <w:r>
        <w:rPr>
          <w:rFonts w:cs="Arial"/>
          <w:sz w:val="24"/>
          <w:szCs w:val="24"/>
        </w:rPr>
        <w:t xml:space="preserve"> </w:t>
      </w:r>
      <w:r w:rsidRPr="00BC2D8F">
        <w:rPr>
          <w:rFonts w:cs="Arial"/>
          <w:sz w:val="24"/>
          <w:szCs w:val="24"/>
        </w:rPr>
        <w:t>public</w:t>
      </w:r>
      <w:r>
        <w:rPr>
          <w:rFonts w:cs="Arial"/>
          <w:sz w:val="24"/>
          <w:szCs w:val="24"/>
        </w:rPr>
        <w:t xml:space="preserve">ó, como Anexo a la Circular 047 de 26 de julio de 2024, el Cronograma de la Comercialización de Gas Natural a ser tenido en cuenta durante el año 2024, para el desarrollo de las negociaciones y registro de los contratos de suministro resultantes.  </w:t>
      </w:r>
    </w:p>
    <w:p w14:paraId="755EB67F" w14:textId="77777777" w:rsidR="009F1F3E" w:rsidRDefault="009F1F3E" w:rsidP="009F1F3E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131C508D" w14:textId="2B860735" w:rsidR="00AD5B03" w:rsidRDefault="009F1F3E" w:rsidP="00AD5B03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 w:rsidRPr="00AD5B03">
        <w:rPr>
          <w:rFonts w:cs="Arial"/>
          <w:sz w:val="24"/>
          <w:szCs w:val="24"/>
        </w:rPr>
        <w:t xml:space="preserve">En consideración </w:t>
      </w:r>
      <w:r>
        <w:rPr>
          <w:rFonts w:cs="Arial"/>
          <w:sz w:val="24"/>
          <w:szCs w:val="24"/>
        </w:rPr>
        <w:t>a la realización de la publicación de la Resolución CREG 102 0</w:t>
      </w:r>
      <w:r w:rsidR="00CC4C18">
        <w:rPr>
          <w:rFonts w:cs="Arial"/>
          <w:sz w:val="24"/>
          <w:szCs w:val="24"/>
        </w:rPr>
        <w:t>09</w:t>
      </w:r>
      <w:r>
        <w:rPr>
          <w:rFonts w:cs="Arial"/>
          <w:sz w:val="24"/>
          <w:szCs w:val="24"/>
        </w:rPr>
        <w:t xml:space="preserve"> de 2024 que modifica la Resolución CREG 186 de 2020 </w:t>
      </w:r>
      <w:r w:rsidR="00AD5B03" w:rsidRPr="00AD5B03">
        <w:rPr>
          <w:rFonts w:cs="Arial"/>
          <w:sz w:val="24"/>
          <w:szCs w:val="24"/>
        </w:rPr>
        <w:t>se hace necesario realizar</w:t>
      </w:r>
      <w:r w:rsidR="00CC4C18">
        <w:rPr>
          <w:rFonts w:cs="Arial"/>
          <w:sz w:val="24"/>
          <w:szCs w:val="24"/>
        </w:rPr>
        <w:t>,</w:t>
      </w:r>
      <w:r w:rsidR="00AD5B03" w:rsidRPr="00AD5B03">
        <w:rPr>
          <w:rFonts w:cs="Arial"/>
          <w:sz w:val="24"/>
          <w:szCs w:val="24"/>
        </w:rPr>
        <w:t xml:space="preserve"> mediante</w:t>
      </w:r>
      <w:r w:rsidR="00AD5B03">
        <w:rPr>
          <w:rFonts w:cs="Arial"/>
          <w:sz w:val="24"/>
          <w:szCs w:val="24"/>
        </w:rPr>
        <w:t xml:space="preserve"> </w:t>
      </w:r>
      <w:r w:rsidR="00AD5B03" w:rsidRPr="00AD5B03">
        <w:rPr>
          <w:rFonts w:cs="Arial"/>
          <w:sz w:val="24"/>
          <w:szCs w:val="24"/>
        </w:rPr>
        <w:t>la presente circular</w:t>
      </w:r>
      <w:r w:rsidR="00E920CC">
        <w:rPr>
          <w:rFonts w:cs="Arial"/>
          <w:sz w:val="24"/>
          <w:szCs w:val="24"/>
        </w:rPr>
        <w:t>,</w:t>
      </w:r>
      <w:r w:rsidR="00AD5B03" w:rsidRPr="00AD5B03">
        <w:rPr>
          <w:rFonts w:cs="Arial"/>
          <w:sz w:val="24"/>
          <w:szCs w:val="24"/>
        </w:rPr>
        <w:t xml:space="preserve"> una modificación al Anexo que contiene el cronograma actualmente</w:t>
      </w:r>
      <w:r w:rsidR="00AD5B03">
        <w:rPr>
          <w:rFonts w:cs="Arial"/>
          <w:sz w:val="24"/>
          <w:szCs w:val="24"/>
        </w:rPr>
        <w:t xml:space="preserve"> </w:t>
      </w:r>
      <w:r w:rsidR="00AD5B03" w:rsidRPr="00AD5B03">
        <w:rPr>
          <w:rFonts w:cs="Arial"/>
          <w:sz w:val="24"/>
          <w:szCs w:val="24"/>
        </w:rPr>
        <w:t xml:space="preserve">vigente, </w:t>
      </w:r>
      <w:r w:rsidR="00AD5B03" w:rsidRPr="00AD5B03">
        <w:rPr>
          <w:rFonts w:cs="Arial"/>
          <w:sz w:val="24"/>
          <w:szCs w:val="24"/>
        </w:rPr>
        <w:lastRenderedPageBreak/>
        <w:t xml:space="preserve">para que </w:t>
      </w:r>
      <w:r w:rsidR="00CC4C18">
        <w:rPr>
          <w:rFonts w:cs="Arial"/>
          <w:sz w:val="24"/>
          <w:szCs w:val="24"/>
        </w:rPr>
        <w:t>les fechas límite de cada actividad</w:t>
      </w:r>
      <w:r w:rsidR="00AD5B03" w:rsidRPr="00AD5B03">
        <w:rPr>
          <w:rFonts w:cs="Arial"/>
          <w:sz w:val="24"/>
          <w:szCs w:val="24"/>
        </w:rPr>
        <w:t xml:space="preserve"> permitan la aplicación efectiva de las medidas</w:t>
      </w:r>
      <w:r w:rsidR="00AD5B03">
        <w:rPr>
          <w:rFonts w:cs="Arial"/>
          <w:sz w:val="24"/>
          <w:szCs w:val="24"/>
        </w:rPr>
        <w:t xml:space="preserve"> </w:t>
      </w:r>
      <w:r w:rsidR="00AD5B03" w:rsidRPr="00AD5B03">
        <w:rPr>
          <w:rFonts w:cs="Arial"/>
          <w:sz w:val="24"/>
          <w:szCs w:val="24"/>
        </w:rPr>
        <w:t xml:space="preserve">que </w:t>
      </w:r>
      <w:r>
        <w:rPr>
          <w:rFonts w:cs="Arial"/>
          <w:sz w:val="24"/>
          <w:szCs w:val="24"/>
        </w:rPr>
        <w:t>han sido adoptadas en la Resolución CREG 102 0</w:t>
      </w:r>
      <w:r w:rsidR="00CC4C18">
        <w:rPr>
          <w:rFonts w:cs="Arial"/>
          <w:sz w:val="24"/>
          <w:szCs w:val="24"/>
        </w:rPr>
        <w:t>09</w:t>
      </w:r>
      <w:r>
        <w:rPr>
          <w:rFonts w:cs="Arial"/>
          <w:sz w:val="24"/>
          <w:szCs w:val="24"/>
        </w:rPr>
        <w:t xml:space="preserve"> de 2024</w:t>
      </w:r>
      <w:r w:rsidR="00AD5B03" w:rsidRPr="00AD5B03">
        <w:rPr>
          <w:rFonts w:cs="Arial"/>
          <w:sz w:val="24"/>
          <w:szCs w:val="24"/>
        </w:rPr>
        <w:t>.</w:t>
      </w:r>
    </w:p>
    <w:p w14:paraId="4DA8AA3E" w14:textId="77777777" w:rsidR="00AD5B03" w:rsidRDefault="00AD5B03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53C4A31B" w14:textId="77777777" w:rsidR="00AC5CA5" w:rsidRPr="00BC2D8F" w:rsidRDefault="00AC5CA5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 w:rsidRPr="00BC2D8F">
        <w:rPr>
          <w:rFonts w:cs="Arial"/>
          <w:sz w:val="24"/>
          <w:szCs w:val="24"/>
        </w:rPr>
        <w:t>Cordialmente,</w:t>
      </w:r>
    </w:p>
    <w:p w14:paraId="39B23753" w14:textId="77777777" w:rsidR="00AC5CA5" w:rsidRPr="00BC2D8F" w:rsidRDefault="00AC5CA5" w:rsidP="00993610">
      <w:pPr>
        <w:spacing w:before="0" w:after="0"/>
        <w:jc w:val="center"/>
        <w:rPr>
          <w:rFonts w:ascii="Arial" w:hAnsi="Arial" w:cs="Arial"/>
        </w:rPr>
      </w:pPr>
    </w:p>
    <w:p w14:paraId="05012FF1" w14:textId="77777777" w:rsidR="00AC5CA5" w:rsidRPr="00BC2D8F" w:rsidRDefault="00AC5CA5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1998DA4A" w14:textId="4AC27AE5" w:rsidR="00AC5CA5" w:rsidRPr="00BC2D8F" w:rsidRDefault="00AD5B03" w:rsidP="00993610">
      <w:pPr>
        <w:pStyle w:val="Textoindependiente"/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ANTONIO JIMENEZ RIVERA</w:t>
      </w:r>
    </w:p>
    <w:p w14:paraId="5B617E0F" w14:textId="1A00ACF3" w:rsidR="00993610" w:rsidRDefault="00AC6933" w:rsidP="00993610">
      <w:pPr>
        <w:spacing w:before="0" w:after="0"/>
        <w:jc w:val="center"/>
        <w:rPr>
          <w:rFonts w:cs="Arial"/>
        </w:rPr>
      </w:pPr>
      <w:r w:rsidRPr="00BC2D8F">
        <w:rPr>
          <w:rFonts w:cs="Arial"/>
        </w:rPr>
        <w:t>Director Ejecutiv</w:t>
      </w:r>
      <w:r w:rsidR="00B269BC">
        <w:rPr>
          <w:rFonts w:cs="Arial"/>
        </w:rPr>
        <w:t>o</w:t>
      </w:r>
    </w:p>
    <w:p w14:paraId="069B32B7" w14:textId="77777777" w:rsidR="002A3477" w:rsidRDefault="002A3477" w:rsidP="00993610">
      <w:pPr>
        <w:spacing w:before="0" w:after="0"/>
        <w:jc w:val="center"/>
        <w:rPr>
          <w:rFonts w:cs="Arial"/>
        </w:rPr>
      </w:pPr>
    </w:p>
    <w:p w14:paraId="17FB0308" w14:textId="5EFE431C" w:rsidR="00AC5CA5" w:rsidRPr="00BC2D8F" w:rsidRDefault="00AC5CA5" w:rsidP="00993610">
      <w:pPr>
        <w:spacing w:before="0" w:after="0"/>
        <w:jc w:val="center"/>
        <w:rPr>
          <w:rFonts w:ascii="Arial" w:eastAsia="Times New Roman" w:hAnsi="Arial" w:cs="Arial"/>
          <w:spacing w:val="-5"/>
        </w:rPr>
      </w:pPr>
      <w:r w:rsidRPr="00BC2D8F">
        <w:rPr>
          <w:rFonts w:cs="Arial"/>
        </w:rPr>
        <w:br w:type="page"/>
      </w:r>
    </w:p>
    <w:p w14:paraId="61536D60" w14:textId="77777777" w:rsidR="00AC5CA5" w:rsidRPr="00BC2D8F" w:rsidRDefault="00AC5CA5" w:rsidP="00AC5CA5">
      <w:pPr>
        <w:pStyle w:val="Textoindependiente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14:paraId="5897EB71" w14:textId="77777777" w:rsidR="00AC5CA5" w:rsidRPr="00BC2D8F" w:rsidRDefault="00AC5CA5" w:rsidP="00AC5CA5">
      <w:pPr>
        <w:pStyle w:val="Textoindependiente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BC2D8F">
        <w:rPr>
          <w:rFonts w:cs="Arial"/>
          <w:b/>
          <w:sz w:val="24"/>
          <w:szCs w:val="24"/>
        </w:rPr>
        <w:t>ANEXO</w:t>
      </w:r>
    </w:p>
    <w:p w14:paraId="573039A6" w14:textId="5C2D7E97" w:rsidR="00AC5CA5" w:rsidRPr="00BC2D8F" w:rsidRDefault="00AC5CA5" w:rsidP="00AC5CA5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C2D8F">
        <w:rPr>
          <w:rFonts w:cs="Arial"/>
          <w:b/>
          <w:sz w:val="24"/>
          <w:szCs w:val="24"/>
        </w:rPr>
        <w:t>Cronograma de la Comercialización de Gas Natural del año 202</w:t>
      </w:r>
      <w:r w:rsidR="00D91B7A">
        <w:rPr>
          <w:rFonts w:cs="Arial"/>
          <w:b/>
          <w:sz w:val="24"/>
          <w:szCs w:val="24"/>
        </w:rPr>
        <w:t>4</w:t>
      </w:r>
    </w:p>
    <w:p w14:paraId="702068D9" w14:textId="77777777" w:rsidR="00AC5CA5" w:rsidRPr="00BC2D8F" w:rsidRDefault="00AC5CA5" w:rsidP="00AC5CA5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820"/>
        <w:gridCol w:w="2522"/>
        <w:gridCol w:w="1515"/>
      </w:tblGrid>
      <w:tr w:rsidR="000E5AAE" w:rsidRPr="00BC2D8F" w14:paraId="46FA8BF8" w14:textId="77777777" w:rsidTr="000A22D5">
        <w:trPr>
          <w:trHeight w:val="315"/>
          <w:tblHeader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D406F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2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1D05C1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Actividad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72A1E4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739A7D" w14:textId="346F7E2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Fecha</w:t>
            </w:r>
            <w:r w:rsidR="00896CB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 xml:space="preserve"> límite</w:t>
            </w:r>
          </w:p>
        </w:tc>
      </w:tr>
      <w:tr w:rsidR="000E5AAE" w:rsidRPr="00BC2D8F" w14:paraId="3689873A" w14:textId="77777777" w:rsidTr="000A22D5">
        <w:trPr>
          <w:trHeight w:val="123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8BC7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0D3C" w14:textId="3CA69E6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 información acerca de contratos de suministro y transporte vigentes registrados </w:t>
            </w:r>
            <w:r w:rsidR="00BA24A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ante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Gestor del Mercado.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9CA0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8A25D" w14:textId="02F33BDE" w:rsidR="00BC2D8F" w:rsidRPr="00BC2D8F" w:rsidRDefault="00F45CF7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D91B7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1E9D8869" w14:textId="77777777" w:rsidTr="000A22D5">
        <w:trPr>
          <w:trHeight w:val="2399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93CF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60F0" w14:textId="639F9A6B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al Gestor del Mercado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cantidades anticipadas de excedentes de gas 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por fuente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y su precio de reserva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ser comercializad</w:t>
            </w:r>
            <w:r w:rsidR="00D91B7A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s mediante subastas de contratos bimestrales,</w:t>
            </w:r>
            <w:r w:rsidR="00912E5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parágrafo 1 del Artículo 5 de la Resolución CREG 136 de 2014, adicionado por la Resolución CREG 005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B0E0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CE297" w14:textId="33DB424B" w:rsidR="00BC2D8F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11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7136144B" w14:textId="77777777" w:rsidTr="000A22D5">
        <w:trPr>
          <w:trHeight w:val="18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D78C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7E08F" w14:textId="34C6A808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la oferta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PTDVF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y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CIDVF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,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artículo 22 de la Resolución CREG 186 de 2020 y demás regulación vigente en la fecha de la declaración.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ED1D2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E72E9" w14:textId="2BA08656" w:rsidR="00724E36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19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  <w:p w14:paraId="4FEA7923" w14:textId="142F4248" w:rsidR="00BC2D8F" w:rsidRPr="004256EC" w:rsidRDefault="00724E3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(fecha única)</w:t>
            </w:r>
          </w:p>
        </w:tc>
      </w:tr>
      <w:tr w:rsidR="000E5AAE" w:rsidRPr="00BC2D8F" w14:paraId="1D2F4904" w14:textId="77777777" w:rsidTr="000A22D5">
        <w:trPr>
          <w:trHeight w:val="159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869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4187" w14:textId="4CDD8388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definitiva de la oferta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PTDVF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y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CIDVF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,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artículo 22 de la Resolución CREG 186 de 2020 y demás regulación vigente en la fecha de la declaración del numeral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A19F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24F0C" w14:textId="52EB9480" w:rsidR="00BC2D8F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1FE90D04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E722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E489" w14:textId="357345B0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cantidades anticipadas de excedentes de gas a ser comercializad</w:t>
            </w:r>
            <w:r w:rsidR="00D91B7A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s mediante subastas de contratos bimestrales,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Parágrafo 1 del Artículo 5 de la Resolución CREG 136 de 2014, adicionado por la Resolución CREG 005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25CD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14896E" w14:textId="7A0E42D9" w:rsidR="00BC2D8F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33258" w:rsidRPr="00BC2D8F" w14:paraId="5A34E0A9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F9EFB" w14:textId="4CF1DB04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2D5FC" w14:textId="7A4C2832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Remisión a la CREG del(los) reglamento(s) de las subastas de productos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C1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y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C2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conforme a lo dispuesto en el literal c) del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CD01" w14:textId="56AEF1FC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0A2DD" w14:textId="0848504B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14/08/2024</w:t>
            </w:r>
          </w:p>
        </w:tc>
      </w:tr>
      <w:tr w:rsidR="00033258" w:rsidRPr="00BC2D8F" w14:paraId="3B51D64E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E8666" w14:textId="4C757F59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6B2B2" w14:textId="47E5AA42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Envío al Gestor del Mercado de criterios objetivos para la verificación de idoneidad de compradores y vendedores que participen en la comercialización mediante subasta, conforme a lo dispuesto en los numerales 5.12 y 6.12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246FA" w14:textId="50C1831D" w:rsidR="00033258" w:rsidRPr="004256EC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 de que tratan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59EFD0" w14:textId="2ACFC0E9" w:rsidR="00033258" w:rsidRDefault="00033258" w:rsidP="0003325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22/08/2024</w:t>
            </w:r>
          </w:p>
        </w:tc>
      </w:tr>
      <w:tr w:rsidR="00997576" w:rsidRPr="00BC2D8F" w14:paraId="6AA6EC13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F024C" w14:textId="20BB7D48" w:rsidR="00997576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7C89B" w14:textId="313AC055" w:rsidR="00997576" w:rsidRPr="004256EC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resultados del Anexo 9 “</w:t>
            </w:r>
            <w:r w:rsidRPr="00997576">
              <w:rPr>
                <w:rFonts w:asciiTheme="majorHAnsi" w:eastAsia="Times New Roman" w:hAnsiTheme="majorHAnsi" w:cstheme="majorHAnsi"/>
                <w:i/>
                <w:iCs/>
                <w:color w:val="000000"/>
                <w:lang w:eastAsia="es-CO"/>
              </w:rPr>
              <w:t>Períodos de Priorización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” de la Resolución CREG 102 009 de 2024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7DD4B" w14:textId="5CEC926B" w:rsidR="00997576" w:rsidRPr="004256EC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916A46" w14:textId="31F97D87" w:rsidR="00997576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23/08/2024</w:t>
            </w:r>
          </w:p>
        </w:tc>
      </w:tr>
      <w:tr w:rsidR="00997576" w:rsidRPr="00BC2D8F" w14:paraId="21B97C7A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D2900" w14:textId="4F78D89A" w:rsidR="00997576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ADBE9" w14:textId="30F49D1B" w:rsidR="00997576" w:rsidRPr="004256EC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Actualización de la d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eclaración de la oferta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PTDVF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y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CIDVF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conforme a lo dispuesto en el artículo 22 de la Resolución CREG 186 de 2020 y demás regulación vigente.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35D9A" w14:textId="1F6CFD97" w:rsidR="00997576" w:rsidRPr="004256EC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955D5" w14:textId="102924F5" w:rsidR="00997576" w:rsidRPr="004256EC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27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/2024</w:t>
            </w:r>
          </w:p>
          <w:p w14:paraId="742A9C42" w14:textId="1F6EAD43" w:rsidR="00997576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(fecha única)</w:t>
            </w:r>
          </w:p>
        </w:tc>
      </w:tr>
      <w:tr w:rsidR="00997576" w:rsidRPr="00BC2D8F" w14:paraId="29C6FD9E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FBFEA" w14:textId="7B2265EB" w:rsidR="00997576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243BC" w14:textId="6C486918" w:rsidR="00997576" w:rsidRPr="004256EC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 la actualización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oferta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PTDVF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y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CIDVF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conforme a lo dispuesto en el artículo 22 de la Resolución CREG 186 de 2020 y demás regulación vigente.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D40F6" w14:textId="3B5FADD4" w:rsidR="00997576" w:rsidRPr="004256EC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820A04" w14:textId="3C8AD38C" w:rsidR="00997576" w:rsidRDefault="00997576" w:rsidP="0099757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/2024 (fecha única)</w:t>
            </w:r>
          </w:p>
        </w:tc>
      </w:tr>
      <w:tr w:rsidR="004730E5" w:rsidRPr="00BC2D8F" w14:paraId="0B6F2D38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18064" w14:textId="2136A827" w:rsidR="00D91B7A" w:rsidRPr="00BC2D8F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11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6E25" w14:textId="0ED75564" w:rsidR="00D91B7A" w:rsidRPr="004256EC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Inicio de 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las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negociaciones directas</w:t>
            </w:r>
            <w:r w:rsidR="00A7332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establecidas en el Artículo 22 de la Resolución CREG 186 de 2020 y demás regulación vigente.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957FC" w14:textId="7415E4CF" w:rsidR="00D91B7A" w:rsidRPr="004256EC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13085" w14:textId="6F5FD751" w:rsidR="00273381" w:rsidRPr="004256EC" w:rsidRDefault="0003325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27338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/08/2024</w:t>
            </w:r>
          </w:p>
        </w:tc>
      </w:tr>
      <w:tr w:rsidR="000E5AAE" w:rsidRPr="00BC2D8F" w14:paraId="00F419D9" w14:textId="77777777" w:rsidTr="000A22D5">
        <w:trPr>
          <w:trHeight w:val="209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13F1" w14:textId="7C5AD27B" w:rsidR="00BC2D8F" w:rsidRPr="00BC2D8F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D4F3" w14:textId="032D474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Inicio de registro de contratos de gas de largo plazo a los que se hace referencia en el artículo 22 de la Resolución CREG 186 de 2020 y demás regulación vigente en la fecha </w:t>
            </w:r>
            <w:r w:rsidR="00DF479C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del registro del contrato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444B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E3A01" w14:textId="4B4BA25F" w:rsidR="00BC2D8F" w:rsidRPr="004256EC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</w:t>
            </w:r>
            <w:r w:rsidR="0027338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/08/2024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</w:p>
        </w:tc>
      </w:tr>
      <w:tr w:rsidR="00830CA0" w:rsidRPr="00BC2D8F" w14:paraId="012FFD33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7C75B" w14:textId="7EC52885" w:rsidR="00830CA0" w:rsidRPr="00BC2D8F" w:rsidRDefault="006B13B8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7BFCF" w14:textId="4404C3E7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Remisión a la CREG de los reglamentos de las subastas del proceso de Úselo o Véndalo de Largo Plazo para obtener su concepto de no objeción, conforme a lo dispuesto en el literal c)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62232" w14:textId="05DC3BF4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AA245" w14:textId="0757FD8D" w:rsidR="00830CA0" w:rsidRPr="004256EC" w:rsidRDefault="008C5E94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830CA0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4/10/2024</w:t>
            </w:r>
          </w:p>
        </w:tc>
      </w:tr>
      <w:tr w:rsidR="00963F8A" w:rsidRPr="00BC2D8F" w14:paraId="5897EC23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5D129" w14:textId="458C62FF" w:rsidR="00963F8A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FE3E" w14:textId="6BB24AF2" w:rsidR="00963F8A" w:rsidRPr="004256EC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Cierre del registro de contratos de gas de largo plazo a los que hace referencia el artículo 22 de la Resolución CREG 186 de 2020 y demás regulación vigente.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5D2C" w14:textId="43A8B228" w:rsidR="00963F8A" w:rsidRPr="004256EC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BE5A38" w14:textId="39C78418" w:rsidR="00963F8A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6B13B8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18/10/2024</w:t>
            </w:r>
          </w:p>
        </w:tc>
      </w:tr>
      <w:tr w:rsidR="00963F8A" w:rsidRPr="00BC2D8F" w14:paraId="5FCD774F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AD3BB" w14:textId="6E70DE0F" w:rsidR="00963F8A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97EAE" w14:textId="31F229B7" w:rsidR="00963F8A" w:rsidRPr="004256EC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en el </w:t>
            </w:r>
            <w:proofErr w:type="spellStart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BEC</w:t>
            </w:r>
            <w:proofErr w:type="spellEnd"/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los resultados agregados de la comercialización de contratos de largo plazo a los que hacen referencia el artículo 22 de la Resolución CREG 186 de 2020 y demás regulación vigente.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DB992" w14:textId="0915341F" w:rsidR="00963F8A" w:rsidRPr="004256EC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74E04B" w14:textId="0D7D50BF" w:rsidR="00963F8A" w:rsidRDefault="00963F8A" w:rsidP="00963F8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21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/2024</w:t>
            </w:r>
          </w:p>
        </w:tc>
      </w:tr>
      <w:tr w:rsidR="000E5AAE" w:rsidRPr="00BC2D8F" w14:paraId="6A9F4D1F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1F65C" w14:textId="5DDEDCD0" w:rsidR="00BC2D8F" w:rsidRPr="00BC2D8F" w:rsidRDefault="006B13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1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5224F" w14:textId="08B655E6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Contratación del auditor de las subastas del proceso de Úselo o Véndalo de Largo Plazo, conforme a lo dispuesto en el literal f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1DFFB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B1C355" w14:textId="2B1D568D" w:rsidR="003D7B99" w:rsidRPr="004256EC" w:rsidRDefault="00963F8A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21</w:t>
            </w:r>
            <w:r w:rsidR="003D7B99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/10/2024</w:t>
            </w:r>
          </w:p>
        </w:tc>
      </w:tr>
      <w:tr w:rsidR="000E5AAE" w:rsidRPr="00BC2D8F" w14:paraId="7737F948" w14:textId="77777777" w:rsidTr="000A22D5">
        <w:trPr>
          <w:trHeight w:val="159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BA277" w14:textId="64E27B35" w:rsidR="00BC2D8F" w:rsidRPr="00BC2D8F" w:rsidRDefault="006B13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4B14F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Declaración de información de contratos de suministro y capacidad de transporte, conforme a lo dispuesto en el numeral 5.4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E3C3" w14:textId="43251053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definido en el Artículo 17 de la Resolución CREG 186 de 2020.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435FD" w14:textId="5768EA83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23/10/2024</w:t>
            </w:r>
          </w:p>
        </w:tc>
      </w:tr>
      <w:tr w:rsidR="00AA1AA3" w:rsidRPr="00BC2D8F" w14:paraId="0F3B5B5C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B8D3F" w14:textId="39222837" w:rsidR="00AA1AA3" w:rsidRPr="00BC2D8F" w:rsidRDefault="006B13B8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6A045" w14:textId="0D2F1E4A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capacidad excedentaria de transporte para cada una de las rutas y por cada uno de los titulares de dicha capacidad, conforme a lo dispuesto en el literal p)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6F9" w14:textId="63A9C5A3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3E455" w14:textId="2D7C4210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24/10/2024</w:t>
            </w:r>
          </w:p>
        </w:tc>
      </w:tr>
      <w:tr w:rsidR="00AA1AA3" w:rsidRPr="00BC2D8F" w14:paraId="60E94DAD" w14:textId="77777777" w:rsidTr="00201DD5">
        <w:trPr>
          <w:trHeight w:val="140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CA106" w14:textId="7FEC3DB2" w:rsidR="00AA1AA3" w:rsidRPr="00BC2D8F" w:rsidRDefault="006B13B8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63C2" w14:textId="5D3B12BF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Presentación de comentarios de la capacidad excedentaria publicada, conforme a lo dispuesto en el literal g) del numeral 4.4 de</w:t>
            </w:r>
            <w:r w:rsidR="00840C7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 Anexo 4 de la Resolución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CREG 185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D7A0" w14:textId="4E647BE7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A0046" w14:textId="68230B7E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AA1AA3" w:rsidRPr="00BC2D8F" w14:paraId="028361C1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5D44A" w14:textId="04876C8F" w:rsidR="00AA1AA3" w:rsidRPr="00BC2D8F" w:rsidRDefault="00997576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110C" w14:textId="73D8975A" w:rsidR="00AA1AA3" w:rsidRPr="004256EC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Recepción y a</w:t>
            </w:r>
            <w:r w:rsidR="00AA1AA3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tención de los comentarios de la capacidad excedentaria enviados por los vendedores y compradores, conforme a lo dispuesto en el literal q)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BE12" w14:textId="569BB81D" w:rsidR="00AA1AA3" w:rsidRPr="004256EC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A881AB" w14:textId="3494A858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28/10/2024</w:t>
            </w:r>
          </w:p>
        </w:tc>
      </w:tr>
      <w:tr w:rsidR="00830CA0" w:rsidRPr="00BC2D8F" w14:paraId="0159AB3C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C9CE" w14:textId="681AA3ED" w:rsidR="00830CA0" w:rsidRPr="00BC2D8F" w:rsidRDefault="00997576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21</w:t>
            </w:r>
          </w:p>
          <w:p w14:paraId="1A5E92E8" w14:textId="77777777" w:rsidR="00830CA0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6843B" w14:textId="47189643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Alistamiento del sistema de las subastas del proceso de Úselo o Véndalo de Largo Plazo y su disponibilidad, conforme a lo dispuesto en el literal a)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B9CE1" w14:textId="15496B8C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3E4E96" w14:textId="3CAFA038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830CA0" w:rsidRPr="00BC2D8F" w14:paraId="49A7832B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B94ED" w14:textId="15B8E19F" w:rsidR="00830CA0" w:rsidRDefault="00997576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D0398" w14:textId="457D3FD8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 a los participantes de las subastas acerca de los mecanismos de contingencia ante fallas del sistema de las subastas del proceso de Úselo o Véndalo de Largo Plazo, conforme a lo dispuesto en el numeral 4.6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F9A3D" w14:textId="71072160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FCDC98" w14:textId="39984CE5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830CA0" w:rsidRPr="00BC2D8F" w14:paraId="386C5966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81050" w14:textId="4B28825B" w:rsidR="00830CA0" w:rsidRDefault="00997576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CA31" w14:textId="59EBBC70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Emisión de no objeción de la CREG a los reglamentos de las subastas del proceso de Úselo o Véndalo de Largo Plazo, conforme a lo dispuesto en el literal c),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7A0D4" w14:textId="43A8F1F9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1B57C" w14:textId="4357BCC4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830CA0" w:rsidRPr="00BC2D8F" w14:paraId="2D69C390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69FB1" w14:textId="4B1E05CE" w:rsidR="00830CA0" w:rsidRDefault="006B13B8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EC591" w14:textId="77777777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 del administrador de la subasta a los participantes de las subastas del proceso de Úselo o Véndalo de largo plazo, relacionada con los instrumentos fiduciarios, conforme a lo dispuesto en el numeral 6 del Anexo 4 de la Resolución CREG 185 de 2020.</w:t>
            </w:r>
          </w:p>
          <w:p w14:paraId="7D893DE3" w14:textId="77777777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81F95" w14:textId="427E0EE3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80632E" w14:textId="790DF1AE" w:rsidR="00830CA0" w:rsidRPr="004256EC" w:rsidRDefault="00830CA0" w:rsidP="00830CA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25/10/2024</w:t>
            </w:r>
          </w:p>
        </w:tc>
      </w:tr>
      <w:tr w:rsidR="00201DD5" w:rsidRPr="00BC2D8F" w14:paraId="38EFD79A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D4BCC" w14:textId="5581D031" w:rsidR="00201DD5" w:rsidRPr="00BC2D8F" w:rsidRDefault="006B13B8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2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18675" w14:textId="6B65F7E4" w:rsidR="00201DD5" w:rsidRPr="004256EC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Ajustes y publicación de capacidad excedentaria de transporte para cada una de las rutas y por cada uno de los titulares de dicha capacidad, conforme a lo dispuesto en el literal r)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01CEF" w14:textId="41E3CCDB" w:rsidR="00201DD5" w:rsidRPr="004256EC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2BBEA" w14:textId="377E23E1" w:rsidR="003D7B99" w:rsidRPr="004256EC" w:rsidRDefault="003D7B99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29/10/2024</w:t>
            </w:r>
          </w:p>
        </w:tc>
      </w:tr>
      <w:tr w:rsidR="00840C7E" w:rsidRPr="00BC2D8F" w14:paraId="04E1752A" w14:textId="77777777" w:rsidTr="000A22D5">
        <w:trPr>
          <w:trHeight w:val="15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63F7A" w14:textId="1D34601C" w:rsidR="00840C7E" w:rsidRDefault="006B13B8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F3B5" w14:textId="463196BF" w:rsidR="00840C7E" w:rsidRPr="004256EC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 garantías de participación por parte de los compradores que participarán de las subastas del proceso de úselo o véndalo de largo plazo, conforme a lo dispuesto en el numeral 5.1.4. del Anexo de la Resolución CREG 065 de 2015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B05B4" w14:textId="7770EBC2" w:rsidR="00840C7E" w:rsidRPr="004256EC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que hacen referencia el numeral 2 del Anexo 4 de la Resolución CREG 185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67E8B" w14:textId="6513215C" w:rsidR="003D7B99" w:rsidRPr="004256EC" w:rsidRDefault="003D7B99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30/10/2024</w:t>
            </w:r>
          </w:p>
        </w:tc>
      </w:tr>
      <w:tr w:rsidR="000E5AAE" w:rsidRPr="00BC2D8F" w14:paraId="1D7B1678" w14:textId="77777777" w:rsidTr="000A22D5">
        <w:trPr>
          <w:trHeight w:val="15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F6C15" w14:textId="2EE99914" w:rsidR="00BC2D8F" w:rsidRPr="00BC2D8F" w:rsidRDefault="006B13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2822" w14:textId="2FA1BCC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Realización una auditoría operativa y de los sistemas de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literal h</w:t>
            </w:r>
            <w:r w:rsidR="00297C2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9DA2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D50A2" w14:textId="75CB128C" w:rsidR="00344CB2" w:rsidRPr="004256EC" w:rsidRDefault="00F15717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31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 w:rsidR="00344CB2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3A3AC9F7" w14:textId="77777777" w:rsidTr="000A22D5">
        <w:trPr>
          <w:trHeight w:val="190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0B00B" w14:textId="37BB0948" w:rsidR="00BC2D8F" w:rsidRPr="00BC2D8F" w:rsidRDefault="006B13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589B" w14:textId="1C5C5033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Envío a las autoridades competentes de un documento sobre los participantes de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literal i</w:t>
            </w:r>
            <w:r w:rsidR="00297C2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 del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A1E81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D7C00" w14:textId="1D2028D4" w:rsidR="00344CB2" w:rsidRPr="004256EC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A70AAE1" w14:textId="77777777" w:rsidTr="000A22D5">
        <w:trPr>
          <w:trHeight w:val="167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2EAE2" w14:textId="019D25C8" w:rsidR="00BC2D8F" w:rsidRPr="00BC2D8F" w:rsidRDefault="006B13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DE5A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Realización de las subastas del proceso de úselo o véndalo de largo plazo, conforme a lo dispuesto en los numerales 5.7 a 5.10 y 5.12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2572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EB19E" w14:textId="2EAF91B3" w:rsidR="00BC2D8F" w:rsidRPr="004256EC" w:rsidRDefault="0095240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15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583BFCF1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4139" w14:textId="6D74841F" w:rsidR="00BC2D8F" w:rsidRPr="00BC2D8F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30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E620" w14:textId="6C107E6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Entrega del informe de auditoría sobre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18DD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Auditor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2F920" w14:textId="5A7D89E6" w:rsidR="00344CB2" w:rsidRPr="004256EC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5159103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8BDC" w14:textId="436C6848" w:rsidR="00BC2D8F" w:rsidRPr="00BC2D8F" w:rsidRDefault="0099757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3663" w14:textId="4CF6318C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del informe de auditoría sobre las subastas del proceso de Úselo o Véndalo de Largo Plazo,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4809" w14:textId="77777777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EE008" w14:textId="53F2C12C" w:rsidR="00BC2D8F" w:rsidRPr="004256EC" w:rsidRDefault="0095240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952406" w:rsidRPr="00BC2D8F" w14:paraId="11FFA842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97E7D" w14:textId="54F52875" w:rsidR="00952406" w:rsidRDefault="0099757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64B25" w14:textId="3A586E9D" w:rsidR="00952406" w:rsidRPr="004256EC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Registro ante el Gestor del Mercado de contratos resultantes de las subastas del proceso de úselo o véndalo de largo plazo, conforme a lo dispuesto en el numeral 5.11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73BB" w14:textId="6D985599" w:rsidR="00952406" w:rsidRPr="004256EC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los que hace referencia el numeral 2 del Anexo 4 de la Resolución CREG 185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8D83A2" w14:textId="5DA85609" w:rsidR="00952406" w:rsidRPr="004256EC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29/11/2024</w:t>
            </w:r>
          </w:p>
        </w:tc>
      </w:tr>
      <w:tr w:rsidR="000E5AAE" w:rsidRPr="00BC2D8F" w14:paraId="41748399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38DD" w14:textId="05AAE181" w:rsidR="00BC2D8F" w:rsidRPr="00BC2D8F" w:rsidRDefault="006B13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3A2B" w14:textId="5C285B00" w:rsidR="00BC2D8F" w:rsidRPr="004256EC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ntrega de las garantías de cumplimiento de los contratos de capacidad de transporte comercializados,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5.2 del Anexo de la Resolución CREG 065 de 2015.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7330" w14:textId="4F2CA823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a los que hace referencia el Artículo 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Resolución CREG 18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CE0AF" w14:textId="38DC555F" w:rsidR="00BC2D8F" w:rsidRPr="004256EC" w:rsidRDefault="00344CB2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758F6ED4" w14:textId="77777777" w:rsidTr="000A22D5">
        <w:trPr>
          <w:trHeight w:val="21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5F3F" w14:textId="2F1244DA" w:rsidR="00BC2D8F" w:rsidRPr="00BC2D8F" w:rsidRDefault="006B13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C57B" w14:textId="77378166" w:rsidR="00BC2D8F" w:rsidRPr="004256EC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ntrega de las garantías de cumplimiento de los contratos de largo plazo de vendedores, </w:t>
            </w:r>
            <w:r w:rsidR="00DF74F6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4.3.7 del Anexo de la Resolución CREG 065 de 2015, modificada por la Resolución CREG 120 de 2017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F877" w14:textId="37D706B8" w:rsidR="00BC2D8F" w:rsidRPr="004256EC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Vendedores a los que hace referencia 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artículo 1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Resolución CREG </w:t>
            </w:r>
            <w:r w:rsidR="008D304E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186 de 2020</w:t>
            </w: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11A00" w14:textId="63B89658" w:rsidR="00BC2D8F" w:rsidRPr="004256EC" w:rsidRDefault="00344CB2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F7B31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1066A4" w:rsidRPr="00BC2D8F" w14:paraId="44ADFAC5" w14:textId="77777777" w:rsidTr="000A22D5">
        <w:trPr>
          <w:trHeight w:val="21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CD20C" w14:textId="666B87C6" w:rsidR="001066A4" w:rsidRDefault="006B13B8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3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CF01" w14:textId="51BA2B89" w:rsidR="001066A4" w:rsidRPr="004256EC" w:rsidRDefault="001066A4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 las garantías de cumplimiento de los contratos de largo plazo de compradores, conforme a lo dispuesto en el numeral 4.3.12 del Anexo de la Resolución CREG 065 de 2015, modificada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C3F7D" w14:textId="6E250A32" w:rsidR="001066A4" w:rsidRPr="004256EC" w:rsidRDefault="001066A4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los que hace referencia el Artículo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C8E5B" w14:textId="1E0521CB" w:rsidR="001066A4" w:rsidRPr="004256EC" w:rsidRDefault="001066A4" w:rsidP="001066A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4256E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29/11/2024</w:t>
            </w:r>
          </w:p>
        </w:tc>
      </w:tr>
      <w:tr w:rsidR="004C57D2" w:rsidRPr="003F50AD" w14:paraId="0E453D33" w14:textId="77777777" w:rsidTr="000A22D5">
        <w:trPr>
          <w:trHeight w:val="2286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7E121" w14:textId="4FE5A211" w:rsidR="004C57D2" w:rsidRDefault="006B13B8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99757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6484EF" w14:textId="1A09513D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Entrega de las garantías de cumplimiento de los contratos de largo plazo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compradores, </w:t>
            </w: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 el numeral 4.2 del Anexo de la Resolución CREG 065 de 2015, modificado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94AD74" w14:textId="77777777" w:rsidR="004C57D2" w:rsidRPr="00773235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a los que hace referencia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</w:t>
            </w: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artículo 17 de la Resolución CREG 186 de</w:t>
            </w:r>
          </w:p>
          <w:p w14:paraId="4B4C8569" w14:textId="6FCF2742" w:rsidR="004C57D2" w:rsidRPr="00BC2D8F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2020.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A6FD03" w14:textId="7922135F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29/11/2024</w:t>
            </w:r>
          </w:p>
        </w:tc>
      </w:tr>
    </w:tbl>
    <w:p w14:paraId="713319D2" w14:textId="18B2177B" w:rsidR="008066FD" w:rsidRPr="00BA6D78" w:rsidRDefault="008066FD" w:rsidP="00913F4D">
      <w:pPr>
        <w:pStyle w:val="Textoindependiente"/>
        <w:spacing w:after="0" w:line="240" w:lineRule="auto"/>
        <w:rPr>
          <w:rFonts w:cs="Arial"/>
        </w:rPr>
      </w:pPr>
    </w:p>
    <w:sectPr w:rsidR="008066FD" w:rsidRPr="00BA6D78" w:rsidSect="008B094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E67B" w14:textId="77777777" w:rsidR="00BE0945" w:rsidRDefault="00BE0945" w:rsidP="00AA0519">
      <w:r>
        <w:separator/>
      </w:r>
    </w:p>
  </w:endnote>
  <w:endnote w:type="continuationSeparator" w:id="0">
    <w:p w14:paraId="644C78BA" w14:textId="77777777" w:rsidR="00BE0945" w:rsidRDefault="00BE0945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69D8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______________________________________________________________________________</w:t>
    </w:r>
  </w:p>
  <w:p w14:paraId="41E66420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Comisión de Regulación de Energía y Gas</w:t>
    </w:r>
  </w:p>
  <w:p w14:paraId="3E9C059A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 xml:space="preserve">Dirección: Calle 116 </w:t>
    </w:r>
    <w:proofErr w:type="spellStart"/>
    <w:r>
      <w:rPr>
        <w:rFonts w:ascii="Helvetica Neue" w:eastAsia="Helvetica Neue" w:hAnsi="Helvetica Neue" w:cs="Helvetica Neue"/>
        <w:b/>
        <w:sz w:val="20"/>
        <w:szCs w:val="20"/>
      </w:rPr>
      <w:t>No.7</w:t>
    </w:r>
    <w:proofErr w:type="spellEnd"/>
    <w:r>
      <w:rPr>
        <w:rFonts w:ascii="Helvetica Neue" w:eastAsia="Helvetica Neue" w:hAnsi="Helvetica Neue" w:cs="Helvetica Neue"/>
        <w:b/>
        <w:sz w:val="20"/>
        <w:szCs w:val="20"/>
      </w:rPr>
      <w:t xml:space="preserve"> - 15, Bogotá D.C., Colombia</w:t>
    </w:r>
  </w:p>
  <w:p w14:paraId="028FC6F5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Conmutador: (+57) 601 603 2020</w:t>
    </w:r>
  </w:p>
  <w:p w14:paraId="60D04898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Línea Gratuita: (+57) 01 8000 512734</w:t>
    </w:r>
  </w:p>
  <w:p w14:paraId="12EB656D" w14:textId="161588D8" w:rsidR="00735E1F" w:rsidRDefault="00735E1F" w:rsidP="00735E1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80CD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bookmarkStart w:id="0" w:name="_Hlk137806203"/>
    <w:r>
      <w:rPr>
        <w:rFonts w:ascii="Helvetica Neue" w:eastAsia="Helvetica Neue" w:hAnsi="Helvetica Neue" w:cs="Helvetica Neue"/>
        <w:b/>
        <w:sz w:val="20"/>
        <w:szCs w:val="20"/>
      </w:rPr>
      <w:t>______________________________________________________________________________</w:t>
    </w:r>
  </w:p>
  <w:p w14:paraId="6F601DD9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Comisión de Regulación de Energía y Gas</w:t>
    </w:r>
  </w:p>
  <w:p w14:paraId="556604D1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 xml:space="preserve">Dirección: Calle 116 </w:t>
    </w:r>
    <w:proofErr w:type="spellStart"/>
    <w:r>
      <w:rPr>
        <w:rFonts w:ascii="Helvetica Neue" w:eastAsia="Helvetica Neue" w:hAnsi="Helvetica Neue" w:cs="Helvetica Neue"/>
        <w:b/>
        <w:sz w:val="20"/>
        <w:szCs w:val="20"/>
      </w:rPr>
      <w:t>No.7</w:t>
    </w:r>
    <w:proofErr w:type="spellEnd"/>
    <w:r>
      <w:rPr>
        <w:rFonts w:ascii="Helvetica Neue" w:eastAsia="Helvetica Neue" w:hAnsi="Helvetica Neue" w:cs="Helvetica Neue"/>
        <w:b/>
        <w:sz w:val="20"/>
        <w:szCs w:val="20"/>
      </w:rPr>
      <w:t xml:space="preserve"> - 15, Bogotá D.C., Colombia</w:t>
    </w:r>
  </w:p>
  <w:p w14:paraId="45D3B0D9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Conmutador: (+57) 601 603 2020</w:t>
    </w:r>
  </w:p>
  <w:p w14:paraId="65345663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Línea Gratuita: (+57) 01 8000 512734</w:t>
    </w:r>
  </w:p>
  <w:bookmarkEnd w:id="0"/>
  <w:p w14:paraId="726A889B" w14:textId="67777E39" w:rsidR="003F2F4B" w:rsidRDefault="003F2F4B" w:rsidP="003F2F4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FE865" w14:textId="77777777" w:rsidR="00BE0945" w:rsidRDefault="00BE0945" w:rsidP="00AA0519">
      <w:r>
        <w:separator/>
      </w:r>
    </w:p>
  </w:footnote>
  <w:footnote w:type="continuationSeparator" w:id="0">
    <w:p w14:paraId="30BF18CC" w14:textId="77777777" w:rsidR="00BE0945" w:rsidRDefault="00BE0945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7FB7FA9F" w:rsidR="003F2F4B" w:rsidRPr="008C0A5F" w:rsidRDefault="00497720" w:rsidP="008C0A5F">
    <w:pPr>
      <w:pStyle w:val="Destinario"/>
      <w:spacing w:before="240"/>
      <w:ind w:left="708" w:hanging="708"/>
      <w:rPr>
        <w:sz w:val="22"/>
        <w:szCs w:val="22"/>
      </w:rPr>
    </w:pPr>
    <w:r w:rsidRPr="00497720">
      <w:rPr>
        <w:noProof/>
        <w:sz w:val="22"/>
        <w:szCs w:val="22"/>
      </w:rPr>
      <w:drawing>
        <wp:anchor distT="0" distB="0" distL="114300" distR="114300" simplePos="0" relativeHeight="251662336" behindDoc="0" locked="0" layoutInCell="1" hidden="0" allowOverlap="1" wp14:anchorId="01795D1E" wp14:editId="36537BF1">
          <wp:simplePos x="0" y="0"/>
          <wp:positionH relativeFrom="margin">
            <wp:posOffset>0</wp:posOffset>
          </wp:positionH>
          <wp:positionV relativeFrom="margin">
            <wp:posOffset>-946150</wp:posOffset>
          </wp:positionV>
          <wp:extent cx="1033145" cy="359410"/>
          <wp:effectExtent l="0" t="0" r="0" b="0"/>
          <wp:wrapSquare wrapText="bothSides" distT="0" distB="0" distL="114300" distR="114300"/>
          <wp:docPr id="3" name="image1.jp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a cara feliz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7720">
      <w:rPr>
        <w:noProof/>
        <w:sz w:val="22"/>
        <w:szCs w:val="22"/>
      </w:rPr>
      <w:drawing>
        <wp:anchor distT="0" distB="0" distL="114300" distR="114300" simplePos="0" relativeHeight="251663360" behindDoc="0" locked="0" layoutInCell="1" hidden="0" allowOverlap="1" wp14:anchorId="23CA7744" wp14:editId="45DFD0A1">
          <wp:simplePos x="0" y="0"/>
          <wp:positionH relativeFrom="margin">
            <wp:posOffset>4968240</wp:posOffset>
          </wp:positionH>
          <wp:positionV relativeFrom="margin">
            <wp:posOffset>-889000</wp:posOffset>
          </wp:positionV>
          <wp:extent cx="644400" cy="360000"/>
          <wp:effectExtent l="0" t="0" r="0" b="0"/>
          <wp:wrapSquare wrapText="bothSides" distT="0" distB="0" distL="114300" distR="114300"/>
          <wp:docPr id="5" name="image2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397472AD" w:rsidR="00F82573" w:rsidRDefault="00497720" w:rsidP="005B5736">
    <w:pPr>
      <w:pStyle w:val="Encabezado"/>
      <w:tabs>
        <w:tab w:val="clear" w:pos="4419"/>
        <w:tab w:val="left" w:pos="7274"/>
      </w:tabs>
      <w:ind w:right="-1369"/>
    </w:pPr>
    <w:r w:rsidRPr="00497720">
      <w:rPr>
        <w:noProof/>
      </w:rPr>
      <w:drawing>
        <wp:anchor distT="0" distB="0" distL="114300" distR="114300" simplePos="0" relativeHeight="251659264" behindDoc="0" locked="0" layoutInCell="1" hidden="0" allowOverlap="1" wp14:anchorId="6ECAB9CC" wp14:editId="7348CE4B">
          <wp:simplePos x="0" y="0"/>
          <wp:positionH relativeFrom="margin">
            <wp:posOffset>-47625</wp:posOffset>
          </wp:positionH>
          <wp:positionV relativeFrom="margin">
            <wp:posOffset>-635000</wp:posOffset>
          </wp:positionV>
          <wp:extent cx="1033145" cy="359410"/>
          <wp:effectExtent l="0" t="0" r="0" b="0"/>
          <wp:wrapSquare wrapText="bothSides" distT="0" distB="0" distL="114300" distR="114300"/>
          <wp:docPr id="2041505642" name="image1.jp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a cara feliz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7720">
      <w:rPr>
        <w:noProof/>
      </w:rPr>
      <w:drawing>
        <wp:anchor distT="0" distB="0" distL="114300" distR="114300" simplePos="0" relativeHeight="251660288" behindDoc="0" locked="0" layoutInCell="1" hidden="0" allowOverlap="1" wp14:anchorId="1E5F3093" wp14:editId="42207C2E">
          <wp:simplePos x="0" y="0"/>
          <wp:positionH relativeFrom="margin">
            <wp:posOffset>4920615</wp:posOffset>
          </wp:positionH>
          <wp:positionV relativeFrom="margin">
            <wp:posOffset>-577850</wp:posOffset>
          </wp:positionV>
          <wp:extent cx="644400" cy="360000"/>
          <wp:effectExtent l="0" t="0" r="0" b="0"/>
          <wp:wrapSquare wrapText="bothSides" distT="0" distB="0" distL="114300" distR="114300"/>
          <wp:docPr id="2041505643" name="image2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1E61">
      <w:rPr>
        <w:noProof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C1E"/>
    <w:rsid w:val="00010A7C"/>
    <w:rsid w:val="00011EC2"/>
    <w:rsid w:val="00012BA7"/>
    <w:rsid w:val="00015369"/>
    <w:rsid w:val="000224D1"/>
    <w:rsid w:val="00033258"/>
    <w:rsid w:val="00040E20"/>
    <w:rsid w:val="00042089"/>
    <w:rsid w:val="00046BDF"/>
    <w:rsid w:val="00071BA7"/>
    <w:rsid w:val="00074D17"/>
    <w:rsid w:val="00087E56"/>
    <w:rsid w:val="00093709"/>
    <w:rsid w:val="00097A89"/>
    <w:rsid w:val="000A22D5"/>
    <w:rsid w:val="000A4390"/>
    <w:rsid w:val="000B439A"/>
    <w:rsid w:val="000E1A18"/>
    <w:rsid w:val="000E5AAE"/>
    <w:rsid w:val="000F11F6"/>
    <w:rsid w:val="000F38B4"/>
    <w:rsid w:val="001066A4"/>
    <w:rsid w:val="00107909"/>
    <w:rsid w:val="001215BB"/>
    <w:rsid w:val="00124C31"/>
    <w:rsid w:val="001272BE"/>
    <w:rsid w:val="00141F43"/>
    <w:rsid w:val="0014353D"/>
    <w:rsid w:val="00147724"/>
    <w:rsid w:val="0015041E"/>
    <w:rsid w:val="00153977"/>
    <w:rsid w:val="00153BE7"/>
    <w:rsid w:val="00162EAC"/>
    <w:rsid w:val="0018758F"/>
    <w:rsid w:val="001E0356"/>
    <w:rsid w:val="001E2DD2"/>
    <w:rsid w:val="001F303A"/>
    <w:rsid w:val="001F47AB"/>
    <w:rsid w:val="00201DD5"/>
    <w:rsid w:val="00212267"/>
    <w:rsid w:val="002406B0"/>
    <w:rsid w:val="0024085D"/>
    <w:rsid w:val="00273381"/>
    <w:rsid w:val="00273F79"/>
    <w:rsid w:val="00282E6A"/>
    <w:rsid w:val="002928E4"/>
    <w:rsid w:val="00297C25"/>
    <w:rsid w:val="002A3477"/>
    <w:rsid w:val="002B6097"/>
    <w:rsid w:val="002C0D58"/>
    <w:rsid w:val="002C26C3"/>
    <w:rsid w:val="00315239"/>
    <w:rsid w:val="00322BC1"/>
    <w:rsid w:val="00324760"/>
    <w:rsid w:val="00344A59"/>
    <w:rsid w:val="00344CB2"/>
    <w:rsid w:val="0034540D"/>
    <w:rsid w:val="00353D1D"/>
    <w:rsid w:val="0035632E"/>
    <w:rsid w:val="00356A25"/>
    <w:rsid w:val="00361896"/>
    <w:rsid w:val="00361DFF"/>
    <w:rsid w:val="0038014E"/>
    <w:rsid w:val="0039095F"/>
    <w:rsid w:val="003A7FC9"/>
    <w:rsid w:val="003B1FEC"/>
    <w:rsid w:val="003B5087"/>
    <w:rsid w:val="003C7E1C"/>
    <w:rsid w:val="003D7B99"/>
    <w:rsid w:val="003E2D6B"/>
    <w:rsid w:val="003F2F4B"/>
    <w:rsid w:val="00401E61"/>
    <w:rsid w:val="004142B1"/>
    <w:rsid w:val="004170AF"/>
    <w:rsid w:val="00420A05"/>
    <w:rsid w:val="00421103"/>
    <w:rsid w:val="004256EC"/>
    <w:rsid w:val="00456720"/>
    <w:rsid w:val="00456EEA"/>
    <w:rsid w:val="00457A00"/>
    <w:rsid w:val="00457CC2"/>
    <w:rsid w:val="004730E5"/>
    <w:rsid w:val="00483D6B"/>
    <w:rsid w:val="00497720"/>
    <w:rsid w:val="004A38C1"/>
    <w:rsid w:val="004A6CAB"/>
    <w:rsid w:val="004A7790"/>
    <w:rsid w:val="004B3865"/>
    <w:rsid w:val="004B4D4F"/>
    <w:rsid w:val="004B5CBA"/>
    <w:rsid w:val="004C03A0"/>
    <w:rsid w:val="004C0855"/>
    <w:rsid w:val="004C2412"/>
    <w:rsid w:val="004C57D2"/>
    <w:rsid w:val="004C69B7"/>
    <w:rsid w:val="004D37FD"/>
    <w:rsid w:val="004E017D"/>
    <w:rsid w:val="00515BEF"/>
    <w:rsid w:val="0053330D"/>
    <w:rsid w:val="00544844"/>
    <w:rsid w:val="005604AC"/>
    <w:rsid w:val="00561E52"/>
    <w:rsid w:val="0056332C"/>
    <w:rsid w:val="005678F9"/>
    <w:rsid w:val="005723D7"/>
    <w:rsid w:val="0057638B"/>
    <w:rsid w:val="00587F12"/>
    <w:rsid w:val="00596C24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33ABB"/>
    <w:rsid w:val="00651863"/>
    <w:rsid w:val="006629AD"/>
    <w:rsid w:val="00697322"/>
    <w:rsid w:val="006A306D"/>
    <w:rsid w:val="006A3AF0"/>
    <w:rsid w:val="006B13B8"/>
    <w:rsid w:val="006E1726"/>
    <w:rsid w:val="006E22E8"/>
    <w:rsid w:val="006F401D"/>
    <w:rsid w:val="006F46D9"/>
    <w:rsid w:val="00717096"/>
    <w:rsid w:val="007247FF"/>
    <w:rsid w:val="00724E36"/>
    <w:rsid w:val="00732E53"/>
    <w:rsid w:val="00735E1F"/>
    <w:rsid w:val="0074199A"/>
    <w:rsid w:val="007422B8"/>
    <w:rsid w:val="00742D55"/>
    <w:rsid w:val="00752DEC"/>
    <w:rsid w:val="00756D98"/>
    <w:rsid w:val="00762CBD"/>
    <w:rsid w:val="00763D12"/>
    <w:rsid w:val="00766D22"/>
    <w:rsid w:val="0078044B"/>
    <w:rsid w:val="0078631A"/>
    <w:rsid w:val="007A7C1D"/>
    <w:rsid w:val="007C73B0"/>
    <w:rsid w:val="007F42E3"/>
    <w:rsid w:val="007F4E31"/>
    <w:rsid w:val="008066FD"/>
    <w:rsid w:val="00806971"/>
    <w:rsid w:val="008071CC"/>
    <w:rsid w:val="008112C4"/>
    <w:rsid w:val="00823401"/>
    <w:rsid w:val="00830CA0"/>
    <w:rsid w:val="00835FFD"/>
    <w:rsid w:val="00840C7E"/>
    <w:rsid w:val="00847F9E"/>
    <w:rsid w:val="00847FE4"/>
    <w:rsid w:val="00851881"/>
    <w:rsid w:val="00851BC8"/>
    <w:rsid w:val="008717FF"/>
    <w:rsid w:val="008776E3"/>
    <w:rsid w:val="00896CB8"/>
    <w:rsid w:val="008A0AF4"/>
    <w:rsid w:val="008A1019"/>
    <w:rsid w:val="008B0943"/>
    <w:rsid w:val="008C0A5F"/>
    <w:rsid w:val="008C5DE9"/>
    <w:rsid w:val="008C5E94"/>
    <w:rsid w:val="008D304E"/>
    <w:rsid w:val="00902889"/>
    <w:rsid w:val="00911B91"/>
    <w:rsid w:val="00912E59"/>
    <w:rsid w:val="00913F4D"/>
    <w:rsid w:val="00930F73"/>
    <w:rsid w:val="00940AF4"/>
    <w:rsid w:val="00952406"/>
    <w:rsid w:val="00957BE3"/>
    <w:rsid w:val="00963F8A"/>
    <w:rsid w:val="00976702"/>
    <w:rsid w:val="00993610"/>
    <w:rsid w:val="00997576"/>
    <w:rsid w:val="009A0717"/>
    <w:rsid w:val="009A3312"/>
    <w:rsid w:val="009A4F59"/>
    <w:rsid w:val="009B4037"/>
    <w:rsid w:val="009C0EBF"/>
    <w:rsid w:val="009E7865"/>
    <w:rsid w:val="009F1F3E"/>
    <w:rsid w:val="009F3478"/>
    <w:rsid w:val="009F5428"/>
    <w:rsid w:val="009F7B31"/>
    <w:rsid w:val="00A15CDD"/>
    <w:rsid w:val="00A15D55"/>
    <w:rsid w:val="00A23629"/>
    <w:rsid w:val="00A30288"/>
    <w:rsid w:val="00A50843"/>
    <w:rsid w:val="00A73321"/>
    <w:rsid w:val="00A74DF2"/>
    <w:rsid w:val="00A84924"/>
    <w:rsid w:val="00A90A86"/>
    <w:rsid w:val="00A92B44"/>
    <w:rsid w:val="00AA0519"/>
    <w:rsid w:val="00AA1AA3"/>
    <w:rsid w:val="00AA7A5F"/>
    <w:rsid w:val="00AB4F51"/>
    <w:rsid w:val="00AC5CA5"/>
    <w:rsid w:val="00AC6933"/>
    <w:rsid w:val="00AD5B03"/>
    <w:rsid w:val="00AE7AC2"/>
    <w:rsid w:val="00AF7D71"/>
    <w:rsid w:val="00B1393C"/>
    <w:rsid w:val="00B13BD0"/>
    <w:rsid w:val="00B269BC"/>
    <w:rsid w:val="00B31716"/>
    <w:rsid w:val="00B37FAA"/>
    <w:rsid w:val="00B42686"/>
    <w:rsid w:val="00B74DFE"/>
    <w:rsid w:val="00B83D8C"/>
    <w:rsid w:val="00B85D50"/>
    <w:rsid w:val="00B96A42"/>
    <w:rsid w:val="00B979CA"/>
    <w:rsid w:val="00BA24A5"/>
    <w:rsid w:val="00BA6D78"/>
    <w:rsid w:val="00BC2D8F"/>
    <w:rsid w:val="00BE0945"/>
    <w:rsid w:val="00C41195"/>
    <w:rsid w:val="00C45A89"/>
    <w:rsid w:val="00C81E1F"/>
    <w:rsid w:val="00C82A84"/>
    <w:rsid w:val="00C9169C"/>
    <w:rsid w:val="00C93328"/>
    <w:rsid w:val="00CB3666"/>
    <w:rsid w:val="00CB7ADA"/>
    <w:rsid w:val="00CC4C18"/>
    <w:rsid w:val="00CC7E2C"/>
    <w:rsid w:val="00CD6394"/>
    <w:rsid w:val="00CE18CB"/>
    <w:rsid w:val="00CE66F4"/>
    <w:rsid w:val="00D27AC6"/>
    <w:rsid w:val="00D31768"/>
    <w:rsid w:val="00D33B83"/>
    <w:rsid w:val="00D3663C"/>
    <w:rsid w:val="00D43016"/>
    <w:rsid w:val="00D754A1"/>
    <w:rsid w:val="00D915DC"/>
    <w:rsid w:val="00D91B7A"/>
    <w:rsid w:val="00D91FC3"/>
    <w:rsid w:val="00D93F92"/>
    <w:rsid w:val="00DA5F1E"/>
    <w:rsid w:val="00DA7E1C"/>
    <w:rsid w:val="00DC6E36"/>
    <w:rsid w:val="00DE53B3"/>
    <w:rsid w:val="00DE6466"/>
    <w:rsid w:val="00DF479C"/>
    <w:rsid w:val="00DF74F6"/>
    <w:rsid w:val="00DF79E2"/>
    <w:rsid w:val="00E035CC"/>
    <w:rsid w:val="00E12277"/>
    <w:rsid w:val="00E411AE"/>
    <w:rsid w:val="00E54E3B"/>
    <w:rsid w:val="00E56853"/>
    <w:rsid w:val="00E67FBD"/>
    <w:rsid w:val="00E77923"/>
    <w:rsid w:val="00E9119E"/>
    <w:rsid w:val="00E920CC"/>
    <w:rsid w:val="00E97EAA"/>
    <w:rsid w:val="00EA0440"/>
    <w:rsid w:val="00EB4169"/>
    <w:rsid w:val="00EB4BF8"/>
    <w:rsid w:val="00EC082A"/>
    <w:rsid w:val="00EC1D22"/>
    <w:rsid w:val="00EC5291"/>
    <w:rsid w:val="00EC7BF8"/>
    <w:rsid w:val="00ED13AA"/>
    <w:rsid w:val="00ED196E"/>
    <w:rsid w:val="00EE4BE9"/>
    <w:rsid w:val="00F02D43"/>
    <w:rsid w:val="00F07944"/>
    <w:rsid w:val="00F13D47"/>
    <w:rsid w:val="00F15717"/>
    <w:rsid w:val="00F35EFC"/>
    <w:rsid w:val="00F45CF7"/>
    <w:rsid w:val="00F66BF3"/>
    <w:rsid w:val="00F7277F"/>
    <w:rsid w:val="00F73A76"/>
    <w:rsid w:val="00F80B1D"/>
    <w:rsid w:val="00F82573"/>
    <w:rsid w:val="00FA6661"/>
    <w:rsid w:val="00FB07C1"/>
    <w:rsid w:val="00FC15D4"/>
    <w:rsid w:val="00FC759B"/>
    <w:rsid w:val="00FC7728"/>
    <w:rsid w:val="00FD2A8B"/>
    <w:rsid w:val="00FD726E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5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57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941B-AE73-4F73-8413-B70162B6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1765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5</cp:revision>
  <cp:lastPrinted>2024-08-22T21:28:00Z</cp:lastPrinted>
  <dcterms:created xsi:type="dcterms:W3CDTF">2024-08-22T20:50:00Z</dcterms:created>
  <dcterms:modified xsi:type="dcterms:W3CDTF">2024-08-22T21:28:00Z</dcterms:modified>
</cp:coreProperties>
</file>