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248A5" w14:textId="77777777" w:rsidR="00050D0A" w:rsidRPr="00147203" w:rsidRDefault="00050D0A" w:rsidP="00050D0A">
      <w:pPr>
        <w:rPr>
          <w:rFonts w:ascii="Helvetica" w:hAnsi="Helvetica" w:cs="Helvetica"/>
          <w:lang w:val="es-MX"/>
        </w:rPr>
      </w:pPr>
      <w:r w:rsidRPr="00147203">
        <w:rPr>
          <w:rFonts w:ascii="Helvetica" w:hAnsi="Helvetica" w:cs="Helvetica"/>
          <w:lang w:val="es-MX"/>
        </w:rPr>
        <w:t xml:space="preserve">Bogotá, D.C.,  </w:t>
      </w:r>
      <w:r w:rsidRPr="00147203">
        <w:rPr>
          <w:rFonts w:ascii="Helvetica" w:hAnsi="Helvetica" w:cs="Helvetica"/>
          <w:lang w:val="es-MX"/>
        </w:rPr>
        <w:fldChar w:fldCharType="begin"/>
      </w:r>
      <w:r w:rsidRPr="00147203">
        <w:rPr>
          <w:rFonts w:ascii="Helvetica" w:hAnsi="Helvetica" w:cs="Helvetica"/>
          <w:lang w:val="es-MX"/>
        </w:rPr>
        <w:instrText xml:space="preserve"> MERGEFIELD  Fecha  \* MERGEFORMAT </w:instrText>
      </w:r>
      <w:r w:rsidRPr="00147203">
        <w:rPr>
          <w:rFonts w:ascii="Helvetica" w:hAnsi="Helvetica" w:cs="Helvetica"/>
          <w:lang w:val="es-MX"/>
        </w:rPr>
        <w:fldChar w:fldCharType="separate"/>
      </w:r>
      <w:r w:rsidRPr="00147203">
        <w:rPr>
          <w:rFonts w:ascii="Helvetica" w:hAnsi="Helvetica" w:cs="Helvetica"/>
          <w:noProof/>
          <w:lang w:val="es-MX"/>
        </w:rPr>
        <w:t>26 de noviembre de 2024</w:t>
      </w:r>
      <w:r w:rsidRPr="00147203">
        <w:rPr>
          <w:rFonts w:ascii="Helvetica" w:hAnsi="Helvetica" w:cs="Helvetica"/>
          <w:lang w:val="es-MX"/>
        </w:rPr>
        <w:fldChar w:fldCharType="end"/>
      </w:r>
    </w:p>
    <w:p w14:paraId="0529B0FF" w14:textId="77777777" w:rsidR="00050D0A" w:rsidRPr="00147203" w:rsidRDefault="00050D0A" w:rsidP="00050D0A">
      <w:pPr>
        <w:rPr>
          <w:rFonts w:ascii="Helvetica" w:hAnsi="Helvetica" w:cs="Helvetica"/>
          <w:lang w:val="es-MX"/>
        </w:rPr>
      </w:pPr>
    </w:p>
    <w:p w14:paraId="2B77CBF4" w14:textId="77777777" w:rsidR="00050D0A" w:rsidRPr="00147203" w:rsidRDefault="00050D0A" w:rsidP="00050D0A">
      <w:pPr>
        <w:pStyle w:val="Ttulo5"/>
        <w:spacing w:before="0" w:line="220" w:lineRule="atLeast"/>
        <w:ind w:left="720"/>
        <w:jc w:val="center"/>
        <w:rPr>
          <w:rFonts w:ascii="Helvetica" w:eastAsia="Times New Roman" w:hAnsi="Helvetica" w:cs="Helvetica"/>
          <w:b/>
          <w:bCs/>
          <w:i/>
          <w:iCs/>
          <w:noProof/>
          <w:color w:val="auto"/>
          <w:spacing w:val="-5"/>
          <w:kern w:val="60"/>
        </w:rPr>
      </w:pPr>
      <w:r w:rsidRPr="00147203">
        <w:rPr>
          <w:rFonts w:ascii="Helvetica" w:eastAsia="Times New Roman" w:hAnsi="Helvetica" w:cs="Helvetica"/>
          <w:b/>
          <w:bCs/>
          <w:i/>
          <w:iCs/>
          <w:noProof/>
          <w:color w:val="auto"/>
          <w:spacing w:val="-5"/>
          <w:kern w:val="60"/>
        </w:rPr>
        <w:t xml:space="preserve">CIRCULAR No. </w:t>
      </w:r>
      <w:r w:rsidRPr="00147203">
        <w:rPr>
          <w:rFonts w:ascii="Helvetica" w:eastAsia="Times New Roman" w:hAnsi="Helvetica" w:cs="Helvetica"/>
          <w:b/>
          <w:bCs/>
          <w:i/>
          <w:iCs/>
          <w:noProof/>
          <w:color w:val="auto"/>
          <w:spacing w:val="-5"/>
          <w:kern w:val="60"/>
        </w:rPr>
        <w:fldChar w:fldCharType="begin"/>
      </w:r>
      <w:r w:rsidRPr="00147203">
        <w:rPr>
          <w:rFonts w:ascii="Helvetica" w:eastAsia="Times New Roman" w:hAnsi="Helvetica" w:cs="Helvetica"/>
          <w:b/>
          <w:bCs/>
          <w:i/>
          <w:iCs/>
          <w:noProof/>
          <w:color w:val="auto"/>
          <w:spacing w:val="-5"/>
          <w:kern w:val="60"/>
        </w:rPr>
        <w:instrText xml:space="preserve"> MERGEFIELD  NumeroCircular  \* MERGEFORMAT </w:instrText>
      </w:r>
      <w:r w:rsidRPr="00147203">
        <w:rPr>
          <w:rFonts w:ascii="Helvetica" w:eastAsia="Times New Roman" w:hAnsi="Helvetica" w:cs="Helvetica"/>
          <w:b/>
          <w:bCs/>
          <w:i/>
          <w:iCs/>
          <w:noProof/>
          <w:color w:val="auto"/>
          <w:spacing w:val="-5"/>
          <w:kern w:val="60"/>
        </w:rPr>
        <w:fldChar w:fldCharType="separate"/>
      </w:r>
      <w:r w:rsidRPr="00147203">
        <w:rPr>
          <w:rFonts w:ascii="Helvetica" w:eastAsia="Times New Roman" w:hAnsi="Helvetica" w:cs="Helvetica"/>
          <w:b/>
          <w:bCs/>
          <w:i/>
          <w:iCs/>
          <w:noProof/>
          <w:color w:val="auto"/>
          <w:spacing w:val="-5"/>
          <w:kern w:val="60"/>
        </w:rPr>
        <w:t>097 de 2024</w:t>
      </w:r>
      <w:r w:rsidRPr="00147203">
        <w:rPr>
          <w:rFonts w:ascii="Helvetica" w:eastAsia="Times New Roman" w:hAnsi="Helvetica" w:cs="Helvetica"/>
          <w:b/>
          <w:bCs/>
          <w:i/>
          <w:iCs/>
          <w:noProof/>
          <w:color w:val="auto"/>
          <w:spacing w:val="-5"/>
          <w:kern w:val="60"/>
        </w:rPr>
        <w:fldChar w:fldCharType="end"/>
      </w:r>
    </w:p>
    <w:p w14:paraId="2DD814A7" w14:textId="77777777" w:rsidR="00050D0A" w:rsidRPr="00147203" w:rsidRDefault="00050D0A" w:rsidP="00050D0A">
      <w:pPr>
        <w:pStyle w:val="Ttulo5"/>
        <w:spacing w:before="0" w:line="220" w:lineRule="atLeast"/>
        <w:ind w:left="720"/>
        <w:jc w:val="center"/>
        <w:rPr>
          <w:rFonts w:ascii="Helvetica" w:eastAsia="Times New Roman" w:hAnsi="Helvetica" w:cs="Helvetica"/>
          <w:b/>
          <w:bCs/>
          <w:i/>
          <w:iCs/>
          <w:noProof/>
          <w:color w:val="auto"/>
          <w:spacing w:val="-5"/>
          <w:kern w:val="60"/>
        </w:rPr>
      </w:pPr>
    </w:p>
    <w:p w14:paraId="559D094F" w14:textId="0036ED12" w:rsidR="00050D0A" w:rsidRPr="00147203" w:rsidRDefault="00050D0A" w:rsidP="00974E6C">
      <w:pPr>
        <w:tabs>
          <w:tab w:val="left" w:pos="709"/>
        </w:tabs>
        <w:spacing w:before="360"/>
        <w:ind w:left="1418" w:hanging="1418"/>
        <w:jc w:val="both"/>
        <w:rPr>
          <w:rFonts w:ascii="Helvetica" w:eastAsia="Times New Roman" w:hAnsi="Helvetica" w:cs="Helvetica"/>
          <w:spacing w:val="-5"/>
        </w:rPr>
      </w:pPr>
      <w:r w:rsidRPr="00147203">
        <w:rPr>
          <w:rFonts w:ascii="Helvetica" w:hAnsi="Helvetica" w:cs="Helvetica"/>
          <w:b/>
        </w:rPr>
        <w:t>PARA:</w:t>
      </w:r>
      <w:r w:rsidR="00974E6C" w:rsidRPr="00147203">
        <w:rPr>
          <w:rFonts w:ascii="Helvetica" w:hAnsi="Helvetica" w:cs="Helvetica"/>
          <w:b/>
        </w:rPr>
        <w:tab/>
      </w:r>
      <w:r w:rsidRPr="00147203">
        <w:rPr>
          <w:rFonts w:ascii="Helvetica" w:hAnsi="Helvetica" w:cs="Helvetica"/>
          <w:b/>
        </w:rPr>
        <w:fldChar w:fldCharType="begin"/>
      </w:r>
      <w:r w:rsidRPr="00147203">
        <w:rPr>
          <w:rFonts w:ascii="Helvetica" w:hAnsi="Helvetica" w:cs="Helvetica"/>
          <w:b/>
        </w:rPr>
        <w:instrText xml:space="preserve"> MERGEFIELD  Destinatario  \* MERGEFORMAT </w:instrText>
      </w:r>
      <w:r w:rsidRPr="00147203">
        <w:rPr>
          <w:rFonts w:ascii="Helvetica" w:hAnsi="Helvetica" w:cs="Helvetica"/>
          <w:b/>
        </w:rPr>
        <w:fldChar w:fldCharType="separate"/>
      </w:r>
      <w:r w:rsidRPr="00147203">
        <w:rPr>
          <w:rFonts w:ascii="Helvetica" w:hAnsi="Helvetica" w:cs="Helvetica"/>
          <w:b/>
          <w:noProof/>
        </w:rPr>
        <w:t>EMPRESAS COMERCIALIZADORAS DE GAS NATURAL QUE ATIENDEN USUARIOS REGULADOS</w:t>
      </w:r>
      <w:r w:rsidRPr="00147203">
        <w:rPr>
          <w:rFonts w:ascii="Helvetica" w:hAnsi="Helvetica" w:cs="Helvetica"/>
          <w:b/>
        </w:rPr>
        <w:fldChar w:fldCharType="end"/>
      </w:r>
    </w:p>
    <w:p w14:paraId="047AEFD9" w14:textId="77777777" w:rsidR="00050D0A" w:rsidRPr="00147203" w:rsidRDefault="00050D0A" w:rsidP="00147203">
      <w:pPr>
        <w:pStyle w:val="Sangradetextonormal"/>
        <w:spacing w:before="360"/>
        <w:ind w:left="1412" w:hanging="1412"/>
        <w:rPr>
          <w:rFonts w:ascii="Helvetica" w:hAnsi="Helvetica" w:cs="Helvetica"/>
          <w:b/>
        </w:rPr>
      </w:pPr>
      <w:r w:rsidRPr="00147203">
        <w:rPr>
          <w:rFonts w:ascii="Helvetica" w:hAnsi="Helvetica" w:cs="Helvetica"/>
          <w:b/>
        </w:rPr>
        <w:t>DE:</w:t>
      </w:r>
      <w:r w:rsidRPr="00147203">
        <w:rPr>
          <w:rFonts w:ascii="Helvetica" w:hAnsi="Helvetica" w:cs="Helvetica"/>
          <w:b/>
        </w:rPr>
        <w:tab/>
      </w:r>
      <w:r w:rsidRPr="00147203">
        <w:rPr>
          <w:rFonts w:ascii="Helvetica" w:hAnsi="Helvetica" w:cs="Helvetica"/>
          <w:b/>
        </w:rPr>
        <w:fldChar w:fldCharType="begin"/>
      </w:r>
      <w:r w:rsidRPr="00147203">
        <w:rPr>
          <w:rFonts w:ascii="Helvetica" w:hAnsi="Helvetica" w:cs="Helvetica"/>
          <w:b/>
        </w:rPr>
        <w:instrText xml:space="preserve"> MERGEFIELD  Remitente  \* MERGEFORMAT </w:instrText>
      </w:r>
      <w:r w:rsidRPr="00147203">
        <w:rPr>
          <w:rFonts w:ascii="Helvetica" w:hAnsi="Helvetica" w:cs="Helvetica"/>
          <w:b/>
        </w:rPr>
        <w:fldChar w:fldCharType="separate"/>
      </w:r>
      <w:r w:rsidRPr="00147203">
        <w:rPr>
          <w:rFonts w:ascii="Helvetica" w:hAnsi="Helvetica" w:cs="Helvetica"/>
          <w:b/>
          <w:noProof/>
        </w:rPr>
        <w:t>DIRECCIÓN EJECUTIVA DE LA CREG</w:t>
      </w:r>
      <w:r w:rsidRPr="00147203">
        <w:rPr>
          <w:rFonts w:ascii="Helvetica" w:hAnsi="Helvetica" w:cs="Helvetica"/>
          <w:b/>
        </w:rPr>
        <w:fldChar w:fldCharType="end"/>
      </w:r>
    </w:p>
    <w:p w14:paraId="48B4C889" w14:textId="77777777" w:rsidR="00050D0A" w:rsidRPr="00147203" w:rsidRDefault="00050D0A" w:rsidP="00147203">
      <w:pPr>
        <w:pStyle w:val="Sangradetextonormal"/>
        <w:spacing w:before="360"/>
        <w:ind w:left="1412" w:hanging="1412"/>
        <w:rPr>
          <w:rFonts w:ascii="Helvetica" w:hAnsi="Helvetica" w:cs="Helvetica"/>
          <w:b/>
        </w:rPr>
      </w:pPr>
      <w:r w:rsidRPr="00147203">
        <w:rPr>
          <w:rFonts w:ascii="Helvetica" w:hAnsi="Helvetica" w:cs="Helvetica"/>
          <w:b/>
        </w:rPr>
        <w:t>ASUNTO:</w:t>
      </w:r>
      <w:r w:rsidRPr="00147203">
        <w:rPr>
          <w:rFonts w:ascii="Helvetica" w:hAnsi="Helvetica" w:cs="Helvetica"/>
          <w:b/>
        </w:rPr>
        <w:tab/>
      </w:r>
      <w:r w:rsidRPr="00147203">
        <w:rPr>
          <w:rFonts w:ascii="Helvetica" w:hAnsi="Helvetica" w:cs="Helvetica"/>
          <w:b/>
        </w:rPr>
        <w:fldChar w:fldCharType="begin"/>
      </w:r>
      <w:r w:rsidRPr="00147203">
        <w:rPr>
          <w:rFonts w:ascii="Helvetica" w:hAnsi="Helvetica" w:cs="Helvetica"/>
          <w:b/>
        </w:rPr>
        <w:instrText xml:space="preserve"> MERGEFIELD  Asunto  \* MERGEFORMAT </w:instrText>
      </w:r>
      <w:r w:rsidRPr="00147203">
        <w:rPr>
          <w:rFonts w:ascii="Helvetica" w:hAnsi="Helvetica" w:cs="Helvetica"/>
          <w:b/>
        </w:rPr>
        <w:fldChar w:fldCharType="separate"/>
      </w:r>
      <w:r w:rsidRPr="00147203">
        <w:rPr>
          <w:rFonts w:ascii="Helvetica" w:hAnsi="Helvetica" w:cs="Helvetica"/>
          <w:b/>
          <w:noProof/>
        </w:rPr>
        <w:t>PUBLICACIÓN DE LOS VALORES DE dy,i,j PARA LA APLICACIÓN DEL RANGO DE COMPRAS DE GAS DE LAS FÓRMULAS TARIFARIAS GENERALES, CONFORME A LO ESTABLECIDO EN LA RESOLUCIÓN CREG 137 DE 2013.</w:t>
      </w:r>
      <w:r w:rsidRPr="00147203">
        <w:rPr>
          <w:rFonts w:ascii="Helvetica" w:hAnsi="Helvetica" w:cs="Helvetica"/>
          <w:b/>
        </w:rPr>
        <w:fldChar w:fldCharType="end"/>
      </w:r>
    </w:p>
    <w:p w14:paraId="30043A31" w14:textId="77777777" w:rsidR="00050D0A" w:rsidRPr="00147203" w:rsidRDefault="00050D0A" w:rsidP="00050D0A">
      <w:pPr>
        <w:pStyle w:val="NormalWeb"/>
        <w:shd w:val="clear" w:color="auto" w:fill="FFFFFF"/>
        <w:spacing w:before="360" w:beforeAutospacing="0" w:after="0" w:afterAutospacing="0" w:line="360" w:lineRule="auto"/>
        <w:jc w:val="both"/>
        <w:rPr>
          <w:rFonts w:ascii="Helvetica" w:hAnsi="Helvetica" w:cs="Helvetica"/>
        </w:rPr>
      </w:pPr>
      <w:r w:rsidRPr="00147203">
        <w:rPr>
          <w:rFonts w:ascii="Helvetica" w:hAnsi="Helvetica" w:cs="Helvetica"/>
        </w:rPr>
        <w:t xml:space="preserve">La Dirección Ejecutiva de la CREG, de conformidad con lo establecido en el </w:t>
      </w:r>
      <w:proofErr w:type="spellStart"/>
      <w:r w:rsidRPr="00147203">
        <w:rPr>
          <w:rFonts w:ascii="Helvetica" w:hAnsi="Helvetica" w:cs="Helvetica"/>
        </w:rPr>
        <w:t>subnumeral</w:t>
      </w:r>
      <w:proofErr w:type="spellEnd"/>
      <w:r w:rsidRPr="00147203">
        <w:rPr>
          <w:rFonts w:ascii="Helvetica" w:hAnsi="Helvetica" w:cs="Helvetica"/>
        </w:rPr>
        <w:t xml:space="preserve"> 5, literal C del numeral 5.1.1. del artículo 5 de la Resolución CREG 137 de 2013, </w:t>
      </w:r>
      <w:r w:rsidRPr="00147203">
        <w:rPr>
          <w:rFonts w:ascii="Helvetica" w:hAnsi="Helvetica" w:cs="Helvetica"/>
          <w:i/>
          <w:iCs/>
        </w:rPr>
        <w:t>“Por la cual se establecen las Fórmulas Tarifarias Generales para la prestación del servicio público domiciliario de gas combustible por redes de tubería a usuarios regulados”</w:t>
      </w:r>
      <w:r w:rsidRPr="00147203">
        <w:rPr>
          <w:rFonts w:ascii="Helvetica" w:hAnsi="Helvetica" w:cs="Helvetica"/>
        </w:rPr>
        <w:t xml:space="preserve">, publica los valores correspondientes a la variable </w:t>
      </w:r>
      <m:oMath>
        <m:sSub>
          <m:sSubPr>
            <m:ctrlPr>
              <w:rPr>
                <w:rFonts w:ascii="Cambria Math" w:hAnsi="Cambria Math" w:cs="Helvetica"/>
              </w:rPr>
            </m:ctrlPr>
          </m:sSubPr>
          <m:e>
            <m:r>
              <m:rPr>
                <m:sty m:val="p"/>
              </m:rPr>
              <w:rPr>
                <w:rFonts w:ascii="Cambria Math" w:hAnsi="Cambria Math" w:cs="Helvetica"/>
              </w:rPr>
              <m:t>d</m:t>
            </m:r>
          </m:e>
          <m:sub>
            <m:r>
              <m:rPr>
                <m:sty m:val="p"/>
              </m:rPr>
              <w:rPr>
                <w:rFonts w:ascii="Cambria Math" w:hAnsi="Cambria Math" w:cs="Helvetica"/>
              </w:rPr>
              <m:t>y,i,j</m:t>
            </m:r>
          </m:sub>
        </m:sSub>
      </m:oMath>
      <w:r w:rsidRPr="00147203">
        <w:rPr>
          <w:rFonts w:ascii="Helvetica" w:hAnsi="Helvetica" w:cs="Helvetica"/>
        </w:rPr>
        <w:t xml:space="preserve">  determinados en la </w:t>
      </w:r>
      <w:r w:rsidRPr="00147203">
        <w:rPr>
          <w:rFonts w:ascii="Helvetica" w:hAnsi="Helvetica" w:cs="Helvetica"/>
          <w:b/>
          <w:bCs/>
        </w:rPr>
        <w:t>Tabla 2</w:t>
      </w:r>
      <w:r w:rsidRPr="00147203">
        <w:rPr>
          <w:rFonts w:ascii="Helvetica" w:hAnsi="Helvetica" w:cs="Helvetica"/>
        </w:rPr>
        <w:t xml:space="preserve"> de esta Circular, que se deben utilizar desde el 1° de diciembre del año 2024 hasta el 30 de noviembre del año 2025 para la definición del rango de cantidades de compras de gas natural para cada uno de los mercados relevantes de comercialización con consumos mayores o iguales a siete millones de metros cúbicos (≥7.000.000 m3).</w:t>
      </w:r>
    </w:p>
    <w:p w14:paraId="2D392AC4" w14:textId="77777777" w:rsidR="00050D0A" w:rsidRPr="00147203" w:rsidRDefault="00050D0A" w:rsidP="00050D0A">
      <w:pPr>
        <w:pStyle w:val="NormalWeb"/>
        <w:shd w:val="clear" w:color="auto" w:fill="FFFFFF"/>
        <w:spacing w:before="0" w:after="0" w:line="360" w:lineRule="auto"/>
        <w:jc w:val="both"/>
        <w:rPr>
          <w:rFonts w:ascii="Helvetica" w:hAnsi="Helvetica" w:cs="Helvetica"/>
        </w:rPr>
      </w:pPr>
      <w:r w:rsidRPr="00147203">
        <w:rPr>
          <w:rFonts w:ascii="Helvetica" w:hAnsi="Helvetica" w:cs="Helvetica"/>
        </w:rPr>
        <w:t>Los valores que se publican resultan de la aplicación de las fórmulas contenidas en la Resolución CREG 137 de 2013, considerando la siguiente información:</w:t>
      </w:r>
    </w:p>
    <w:p w14:paraId="052A6731" w14:textId="77777777" w:rsidR="00050D0A" w:rsidRPr="00147203" w:rsidRDefault="00050D0A" w:rsidP="00050D0A">
      <w:pPr>
        <w:pStyle w:val="NormalWeb"/>
        <w:numPr>
          <w:ilvl w:val="0"/>
          <w:numId w:val="5"/>
        </w:numPr>
        <w:shd w:val="clear" w:color="auto" w:fill="FFFFFF"/>
        <w:spacing w:before="120" w:beforeAutospacing="0" w:after="120" w:afterAutospacing="0" w:line="360" w:lineRule="auto"/>
        <w:ind w:left="425" w:hanging="425"/>
        <w:jc w:val="both"/>
        <w:rPr>
          <w:rFonts w:ascii="Helvetica" w:hAnsi="Helvetica" w:cs="Helvetica"/>
        </w:rPr>
      </w:pPr>
      <w:r w:rsidRPr="00147203">
        <w:rPr>
          <w:rFonts w:ascii="Helvetica" w:hAnsi="Helvetica" w:cs="Helvetica"/>
        </w:rPr>
        <w:lastRenderedPageBreak/>
        <w:t xml:space="preserve">Valores de los datos históricos de consumo diario de usuarios regulados en el mercado relevante que atienden y que han sido remitidos por La Bolsa Mercantil de Colombia, en su calidad de Gestor del Mercado de Gas Natural, mediante radicado CREG E2024007978 respecto de los comercializadores: Alcanos de Colombia S.A. E.S.P., Empresas Públicas de Medellín E.S.P., Gas Natural Cundiboyacense S.A. E.S.P., Gases de Occidente S.A. E.S.P., Gases del Caribe S.A. E.S.P., Surtidora de Gas del Caribe S.A. E.S.P y </w:t>
      </w:r>
      <w:proofErr w:type="spellStart"/>
      <w:r w:rsidRPr="00147203">
        <w:rPr>
          <w:rFonts w:ascii="Helvetica" w:hAnsi="Helvetica" w:cs="Helvetica"/>
        </w:rPr>
        <w:t>Vanti</w:t>
      </w:r>
      <w:proofErr w:type="spellEnd"/>
      <w:r w:rsidRPr="00147203">
        <w:rPr>
          <w:rFonts w:ascii="Helvetica" w:hAnsi="Helvetica" w:cs="Helvetica"/>
        </w:rPr>
        <w:t xml:space="preserve"> S.A. E.S.P.</w:t>
      </w:r>
    </w:p>
    <w:p w14:paraId="46C568F0" w14:textId="77777777" w:rsidR="00050D0A" w:rsidRPr="00147203" w:rsidRDefault="00050D0A" w:rsidP="00974E6C">
      <w:pPr>
        <w:pStyle w:val="NormalWeb"/>
        <w:numPr>
          <w:ilvl w:val="0"/>
          <w:numId w:val="5"/>
        </w:numPr>
        <w:shd w:val="clear" w:color="auto" w:fill="FFFFFF"/>
        <w:spacing w:before="240" w:beforeAutospacing="0" w:after="240" w:afterAutospacing="0" w:line="360" w:lineRule="auto"/>
        <w:ind w:left="425" w:hanging="425"/>
        <w:jc w:val="both"/>
        <w:rPr>
          <w:rFonts w:ascii="Helvetica" w:hAnsi="Helvetica" w:cs="Helvetica"/>
        </w:rPr>
      </w:pPr>
      <w:r w:rsidRPr="00147203">
        <w:rPr>
          <w:rFonts w:ascii="Helvetica" w:hAnsi="Helvetica" w:cs="Helvetica"/>
        </w:rPr>
        <w:t>Valores de los consumos reales mensuales históricos que se encuentran reportados en el Sistema Único de Información, SUI, administrado por la Superintendencia de Servicios Públicos Domiciliarios.</w:t>
      </w:r>
    </w:p>
    <w:p w14:paraId="1E57AA7D" w14:textId="77777777" w:rsidR="00050D0A" w:rsidRPr="00147203" w:rsidRDefault="00050D0A" w:rsidP="00974E6C">
      <w:pPr>
        <w:pStyle w:val="NormalWeb"/>
        <w:numPr>
          <w:ilvl w:val="0"/>
          <w:numId w:val="5"/>
        </w:numPr>
        <w:shd w:val="clear" w:color="auto" w:fill="FFFFFF"/>
        <w:spacing w:before="240" w:beforeAutospacing="0" w:after="240" w:afterAutospacing="0" w:line="360" w:lineRule="auto"/>
        <w:ind w:left="425" w:hanging="425"/>
        <w:jc w:val="both"/>
        <w:rPr>
          <w:rFonts w:ascii="Helvetica" w:hAnsi="Helvetica" w:cs="Helvetica"/>
        </w:rPr>
      </w:pPr>
      <w:r w:rsidRPr="00147203">
        <w:rPr>
          <w:rFonts w:ascii="Helvetica" w:hAnsi="Helvetica" w:cs="Helvetica"/>
        </w:rPr>
        <w:t>La empresa Gases de Occidente S.A. E.S.P. por medio del Radicado CREG E2023016678 indicó que la información reportada por la Empresa al SUI presentaba inconsistencias y anexó la información ajustada, manifestando que está tramitando la correspondiente corrección en el SUI.</w:t>
      </w:r>
    </w:p>
    <w:p w14:paraId="24343515" w14:textId="77777777" w:rsidR="00050D0A" w:rsidRPr="00147203" w:rsidRDefault="00050D0A" w:rsidP="00974E6C">
      <w:pPr>
        <w:pStyle w:val="NormalWeb"/>
        <w:numPr>
          <w:ilvl w:val="0"/>
          <w:numId w:val="5"/>
        </w:numPr>
        <w:shd w:val="clear" w:color="auto" w:fill="FFFFFF"/>
        <w:spacing w:before="240" w:beforeAutospacing="0" w:after="240" w:afterAutospacing="0" w:line="360" w:lineRule="auto"/>
        <w:ind w:left="425" w:right="-1" w:hanging="425"/>
        <w:rPr>
          <w:rFonts w:ascii="Helvetica" w:hAnsi="Helvetica" w:cs="Helvetica"/>
        </w:rPr>
      </w:pPr>
      <w:r w:rsidRPr="00147203">
        <w:rPr>
          <w:rFonts w:ascii="Helvetica" w:hAnsi="Helvetica" w:cs="Helvetica"/>
        </w:rPr>
        <w:t xml:space="preserve">Para el cálculo de la variable </w:t>
      </w:r>
      <m:oMath>
        <m:sSub>
          <m:sSubPr>
            <m:ctrlPr>
              <w:rPr>
                <w:rFonts w:ascii="Cambria Math" w:hAnsi="Cambria Math" w:cs="Helvetica"/>
              </w:rPr>
            </m:ctrlPr>
          </m:sSubPr>
          <m:e>
            <m:r>
              <m:rPr>
                <m:sty m:val="p"/>
              </m:rPr>
              <w:rPr>
                <w:rFonts w:ascii="Cambria Math" w:hAnsi="Cambria Math" w:cs="Helvetica"/>
              </w:rPr>
              <m:t>d</m:t>
            </m:r>
          </m:e>
          <m:sub>
            <m:r>
              <m:rPr>
                <m:sty m:val="p"/>
              </m:rPr>
              <w:rPr>
                <w:rFonts w:ascii="Cambria Math" w:hAnsi="Cambria Math" w:cs="Helvetica"/>
              </w:rPr>
              <m:t>y,i,j</m:t>
            </m:r>
          </m:sub>
        </m:sSub>
      </m:oMath>
      <w:r w:rsidRPr="00147203">
        <w:rPr>
          <w:rFonts w:ascii="Helvetica" w:hAnsi="Helvetica" w:cs="Helvetica"/>
        </w:rPr>
        <w:t xml:space="preserve"> de la empresa Gases del Caribe S.A. E.S.P. se tienen en cuenta los cargos de distribución de gas natural de carácter transitorio, que integran mercados conformados con base en la Resolución CREG 011 de 2003, expedidos con base en la Circular CREG 034 de 2017, según resoluciones CREG 198 de 2017 y CREG 018 de 2018.</w:t>
      </w:r>
    </w:p>
    <w:p w14:paraId="01E53EE6" w14:textId="77777777" w:rsidR="00050D0A" w:rsidRPr="00147203" w:rsidRDefault="00050D0A" w:rsidP="00974E6C">
      <w:pPr>
        <w:pStyle w:val="NormalWeb"/>
        <w:numPr>
          <w:ilvl w:val="0"/>
          <w:numId w:val="5"/>
        </w:numPr>
        <w:shd w:val="clear" w:color="auto" w:fill="FFFFFF"/>
        <w:spacing w:before="240" w:beforeAutospacing="0" w:after="240" w:afterAutospacing="0" w:line="360" w:lineRule="auto"/>
        <w:ind w:left="425" w:hanging="425"/>
        <w:jc w:val="both"/>
        <w:rPr>
          <w:rFonts w:ascii="Helvetica" w:hAnsi="Helvetica" w:cs="Helvetica"/>
        </w:rPr>
      </w:pPr>
      <w:r w:rsidRPr="00147203">
        <w:rPr>
          <w:rFonts w:ascii="Helvetica" w:hAnsi="Helvetica" w:cs="Helvetica"/>
        </w:rPr>
        <w:t xml:space="preserve">Se incluyó dentro del cálculo del </w:t>
      </w:r>
      <m:oMath>
        <m:sSub>
          <m:sSubPr>
            <m:ctrlPr>
              <w:rPr>
                <w:rFonts w:ascii="Cambria Math" w:hAnsi="Cambria Math" w:cs="Helvetica"/>
              </w:rPr>
            </m:ctrlPr>
          </m:sSubPr>
          <m:e>
            <m:r>
              <m:rPr>
                <m:sty m:val="p"/>
              </m:rPr>
              <w:rPr>
                <w:rFonts w:ascii="Cambria Math" w:hAnsi="Cambria Math" w:cs="Helvetica"/>
              </w:rPr>
              <m:t>d</m:t>
            </m:r>
          </m:e>
          <m:sub>
            <m:r>
              <m:rPr>
                <m:sty m:val="p"/>
              </m:rPr>
              <w:rPr>
                <w:rFonts w:ascii="Cambria Math" w:hAnsi="Cambria Math" w:cs="Helvetica"/>
              </w:rPr>
              <m:t>y,i,j</m:t>
            </m:r>
          </m:sub>
        </m:sSub>
      </m:oMath>
      <w:r w:rsidRPr="00147203">
        <w:rPr>
          <w:rFonts w:ascii="Helvetica" w:hAnsi="Helvetica" w:cs="Helvetica"/>
        </w:rPr>
        <w:t xml:space="preserve">  a la empresa Alcanos de Colombia S.A. E.S.P. la cual, al unificar sus mercados, tal y como se aprobó en la Resolución CREG 011 de 2018, supera el consumo de siete millones de metros cúbicos (7.000.000 m3), por lo cual le aplica lo definido en el </w:t>
      </w:r>
      <w:proofErr w:type="spellStart"/>
      <w:r w:rsidRPr="00147203">
        <w:rPr>
          <w:rFonts w:ascii="Helvetica" w:hAnsi="Helvetica" w:cs="Helvetica"/>
        </w:rPr>
        <w:t>subnumeral</w:t>
      </w:r>
      <w:proofErr w:type="spellEnd"/>
      <w:r w:rsidRPr="00147203">
        <w:rPr>
          <w:rFonts w:ascii="Helvetica" w:hAnsi="Helvetica" w:cs="Helvetica"/>
        </w:rPr>
        <w:t xml:space="preserve"> 5, literal C del numeral 5.1.1 del artículo 5 de la Resolución CREG 137 de 2013.</w:t>
      </w:r>
    </w:p>
    <w:p w14:paraId="52AAAFFB" w14:textId="77777777" w:rsidR="00050D0A" w:rsidRPr="00147203" w:rsidRDefault="00050D0A" w:rsidP="00974E6C">
      <w:pPr>
        <w:pStyle w:val="NormalWeb"/>
        <w:numPr>
          <w:ilvl w:val="0"/>
          <w:numId w:val="5"/>
        </w:numPr>
        <w:shd w:val="clear" w:color="auto" w:fill="FFFFFF"/>
        <w:spacing w:before="240" w:beforeAutospacing="0" w:after="240" w:afterAutospacing="0" w:line="360" w:lineRule="auto"/>
        <w:ind w:left="425" w:hanging="425"/>
        <w:jc w:val="both"/>
        <w:rPr>
          <w:rFonts w:ascii="Helvetica" w:hAnsi="Helvetica" w:cs="Helvetica"/>
        </w:rPr>
      </w:pPr>
      <w:r w:rsidRPr="00147203">
        <w:rPr>
          <w:rFonts w:ascii="Helvetica" w:hAnsi="Helvetica" w:cs="Helvetica"/>
        </w:rPr>
        <w:lastRenderedPageBreak/>
        <w:t>Se incluyeron las empresas a las que se les ha aprobado el Cargo de Distribución para el Siguiente Período Tarifario según las Resoluciones CREG 202 de 2013, 138 de 2014, 090 y 132 de 2018 y 011 de 2020, las cuales se presentan en la Tabla 1.</w:t>
      </w:r>
    </w:p>
    <w:p w14:paraId="792E1363" w14:textId="77777777" w:rsidR="00050D0A" w:rsidRPr="00974E6C" w:rsidRDefault="00050D0A" w:rsidP="00974E6C">
      <w:pPr>
        <w:pStyle w:val="NormalWeb"/>
        <w:shd w:val="clear" w:color="auto" w:fill="FFFFFF"/>
        <w:spacing w:before="240" w:beforeAutospacing="0" w:after="120" w:afterAutospacing="0"/>
        <w:ind w:left="357"/>
        <w:jc w:val="center"/>
        <w:rPr>
          <w:rFonts w:ascii="Helvetica" w:hAnsi="Helvetica" w:cs="Helvetica"/>
          <w:sz w:val="20"/>
          <w:szCs w:val="20"/>
        </w:rPr>
      </w:pPr>
      <w:r w:rsidRPr="00974E6C">
        <w:rPr>
          <w:rFonts w:ascii="Helvetica" w:hAnsi="Helvetica" w:cs="Helvetica"/>
          <w:b/>
          <w:bCs/>
          <w:sz w:val="20"/>
          <w:szCs w:val="20"/>
        </w:rPr>
        <w:t>Tabla 1</w:t>
      </w:r>
      <w:r w:rsidRPr="00974E6C">
        <w:rPr>
          <w:rFonts w:ascii="Helvetica" w:hAnsi="Helvetica" w:cs="Helvetica"/>
          <w:sz w:val="20"/>
          <w:szCs w:val="20"/>
        </w:rPr>
        <w:t xml:space="preserve">.  </w:t>
      </w:r>
      <w:r w:rsidRPr="00974E6C">
        <w:rPr>
          <w:rFonts w:ascii="Helvetica" w:hAnsi="Helvetica" w:cs="Helvetica"/>
          <w:b/>
          <w:bCs/>
          <w:sz w:val="20"/>
          <w:szCs w:val="20"/>
        </w:rPr>
        <w:t>Cargos aprobados bajo la Resoluciones CREG 202 de 2013, 138 de 2014, 090 y 132 de 2018 y, 011 de 2020</w:t>
      </w:r>
      <w:r w:rsidRPr="00974E6C">
        <w:rPr>
          <w:rFonts w:ascii="Helvetica" w:hAnsi="Helvetica" w:cs="Helvetica"/>
          <w:sz w:val="20"/>
          <w:szCs w:val="20"/>
        </w:rPr>
        <w:t xml:space="preserve">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4678"/>
      </w:tblGrid>
      <w:tr w:rsidR="00050D0A" w:rsidRPr="00974E6C" w14:paraId="11940351" w14:textId="77777777" w:rsidTr="00974E6C">
        <w:trPr>
          <w:trHeight w:val="459"/>
        </w:trPr>
        <w:tc>
          <w:tcPr>
            <w:tcW w:w="3827" w:type="dxa"/>
            <w:shd w:val="clear" w:color="auto" w:fill="D9D9D9" w:themeFill="background1" w:themeFillShade="D9"/>
            <w:noWrap/>
            <w:vAlign w:val="center"/>
            <w:hideMark/>
          </w:tcPr>
          <w:p w14:paraId="77AAC0B0" w14:textId="77777777" w:rsidR="00050D0A" w:rsidRPr="00974E6C" w:rsidRDefault="00050D0A" w:rsidP="00F66D85">
            <w:pPr>
              <w:jc w:val="center"/>
              <w:rPr>
                <w:rFonts w:ascii="Helvetica" w:eastAsia="Times New Roman" w:hAnsi="Helvetica" w:cs="Helvetica"/>
                <w:b/>
                <w:sz w:val="20"/>
                <w:szCs w:val="20"/>
                <w:lang w:eastAsia="es-CO"/>
              </w:rPr>
            </w:pPr>
            <w:r w:rsidRPr="00974E6C">
              <w:rPr>
                <w:rFonts w:ascii="Helvetica" w:eastAsia="Times New Roman" w:hAnsi="Helvetica" w:cs="Helvetica"/>
                <w:b/>
                <w:sz w:val="20"/>
                <w:szCs w:val="20"/>
                <w:lang w:eastAsia="es-CO"/>
              </w:rPr>
              <w:t>Empresa</w:t>
            </w:r>
          </w:p>
        </w:tc>
        <w:tc>
          <w:tcPr>
            <w:tcW w:w="4678" w:type="dxa"/>
            <w:shd w:val="clear" w:color="auto" w:fill="D9D9D9" w:themeFill="background1" w:themeFillShade="D9"/>
            <w:noWrap/>
            <w:vAlign w:val="center"/>
            <w:hideMark/>
          </w:tcPr>
          <w:p w14:paraId="6CAF065D" w14:textId="77777777" w:rsidR="00050D0A" w:rsidRPr="00974E6C" w:rsidRDefault="00050D0A" w:rsidP="00F66D85">
            <w:pPr>
              <w:jc w:val="center"/>
              <w:rPr>
                <w:rFonts w:ascii="Arial" w:eastAsia="Times New Roman" w:hAnsi="Arial" w:cs="Arial"/>
                <w:b/>
                <w:sz w:val="20"/>
                <w:szCs w:val="20"/>
                <w:lang w:eastAsia="es-CO"/>
              </w:rPr>
            </w:pPr>
            <w:r w:rsidRPr="00974E6C">
              <w:rPr>
                <w:rFonts w:ascii="Arial" w:eastAsia="Times New Roman" w:hAnsi="Arial" w:cs="Arial"/>
                <w:b/>
                <w:sz w:val="20"/>
                <w:szCs w:val="20"/>
                <w:lang w:eastAsia="es-CO"/>
              </w:rPr>
              <w:t>Cargo Transitorio Aprobado</w:t>
            </w:r>
          </w:p>
        </w:tc>
      </w:tr>
      <w:tr w:rsidR="00050D0A" w:rsidRPr="00974E6C" w14:paraId="512D5B66" w14:textId="77777777" w:rsidTr="00974E6C">
        <w:trPr>
          <w:trHeight w:val="184"/>
        </w:trPr>
        <w:tc>
          <w:tcPr>
            <w:tcW w:w="3827" w:type="dxa"/>
            <w:shd w:val="clear" w:color="auto" w:fill="auto"/>
            <w:noWrap/>
            <w:vAlign w:val="bottom"/>
            <w:hideMark/>
          </w:tcPr>
          <w:p w14:paraId="764FF2B2" w14:textId="77777777" w:rsidR="00050D0A" w:rsidRPr="00974E6C" w:rsidRDefault="00050D0A" w:rsidP="00F66D85">
            <w:pPr>
              <w:rPr>
                <w:rFonts w:ascii="Helvetica" w:eastAsia="Times New Roman" w:hAnsi="Helvetica" w:cs="Helvetica"/>
                <w:sz w:val="20"/>
                <w:szCs w:val="20"/>
                <w:lang w:eastAsia="es-CO"/>
              </w:rPr>
            </w:pPr>
            <w:r w:rsidRPr="00974E6C">
              <w:rPr>
                <w:rFonts w:ascii="Helvetica" w:hAnsi="Helvetica" w:cs="Helvetica"/>
                <w:sz w:val="20"/>
                <w:szCs w:val="20"/>
              </w:rPr>
              <w:t>Surtidora de Gas del Caribe S.A. E.S.P.</w:t>
            </w:r>
          </w:p>
        </w:tc>
        <w:tc>
          <w:tcPr>
            <w:tcW w:w="4678" w:type="dxa"/>
            <w:shd w:val="clear" w:color="auto" w:fill="auto"/>
            <w:noWrap/>
            <w:vAlign w:val="bottom"/>
            <w:hideMark/>
          </w:tcPr>
          <w:p w14:paraId="741E804F" w14:textId="77777777" w:rsidR="00050D0A" w:rsidRPr="00974E6C" w:rsidRDefault="00050D0A" w:rsidP="00F66D85">
            <w:pPr>
              <w:rPr>
                <w:rFonts w:ascii="Arial" w:eastAsia="Times New Roman" w:hAnsi="Arial" w:cs="Arial"/>
                <w:sz w:val="20"/>
                <w:szCs w:val="20"/>
                <w:lang w:eastAsia="es-CO"/>
              </w:rPr>
            </w:pPr>
            <w:r w:rsidRPr="00974E6C">
              <w:rPr>
                <w:rFonts w:ascii="Arial" w:eastAsia="Times New Roman" w:hAnsi="Arial" w:cs="Arial"/>
                <w:sz w:val="20"/>
                <w:szCs w:val="20"/>
                <w:lang w:eastAsia="es-CO"/>
              </w:rPr>
              <w:t>CREG 502 017 de 2022 / CREG 502 031 de 2022</w:t>
            </w:r>
          </w:p>
        </w:tc>
      </w:tr>
      <w:tr w:rsidR="00050D0A" w:rsidRPr="00974E6C" w14:paraId="00829C2C" w14:textId="77777777" w:rsidTr="00974E6C">
        <w:trPr>
          <w:trHeight w:val="184"/>
        </w:trPr>
        <w:tc>
          <w:tcPr>
            <w:tcW w:w="3827" w:type="dxa"/>
            <w:shd w:val="clear" w:color="auto" w:fill="auto"/>
            <w:noWrap/>
            <w:vAlign w:val="bottom"/>
          </w:tcPr>
          <w:p w14:paraId="541825E7" w14:textId="77777777" w:rsidR="00050D0A" w:rsidRPr="00974E6C" w:rsidRDefault="00050D0A" w:rsidP="00F66D85">
            <w:pPr>
              <w:rPr>
                <w:rFonts w:ascii="Helvetica" w:hAnsi="Helvetica" w:cs="Helvetica"/>
                <w:sz w:val="20"/>
                <w:szCs w:val="20"/>
              </w:rPr>
            </w:pPr>
            <w:r w:rsidRPr="00974E6C">
              <w:rPr>
                <w:rFonts w:ascii="Helvetica" w:hAnsi="Helvetica" w:cs="Helvetica"/>
                <w:sz w:val="20"/>
                <w:szCs w:val="20"/>
              </w:rPr>
              <w:t>Gases de Occidente S.A. E.S.P.</w:t>
            </w:r>
          </w:p>
        </w:tc>
        <w:tc>
          <w:tcPr>
            <w:tcW w:w="4678" w:type="dxa"/>
            <w:shd w:val="clear" w:color="auto" w:fill="auto"/>
            <w:noWrap/>
            <w:vAlign w:val="bottom"/>
          </w:tcPr>
          <w:p w14:paraId="3D73048E" w14:textId="77777777" w:rsidR="00050D0A" w:rsidRPr="00974E6C" w:rsidRDefault="00050D0A" w:rsidP="00F66D85">
            <w:pPr>
              <w:rPr>
                <w:rFonts w:ascii="Arial" w:eastAsia="Times New Roman" w:hAnsi="Arial" w:cs="Arial"/>
                <w:sz w:val="20"/>
                <w:szCs w:val="20"/>
                <w:lang w:eastAsia="es-CO"/>
              </w:rPr>
            </w:pPr>
            <w:r w:rsidRPr="00974E6C">
              <w:rPr>
                <w:rFonts w:ascii="Arial" w:eastAsia="Times New Roman" w:hAnsi="Arial" w:cs="Arial"/>
                <w:sz w:val="20"/>
                <w:szCs w:val="20"/>
                <w:lang w:eastAsia="es-CO"/>
              </w:rPr>
              <w:t xml:space="preserve">CREG 502 019 de 2022 </w:t>
            </w:r>
          </w:p>
        </w:tc>
      </w:tr>
      <w:tr w:rsidR="00050D0A" w:rsidRPr="00974E6C" w14:paraId="4B228C7B" w14:textId="77777777" w:rsidTr="00974E6C">
        <w:trPr>
          <w:trHeight w:val="184"/>
        </w:trPr>
        <w:tc>
          <w:tcPr>
            <w:tcW w:w="3827" w:type="dxa"/>
            <w:shd w:val="clear" w:color="auto" w:fill="auto"/>
            <w:noWrap/>
            <w:vAlign w:val="bottom"/>
          </w:tcPr>
          <w:p w14:paraId="2DADFCA2" w14:textId="77777777" w:rsidR="00050D0A" w:rsidRPr="00974E6C" w:rsidRDefault="00050D0A" w:rsidP="00F66D85">
            <w:pPr>
              <w:rPr>
                <w:rFonts w:ascii="Helvetica" w:hAnsi="Helvetica" w:cs="Helvetica"/>
                <w:sz w:val="20"/>
                <w:szCs w:val="20"/>
              </w:rPr>
            </w:pPr>
            <w:r w:rsidRPr="00974E6C">
              <w:rPr>
                <w:rFonts w:ascii="Helvetica" w:hAnsi="Helvetica" w:cs="Helvetica"/>
                <w:sz w:val="20"/>
                <w:szCs w:val="20"/>
              </w:rPr>
              <w:t>Empresas Públicas de Medellín E.S.P.</w:t>
            </w:r>
          </w:p>
        </w:tc>
        <w:tc>
          <w:tcPr>
            <w:tcW w:w="4678" w:type="dxa"/>
            <w:shd w:val="clear" w:color="auto" w:fill="auto"/>
            <w:noWrap/>
            <w:vAlign w:val="bottom"/>
          </w:tcPr>
          <w:p w14:paraId="06C1929F" w14:textId="77777777" w:rsidR="00050D0A" w:rsidRPr="00974E6C" w:rsidRDefault="00050D0A" w:rsidP="00F66D85">
            <w:pPr>
              <w:rPr>
                <w:rFonts w:ascii="Arial" w:eastAsia="Times New Roman" w:hAnsi="Arial" w:cs="Arial"/>
                <w:sz w:val="20"/>
                <w:szCs w:val="20"/>
                <w:lang w:eastAsia="es-CO"/>
              </w:rPr>
            </w:pPr>
            <w:r w:rsidRPr="00974E6C">
              <w:rPr>
                <w:rFonts w:ascii="Arial" w:eastAsia="Times New Roman" w:hAnsi="Arial" w:cs="Arial"/>
                <w:sz w:val="20"/>
                <w:szCs w:val="20"/>
                <w:lang w:eastAsia="es-CO"/>
              </w:rPr>
              <w:t>CREG 502 015 de 2022 / CREG 502 008 de 2023</w:t>
            </w:r>
          </w:p>
        </w:tc>
      </w:tr>
    </w:tbl>
    <w:p w14:paraId="0C3E5AC1" w14:textId="77777777" w:rsidR="00050D0A" w:rsidRPr="00147203" w:rsidRDefault="00050D0A" w:rsidP="00147203">
      <w:pPr>
        <w:pStyle w:val="NormalWeb"/>
        <w:numPr>
          <w:ilvl w:val="0"/>
          <w:numId w:val="5"/>
        </w:numPr>
        <w:shd w:val="clear" w:color="auto" w:fill="FFFFFF"/>
        <w:spacing w:before="240" w:beforeAutospacing="0" w:after="240" w:afterAutospacing="0" w:line="360" w:lineRule="auto"/>
        <w:ind w:left="425" w:hanging="425"/>
        <w:jc w:val="both"/>
        <w:rPr>
          <w:rFonts w:ascii="Helvetica" w:hAnsi="Helvetica" w:cs="Helvetica"/>
        </w:rPr>
      </w:pPr>
      <w:r w:rsidRPr="00147203">
        <w:rPr>
          <w:rFonts w:ascii="Helvetica" w:hAnsi="Helvetica" w:cs="Helvetica"/>
        </w:rPr>
        <w:t xml:space="preserve">Para el cálculo de la variable </w:t>
      </w:r>
      <w:r w:rsidRPr="00147203">
        <w:rPr>
          <w:rFonts w:ascii="Cambria Math" w:hAnsi="Cambria Math" w:cs="Cambria Math"/>
        </w:rPr>
        <w:t>𝑑𝑦</w:t>
      </w:r>
      <w:r w:rsidRPr="00147203">
        <w:rPr>
          <w:rFonts w:ascii="Helvetica" w:hAnsi="Helvetica" w:cs="Helvetica"/>
        </w:rPr>
        <w:t>,</w:t>
      </w:r>
      <w:r w:rsidRPr="00147203">
        <w:rPr>
          <w:rFonts w:ascii="Cambria Math" w:hAnsi="Cambria Math" w:cs="Cambria Math"/>
        </w:rPr>
        <w:t>𝑖</w:t>
      </w:r>
      <w:r w:rsidRPr="00147203">
        <w:rPr>
          <w:rFonts w:ascii="Helvetica" w:hAnsi="Helvetica" w:cs="Helvetica"/>
        </w:rPr>
        <w:t>,</w:t>
      </w:r>
      <w:r w:rsidRPr="00147203">
        <w:rPr>
          <w:rFonts w:ascii="Cambria Math" w:hAnsi="Cambria Math" w:cs="Cambria Math"/>
        </w:rPr>
        <w:t>𝑗</w:t>
      </w:r>
      <w:r w:rsidRPr="00147203">
        <w:rPr>
          <w:rFonts w:ascii="Helvetica" w:hAnsi="Helvetica" w:cs="Helvetica"/>
        </w:rPr>
        <w:t xml:space="preserve"> se tuvieron en cuenta los nuevos mercados relevantes de comercialización en virtud de la aprobación de los cargos de distribución transitorios en los casos que así aplica y los aprobados con la Resolución CREG 202 de 2013 y sus modificaciones, indicados en la Tabla 1, con el cargo de comercialización actualmente vigente. </w:t>
      </w:r>
    </w:p>
    <w:p w14:paraId="4F2C44DA" w14:textId="77777777" w:rsidR="00050D0A" w:rsidRPr="00147203" w:rsidRDefault="00050D0A" w:rsidP="00147203">
      <w:pPr>
        <w:pStyle w:val="NormalWeb"/>
        <w:numPr>
          <w:ilvl w:val="0"/>
          <w:numId w:val="5"/>
        </w:numPr>
        <w:shd w:val="clear" w:color="auto" w:fill="FFFFFF"/>
        <w:spacing w:before="240" w:beforeAutospacing="0" w:after="240" w:afterAutospacing="0" w:line="360" w:lineRule="auto"/>
        <w:ind w:left="425" w:hanging="425"/>
        <w:jc w:val="both"/>
        <w:rPr>
          <w:rFonts w:ascii="Helvetica" w:hAnsi="Helvetica" w:cs="Helvetica"/>
        </w:rPr>
      </w:pPr>
      <w:r w:rsidRPr="00147203">
        <w:rPr>
          <w:rFonts w:ascii="Helvetica" w:hAnsi="Helvetica" w:cs="Helvetica"/>
        </w:rPr>
        <w:t xml:space="preserve">Además, se incluyeron dentro del cálculo las empresas Gas Natural Cundiboyacense S.A. E.S.P. y </w:t>
      </w:r>
      <w:proofErr w:type="spellStart"/>
      <w:r w:rsidRPr="00147203">
        <w:rPr>
          <w:rFonts w:ascii="Helvetica" w:hAnsi="Helvetica" w:cs="Helvetica"/>
        </w:rPr>
        <w:t>Vanti</w:t>
      </w:r>
      <w:proofErr w:type="spellEnd"/>
      <w:r w:rsidRPr="00147203">
        <w:rPr>
          <w:rFonts w:ascii="Helvetica" w:hAnsi="Helvetica" w:cs="Helvetica"/>
        </w:rPr>
        <w:t xml:space="preserve"> S.A. E.S.P, cuyos mercados de comercialización superan los siete millones de metros cúbicos (7.000.000 m3) de consumo.</w:t>
      </w:r>
    </w:p>
    <w:p w14:paraId="705A3583" w14:textId="77777777" w:rsidR="00050D0A" w:rsidRPr="00147203" w:rsidRDefault="00050D0A" w:rsidP="00147203">
      <w:pPr>
        <w:pStyle w:val="NormalWeb"/>
        <w:shd w:val="clear" w:color="auto" w:fill="FFFFFF"/>
        <w:spacing w:before="240" w:beforeAutospacing="0" w:after="240" w:afterAutospacing="0" w:line="360" w:lineRule="auto"/>
        <w:jc w:val="both"/>
        <w:rPr>
          <w:rFonts w:ascii="Helvetica" w:hAnsi="Helvetica" w:cs="Helvetica"/>
        </w:rPr>
      </w:pPr>
      <w:r w:rsidRPr="00147203">
        <w:rPr>
          <w:rFonts w:ascii="Helvetica" w:hAnsi="Helvetica" w:cs="Helvetica"/>
        </w:rPr>
        <w:t xml:space="preserve">Finalmente, en la </w:t>
      </w:r>
      <w:r w:rsidRPr="00147203">
        <w:rPr>
          <w:rFonts w:ascii="Helvetica" w:hAnsi="Helvetica" w:cs="Helvetica"/>
          <w:b/>
          <w:bCs/>
        </w:rPr>
        <w:t>Tabla 2</w:t>
      </w:r>
      <w:r w:rsidRPr="00147203">
        <w:rPr>
          <w:rFonts w:ascii="Helvetica" w:hAnsi="Helvetica" w:cs="Helvetica"/>
        </w:rPr>
        <w:t xml:space="preserve"> se presenta el cálculo de la variable </w:t>
      </w:r>
      <m:oMath>
        <m:sSub>
          <m:sSubPr>
            <m:ctrlPr>
              <w:rPr>
                <w:rFonts w:ascii="Cambria Math" w:hAnsi="Cambria Math" w:cs="Helvetica"/>
              </w:rPr>
            </m:ctrlPr>
          </m:sSubPr>
          <m:e>
            <m:r>
              <m:rPr>
                <m:sty m:val="p"/>
              </m:rPr>
              <w:rPr>
                <w:rFonts w:ascii="Cambria Math" w:hAnsi="Cambria Math" w:cs="Helvetica"/>
              </w:rPr>
              <m:t>d</m:t>
            </m:r>
          </m:e>
          <m:sub>
            <m:r>
              <m:rPr>
                <m:sty m:val="p"/>
              </m:rPr>
              <w:rPr>
                <w:rFonts w:ascii="Cambria Math" w:hAnsi="Cambria Math" w:cs="Helvetica"/>
              </w:rPr>
              <m:t>y,i,j</m:t>
            </m:r>
          </m:sub>
        </m:sSub>
      </m:oMath>
      <w:r w:rsidRPr="00147203">
        <w:rPr>
          <w:rFonts w:ascii="Helvetica" w:hAnsi="Helvetica" w:cs="Helvetica"/>
        </w:rPr>
        <w:t xml:space="preserve"> para la definición del rango de compras de gas aplicable durante el período comprendido entre el 1° de diciembre de 2024 y el 30 de noviembre de 2025.</w:t>
      </w:r>
    </w:p>
    <w:p w14:paraId="219C97CA" w14:textId="77777777" w:rsidR="00147203" w:rsidRDefault="00147203" w:rsidP="00050D0A">
      <w:pPr>
        <w:pStyle w:val="Prrafodelista"/>
        <w:ind w:left="1068" w:right="1324"/>
        <w:jc w:val="center"/>
        <w:rPr>
          <w:rFonts w:ascii="Arial" w:hAnsi="Arial" w:cs="Arial"/>
          <w:b/>
          <w:sz w:val="22"/>
          <w:szCs w:val="22"/>
        </w:rPr>
      </w:pPr>
    </w:p>
    <w:p w14:paraId="057CF446" w14:textId="77777777" w:rsidR="00147203" w:rsidRDefault="00147203" w:rsidP="00050D0A">
      <w:pPr>
        <w:pStyle w:val="Prrafodelista"/>
        <w:ind w:left="1068" w:right="1324"/>
        <w:jc w:val="center"/>
        <w:rPr>
          <w:rFonts w:ascii="Arial" w:hAnsi="Arial" w:cs="Arial"/>
          <w:b/>
          <w:sz w:val="22"/>
          <w:szCs w:val="22"/>
        </w:rPr>
      </w:pPr>
    </w:p>
    <w:p w14:paraId="4FC3C605" w14:textId="0F77E445" w:rsidR="00050D0A" w:rsidRDefault="00050D0A" w:rsidP="00050D0A">
      <w:pPr>
        <w:pStyle w:val="Prrafodelista"/>
        <w:ind w:left="1068" w:right="1324"/>
        <w:jc w:val="center"/>
        <w:rPr>
          <w:rFonts w:ascii="Arial" w:hAnsi="Arial" w:cs="Arial"/>
          <w:b/>
          <w:bCs/>
          <w:sz w:val="22"/>
          <w:szCs w:val="22"/>
        </w:rPr>
      </w:pPr>
      <w:r w:rsidRPr="00BE31DA">
        <w:rPr>
          <w:rFonts w:ascii="Arial" w:hAnsi="Arial" w:cs="Arial"/>
          <w:b/>
          <w:sz w:val="22"/>
          <w:szCs w:val="22"/>
        </w:rPr>
        <w:lastRenderedPageBreak/>
        <w:t>Tabla 2.</w:t>
      </w:r>
      <w:r w:rsidRPr="00BE31DA">
        <w:rPr>
          <w:rFonts w:ascii="Arial" w:hAnsi="Arial" w:cs="Arial"/>
          <w:sz w:val="22"/>
          <w:szCs w:val="22"/>
        </w:rPr>
        <w:t xml:space="preserve">  </w:t>
      </w:r>
      <w:r w:rsidRPr="00BE31DA">
        <w:rPr>
          <w:rFonts w:ascii="Arial" w:hAnsi="Arial" w:cs="Arial"/>
          <w:b/>
          <w:bCs/>
          <w:sz w:val="22"/>
          <w:szCs w:val="22"/>
        </w:rPr>
        <w:t xml:space="preserve">Cálculo de la variable </w:t>
      </w:r>
      <m:oMath>
        <m:sSub>
          <m:sSubPr>
            <m:ctrlPr>
              <w:rPr>
                <w:rFonts w:ascii="Cambria Math" w:hAnsi="Cambria Math" w:cs="Arial"/>
                <w:b/>
                <w:bCs/>
                <w:sz w:val="22"/>
                <w:szCs w:val="22"/>
              </w:rPr>
            </m:ctrlPr>
          </m:sSubPr>
          <m:e>
            <m:r>
              <m:rPr>
                <m:sty m:val="bi"/>
              </m:rPr>
              <w:rPr>
                <w:rFonts w:ascii="Cambria Math" w:hAnsi="Cambria Math" w:cs="Arial"/>
                <w:sz w:val="22"/>
                <w:szCs w:val="22"/>
              </w:rPr>
              <m:t>d</m:t>
            </m:r>
          </m:e>
          <m:sub>
            <m:r>
              <m:rPr>
                <m:sty m:val="bi"/>
              </m:rPr>
              <w:rPr>
                <w:rFonts w:ascii="Cambria Math" w:hAnsi="Cambria Math" w:cs="Arial"/>
                <w:sz w:val="22"/>
                <w:szCs w:val="22"/>
              </w:rPr>
              <m:t>y</m:t>
            </m:r>
            <m:r>
              <m:rPr>
                <m:sty m:val="b"/>
              </m:rPr>
              <w:rPr>
                <w:rFonts w:ascii="Cambria Math" w:hAnsi="Cambria Math" w:cs="Arial"/>
                <w:sz w:val="22"/>
                <w:szCs w:val="22"/>
              </w:rPr>
              <m:t>,</m:t>
            </m:r>
            <m:r>
              <m:rPr>
                <m:sty m:val="bi"/>
              </m:rPr>
              <w:rPr>
                <w:rFonts w:ascii="Cambria Math" w:hAnsi="Cambria Math" w:cs="Arial"/>
                <w:sz w:val="22"/>
                <w:szCs w:val="22"/>
              </w:rPr>
              <m:t>i</m:t>
            </m:r>
            <m:r>
              <m:rPr>
                <m:sty m:val="b"/>
              </m:rPr>
              <w:rPr>
                <w:rFonts w:ascii="Cambria Math" w:hAnsi="Cambria Math" w:cs="Arial"/>
                <w:sz w:val="22"/>
                <w:szCs w:val="22"/>
              </w:rPr>
              <m:t>,</m:t>
            </m:r>
            <m:r>
              <m:rPr>
                <m:sty m:val="bi"/>
              </m:rPr>
              <w:rPr>
                <w:rFonts w:ascii="Cambria Math" w:hAnsi="Cambria Math" w:cs="Arial"/>
                <w:sz w:val="22"/>
                <w:szCs w:val="22"/>
              </w:rPr>
              <m:t>j</m:t>
            </m:r>
          </m:sub>
        </m:sSub>
      </m:oMath>
    </w:p>
    <w:tbl>
      <w:tblPr>
        <w:tblW w:w="9498" w:type="dxa"/>
        <w:tblLayout w:type="fixed"/>
        <w:tblCellMar>
          <w:left w:w="70" w:type="dxa"/>
          <w:right w:w="70" w:type="dxa"/>
        </w:tblCellMar>
        <w:tblLook w:val="04A0" w:firstRow="1" w:lastRow="0" w:firstColumn="1" w:lastColumn="0" w:noHBand="0" w:noVBand="1"/>
      </w:tblPr>
      <w:tblGrid>
        <w:gridCol w:w="2410"/>
        <w:gridCol w:w="1418"/>
        <w:gridCol w:w="992"/>
        <w:gridCol w:w="992"/>
        <w:gridCol w:w="992"/>
        <w:gridCol w:w="993"/>
        <w:gridCol w:w="567"/>
        <w:gridCol w:w="567"/>
        <w:gridCol w:w="567"/>
      </w:tblGrid>
      <w:tr w:rsidR="00050D0A" w:rsidRPr="00743287" w14:paraId="0CE1A8A7" w14:textId="77777777" w:rsidTr="00F66D85">
        <w:trPr>
          <w:trHeight w:val="368"/>
          <w:tblHeader/>
        </w:trPr>
        <w:tc>
          <w:tcPr>
            <w:tcW w:w="2410" w:type="dxa"/>
            <w:tcBorders>
              <w:top w:val="nil"/>
              <w:left w:val="nil"/>
              <w:bottom w:val="single" w:sz="12" w:space="0" w:color="auto"/>
              <w:right w:val="nil"/>
            </w:tcBorders>
            <w:shd w:val="clear" w:color="auto" w:fill="FFFFFF" w:themeFill="background1"/>
            <w:noWrap/>
            <w:vAlign w:val="bottom"/>
            <w:hideMark/>
          </w:tcPr>
          <w:p w14:paraId="57EA871E" w14:textId="77777777" w:rsidR="00050D0A" w:rsidRPr="00743287" w:rsidRDefault="00050D0A" w:rsidP="00F66D85">
            <w:pPr>
              <w:rPr>
                <w:rFonts w:ascii="Arial" w:hAnsi="Arial" w:cs="Arial"/>
                <w:sz w:val="16"/>
                <w:szCs w:val="16"/>
                <w:lang w:eastAsia="es-CO"/>
              </w:rPr>
            </w:pPr>
          </w:p>
        </w:tc>
        <w:tc>
          <w:tcPr>
            <w:tcW w:w="1418" w:type="dxa"/>
            <w:tcBorders>
              <w:top w:val="nil"/>
              <w:left w:val="nil"/>
              <w:bottom w:val="single" w:sz="12" w:space="0" w:color="auto"/>
              <w:right w:val="single" w:sz="12" w:space="0" w:color="auto"/>
            </w:tcBorders>
            <w:shd w:val="clear" w:color="auto" w:fill="FFFFFF" w:themeFill="background1"/>
            <w:noWrap/>
            <w:vAlign w:val="bottom"/>
            <w:hideMark/>
          </w:tcPr>
          <w:p w14:paraId="5B4E5D98" w14:textId="77777777" w:rsidR="00050D0A" w:rsidRPr="00743287" w:rsidRDefault="00050D0A" w:rsidP="00F66D85">
            <w:pPr>
              <w:rPr>
                <w:rFonts w:ascii="Arial" w:hAnsi="Arial" w:cs="Arial"/>
                <w:sz w:val="16"/>
                <w:szCs w:val="16"/>
                <w:lang w:eastAsia="es-CO"/>
              </w:rPr>
            </w:pPr>
          </w:p>
        </w:tc>
        <w:tc>
          <w:tcPr>
            <w:tcW w:w="1984"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bottom"/>
            <w:hideMark/>
          </w:tcPr>
          <w:p w14:paraId="686965EF" w14:textId="77777777" w:rsidR="00050D0A" w:rsidRPr="00743287" w:rsidRDefault="00000000" w:rsidP="00F66D85">
            <w:pPr>
              <w:jc w:val="center"/>
              <w:rPr>
                <w:rFonts w:ascii="Arial" w:hAnsi="Arial" w:cs="Arial"/>
                <w:b/>
                <w:bCs/>
                <w:sz w:val="16"/>
                <w:szCs w:val="16"/>
                <w:lang w:eastAsia="es-CO"/>
              </w:rPr>
            </w:pPr>
            <m:oMathPara>
              <m:oMath>
                <m:sSub>
                  <m:sSubPr>
                    <m:ctrlPr>
                      <w:rPr>
                        <w:rFonts w:ascii="Cambria Math" w:hAnsi="Cambria Math" w:cs="Arial"/>
                        <w:b/>
                        <w:bCs/>
                        <w:i/>
                        <w:sz w:val="16"/>
                        <w:szCs w:val="16"/>
                      </w:rPr>
                    </m:ctrlPr>
                  </m:sSubPr>
                  <m:e>
                    <m:r>
                      <m:rPr>
                        <m:sty m:val="bi"/>
                      </m:rPr>
                      <w:rPr>
                        <w:rFonts w:ascii="Cambria Math" w:hAnsi="Cambria Math" w:cs="Arial"/>
                        <w:sz w:val="16"/>
                        <w:szCs w:val="16"/>
                      </w:rPr>
                      <m:t>Qmaxh</m:t>
                    </m:r>
                  </m:e>
                  <m:sub>
                    <m:d>
                      <m:dPr>
                        <m:ctrlPr>
                          <w:rPr>
                            <w:rFonts w:ascii="Cambria Math" w:hAnsi="Cambria Math" w:cs="Arial"/>
                            <w:b/>
                            <w:bCs/>
                            <w:i/>
                            <w:sz w:val="16"/>
                            <w:szCs w:val="16"/>
                          </w:rPr>
                        </m:ctrlPr>
                      </m:dPr>
                      <m:e>
                        <m:r>
                          <m:rPr>
                            <m:sty m:val="bi"/>
                          </m:rPr>
                          <w:rPr>
                            <w:rFonts w:ascii="Cambria Math" w:hAnsi="Cambria Math" w:cs="Arial"/>
                            <w:sz w:val="16"/>
                            <w:szCs w:val="16"/>
                          </w:rPr>
                          <m:t>t-a</m:t>
                        </m:r>
                      </m:e>
                    </m:d>
                    <m:r>
                      <m:rPr>
                        <m:sty m:val="bi"/>
                      </m:rPr>
                      <w:rPr>
                        <w:rFonts w:ascii="Cambria Math" w:hAnsi="Cambria Math" w:cs="Arial"/>
                        <w:sz w:val="16"/>
                        <w:szCs w:val="16"/>
                      </w:rPr>
                      <m:t>i,j</m:t>
                    </m:r>
                  </m:sub>
                </m:sSub>
              </m:oMath>
            </m:oMathPara>
          </w:p>
        </w:tc>
        <w:tc>
          <w:tcPr>
            <w:tcW w:w="1985"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noWrap/>
            <w:vAlign w:val="bottom"/>
            <w:hideMark/>
          </w:tcPr>
          <w:p w14:paraId="2E787A3C" w14:textId="77777777" w:rsidR="00050D0A" w:rsidRPr="00743287" w:rsidRDefault="00000000" w:rsidP="00F66D85">
            <w:pPr>
              <w:jc w:val="center"/>
              <w:rPr>
                <w:rFonts w:ascii="Arial" w:hAnsi="Arial" w:cs="Arial"/>
                <w:b/>
                <w:bCs/>
                <w:sz w:val="16"/>
                <w:szCs w:val="16"/>
                <w:lang w:eastAsia="es-CO"/>
              </w:rPr>
            </w:pPr>
            <m:oMathPara>
              <m:oMath>
                <m:sSub>
                  <m:sSubPr>
                    <m:ctrlPr>
                      <w:rPr>
                        <w:rFonts w:ascii="Cambria Math" w:hAnsi="Cambria Math" w:cs="Arial"/>
                        <w:b/>
                        <w:bCs/>
                        <w:i/>
                        <w:sz w:val="16"/>
                        <w:szCs w:val="16"/>
                      </w:rPr>
                    </m:ctrlPr>
                  </m:sSubPr>
                  <m:e>
                    <m:r>
                      <m:rPr>
                        <m:sty m:val="bi"/>
                      </m:rPr>
                      <w:rPr>
                        <w:rFonts w:ascii="Cambria Math" w:hAnsi="Cambria Math" w:cs="Arial"/>
                        <w:sz w:val="16"/>
                        <w:szCs w:val="16"/>
                      </w:rPr>
                      <m:t>Qminh</m:t>
                    </m:r>
                  </m:e>
                  <m:sub>
                    <m:d>
                      <m:dPr>
                        <m:ctrlPr>
                          <w:rPr>
                            <w:rFonts w:ascii="Cambria Math" w:hAnsi="Cambria Math" w:cs="Arial"/>
                            <w:b/>
                            <w:bCs/>
                            <w:i/>
                            <w:sz w:val="16"/>
                            <w:szCs w:val="16"/>
                          </w:rPr>
                        </m:ctrlPr>
                      </m:dPr>
                      <m:e>
                        <m:r>
                          <m:rPr>
                            <m:sty m:val="bi"/>
                          </m:rPr>
                          <w:rPr>
                            <w:rFonts w:ascii="Cambria Math" w:hAnsi="Cambria Math" w:cs="Arial"/>
                            <w:sz w:val="16"/>
                            <w:szCs w:val="16"/>
                          </w:rPr>
                          <m:t>t-a</m:t>
                        </m:r>
                      </m:e>
                    </m:d>
                    <m:r>
                      <m:rPr>
                        <m:sty m:val="bi"/>
                      </m:rPr>
                      <w:rPr>
                        <w:rFonts w:ascii="Cambria Math" w:hAnsi="Cambria Math" w:cs="Arial"/>
                        <w:sz w:val="16"/>
                        <w:szCs w:val="16"/>
                      </w:rPr>
                      <m:t>i,j</m:t>
                    </m:r>
                  </m:sub>
                </m:sSub>
              </m:oMath>
            </m:oMathPara>
          </w:p>
        </w:tc>
        <w:tc>
          <w:tcPr>
            <w:tcW w:w="1134"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noWrap/>
            <w:vAlign w:val="bottom"/>
            <w:hideMark/>
          </w:tcPr>
          <w:p w14:paraId="5EF625AA" w14:textId="77777777" w:rsidR="00050D0A" w:rsidRPr="00743287" w:rsidRDefault="00000000" w:rsidP="00F66D85">
            <w:pPr>
              <w:jc w:val="center"/>
              <w:rPr>
                <w:rFonts w:ascii="Arial" w:hAnsi="Arial" w:cs="Arial"/>
                <w:b/>
                <w:bCs/>
                <w:sz w:val="16"/>
                <w:szCs w:val="16"/>
                <w:lang w:eastAsia="es-CO"/>
              </w:rPr>
            </w:pPr>
            <m:oMathPara>
              <m:oMath>
                <m:sSub>
                  <m:sSubPr>
                    <m:ctrlPr>
                      <w:rPr>
                        <w:rFonts w:ascii="Cambria Math" w:hAnsi="Cambria Math" w:cs="Arial"/>
                        <w:b/>
                        <w:i/>
                        <w:sz w:val="16"/>
                        <w:szCs w:val="16"/>
                        <w:lang w:eastAsia="es-CO"/>
                      </w:rPr>
                    </m:ctrlPr>
                  </m:sSubPr>
                  <m:e>
                    <m:r>
                      <m:rPr>
                        <m:sty m:val="bi"/>
                      </m:rPr>
                      <w:rPr>
                        <w:rFonts w:ascii="Cambria Math" w:hAnsi="Cambria Math" w:cs="Arial"/>
                        <w:sz w:val="16"/>
                        <w:szCs w:val="16"/>
                        <w:lang w:eastAsia="es-CO"/>
                      </w:rPr>
                      <m:t>d</m:t>
                    </m:r>
                  </m:e>
                  <m:sub>
                    <m:r>
                      <m:rPr>
                        <m:sty m:val="bi"/>
                      </m:rPr>
                      <w:rPr>
                        <w:rFonts w:ascii="Cambria Math" w:hAnsi="Cambria Math" w:cs="Arial"/>
                        <w:sz w:val="16"/>
                        <w:szCs w:val="16"/>
                        <w:lang w:eastAsia="es-CO"/>
                      </w:rPr>
                      <m:t>(t-a),i,j</m:t>
                    </m:r>
                  </m:sub>
                </m:sSub>
              </m:oMath>
            </m:oMathPara>
          </w:p>
        </w:tc>
        <w:tc>
          <w:tcPr>
            <w:tcW w:w="567"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noWrap/>
            <w:vAlign w:val="bottom"/>
            <w:hideMark/>
          </w:tcPr>
          <w:p w14:paraId="240FCABE" w14:textId="77777777" w:rsidR="00050D0A" w:rsidRPr="00743287" w:rsidRDefault="00000000" w:rsidP="00F66D85">
            <w:pPr>
              <w:jc w:val="center"/>
              <w:rPr>
                <w:rFonts w:ascii="Arial" w:hAnsi="Arial" w:cs="Arial"/>
                <w:b/>
                <w:bCs/>
                <w:sz w:val="16"/>
                <w:szCs w:val="16"/>
                <w:lang w:eastAsia="es-CO"/>
              </w:rPr>
            </w:pPr>
            <m:oMathPara>
              <m:oMath>
                <m:sSub>
                  <m:sSubPr>
                    <m:ctrlPr>
                      <w:rPr>
                        <w:rFonts w:ascii="Cambria Math" w:hAnsi="Cambria Math" w:cs="Arial"/>
                        <w:b/>
                        <w:i/>
                        <w:sz w:val="16"/>
                        <w:szCs w:val="16"/>
                        <w:lang w:eastAsia="es-CO"/>
                      </w:rPr>
                    </m:ctrlPr>
                  </m:sSubPr>
                  <m:e>
                    <m:r>
                      <m:rPr>
                        <m:sty m:val="bi"/>
                      </m:rPr>
                      <w:rPr>
                        <w:rFonts w:ascii="Cambria Math" w:hAnsi="Cambria Math" w:cs="Arial"/>
                        <w:sz w:val="16"/>
                        <w:szCs w:val="16"/>
                        <w:lang w:eastAsia="es-CO"/>
                      </w:rPr>
                      <m:t>d</m:t>
                    </m:r>
                  </m:e>
                  <m:sub>
                    <m:r>
                      <m:rPr>
                        <m:sty m:val="bi"/>
                      </m:rPr>
                      <w:rPr>
                        <w:rFonts w:ascii="Cambria Math" w:hAnsi="Cambria Math" w:cs="Arial"/>
                        <w:sz w:val="16"/>
                        <w:szCs w:val="16"/>
                        <w:lang w:eastAsia="es-CO"/>
                      </w:rPr>
                      <m:t>y,i,j</m:t>
                    </m:r>
                  </m:sub>
                </m:sSub>
              </m:oMath>
            </m:oMathPara>
          </w:p>
        </w:tc>
      </w:tr>
      <w:tr w:rsidR="00050D0A" w:rsidRPr="00743287" w14:paraId="5657BC0D" w14:textId="77777777" w:rsidTr="00F66D85">
        <w:trPr>
          <w:trHeight w:val="270"/>
          <w:tblHeader/>
        </w:trPr>
        <w:tc>
          <w:tcPr>
            <w:tcW w:w="2410"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noWrap/>
            <w:vAlign w:val="bottom"/>
            <w:hideMark/>
          </w:tcPr>
          <w:p w14:paraId="480FC909"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EMPRESA</w:t>
            </w:r>
          </w:p>
        </w:tc>
        <w:tc>
          <w:tcPr>
            <w:tcW w:w="1418"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noWrap/>
            <w:vAlign w:val="bottom"/>
            <w:hideMark/>
          </w:tcPr>
          <w:p w14:paraId="20A04B38"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 xml:space="preserve">MERCADO </w:t>
            </w:r>
          </w:p>
        </w:tc>
        <w:tc>
          <w:tcPr>
            <w:tcW w:w="992"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bottom"/>
            <w:hideMark/>
          </w:tcPr>
          <w:p w14:paraId="40725ADE"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20</w:t>
            </w:r>
            <w:r>
              <w:rPr>
                <w:rFonts w:ascii="Arial" w:hAnsi="Arial" w:cs="Arial"/>
                <w:b/>
                <w:bCs/>
                <w:sz w:val="16"/>
                <w:szCs w:val="16"/>
                <w:lang w:eastAsia="es-CO"/>
              </w:rPr>
              <w:t>22</w:t>
            </w:r>
          </w:p>
        </w:tc>
        <w:tc>
          <w:tcPr>
            <w:tcW w:w="992" w:type="dxa"/>
            <w:tcBorders>
              <w:top w:val="single" w:sz="4" w:space="0" w:color="auto"/>
              <w:left w:val="nil"/>
              <w:bottom w:val="single" w:sz="4" w:space="0" w:color="auto"/>
              <w:right w:val="single" w:sz="12" w:space="0" w:color="auto"/>
            </w:tcBorders>
            <w:shd w:val="clear" w:color="auto" w:fill="D9D9D9" w:themeFill="background1" w:themeFillShade="D9"/>
            <w:noWrap/>
            <w:vAlign w:val="bottom"/>
            <w:hideMark/>
          </w:tcPr>
          <w:p w14:paraId="7E14C0F9"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20</w:t>
            </w:r>
            <w:r>
              <w:rPr>
                <w:rFonts w:ascii="Arial" w:hAnsi="Arial" w:cs="Arial"/>
                <w:b/>
                <w:bCs/>
                <w:sz w:val="16"/>
                <w:szCs w:val="16"/>
                <w:lang w:eastAsia="es-CO"/>
              </w:rPr>
              <w:t>23</w:t>
            </w:r>
          </w:p>
        </w:tc>
        <w:tc>
          <w:tcPr>
            <w:tcW w:w="992" w:type="dxa"/>
            <w:tcBorders>
              <w:top w:val="single" w:sz="6" w:space="0" w:color="auto"/>
              <w:left w:val="single" w:sz="12" w:space="0" w:color="auto"/>
              <w:bottom w:val="single" w:sz="6" w:space="0" w:color="auto"/>
              <w:right w:val="single" w:sz="6" w:space="0" w:color="auto"/>
            </w:tcBorders>
            <w:shd w:val="clear" w:color="auto" w:fill="D9D9D9" w:themeFill="background1" w:themeFillShade="D9"/>
            <w:noWrap/>
            <w:vAlign w:val="bottom"/>
            <w:hideMark/>
          </w:tcPr>
          <w:p w14:paraId="7D3C17D9"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20</w:t>
            </w:r>
            <w:r>
              <w:rPr>
                <w:rFonts w:ascii="Arial" w:hAnsi="Arial" w:cs="Arial"/>
                <w:b/>
                <w:bCs/>
                <w:sz w:val="16"/>
                <w:szCs w:val="16"/>
                <w:lang w:eastAsia="es-CO"/>
              </w:rPr>
              <w:t>22</w:t>
            </w:r>
          </w:p>
        </w:tc>
        <w:tc>
          <w:tcPr>
            <w:tcW w:w="993" w:type="dxa"/>
            <w:tcBorders>
              <w:top w:val="single" w:sz="6" w:space="0" w:color="auto"/>
              <w:left w:val="single" w:sz="6" w:space="0" w:color="auto"/>
              <w:bottom w:val="single" w:sz="6" w:space="0" w:color="auto"/>
              <w:right w:val="single" w:sz="12" w:space="0" w:color="auto"/>
            </w:tcBorders>
            <w:shd w:val="clear" w:color="auto" w:fill="D9D9D9" w:themeFill="background1" w:themeFillShade="D9"/>
            <w:noWrap/>
            <w:vAlign w:val="bottom"/>
            <w:hideMark/>
          </w:tcPr>
          <w:p w14:paraId="056BE8BB"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20</w:t>
            </w:r>
            <w:r>
              <w:rPr>
                <w:rFonts w:ascii="Arial" w:hAnsi="Arial" w:cs="Arial"/>
                <w:b/>
                <w:bCs/>
                <w:sz w:val="16"/>
                <w:szCs w:val="16"/>
                <w:lang w:eastAsia="es-CO"/>
              </w:rPr>
              <w:t>23</w:t>
            </w:r>
          </w:p>
        </w:tc>
        <w:tc>
          <w:tcPr>
            <w:tcW w:w="567" w:type="dxa"/>
            <w:tcBorders>
              <w:top w:val="single" w:sz="6" w:space="0" w:color="auto"/>
              <w:left w:val="single" w:sz="12" w:space="0" w:color="auto"/>
              <w:bottom w:val="single" w:sz="6" w:space="0" w:color="auto"/>
              <w:right w:val="single" w:sz="6" w:space="0" w:color="auto"/>
            </w:tcBorders>
            <w:shd w:val="clear" w:color="auto" w:fill="D9D9D9" w:themeFill="background1" w:themeFillShade="D9"/>
            <w:noWrap/>
            <w:vAlign w:val="bottom"/>
            <w:hideMark/>
          </w:tcPr>
          <w:p w14:paraId="17CBFC04"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20</w:t>
            </w:r>
            <w:r>
              <w:rPr>
                <w:rFonts w:ascii="Arial" w:hAnsi="Arial" w:cs="Arial"/>
                <w:b/>
                <w:bCs/>
                <w:sz w:val="16"/>
                <w:szCs w:val="16"/>
                <w:lang w:eastAsia="es-CO"/>
              </w:rPr>
              <w:t>22</w:t>
            </w:r>
          </w:p>
        </w:tc>
        <w:tc>
          <w:tcPr>
            <w:tcW w:w="567" w:type="dxa"/>
            <w:tcBorders>
              <w:top w:val="single" w:sz="6" w:space="0" w:color="auto"/>
              <w:left w:val="single" w:sz="6" w:space="0" w:color="auto"/>
              <w:bottom w:val="single" w:sz="6" w:space="0" w:color="auto"/>
              <w:right w:val="single" w:sz="12" w:space="0" w:color="auto"/>
            </w:tcBorders>
            <w:shd w:val="clear" w:color="auto" w:fill="D9D9D9" w:themeFill="background1" w:themeFillShade="D9"/>
            <w:noWrap/>
            <w:vAlign w:val="bottom"/>
            <w:hideMark/>
          </w:tcPr>
          <w:p w14:paraId="078FF422"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20</w:t>
            </w:r>
            <w:r>
              <w:rPr>
                <w:rFonts w:ascii="Arial" w:hAnsi="Arial" w:cs="Arial"/>
                <w:b/>
                <w:bCs/>
                <w:sz w:val="16"/>
                <w:szCs w:val="16"/>
                <w:lang w:eastAsia="es-CO"/>
              </w:rPr>
              <w:t>23</w:t>
            </w:r>
          </w:p>
        </w:tc>
        <w:tc>
          <w:tcPr>
            <w:tcW w:w="567" w:type="dxa"/>
            <w:tcBorders>
              <w:top w:val="single" w:sz="6" w:space="0" w:color="auto"/>
              <w:left w:val="single" w:sz="12" w:space="0" w:color="auto"/>
              <w:bottom w:val="single" w:sz="6" w:space="0" w:color="auto"/>
              <w:right w:val="single" w:sz="12" w:space="0" w:color="auto"/>
            </w:tcBorders>
            <w:shd w:val="clear" w:color="auto" w:fill="D9D9D9" w:themeFill="background1" w:themeFillShade="D9"/>
            <w:noWrap/>
            <w:vAlign w:val="bottom"/>
            <w:hideMark/>
          </w:tcPr>
          <w:p w14:paraId="38956530" w14:textId="77777777" w:rsidR="00050D0A" w:rsidRPr="00743287" w:rsidRDefault="00050D0A" w:rsidP="00F66D85">
            <w:pPr>
              <w:jc w:val="center"/>
              <w:rPr>
                <w:rFonts w:ascii="Arial" w:hAnsi="Arial" w:cs="Arial"/>
                <w:b/>
                <w:bCs/>
                <w:sz w:val="16"/>
                <w:szCs w:val="16"/>
                <w:lang w:eastAsia="es-CO"/>
              </w:rPr>
            </w:pPr>
            <w:r w:rsidRPr="00743287">
              <w:rPr>
                <w:rFonts w:ascii="Arial" w:hAnsi="Arial" w:cs="Arial"/>
                <w:b/>
                <w:bCs/>
                <w:sz w:val="16"/>
                <w:szCs w:val="16"/>
                <w:lang w:eastAsia="es-CO"/>
              </w:rPr>
              <w:t>Final</w:t>
            </w:r>
          </w:p>
        </w:tc>
      </w:tr>
      <w:tr w:rsidR="00050D0A" w:rsidRPr="00520926" w14:paraId="3518F7F1" w14:textId="77777777" w:rsidTr="00F66D85">
        <w:trPr>
          <w:trHeight w:val="434"/>
        </w:trPr>
        <w:tc>
          <w:tcPr>
            <w:tcW w:w="2410" w:type="dxa"/>
            <w:tcBorders>
              <w:top w:val="single" w:sz="6" w:space="0" w:color="auto"/>
              <w:left w:val="single" w:sz="12" w:space="0" w:color="auto"/>
              <w:bottom w:val="single" w:sz="6" w:space="0" w:color="auto"/>
              <w:right w:val="single" w:sz="12" w:space="0" w:color="auto"/>
            </w:tcBorders>
            <w:shd w:val="clear" w:color="auto" w:fill="auto"/>
            <w:vAlign w:val="bottom"/>
          </w:tcPr>
          <w:p w14:paraId="7ED621D9"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Alcanos de Colombia S.A. E.S.P.</w:t>
            </w:r>
          </w:p>
        </w:tc>
        <w:tc>
          <w:tcPr>
            <w:tcW w:w="1418" w:type="dxa"/>
            <w:tcBorders>
              <w:top w:val="single" w:sz="6" w:space="0" w:color="auto"/>
              <w:left w:val="single" w:sz="12" w:space="0" w:color="auto"/>
              <w:bottom w:val="single" w:sz="6" w:space="0" w:color="auto"/>
              <w:right w:val="single" w:sz="12" w:space="0" w:color="auto"/>
            </w:tcBorders>
            <w:shd w:val="clear" w:color="auto" w:fill="auto"/>
            <w:vAlign w:val="bottom"/>
          </w:tcPr>
          <w:p w14:paraId="77DD8DF2"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Huila - Neiva</w:t>
            </w: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099B7088"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12,169,810 </w:t>
            </w:r>
          </w:p>
        </w:tc>
        <w:tc>
          <w:tcPr>
            <w:tcW w:w="992" w:type="dxa"/>
            <w:tcBorders>
              <w:top w:val="single" w:sz="4" w:space="0" w:color="auto"/>
              <w:left w:val="nil"/>
              <w:bottom w:val="single" w:sz="4" w:space="0" w:color="auto"/>
              <w:right w:val="single" w:sz="12" w:space="0" w:color="auto"/>
            </w:tcBorders>
            <w:shd w:val="clear" w:color="auto" w:fill="auto"/>
          </w:tcPr>
          <w:p w14:paraId="2B38CF60"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12,010,751 </w:t>
            </w:r>
          </w:p>
        </w:tc>
        <w:tc>
          <w:tcPr>
            <w:tcW w:w="992" w:type="dxa"/>
            <w:tcBorders>
              <w:top w:val="single" w:sz="6" w:space="0" w:color="auto"/>
              <w:left w:val="single" w:sz="12" w:space="0" w:color="auto"/>
              <w:bottom w:val="single" w:sz="6" w:space="0" w:color="auto"/>
              <w:right w:val="single" w:sz="6" w:space="0" w:color="auto"/>
            </w:tcBorders>
            <w:shd w:val="clear" w:color="auto" w:fill="auto"/>
          </w:tcPr>
          <w:p w14:paraId="3D7851AB"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10,904,306 </w:t>
            </w:r>
          </w:p>
        </w:tc>
        <w:tc>
          <w:tcPr>
            <w:tcW w:w="993" w:type="dxa"/>
            <w:tcBorders>
              <w:top w:val="single" w:sz="6" w:space="0" w:color="auto"/>
              <w:left w:val="single" w:sz="6" w:space="0" w:color="auto"/>
              <w:bottom w:val="single" w:sz="6" w:space="0" w:color="auto"/>
              <w:right w:val="single" w:sz="12" w:space="0" w:color="auto"/>
            </w:tcBorders>
            <w:shd w:val="clear" w:color="auto" w:fill="auto"/>
          </w:tcPr>
          <w:p w14:paraId="4BE1E503"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10,892,741 </w:t>
            </w:r>
          </w:p>
        </w:tc>
        <w:tc>
          <w:tcPr>
            <w:tcW w:w="567" w:type="dxa"/>
            <w:tcBorders>
              <w:top w:val="single" w:sz="6" w:space="0" w:color="auto"/>
              <w:left w:val="single" w:sz="12" w:space="0" w:color="auto"/>
              <w:bottom w:val="single" w:sz="6" w:space="0" w:color="auto"/>
              <w:right w:val="single" w:sz="6" w:space="0" w:color="auto"/>
            </w:tcBorders>
            <w:shd w:val="clear" w:color="auto" w:fill="auto"/>
          </w:tcPr>
          <w:p w14:paraId="341B8067"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90%</w:t>
            </w:r>
          </w:p>
        </w:tc>
        <w:tc>
          <w:tcPr>
            <w:tcW w:w="567" w:type="dxa"/>
            <w:tcBorders>
              <w:top w:val="single" w:sz="6" w:space="0" w:color="auto"/>
              <w:left w:val="single" w:sz="6" w:space="0" w:color="auto"/>
              <w:bottom w:val="single" w:sz="6" w:space="0" w:color="auto"/>
              <w:right w:val="single" w:sz="12" w:space="0" w:color="auto"/>
            </w:tcBorders>
            <w:shd w:val="clear" w:color="auto" w:fill="auto"/>
          </w:tcPr>
          <w:p w14:paraId="1E19C0DE"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91%</w:t>
            </w:r>
          </w:p>
        </w:tc>
        <w:tc>
          <w:tcPr>
            <w:tcW w:w="567" w:type="dxa"/>
            <w:tcBorders>
              <w:top w:val="single" w:sz="6" w:space="0" w:color="auto"/>
              <w:left w:val="single" w:sz="12" w:space="0" w:color="auto"/>
              <w:bottom w:val="single" w:sz="6" w:space="0" w:color="auto"/>
              <w:right w:val="single" w:sz="12" w:space="0" w:color="auto"/>
            </w:tcBorders>
            <w:shd w:val="clear" w:color="auto" w:fill="auto"/>
          </w:tcPr>
          <w:p w14:paraId="5D08C922"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90%</w:t>
            </w:r>
          </w:p>
        </w:tc>
      </w:tr>
      <w:tr w:rsidR="00050D0A" w:rsidRPr="00520926" w14:paraId="072A7EC8" w14:textId="77777777" w:rsidTr="00F66D85">
        <w:trPr>
          <w:trHeight w:val="722"/>
        </w:trPr>
        <w:tc>
          <w:tcPr>
            <w:tcW w:w="2410" w:type="dxa"/>
            <w:tcBorders>
              <w:top w:val="single" w:sz="6" w:space="0" w:color="auto"/>
              <w:left w:val="single" w:sz="12" w:space="0" w:color="auto"/>
              <w:bottom w:val="single" w:sz="6" w:space="0" w:color="auto"/>
              <w:right w:val="single" w:sz="12" w:space="0" w:color="auto"/>
            </w:tcBorders>
            <w:shd w:val="clear" w:color="auto" w:fill="auto"/>
            <w:vAlign w:val="bottom"/>
          </w:tcPr>
          <w:p w14:paraId="19ECA32F"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Empresas Públicas de Medellín S.A. E.S.P.</w:t>
            </w:r>
          </w:p>
        </w:tc>
        <w:tc>
          <w:tcPr>
            <w:tcW w:w="1418" w:type="dxa"/>
            <w:tcBorders>
              <w:top w:val="single" w:sz="6" w:space="0" w:color="auto"/>
              <w:left w:val="single" w:sz="12" w:space="0" w:color="auto"/>
              <w:bottom w:val="single" w:sz="6" w:space="0" w:color="auto"/>
              <w:right w:val="single" w:sz="12" w:space="0" w:color="auto"/>
            </w:tcBorders>
            <w:shd w:val="clear" w:color="auto" w:fill="auto"/>
            <w:vAlign w:val="bottom"/>
          </w:tcPr>
          <w:p w14:paraId="263CF241"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Antioquia - Medellín</w:t>
            </w: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0B267997"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28,390,889 </w:t>
            </w:r>
          </w:p>
        </w:tc>
        <w:tc>
          <w:tcPr>
            <w:tcW w:w="992" w:type="dxa"/>
            <w:tcBorders>
              <w:top w:val="single" w:sz="4" w:space="0" w:color="auto"/>
              <w:left w:val="nil"/>
              <w:bottom w:val="single" w:sz="4" w:space="0" w:color="auto"/>
              <w:right w:val="single" w:sz="12" w:space="0" w:color="auto"/>
            </w:tcBorders>
            <w:shd w:val="clear" w:color="auto" w:fill="auto"/>
          </w:tcPr>
          <w:p w14:paraId="5E133E64"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30,646,554 </w:t>
            </w:r>
          </w:p>
        </w:tc>
        <w:tc>
          <w:tcPr>
            <w:tcW w:w="992" w:type="dxa"/>
            <w:tcBorders>
              <w:top w:val="single" w:sz="6" w:space="0" w:color="auto"/>
              <w:left w:val="single" w:sz="12" w:space="0" w:color="auto"/>
              <w:bottom w:val="single" w:sz="6" w:space="0" w:color="auto"/>
              <w:right w:val="single" w:sz="6" w:space="0" w:color="auto"/>
            </w:tcBorders>
            <w:shd w:val="clear" w:color="auto" w:fill="auto"/>
          </w:tcPr>
          <w:p w14:paraId="234D666F"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23,859,150 </w:t>
            </w:r>
          </w:p>
        </w:tc>
        <w:tc>
          <w:tcPr>
            <w:tcW w:w="993" w:type="dxa"/>
            <w:tcBorders>
              <w:top w:val="single" w:sz="6" w:space="0" w:color="auto"/>
              <w:left w:val="single" w:sz="6" w:space="0" w:color="auto"/>
              <w:bottom w:val="single" w:sz="6" w:space="0" w:color="auto"/>
              <w:right w:val="single" w:sz="12" w:space="0" w:color="auto"/>
            </w:tcBorders>
            <w:shd w:val="clear" w:color="auto" w:fill="auto"/>
          </w:tcPr>
          <w:p w14:paraId="6B5F7D93"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23,414,950 </w:t>
            </w:r>
          </w:p>
        </w:tc>
        <w:tc>
          <w:tcPr>
            <w:tcW w:w="567" w:type="dxa"/>
            <w:tcBorders>
              <w:top w:val="single" w:sz="6" w:space="0" w:color="auto"/>
              <w:left w:val="single" w:sz="12" w:space="0" w:color="auto"/>
              <w:bottom w:val="single" w:sz="6" w:space="0" w:color="auto"/>
              <w:right w:val="single" w:sz="6" w:space="0" w:color="auto"/>
            </w:tcBorders>
            <w:shd w:val="clear" w:color="auto" w:fill="auto"/>
          </w:tcPr>
          <w:p w14:paraId="496154A8"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84%</w:t>
            </w:r>
          </w:p>
        </w:tc>
        <w:tc>
          <w:tcPr>
            <w:tcW w:w="567" w:type="dxa"/>
            <w:tcBorders>
              <w:top w:val="single" w:sz="6" w:space="0" w:color="auto"/>
              <w:left w:val="single" w:sz="6" w:space="0" w:color="auto"/>
              <w:bottom w:val="single" w:sz="6" w:space="0" w:color="auto"/>
              <w:right w:val="single" w:sz="12" w:space="0" w:color="auto"/>
            </w:tcBorders>
            <w:shd w:val="clear" w:color="auto" w:fill="auto"/>
          </w:tcPr>
          <w:p w14:paraId="35F98C5F"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76%</w:t>
            </w:r>
          </w:p>
        </w:tc>
        <w:tc>
          <w:tcPr>
            <w:tcW w:w="567" w:type="dxa"/>
            <w:tcBorders>
              <w:top w:val="single" w:sz="6" w:space="0" w:color="auto"/>
              <w:left w:val="single" w:sz="12" w:space="0" w:color="auto"/>
              <w:bottom w:val="single" w:sz="6" w:space="0" w:color="auto"/>
              <w:right w:val="single" w:sz="12" w:space="0" w:color="auto"/>
            </w:tcBorders>
            <w:shd w:val="clear" w:color="auto" w:fill="auto"/>
          </w:tcPr>
          <w:p w14:paraId="418ADC19"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76%</w:t>
            </w:r>
          </w:p>
        </w:tc>
      </w:tr>
      <w:tr w:rsidR="00050D0A" w:rsidRPr="00520926" w14:paraId="3AED5121" w14:textId="77777777" w:rsidTr="00F66D85">
        <w:trPr>
          <w:trHeight w:val="577"/>
        </w:trPr>
        <w:tc>
          <w:tcPr>
            <w:tcW w:w="2410" w:type="dxa"/>
            <w:tcBorders>
              <w:top w:val="single" w:sz="6" w:space="0" w:color="auto"/>
              <w:left w:val="single" w:sz="12" w:space="0" w:color="auto"/>
              <w:bottom w:val="single" w:sz="6" w:space="0" w:color="auto"/>
              <w:right w:val="single" w:sz="12" w:space="0" w:color="auto"/>
            </w:tcBorders>
            <w:shd w:val="clear" w:color="auto" w:fill="auto"/>
            <w:vAlign w:val="bottom"/>
          </w:tcPr>
          <w:p w14:paraId="044E6E04"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Gas Natural Cundiboyacense S.A. E.S.P.</w:t>
            </w:r>
          </w:p>
        </w:tc>
        <w:tc>
          <w:tcPr>
            <w:tcW w:w="1418" w:type="dxa"/>
            <w:tcBorders>
              <w:top w:val="single" w:sz="6" w:space="0" w:color="auto"/>
              <w:left w:val="single" w:sz="12" w:space="0" w:color="auto"/>
              <w:bottom w:val="single" w:sz="6" w:space="0" w:color="auto"/>
              <w:right w:val="single" w:sz="12" w:space="0" w:color="auto"/>
            </w:tcBorders>
            <w:shd w:val="clear" w:color="auto" w:fill="auto"/>
            <w:vAlign w:val="bottom"/>
          </w:tcPr>
          <w:p w14:paraId="4FDF3B23"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Boyacá - Sogamoso</w:t>
            </w: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41EC8395"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13,741,362 </w:t>
            </w:r>
          </w:p>
        </w:tc>
        <w:tc>
          <w:tcPr>
            <w:tcW w:w="992" w:type="dxa"/>
            <w:tcBorders>
              <w:top w:val="single" w:sz="4" w:space="0" w:color="auto"/>
              <w:left w:val="nil"/>
              <w:bottom w:val="single" w:sz="4" w:space="0" w:color="auto"/>
              <w:right w:val="single" w:sz="12" w:space="0" w:color="auto"/>
            </w:tcBorders>
            <w:shd w:val="clear" w:color="auto" w:fill="auto"/>
          </w:tcPr>
          <w:p w14:paraId="2980CB1D"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14,163,294 </w:t>
            </w:r>
          </w:p>
        </w:tc>
        <w:tc>
          <w:tcPr>
            <w:tcW w:w="992" w:type="dxa"/>
            <w:tcBorders>
              <w:top w:val="single" w:sz="6" w:space="0" w:color="auto"/>
              <w:left w:val="single" w:sz="12" w:space="0" w:color="auto"/>
              <w:bottom w:val="single" w:sz="6" w:space="0" w:color="auto"/>
              <w:right w:val="single" w:sz="6" w:space="0" w:color="auto"/>
            </w:tcBorders>
            <w:shd w:val="clear" w:color="auto" w:fill="auto"/>
          </w:tcPr>
          <w:p w14:paraId="4CFCE529"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11,144,915 </w:t>
            </w:r>
          </w:p>
        </w:tc>
        <w:tc>
          <w:tcPr>
            <w:tcW w:w="993" w:type="dxa"/>
            <w:tcBorders>
              <w:top w:val="single" w:sz="6" w:space="0" w:color="auto"/>
              <w:left w:val="single" w:sz="6" w:space="0" w:color="auto"/>
              <w:bottom w:val="single" w:sz="6" w:space="0" w:color="auto"/>
              <w:right w:val="single" w:sz="12" w:space="0" w:color="auto"/>
            </w:tcBorders>
            <w:shd w:val="clear" w:color="auto" w:fill="auto"/>
          </w:tcPr>
          <w:p w14:paraId="1CF036A1"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11,582,190 </w:t>
            </w:r>
          </w:p>
        </w:tc>
        <w:tc>
          <w:tcPr>
            <w:tcW w:w="567" w:type="dxa"/>
            <w:tcBorders>
              <w:top w:val="single" w:sz="6" w:space="0" w:color="auto"/>
              <w:left w:val="single" w:sz="12" w:space="0" w:color="auto"/>
              <w:bottom w:val="single" w:sz="6" w:space="0" w:color="auto"/>
              <w:right w:val="single" w:sz="6" w:space="0" w:color="auto"/>
            </w:tcBorders>
            <w:shd w:val="clear" w:color="auto" w:fill="auto"/>
          </w:tcPr>
          <w:p w14:paraId="466C8512"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81%</w:t>
            </w:r>
          </w:p>
        </w:tc>
        <w:tc>
          <w:tcPr>
            <w:tcW w:w="567" w:type="dxa"/>
            <w:tcBorders>
              <w:top w:val="single" w:sz="6" w:space="0" w:color="auto"/>
              <w:left w:val="single" w:sz="6" w:space="0" w:color="auto"/>
              <w:bottom w:val="single" w:sz="6" w:space="0" w:color="auto"/>
              <w:right w:val="single" w:sz="12" w:space="0" w:color="auto"/>
            </w:tcBorders>
            <w:shd w:val="clear" w:color="auto" w:fill="auto"/>
          </w:tcPr>
          <w:p w14:paraId="4C39E16C"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82%</w:t>
            </w:r>
          </w:p>
        </w:tc>
        <w:tc>
          <w:tcPr>
            <w:tcW w:w="567" w:type="dxa"/>
            <w:tcBorders>
              <w:top w:val="single" w:sz="6" w:space="0" w:color="auto"/>
              <w:left w:val="single" w:sz="12" w:space="0" w:color="auto"/>
              <w:bottom w:val="single" w:sz="6" w:space="0" w:color="auto"/>
              <w:right w:val="single" w:sz="12" w:space="0" w:color="auto"/>
            </w:tcBorders>
            <w:shd w:val="clear" w:color="auto" w:fill="auto"/>
          </w:tcPr>
          <w:p w14:paraId="6389DCED"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81%</w:t>
            </w:r>
          </w:p>
        </w:tc>
      </w:tr>
      <w:tr w:rsidR="00050D0A" w:rsidRPr="00520926" w14:paraId="6EE9AEBB" w14:textId="77777777" w:rsidTr="00F66D85">
        <w:trPr>
          <w:trHeight w:val="510"/>
        </w:trPr>
        <w:tc>
          <w:tcPr>
            <w:tcW w:w="2410" w:type="dxa"/>
            <w:tcBorders>
              <w:top w:val="single" w:sz="6" w:space="0" w:color="auto"/>
              <w:left w:val="single" w:sz="12" w:space="0" w:color="auto"/>
              <w:bottom w:val="single" w:sz="6" w:space="0" w:color="auto"/>
              <w:right w:val="single" w:sz="12" w:space="0" w:color="auto"/>
            </w:tcBorders>
            <w:shd w:val="clear" w:color="auto" w:fill="auto"/>
            <w:vAlign w:val="bottom"/>
          </w:tcPr>
          <w:p w14:paraId="3D4E4172"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Gases de Occidente S.A. E.S.P.</w:t>
            </w:r>
          </w:p>
        </w:tc>
        <w:tc>
          <w:tcPr>
            <w:tcW w:w="1418" w:type="dxa"/>
            <w:tcBorders>
              <w:top w:val="single" w:sz="6" w:space="0" w:color="auto"/>
              <w:left w:val="single" w:sz="12" w:space="0" w:color="auto"/>
              <w:bottom w:val="single" w:sz="6" w:space="0" w:color="auto"/>
              <w:right w:val="single" w:sz="12" w:space="0" w:color="auto"/>
            </w:tcBorders>
            <w:shd w:val="clear" w:color="auto" w:fill="auto"/>
            <w:vAlign w:val="bottom"/>
          </w:tcPr>
          <w:p w14:paraId="7E317FD0"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Valle del Cauca - Cali</w:t>
            </w: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4C0140C1"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21,775,993 </w:t>
            </w:r>
          </w:p>
        </w:tc>
        <w:tc>
          <w:tcPr>
            <w:tcW w:w="992" w:type="dxa"/>
            <w:tcBorders>
              <w:top w:val="single" w:sz="4" w:space="0" w:color="auto"/>
              <w:left w:val="nil"/>
              <w:bottom w:val="single" w:sz="4" w:space="0" w:color="auto"/>
              <w:right w:val="single" w:sz="12" w:space="0" w:color="auto"/>
            </w:tcBorders>
            <w:shd w:val="clear" w:color="auto" w:fill="auto"/>
          </w:tcPr>
          <w:p w14:paraId="671DFF0F"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18,696,009 </w:t>
            </w:r>
          </w:p>
        </w:tc>
        <w:tc>
          <w:tcPr>
            <w:tcW w:w="992" w:type="dxa"/>
            <w:tcBorders>
              <w:top w:val="single" w:sz="6" w:space="0" w:color="auto"/>
              <w:left w:val="single" w:sz="12" w:space="0" w:color="auto"/>
              <w:bottom w:val="single" w:sz="6" w:space="0" w:color="auto"/>
              <w:right w:val="single" w:sz="6" w:space="0" w:color="auto"/>
            </w:tcBorders>
            <w:shd w:val="clear" w:color="auto" w:fill="auto"/>
          </w:tcPr>
          <w:p w14:paraId="04CEBF37"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16,867,557 </w:t>
            </w:r>
          </w:p>
        </w:tc>
        <w:tc>
          <w:tcPr>
            <w:tcW w:w="993" w:type="dxa"/>
            <w:tcBorders>
              <w:top w:val="single" w:sz="6" w:space="0" w:color="auto"/>
              <w:left w:val="single" w:sz="6" w:space="0" w:color="auto"/>
              <w:bottom w:val="single" w:sz="6" w:space="0" w:color="auto"/>
              <w:right w:val="single" w:sz="12" w:space="0" w:color="auto"/>
            </w:tcBorders>
            <w:shd w:val="clear" w:color="auto" w:fill="auto"/>
          </w:tcPr>
          <w:p w14:paraId="0A8A4F84"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16,002,260 </w:t>
            </w:r>
          </w:p>
        </w:tc>
        <w:tc>
          <w:tcPr>
            <w:tcW w:w="567" w:type="dxa"/>
            <w:tcBorders>
              <w:top w:val="single" w:sz="6" w:space="0" w:color="auto"/>
              <w:left w:val="single" w:sz="12" w:space="0" w:color="auto"/>
              <w:bottom w:val="single" w:sz="6" w:space="0" w:color="auto"/>
              <w:right w:val="single" w:sz="6" w:space="0" w:color="auto"/>
            </w:tcBorders>
            <w:shd w:val="clear" w:color="auto" w:fill="auto"/>
          </w:tcPr>
          <w:p w14:paraId="771926B5"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77%</w:t>
            </w:r>
          </w:p>
        </w:tc>
        <w:tc>
          <w:tcPr>
            <w:tcW w:w="567" w:type="dxa"/>
            <w:tcBorders>
              <w:top w:val="single" w:sz="6" w:space="0" w:color="auto"/>
              <w:left w:val="single" w:sz="6" w:space="0" w:color="auto"/>
              <w:bottom w:val="single" w:sz="6" w:space="0" w:color="auto"/>
              <w:right w:val="single" w:sz="12" w:space="0" w:color="auto"/>
            </w:tcBorders>
            <w:shd w:val="clear" w:color="auto" w:fill="auto"/>
          </w:tcPr>
          <w:p w14:paraId="1AEEF0F5"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86%</w:t>
            </w:r>
          </w:p>
        </w:tc>
        <w:tc>
          <w:tcPr>
            <w:tcW w:w="567" w:type="dxa"/>
            <w:tcBorders>
              <w:top w:val="single" w:sz="6" w:space="0" w:color="auto"/>
              <w:left w:val="single" w:sz="12" w:space="0" w:color="auto"/>
              <w:bottom w:val="single" w:sz="6" w:space="0" w:color="auto"/>
              <w:right w:val="single" w:sz="12" w:space="0" w:color="auto"/>
            </w:tcBorders>
            <w:shd w:val="clear" w:color="auto" w:fill="auto"/>
          </w:tcPr>
          <w:p w14:paraId="5B9E9C94"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77%</w:t>
            </w:r>
          </w:p>
        </w:tc>
      </w:tr>
      <w:tr w:rsidR="00050D0A" w:rsidRPr="00520926" w14:paraId="455842AE" w14:textId="77777777" w:rsidTr="00F66D85">
        <w:trPr>
          <w:trHeight w:val="510"/>
        </w:trPr>
        <w:tc>
          <w:tcPr>
            <w:tcW w:w="2410" w:type="dxa"/>
            <w:tcBorders>
              <w:top w:val="single" w:sz="6" w:space="0" w:color="auto"/>
              <w:left w:val="single" w:sz="12" w:space="0" w:color="auto"/>
              <w:bottom w:val="single" w:sz="6" w:space="0" w:color="auto"/>
              <w:right w:val="single" w:sz="12" w:space="0" w:color="auto"/>
            </w:tcBorders>
            <w:shd w:val="clear" w:color="auto" w:fill="auto"/>
            <w:vAlign w:val="bottom"/>
          </w:tcPr>
          <w:p w14:paraId="15E13B64"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Gases del Caribe S.A. E.S.P.</w:t>
            </w:r>
          </w:p>
        </w:tc>
        <w:tc>
          <w:tcPr>
            <w:tcW w:w="1418" w:type="dxa"/>
            <w:tcBorders>
              <w:top w:val="single" w:sz="6" w:space="0" w:color="auto"/>
              <w:left w:val="single" w:sz="12" w:space="0" w:color="auto"/>
              <w:bottom w:val="single" w:sz="6" w:space="0" w:color="auto"/>
              <w:right w:val="single" w:sz="12" w:space="0" w:color="auto"/>
            </w:tcBorders>
            <w:shd w:val="clear" w:color="auto" w:fill="auto"/>
            <w:vAlign w:val="bottom"/>
          </w:tcPr>
          <w:p w14:paraId="7CB01DC0"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Barranquilla</w:t>
            </w: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0B725852"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20,472,659 </w:t>
            </w:r>
          </w:p>
        </w:tc>
        <w:tc>
          <w:tcPr>
            <w:tcW w:w="992" w:type="dxa"/>
            <w:tcBorders>
              <w:top w:val="single" w:sz="4" w:space="0" w:color="auto"/>
              <w:left w:val="nil"/>
              <w:bottom w:val="single" w:sz="4" w:space="0" w:color="auto"/>
              <w:right w:val="single" w:sz="12" w:space="0" w:color="auto"/>
            </w:tcBorders>
            <w:shd w:val="clear" w:color="auto" w:fill="auto"/>
          </w:tcPr>
          <w:p w14:paraId="3CB30826"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20,405,055 </w:t>
            </w:r>
          </w:p>
        </w:tc>
        <w:tc>
          <w:tcPr>
            <w:tcW w:w="992" w:type="dxa"/>
            <w:tcBorders>
              <w:top w:val="single" w:sz="6" w:space="0" w:color="auto"/>
              <w:left w:val="single" w:sz="12" w:space="0" w:color="auto"/>
              <w:bottom w:val="single" w:sz="6" w:space="0" w:color="auto"/>
              <w:right w:val="single" w:sz="6" w:space="0" w:color="auto"/>
            </w:tcBorders>
            <w:shd w:val="clear" w:color="auto" w:fill="auto"/>
          </w:tcPr>
          <w:p w14:paraId="3B4C62C9"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17,181,647 </w:t>
            </w:r>
          </w:p>
        </w:tc>
        <w:tc>
          <w:tcPr>
            <w:tcW w:w="993" w:type="dxa"/>
            <w:tcBorders>
              <w:top w:val="single" w:sz="6" w:space="0" w:color="auto"/>
              <w:left w:val="single" w:sz="6" w:space="0" w:color="auto"/>
              <w:bottom w:val="single" w:sz="6" w:space="0" w:color="auto"/>
              <w:right w:val="single" w:sz="12" w:space="0" w:color="auto"/>
            </w:tcBorders>
            <w:shd w:val="clear" w:color="auto" w:fill="auto"/>
          </w:tcPr>
          <w:p w14:paraId="7C768FB5"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16,295,385 </w:t>
            </w:r>
          </w:p>
        </w:tc>
        <w:tc>
          <w:tcPr>
            <w:tcW w:w="567" w:type="dxa"/>
            <w:tcBorders>
              <w:top w:val="single" w:sz="6" w:space="0" w:color="auto"/>
              <w:left w:val="single" w:sz="12" w:space="0" w:color="auto"/>
              <w:bottom w:val="single" w:sz="6" w:space="0" w:color="auto"/>
              <w:right w:val="single" w:sz="6" w:space="0" w:color="auto"/>
            </w:tcBorders>
            <w:shd w:val="clear" w:color="auto" w:fill="auto"/>
          </w:tcPr>
          <w:p w14:paraId="6B741906"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84%</w:t>
            </w:r>
          </w:p>
        </w:tc>
        <w:tc>
          <w:tcPr>
            <w:tcW w:w="567" w:type="dxa"/>
            <w:tcBorders>
              <w:top w:val="single" w:sz="6" w:space="0" w:color="auto"/>
              <w:left w:val="single" w:sz="6" w:space="0" w:color="auto"/>
              <w:bottom w:val="single" w:sz="6" w:space="0" w:color="auto"/>
              <w:right w:val="single" w:sz="12" w:space="0" w:color="auto"/>
            </w:tcBorders>
            <w:shd w:val="clear" w:color="auto" w:fill="auto"/>
          </w:tcPr>
          <w:p w14:paraId="5FF0E833"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80%</w:t>
            </w:r>
          </w:p>
        </w:tc>
        <w:tc>
          <w:tcPr>
            <w:tcW w:w="567" w:type="dxa"/>
            <w:tcBorders>
              <w:top w:val="single" w:sz="6" w:space="0" w:color="auto"/>
              <w:left w:val="single" w:sz="12" w:space="0" w:color="auto"/>
              <w:bottom w:val="single" w:sz="6" w:space="0" w:color="auto"/>
              <w:right w:val="single" w:sz="12" w:space="0" w:color="auto"/>
            </w:tcBorders>
            <w:shd w:val="clear" w:color="auto" w:fill="auto"/>
          </w:tcPr>
          <w:p w14:paraId="3808D175"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80%</w:t>
            </w:r>
          </w:p>
        </w:tc>
      </w:tr>
      <w:tr w:rsidR="00050D0A" w:rsidRPr="00520926" w14:paraId="4486A75B" w14:textId="77777777" w:rsidTr="00F66D85">
        <w:trPr>
          <w:trHeight w:val="460"/>
        </w:trPr>
        <w:tc>
          <w:tcPr>
            <w:tcW w:w="2410" w:type="dxa"/>
            <w:tcBorders>
              <w:top w:val="single" w:sz="6" w:space="0" w:color="auto"/>
              <w:left w:val="single" w:sz="12" w:space="0" w:color="auto"/>
              <w:bottom w:val="single" w:sz="6" w:space="0" w:color="auto"/>
              <w:right w:val="single" w:sz="12" w:space="0" w:color="auto"/>
            </w:tcBorders>
            <w:shd w:val="clear" w:color="auto" w:fill="auto"/>
            <w:vAlign w:val="bottom"/>
          </w:tcPr>
          <w:p w14:paraId="6602EA7F"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Surtidora de Gas del Caribe S.A. E.S.P.</w:t>
            </w:r>
          </w:p>
        </w:tc>
        <w:tc>
          <w:tcPr>
            <w:tcW w:w="1418" w:type="dxa"/>
            <w:tcBorders>
              <w:top w:val="single" w:sz="6" w:space="0" w:color="auto"/>
              <w:left w:val="single" w:sz="12" w:space="0" w:color="auto"/>
              <w:bottom w:val="single" w:sz="6" w:space="0" w:color="auto"/>
              <w:right w:val="single" w:sz="12" w:space="0" w:color="auto"/>
            </w:tcBorders>
            <w:shd w:val="clear" w:color="auto" w:fill="auto"/>
            <w:vAlign w:val="bottom"/>
          </w:tcPr>
          <w:p w14:paraId="18EAE973"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Bolívar - Cartagena de Indias</w:t>
            </w: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070A960E"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16,083,158 </w:t>
            </w:r>
          </w:p>
        </w:tc>
        <w:tc>
          <w:tcPr>
            <w:tcW w:w="992" w:type="dxa"/>
            <w:tcBorders>
              <w:top w:val="single" w:sz="4" w:space="0" w:color="auto"/>
              <w:left w:val="nil"/>
              <w:bottom w:val="single" w:sz="4" w:space="0" w:color="auto"/>
              <w:right w:val="single" w:sz="12" w:space="0" w:color="auto"/>
            </w:tcBorders>
            <w:shd w:val="clear" w:color="auto" w:fill="auto"/>
          </w:tcPr>
          <w:p w14:paraId="3C2B502F"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14,703,640 </w:t>
            </w:r>
          </w:p>
        </w:tc>
        <w:tc>
          <w:tcPr>
            <w:tcW w:w="992" w:type="dxa"/>
            <w:tcBorders>
              <w:top w:val="single" w:sz="6" w:space="0" w:color="auto"/>
              <w:left w:val="single" w:sz="12" w:space="0" w:color="auto"/>
              <w:bottom w:val="single" w:sz="6" w:space="0" w:color="auto"/>
              <w:right w:val="single" w:sz="6" w:space="0" w:color="auto"/>
            </w:tcBorders>
            <w:shd w:val="clear" w:color="auto" w:fill="auto"/>
          </w:tcPr>
          <w:p w14:paraId="64AFDE48"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12,868,568 </w:t>
            </w:r>
          </w:p>
        </w:tc>
        <w:tc>
          <w:tcPr>
            <w:tcW w:w="993" w:type="dxa"/>
            <w:tcBorders>
              <w:top w:val="single" w:sz="6" w:space="0" w:color="auto"/>
              <w:left w:val="single" w:sz="6" w:space="0" w:color="auto"/>
              <w:bottom w:val="single" w:sz="6" w:space="0" w:color="auto"/>
              <w:right w:val="single" w:sz="12" w:space="0" w:color="auto"/>
            </w:tcBorders>
            <w:shd w:val="clear" w:color="auto" w:fill="auto"/>
          </w:tcPr>
          <w:p w14:paraId="49EF6DBC"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13,144,922 </w:t>
            </w:r>
          </w:p>
        </w:tc>
        <w:tc>
          <w:tcPr>
            <w:tcW w:w="567" w:type="dxa"/>
            <w:tcBorders>
              <w:top w:val="single" w:sz="6" w:space="0" w:color="auto"/>
              <w:left w:val="single" w:sz="12" w:space="0" w:color="auto"/>
              <w:bottom w:val="single" w:sz="6" w:space="0" w:color="auto"/>
              <w:right w:val="single" w:sz="6" w:space="0" w:color="auto"/>
            </w:tcBorders>
            <w:shd w:val="clear" w:color="auto" w:fill="auto"/>
          </w:tcPr>
          <w:p w14:paraId="0151AFA0"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80%</w:t>
            </w:r>
          </w:p>
        </w:tc>
        <w:tc>
          <w:tcPr>
            <w:tcW w:w="567" w:type="dxa"/>
            <w:tcBorders>
              <w:top w:val="single" w:sz="6" w:space="0" w:color="auto"/>
              <w:left w:val="single" w:sz="6" w:space="0" w:color="auto"/>
              <w:bottom w:val="single" w:sz="6" w:space="0" w:color="auto"/>
              <w:right w:val="single" w:sz="12" w:space="0" w:color="auto"/>
            </w:tcBorders>
            <w:shd w:val="clear" w:color="auto" w:fill="auto"/>
          </w:tcPr>
          <w:p w14:paraId="35CB36F0"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89%</w:t>
            </w:r>
          </w:p>
        </w:tc>
        <w:tc>
          <w:tcPr>
            <w:tcW w:w="567" w:type="dxa"/>
            <w:tcBorders>
              <w:top w:val="single" w:sz="6" w:space="0" w:color="auto"/>
              <w:left w:val="single" w:sz="12" w:space="0" w:color="auto"/>
              <w:bottom w:val="single" w:sz="6" w:space="0" w:color="auto"/>
              <w:right w:val="single" w:sz="12" w:space="0" w:color="auto"/>
            </w:tcBorders>
            <w:shd w:val="clear" w:color="auto" w:fill="auto"/>
          </w:tcPr>
          <w:p w14:paraId="5007564D"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80%</w:t>
            </w:r>
          </w:p>
        </w:tc>
      </w:tr>
      <w:tr w:rsidR="00050D0A" w:rsidRPr="00520926" w14:paraId="37A80657" w14:textId="77777777" w:rsidTr="00F66D85">
        <w:trPr>
          <w:trHeight w:val="460"/>
        </w:trPr>
        <w:tc>
          <w:tcPr>
            <w:tcW w:w="2410" w:type="dxa"/>
            <w:tcBorders>
              <w:top w:val="single" w:sz="6" w:space="0" w:color="auto"/>
              <w:left w:val="single" w:sz="12" w:space="0" w:color="auto"/>
              <w:bottom w:val="single" w:sz="12" w:space="0" w:color="auto"/>
              <w:right w:val="single" w:sz="12" w:space="0" w:color="auto"/>
            </w:tcBorders>
            <w:shd w:val="clear" w:color="auto" w:fill="auto"/>
            <w:vAlign w:val="bottom"/>
          </w:tcPr>
          <w:p w14:paraId="7CCF30A9" w14:textId="77777777" w:rsidR="00050D0A" w:rsidRPr="008031D3" w:rsidRDefault="00050D0A" w:rsidP="00F66D85">
            <w:pPr>
              <w:rPr>
                <w:rFonts w:cstheme="minorHAnsi"/>
                <w:b/>
                <w:bCs/>
                <w:sz w:val="16"/>
                <w:szCs w:val="16"/>
                <w:lang w:val="en-US" w:eastAsia="es-CO"/>
              </w:rPr>
            </w:pPr>
            <w:r w:rsidRPr="008031D3">
              <w:rPr>
                <w:rFonts w:ascii="Calibri" w:hAnsi="Calibri" w:cs="Calibri"/>
                <w:color w:val="000000"/>
                <w:sz w:val="16"/>
                <w:szCs w:val="16"/>
                <w:lang w:val="en-US"/>
              </w:rPr>
              <w:t>Vanti S.A. E.S.P.</w:t>
            </w:r>
          </w:p>
        </w:tc>
        <w:tc>
          <w:tcPr>
            <w:tcW w:w="1418" w:type="dxa"/>
            <w:tcBorders>
              <w:top w:val="single" w:sz="6" w:space="0" w:color="auto"/>
              <w:left w:val="single" w:sz="12" w:space="0" w:color="auto"/>
              <w:bottom w:val="single" w:sz="12" w:space="0" w:color="auto"/>
              <w:right w:val="single" w:sz="12" w:space="0" w:color="auto"/>
            </w:tcBorders>
            <w:shd w:val="clear" w:color="auto" w:fill="auto"/>
            <w:vAlign w:val="bottom"/>
          </w:tcPr>
          <w:p w14:paraId="338AC519" w14:textId="77777777" w:rsidR="00050D0A" w:rsidRPr="008031D3" w:rsidRDefault="00050D0A" w:rsidP="00F66D85">
            <w:pPr>
              <w:rPr>
                <w:rFonts w:cstheme="minorHAnsi"/>
                <w:b/>
                <w:bCs/>
                <w:sz w:val="16"/>
                <w:szCs w:val="16"/>
                <w:lang w:eastAsia="es-CO"/>
              </w:rPr>
            </w:pPr>
            <w:r w:rsidRPr="008031D3">
              <w:rPr>
                <w:rFonts w:ascii="Calibri" w:hAnsi="Calibri" w:cs="Calibri"/>
                <w:color w:val="000000"/>
                <w:sz w:val="16"/>
                <w:szCs w:val="16"/>
              </w:rPr>
              <w:t>Bogotá-centro Cundinamarca</w:t>
            </w:r>
          </w:p>
        </w:tc>
        <w:tc>
          <w:tcPr>
            <w:tcW w:w="992" w:type="dxa"/>
            <w:tcBorders>
              <w:top w:val="single" w:sz="4" w:space="0" w:color="auto"/>
              <w:left w:val="single" w:sz="12" w:space="0" w:color="auto"/>
              <w:bottom w:val="single" w:sz="12" w:space="0" w:color="auto"/>
              <w:right w:val="single" w:sz="4" w:space="0" w:color="auto"/>
            </w:tcBorders>
            <w:shd w:val="clear" w:color="auto" w:fill="auto"/>
          </w:tcPr>
          <w:p w14:paraId="6DB813BD"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60,264,800 </w:t>
            </w:r>
          </w:p>
        </w:tc>
        <w:tc>
          <w:tcPr>
            <w:tcW w:w="992" w:type="dxa"/>
            <w:tcBorders>
              <w:top w:val="single" w:sz="4" w:space="0" w:color="auto"/>
              <w:left w:val="nil"/>
              <w:bottom w:val="single" w:sz="12" w:space="0" w:color="auto"/>
              <w:right w:val="single" w:sz="12" w:space="0" w:color="auto"/>
            </w:tcBorders>
            <w:shd w:val="clear" w:color="auto" w:fill="auto"/>
          </w:tcPr>
          <w:p w14:paraId="49DA3AB0"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59,329,857 </w:t>
            </w:r>
          </w:p>
        </w:tc>
        <w:tc>
          <w:tcPr>
            <w:tcW w:w="992" w:type="dxa"/>
            <w:tcBorders>
              <w:top w:val="single" w:sz="6" w:space="0" w:color="auto"/>
              <w:left w:val="single" w:sz="12" w:space="0" w:color="auto"/>
              <w:bottom w:val="single" w:sz="12" w:space="0" w:color="auto"/>
              <w:right w:val="single" w:sz="6" w:space="0" w:color="auto"/>
            </w:tcBorders>
            <w:shd w:val="clear" w:color="auto" w:fill="auto"/>
          </w:tcPr>
          <w:p w14:paraId="540A43AF"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48,096,751 </w:t>
            </w:r>
          </w:p>
        </w:tc>
        <w:tc>
          <w:tcPr>
            <w:tcW w:w="993" w:type="dxa"/>
            <w:tcBorders>
              <w:top w:val="single" w:sz="6" w:space="0" w:color="auto"/>
              <w:left w:val="single" w:sz="6" w:space="0" w:color="auto"/>
              <w:bottom w:val="single" w:sz="12" w:space="0" w:color="auto"/>
              <w:right w:val="single" w:sz="12" w:space="0" w:color="auto"/>
            </w:tcBorders>
            <w:shd w:val="clear" w:color="auto" w:fill="auto"/>
          </w:tcPr>
          <w:p w14:paraId="28D370EF"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 xml:space="preserve"> 48,223,983 </w:t>
            </w:r>
          </w:p>
        </w:tc>
        <w:tc>
          <w:tcPr>
            <w:tcW w:w="567" w:type="dxa"/>
            <w:tcBorders>
              <w:top w:val="single" w:sz="6" w:space="0" w:color="auto"/>
              <w:left w:val="single" w:sz="12" w:space="0" w:color="auto"/>
              <w:bottom w:val="single" w:sz="12" w:space="0" w:color="auto"/>
              <w:right w:val="single" w:sz="6" w:space="0" w:color="auto"/>
            </w:tcBorders>
            <w:shd w:val="clear" w:color="auto" w:fill="auto"/>
          </w:tcPr>
          <w:p w14:paraId="52A04AED"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80%</w:t>
            </w:r>
          </w:p>
        </w:tc>
        <w:tc>
          <w:tcPr>
            <w:tcW w:w="567" w:type="dxa"/>
            <w:tcBorders>
              <w:top w:val="single" w:sz="6" w:space="0" w:color="auto"/>
              <w:left w:val="single" w:sz="6" w:space="0" w:color="auto"/>
              <w:bottom w:val="single" w:sz="12" w:space="0" w:color="auto"/>
              <w:right w:val="single" w:sz="12" w:space="0" w:color="auto"/>
            </w:tcBorders>
            <w:shd w:val="clear" w:color="auto" w:fill="auto"/>
          </w:tcPr>
          <w:p w14:paraId="6A675896"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81%</w:t>
            </w:r>
          </w:p>
        </w:tc>
        <w:tc>
          <w:tcPr>
            <w:tcW w:w="567" w:type="dxa"/>
            <w:tcBorders>
              <w:top w:val="single" w:sz="6" w:space="0" w:color="auto"/>
              <w:left w:val="single" w:sz="12" w:space="0" w:color="auto"/>
              <w:bottom w:val="single" w:sz="12" w:space="0" w:color="auto"/>
              <w:right w:val="single" w:sz="12" w:space="0" w:color="auto"/>
            </w:tcBorders>
            <w:shd w:val="clear" w:color="auto" w:fill="auto"/>
          </w:tcPr>
          <w:p w14:paraId="19BE6150" w14:textId="77777777" w:rsidR="00050D0A" w:rsidRPr="00390BE6" w:rsidRDefault="00050D0A" w:rsidP="00F66D85">
            <w:pPr>
              <w:jc w:val="center"/>
              <w:rPr>
                <w:rFonts w:ascii="Calibri" w:hAnsi="Calibri" w:cs="Calibri"/>
                <w:b/>
                <w:sz w:val="16"/>
                <w:szCs w:val="16"/>
              </w:rPr>
            </w:pPr>
            <w:r w:rsidRPr="00390BE6">
              <w:rPr>
                <w:rFonts w:ascii="Calibri" w:hAnsi="Calibri" w:cs="Calibri"/>
                <w:sz w:val="16"/>
                <w:szCs w:val="16"/>
              </w:rPr>
              <w:t>80%</w:t>
            </w:r>
          </w:p>
        </w:tc>
      </w:tr>
    </w:tbl>
    <w:p w14:paraId="44080DFF" w14:textId="77777777" w:rsidR="00050D0A" w:rsidRDefault="00050D0A" w:rsidP="00050D0A">
      <w:pPr>
        <w:pStyle w:val="Textoindependiente"/>
        <w:spacing w:after="0" w:line="240" w:lineRule="auto"/>
        <w:rPr>
          <w:rFonts w:cstheme="minorHAnsi"/>
          <w:lang w:eastAsia="es-CO"/>
        </w:rPr>
      </w:pPr>
    </w:p>
    <w:p w14:paraId="040DDA0A" w14:textId="77777777" w:rsidR="00050D0A" w:rsidRPr="00940165" w:rsidRDefault="00050D0A" w:rsidP="00050D0A">
      <w:pPr>
        <w:pStyle w:val="Textoindependiente"/>
        <w:spacing w:after="0" w:line="240" w:lineRule="auto"/>
        <w:rPr>
          <w:rFonts w:ascii="Helvetica" w:hAnsi="Helvetica" w:cs="Helvetica"/>
        </w:rPr>
      </w:pPr>
      <w:r w:rsidRPr="00940165">
        <w:rPr>
          <w:rFonts w:ascii="Helvetica" w:hAnsi="Helvetica" w:cs="Helvetica"/>
        </w:rPr>
        <w:t>Cordialmente,</w:t>
      </w:r>
    </w:p>
    <w:p w14:paraId="2272626A" w14:textId="77777777" w:rsidR="00050D0A" w:rsidRPr="00940165" w:rsidRDefault="00050D0A" w:rsidP="00050D0A">
      <w:pPr>
        <w:pStyle w:val="Textoindependiente"/>
        <w:spacing w:after="0" w:line="240" w:lineRule="auto"/>
        <w:rPr>
          <w:rFonts w:ascii="Helvetica" w:hAnsi="Helvetica" w:cs="Helvetica"/>
        </w:rPr>
      </w:pPr>
    </w:p>
    <w:p w14:paraId="19363981" w14:textId="77777777" w:rsidR="00050D0A" w:rsidRPr="00940165" w:rsidRDefault="00050D0A" w:rsidP="00050D0A">
      <w:pPr>
        <w:pStyle w:val="Textoindependiente"/>
        <w:spacing w:after="0" w:line="240" w:lineRule="auto"/>
        <w:jc w:val="center"/>
        <w:rPr>
          <w:rFonts w:ascii="Helvetica" w:hAnsi="Helvetica" w:cs="Helvetica"/>
          <w:b/>
          <w:bCs/>
        </w:rPr>
      </w:pPr>
      <w:r w:rsidRPr="00940165">
        <w:rPr>
          <w:rFonts w:ascii="Helvetica" w:hAnsi="Helvetica" w:cs="Helvetica"/>
          <w:b/>
          <w:bCs/>
        </w:rPr>
        <w:t>ANTONIO JIMÉNEZ RIVERA</w:t>
      </w:r>
    </w:p>
    <w:p w14:paraId="5048B7CB" w14:textId="77777777" w:rsidR="00050D0A" w:rsidRDefault="00050D0A" w:rsidP="00050D0A">
      <w:pPr>
        <w:pStyle w:val="Textoindependiente"/>
        <w:spacing w:after="0" w:line="240" w:lineRule="auto"/>
        <w:jc w:val="center"/>
        <w:rPr>
          <w:rFonts w:ascii="Helvetica" w:hAnsi="Helvetica" w:cs="Helvetica"/>
        </w:rPr>
      </w:pPr>
      <w:r w:rsidRPr="00940165">
        <w:rPr>
          <w:rFonts w:ascii="Helvetica" w:hAnsi="Helvetica" w:cs="Helvetica"/>
        </w:rPr>
        <w:t>Director ejecutivo</w:t>
      </w:r>
    </w:p>
    <w:p w14:paraId="21E09299" w14:textId="77777777" w:rsidR="00C90BB9" w:rsidRPr="00940165" w:rsidRDefault="00C90BB9" w:rsidP="00050D0A">
      <w:pPr>
        <w:pStyle w:val="Textoindependiente"/>
        <w:spacing w:after="0" w:line="240" w:lineRule="auto"/>
        <w:jc w:val="center"/>
        <w:rPr>
          <w:rFonts w:ascii="Helvetica" w:hAnsi="Helvetica" w:cs="Helvetica"/>
        </w:rPr>
      </w:pPr>
    </w:p>
    <w:p w14:paraId="10BFCDDA" w14:textId="77777777" w:rsidR="00050D0A" w:rsidRPr="00940165" w:rsidRDefault="00050D0A" w:rsidP="00050D0A">
      <w:pPr>
        <w:pStyle w:val="Textoindependiente"/>
        <w:spacing w:after="0" w:line="240" w:lineRule="auto"/>
        <w:rPr>
          <w:rFonts w:ascii="Helvetica" w:hAnsi="Helvetica" w:cs="Helvetica"/>
        </w:rPr>
      </w:pPr>
    </w:p>
    <w:p w14:paraId="21F8531A" w14:textId="77777777" w:rsidR="00B96B0A" w:rsidRPr="00940165" w:rsidRDefault="00B96B0A" w:rsidP="00050D0A">
      <w:pPr>
        <w:rPr>
          <w:rFonts w:ascii="Helvetica" w:hAnsi="Helvetica" w:cs="Helvetica"/>
        </w:rPr>
      </w:pPr>
    </w:p>
    <w:sectPr w:rsidR="00B96B0A" w:rsidRPr="00940165" w:rsidSect="00142756">
      <w:headerReference w:type="default" r:id="rId7"/>
      <w:footerReference w:type="default" r:id="rId8"/>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C51F4" w14:textId="77777777" w:rsidR="00A61445" w:rsidRDefault="00A61445" w:rsidP="00142756">
      <w:pPr>
        <w:spacing w:after="0" w:line="240" w:lineRule="auto"/>
      </w:pPr>
      <w:r>
        <w:separator/>
      </w:r>
    </w:p>
  </w:endnote>
  <w:endnote w:type="continuationSeparator" w:id="0">
    <w:p w14:paraId="34B569D7" w14:textId="77777777" w:rsidR="00A61445" w:rsidRDefault="00A61445"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49C0E" w14:textId="77777777" w:rsidR="00A61445" w:rsidRDefault="00A61445" w:rsidP="00142756">
      <w:pPr>
        <w:spacing w:after="0" w:line="240" w:lineRule="auto"/>
      </w:pPr>
      <w:r>
        <w:separator/>
      </w:r>
    </w:p>
  </w:footnote>
  <w:footnote w:type="continuationSeparator" w:id="0">
    <w:p w14:paraId="3B7B5950" w14:textId="77777777" w:rsidR="00A61445" w:rsidRDefault="00A61445"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6392374C">
          <wp:simplePos x="0" y="0"/>
          <wp:positionH relativeFrom="margin">
            <wp:align>left</wp:align>
          </wp:positionH>
          <wp:positionV relativeFrom="margin">
            <wp:posOffset>-561975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15BF"/>
    <w:multiLevelType w:val="hybridMultilevel"/>
    <w:tmpl w:val="1388A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003B4D"/>
    <w:multiLevelType w:val="hybridMultilevel"/>
    <w:tmpl w:val="5E6830D0"/>
    <w:lvl w:ilvl="0" w:tplc="CE7035DA">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951427"/>
    <w:multiLevelType w:val="multilevel"/>
    <w:tmpl w:val="8EB0A2C0"/>
    <w:lvl w:ilvl="0">
      <w:start w:val="1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62790E"/>
    <w:multiLevelType w:val="hybridMultilevel"/>
    <w:tmpl w:val="D4E03B7A"/>
    <w:lvl w:ilvl="0" w:tplc="8A520D4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526C49F3"/>
    <w:multiLevelType w:val="hybridMultilevel"/>
    <w:tmpl w:val="6512D954"/>
    <w:lvl w:ilvl="0" w:tplc="240A000D">
      <w:start w:val="1"/>
      <w:numFmt w:val="lowerLetter"/>
      <w:lvlText w:val="%1)"/>
      <w:lvlJc w:val="left"/>
      <w:pPr>
        <w:ind w:left="723" w:hanging="360"/>
      </w:pPr>
    </w:lvl>
    <w:lvl w:ilvl="1" w:tplc="240A0003" w:tentative="1">
      <w:start w:val="1"/>
      <w:numFmt w:val="lowerLetter"/>
      <w:lvlText w:val="%2."/>
      <w:lvlJc w:val="left"/>
      <w:pPr>
        <w:ind w:left="1443" w:hanging="360"/>
      </w:pPr>
    </w:lvl>
    <w:lvl w:ilvl="2" w:tplc="240A0005" w:tentative="1">
      <w:start w:val="1"/>
      <w:numFmt w:val="lowerRoman"/>
      <w:lvlText w:val="%3."/>
      <w:lvlJc w:val="right"/>
      <w:pPr>
        <w:ind w:left="2163" w:hanging="180"/>
      </w:pPr>
    </w:lvl>
    <w:lvl w:ilvl="3" w:tplc="240A0001" w:tentative="1">
      <w:start w:val="1"/>
      <w:numFmt w:val="decimal"/>
      <w:lvlText w:val="%4."/>
      <w:lvlJc w:val="left"/>
      <w:pPr>
        <w:ind w:left="2883" w:hanging="360"/>
      </w:pPr>
    </w:lvl>
    <w:lvl w:ilvl="4" w:tplc="240A0003" w:tentative="1">
      <w:start w:val="1"/>
      <w:numFmt w:val="lowerLetter"/>
      <w:lvlText w:val="%5."/>
      <w:lvlJc w:val="left"/>
      <w:pPr>
        <w:ind w:left="3603" w:hanging="360"/>
      </w:pPr>
    </w:lvl>
    <w:lvl w:ilvl="5" w:tplc="240A0005" w:tentative="1">
      <w:start w:val="1"/>
      <w:numFmt w:val="lowerRoman"/>
      <w:lvlText w:val="%6."/>
      <w:lvlJc w:val="right"/>
      <w:pPr>
        <w:ind w:left="4323" w:hanging="180"/>
      </w:pPr>
    </w:lvl>
    <w:lvl w:ilvl="6" w:tplc="240A0001" w:tentative="1">
      <w:start w:val="1"/>
      <w:numFmt w:val="decimal"/>
      <w:lvlText w:val="%7."/>
      <w:lvlJc w:val="left"/>
      <w:pPr>
        <w:ind w:left="5043" w:hanging="360"/>
      </w:pPr>
    </w:lvl>
    <w:lvl w:ilvl="7" w:tplc="240A0003" w:tentative="1">
      <w:start w:val="1"/>
      <w:numFmt w:val="lowerLetter"/>
      <w:lvlText w:val="%8."/>
      <w:lvlJc w:val="left"/>
      <w:pPr>
        <w:ind w:left="5763" w:hanging="360"/>
      </w:pPr>
    </w:lvl>
    <w:lvl w:ilvl="8" w:tplc="240A0005" w:tentative="1">
      <w:start w:val="1"/>
      <w:numFmt w:val="lowerRoman"/>
      <w:lvlText w:val="%9."/>
      <w:lvlJc w:val="right"/>
      <w:pPr>
        <w:ind w:left="6483" w:hanging="180"/>
      </w:pPr>
    </w:lvl>
  </w:abstractNum>
  <w:num w:numId="1" w16cid:durableId="81996882">
    <w:abstractNumId w:val="0"/>
  </w:num>
  <w:num w:numId="2" w16cid:durableId="1489250194">
    <w:abstractNumId w:val="3"/>
  </w:num>
  <w:num w:numId="3" w16cid:durableId="992561622">
    <w:abstractNumId w:val="4"/>
  </w:num>
  <w:num w:numId="4" w16cid:durableId="122116981">
    <w:abstractNumId w:val="2"/>
  </w:num>
  <w:num w:numId="5" w16cid:durableId="175990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4619"/>
    <w:rsid w:val="00050D0A"/>
    <w:rsid w:val="0006385C"/>
    <w:rsid w:val="00097F34"/>
    <w:rsid w:val="000C7FE8"/>
    <w:rsid w:val="000E33F4"/>
    <w:rsid w:val="00142756"/>
    <w:rsid w:val="001428A0"/>
    <w:rsid w:val="00147203"/>
    <w:rsid w:val="0018087A"/>
    <w:rsid w:val="001873C0"/>
    <w:rsid w:val="001B012D"/>
    <w:rsid w:val="001D4DAE"/>
    <w:rsid w:val="001E088A"/>
    <w:rsid w:val="001F0DFA"/>
    <w:rsid w:val="00217405"/>
    <w:rsid w:val="00233C60"/>
    <w:rsid w:val="00244FB2"/>
    <w:rsid w:val="00247F47"/>
    <w:rsid w:val="00277651"/>
    <w:rsid w:val="00280C47"/>
    <w:rsid w:val="00291713"/>
    <w:rsid w:val="002A6DAA"/>
    <w:rsid w:val="00301808"/>
    <w:rsid w:val="00330924"/>
    <w:rsid w:val="00347BB5"/>
    <w:rsid w:val="003821C4"/>
    <w:rsid w:val="003A6769"/>
    <w:rsid w:val="003C7CA8"/>
    <w:rsid w:val="003F320E"/>
    <w:rsid w:val="003F5666"/>
    <w:rsid w:val="00455CC0"/>
    <w:rsid w:val="004739E3"/>
    <w:rsid w:val="004770F2"/>
    <w:rsid w:val="0048103C"/>
    <w:rsid w:val="00494456"/>
    <w:rsid w:val="004B07B2"/>
    <w:rsid w:val="004C694E"/>
    <w:rsid w:val="004D5F40"/>
    <w:rsid w:val="004F4467"/>
    <w:rsid w:val="004F7F12"/>
    <w:rsid w:val="00503806"/>
    <w:rsid w:val="00503C82"/>
    <w:rsid w:val="00505150"/>
    <w:rsid w:val="00525C10"/>
    <w:rsid w:val="00551CF2"/>
    <w:rsid w:val="00554BFF"/>
    <w:rsid w:val="00554C72"/>
    <w:rsid w:val="00570F63"/>
    <w:rsid w:val="005957CF"/>
    <w:rsid w:val="005B2394"/>
    <w:rsid w:val="005B7330"/>
    <w:rsid w:val="005C2F9A"/>
    <w:rsid w:val="005D3529"/>
    <w:rsid w:val="005D782D"/>
    <w:rsid w:val="005D7E82"/>
    <w:rsid w:val="00601FCE"/>
    <w:rsid w:val="00612126"/>
    <w:rsid w:val="00631B15"/>
    <w:rsid w:val="006324C6"/>
    <w:rsid w:val="006346A3"/>
    <w:rsid w:val="0065556C"/>
    <w:rsid w:val="006561DC"/>
    <w:rsid w:val="0066136A"/>
    <w:rsid w:val="00675421"/>
    <w:rsid w:val="00694AD4"/>
    <w:rsid w:val="006C3D03"/>
    <w:rsid w:val="006D1A49"/>
    <w:rsid w:val="007142E5"/>
    <w:rsid w:val="007769B8"/>
    <w:rsid w:val="007950BB"/>
    <w:rsid w:val="00820D54"/>
    <w:rsid w:val="00834345"/>
    <w:rsid w:val="00843455"/>
    <w:rsid w:val="00846169"/>
    <w:rsid w:val="00867F3A"/>
    <w:rsid w:val="00871822"/>
    <w:rsid w:val="00893752"/>
    <w:rsid w:val="00927F87"/>
    <w:rsid w:val="00940165"/>
    <w:rsid w:val="0095124C"/>
    <w:rsid w:val="00974E6C"/>
    <w:rsid w:val="0099011C"/>
    <w:rsid w:val="009B3790"/>
    <w:rsid w:val="009D5664"/>
    <w:rsid w:val="00A042D9"/>
    <w:rsid w:val="00A403FE"/>
    <w:rsid w:val="00A4222B"/>
    <w:rsid w:val="00A42528"/>
    <w:rsid w:val="00A42E05"/>
    <w:rsid w:val="00A54393"/>
    <w:rsid w:val="00A61445"/>
    <w:rsid w:val="00AD5F64"/>
    <w:rsid w:val="00AE252E"/>
    <w:rsid w:val="00AF38BF"/>
    <w:rsid w:val="00B03395"/>
    <w:rsid w:val="00B230BD"/>
    <w:rsid w:val="00B81DDD"/>
    <w:rsid w:val="00B96B0A"/>
    <w:rsid w:val="00BA48C1"/>
    <w:rsid w:val="00C11CF3"/>
    <w:rsid w:val="00C44CED"/>
    <w:rsid w:val="00C649D9"/>
    <w:rsid w:val="00C90BB9"/>
    <w:rsid w:val="00CB0B8F"/>
    <w:rsid w:val="00CD5A8B"/>
    <w:rsid w:val="00CE6CFE"/>
    <w:rsid w:val="00CF1C0A"/>
    <w:rsid w:val="00D712D0"/>
    <w:rsid w:val="00D7655C"/>
    <w:rsid w:val="00DC342A"/>
    <w:rsid w:val="00DF16A0"/>
    <w:rsid w:val="00E45F62"/>
    <w:rsid w:val="00E62937"/>
    <w:rsid w:val="00E92B07"/>
    <w:rsid w:val="00EB13E4"/>
    <w:rsid w:val="00F154D4"/>
    <w:rsid w:val="00F23B4B"/>
    <w:rsid w:val="00F90F01"/>
    <w:rsid w:val="00F95E00"/>
    <w:rsid w:val="00F96615"/>
    <w:rsid w:val="00FE26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82"/>
    <w:pPr>
      <w:spacing w:before="120" w:after="120" w:line="360" w:lineRule="auto"/>
    </w:pPr>
    <w:rPr>
      <w:kern w:val="0"/>
      <w:sz w:val="24"/>
      <w:szCs w:val="24"/>
      <w14:ligatures w14:val="none"/>
    </w:rPr>
  </w:style>
  <w:style w:type="paragraph" w:styleId="Ttulo5">
    <w:name w:val="heading 5"/>
    <w:basedOn w:val="Normal"/>
    <w:next w:val="Normal"/>
    <w:link w:val="Ttulo5Car"/>
    <w:unhideWhenUsed/>
    <w:qFormat/>
    <w:rsid w:val="00050D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5D7E82"/>
    <w:pPr>
      <w:spacing w:before="240" w:after="360"/>
    </w:pPr>
  </w:style>
  <w:style w:type="paragraph" w:customStyle="1" w:styleId="Asunto">
    <w:name w:val="Asunto"/>
    <w:basedOn w:val="Normal"/>
    <w:qFormat/>
    <w:rsid w:val="005D7E82"/>
    <w:pPr>
      <w:spacing w:before="360" w:after="360"/>
      <w:contextualSpacing/>
    </w:pPr>
  </w:style>
  <w:style w:type="paragraph" w:customStyle="1" w:styleId="Expediente">
    <w:name w:val="Expediente"/>
    <w:basedOn w:val="Asunto"/>
    <w:qFormat/>
    <w:rsid w:val="005D7E82"/>
    <w:pPr>
      <w:spacing w:before="0"/>
    </w:pPr>
  </w:style>
  <w:style w:type="paragraph" w:customStyle="1" w:styleId="Destinario">
    <w:name w:val="Destinario"/>
    <w:basedOn w:val="Normal"/>
    <w:link w:val="DestinarioCar"/>
    <w:qFormat/>
    <w:rsid w:val="005D7E82"/>
    <w:pPr>
      <w:contextualSpacing/>
    </w:pPr>
  </w:style>
  <w:style w:type="paragraph" w:customStyle="1" w:styleId="Cordialmente">
    <w:name w:val="Cordialmente"/>
    <w:basedOn w:val="Normal"/>
    <w:qFormat/>
    <w:rsid w:val="005D7E82"/>
    <w:pPr>
      <w:spacing w:after="480"/>
    </w:pPr>
  </w:style>
  <w:style w:type="paragraph" w:customStyle="1" w:styleId="Director">
    <w:name w:val="Director"/>
    <w:basedOn w:val="Normal"/>
    <w:qFormat/>
    <w:rsid w:val="005D7E82"/>
    <w:pPr>
      <w:spacing w:after="360"/>
      <w:contextualSpacing/>
    </w:pPr>
  </w:style>
  <w:style w:type="character" w:customStyle="1" w:styleId="DestinarioCar">
    <w:name w:val="Destinario Car"/>
    <w:basedOn w:val="Fuentedeprrafopredeter"/>
    <w:link w:val="Destinario"/>
    <w:rsid w:val="005D7E82"/>
    <w:rPr>
      <w:kern w:val="0"/>
      <w:sz w:val="24"/>
      <w:szCs w:val="24"/>
      <w14:ligatures w14:val="none"/>
    </w:rPr>
  </w:style>
  <w:style w:type="character" w:styleId="Hipervnculo">
    <w:name w:val="Hyperlink"/>
    <w:basedOn w:val="Fuentedeprrafopredeter"/>
    <w:uiPriority w:val="99"/>
    <w:unhideWhenUsed/>
    <w:rsid w:val="005D7E82"/>
    <w:rPr>
      <w:color w:val="0563C1" w:themeColor="hyperlink"/>
      <w:u w:val="single"/>
    </w:rPr>
  </w:style>
  <w:style w:type="paragraph" w:styleId="Prrafodelista">
    <w:name w:val="List Paragraph"/>
    <w:basedOn w:val="Normal"/>
    <w:link w:val="PrrafodelistaCar"/>
    <w:uiPriority w:val="34"/>
    <w:qFormat/>
    <w:rsid w:val="005D7E82"/>
    <w:pPr>
      <w:ind w:left="720"/>
      <w:contextualSpacing/>
    </w:pPr>
  </w:style>
  <w:style w:type="paragraph" w:styleId="Textonotapie">
    <w:name w:val="footnote text"/>
    <w:basedOn w:val="Normal"/>
    <w:link w:val="TextonotapieCar"/>
    <w:uiPriority w:val="99"/>
    <w:semiHidden/>
    <w:unhideWhenUsed/>
    <w:rsid w:val="005D7E82"/>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D7E82"/>
    <w:rPr>
      <w:kern w:val="0"/>
      <w:sz w:val="20"/>
      <w:szCs w:val="20"/>
      <w14:ligatures w14:val="none"/>
    </w:rPr>
  </w:style>
  <w:style w:type="character" w:styleId="Refdenotaalpie">
    <w:name w:val="footnote reference"/>
    <w:basedOn w:val="Fuentedeprrafopredeter"/>
    <w:uiPriority w:val="99"/>
    <w:semiHidden/>
    <w:unhideWhenUsed/>
    <w:rsid w:val="005D7E82"/>
    <w:rPr>
      <w:vertAlign w:val="superscript"/>
    </w:rPr>
  </w:style>
  <w:style w:type="character" w:styleId="Refdecomentario">
    <w:name w:val="annotation reference"/>
    <w:basedOn w:val="Fuentedeprrafopredeter"/>
    <w:uiPriority w:val="99"/>
    <w:semiHidden/>
    <w:unhideWhenUsed/>
    <w:rsid w:val="005D7E82"/>
    <w:rPr>
      <w:sz w:val="16"/>
      <w:szCs w:val="16"/>
    </w:rPr>
  </w:style>
  <w:style w:type="paragraph" w:styleId="Textocomentario">
    <w:name w:val="annotation text"/>
    <w:basedOn w:val="Normal"/>
    <w:link w:val="TextocomentarioCar"/>
    <w:uiPriority w:val="99"/>
    <w:unhideWhenUsed/>
    <w:rsid w:val="005D7E82"/>
    <w:pPr>
      <w:spacing w:line="240" w:lineRule="auto"/>
    </w:pPr>
    <w:rPr>
      <w:sz w:val="20"/>
      <w:szCs w:val="20"/>
    </w:rPr>
  </w:style>
  <w:style w:type="character" w:customStyle="1" w:styleId="TextocomentarioCar">
    <w:name w:val="Texto comentario Car"/>
    <w:basedOn w:val="Fuentedeprrafopredeter"/>
    <w:link w:val="Textocomentario"/>
    <w:uiPriority w:val="99"/>
    <w:rsid w:val="005D7E82"/>
    <w:rPr>
      <w:kern w:val="0"/>
      <w:sz w:val="20"/>
      <w:szCs w:val="20"/>
      <w14:ligatures w14:val="none"/>
    </w:rPr>
  </w:style>
  <w:style w:type="character" w:styleId="Mencinsinresolver">
    <w:name w:val="Unresolved Mention"/>
    <w:basedOn w:val="Fuentedeprrafopredeter"/>
    <w:uiPriority w:val="99"/>
    <w:semiHidden/>
    <w:unhideWhenUsed/>
    <w:rsid w:val="006D1A49"/>
    <w:rPr>
      <w:color w:val="605E5C"/>
      <w:shd w:val="clear" w:color="auto" w:fill="E1DFDD"/>
    </w:rPr>
  </w:style>
  <w:style w:type="character" w:customStyle="1" w:styleId="busq">
    <w:name w:val="busq"/>
    <w:basedOn w:val="Fuentedeprrafopredeter"/>
    <w:rsid w:val="0006385C"/>
  </w:style>
  <w:style w:type="paragraph" w:customStyle="1" w:styleId="doctor">
    <w:name w:val="doctor"/>
    <w:basedOn w:val="Textoindependiente"/>
    <w:rsid w:val="00B96B0A"/>
    <w:pPr>
      <w:spacing w:after="0" w:line="240" w:lineRule="auto"/>
      <w:jc w:val="both"/>
    </w:pPr>
    <w:rPr>
      <w:rFonts w:ascii="Arial" w:eastAsia="Times New Roman" w:hAnsi="Arial" w:cs="Arial"/>
      <w:spacing w:val="-5"/>
      <w:szCs w:val="20"/>
    </w:rPr>
  </w:style>
  <w:style w:type="paragraph" w:styleId="Textoindependiente">
    <w:name w:val="Body Text"/>
    <w:basedOn w:val="Normal"/>
    <w:link w:val="TextoindependienteCar"/>
    <w:uiPriority w:val="99"/>
    <w:semiHidden/>
    <w:unhideWhenUsed/>
    <w:rsid w:val="00B96B0A"/>
  </w:style>
  <w:style w:type="character" w:customStyle="1" w:styleId="TextoindependienteCar">
    <w:name w:val="Texto independiente Car"/>
    <w:basedOn w:val="Fuentedeprrafopredeter"/>
    <w:link w:val="Textoindependiente"/>
    <w:uiPriority w:val="99"/>
    <w:semiHidden/>
    <w:rsid w:val="00B96B0A"/>
    <w:rPr>
      <w:kern w:val="0"/>
      <w:sz w:val="24"/>
      <w:szCs w:val="24"/>
      <w14:ligatures w14:val="none"/>
    </w:rPr>
  </w:style>
  <w:style w:type="paragraph" w:styleId="Sangradetextonormal">
    <w:name w:val="Body Text Indent"/>
    <w:basedOn w:val="Normal"/>
    <w:link w:val="SangradetextonormalCar"/>
    <w:uiPriority w:val="99"/>
    <w:semiHidden/>
    <w:unhideWhenUsed/>
    <w:rsid w:val="00050D0A"/>
    <w:pPr>
      <w:ind w:left="283"/>
    </w:pPr>
  </w:style>
  <w:style w:type="character" w:customStyle="1" w:styleId="SangradetextonormalCar">
    <w:name w:val="Sangría de texto normal Car"/>
    <w:basedOn w:val="Fuentedeprrafopredeter"/>
    <w:link w:val="Sangradetextonormal"/>
    <w:uiPriority w:val="99"/>
    <w:semiHidden/>
    <w:rsid w:val="00050D0A"/>
    <w:rPr>
      <w:kern w:val="0"/>
      <w:sz w:val="24"/>
      <w:szCs w:val="24"/>
      <w14:ligatures w14:val="none"/>
    </w:rPr>
  </w:style>
  <w:style w:type="character" w:customStyle="1" w:styleId="Ttulo5Car">
    <w:name w:val="Título 5 Car"/>
    <w:basedOn w:val="Fuentedeprrafopredeter"/>
    <w:link w:val="Ttulo5"/>
    <w:rsid w:val="00050D0A"/>
    <w:rPr>
      <w:rFonts w:asciiTheme="majorHAnsi" w:eastAsiaTheme="majorEastAsia" w:hAnsiTheme="majorHAnsi" w:cstheme="majorBidi"/>
      <w:color w:val="2F5496" w:themeColor="accent1" w:themeShade="BF"/>
      <w:kern w:val="0"/>
      <w:sz w:val="24"/>
      <w:szCs w:val="24"/>
      <w14:ligatures w14:val="none"/>
    </w:rPr>
  </w:style>
  <w:style w:type="paragraph" w:styleId="NormalWeb">
    <w:name w:val="Normal (Web)"/>
    <w:basedOn w:val="Normal"/>
    <w:uiPriority w:val="99"/>
    <w:unhideWhenUsed/>
    <w:rsid w:val="00050D0A"/>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PrrafodelistaCar">
    <w:name w:val="Párrafo de lista Car"/>
    <w:link w:val="Prrafodelista"/>
    <w:uiPriority w:val="34"/>
    <w:rsid w:val="00050D0A"/>
    <w:rPr>
      <w:kern w:val="0"/>
      <w:sz w:val="24"/>
      <w:szCs w:val="24"/>
      <w14:ligatures w14:val="none"/>
    </w:rPr>
  </w:style>
  <w:style w:type="paragraph" w:styleId="Revisin">
    <w:name w:val="Revision"/>
    <w:hidden/>
    <w:uiPriority w:val="99"/>
    <w:semiHidden/>
    <w:rsid w:val="00D7655C"/>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883</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Jonathan Ramirez Ochoa</cp:lastModifiedBy>
  <cp:revision>4</cp:revision>
  <cp:lastPrinted>2024-11-26T19:12:00Z</cp:lastPrinted>
  <dcterms:created xsi:type="dcterms:W3CDTF">2024-10-30T11:24:00Z</dcterms:created>
  <dcterms:modified xsi:type="dcterms:W3CDTF">2024-11-26T19:12:00Z</dcterms:modified>
</cp:coreProperties>
</file>