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89E28" w14:textId="77777777" w:rsidR="00E816C3" w:rsidRPr="009809B2" w:rsidRDefault="00E816C3" w:rsidP="00E816C3">
      <w:pPr>
        <w:rPr>
          <w:spacing w:val="-5"/>
          <w:lang w:val="es-CO"/>
        </w:rPr>
      </w:pPr>
    </w:p>
    <w:p w14:paraId="172ACBBC" w14:textId="77777777" w:rsidR="008A50BF" w:rsidRPr="009809B2" w:rsidRDefault="008A50BF" w:rsidP="00E816C3">
      <w:pPr>
        <w:rPr>
          <w:spacing w:val="-5"/>
          <w:lang w:val="es-CO"/>
        </w:rPr>
      </w:pPr>
    </w:p>
    <w:p w14:paraId="438848B6" w14:textId="77777777" w:rsidR="00E816C3" w:rsidRPr="009809B2" w:rsidRDefault="00E816C3" w:rsidP="00E816C3">
      <w:pPr>
        <w:rPr>
          <w:spacing w:val="-5"/>
          <w:lang w:val="es-CO"/>
        </w:rPr>
      </w:pPr>
      <w:r w:rsidRPr="009809B2">
        <w:rPr>
          <w:rFonts w:cstheme="minorHAnsi"/>
          <w:noProof/>
          <w:spacing w:val="-5"/>
          <w:sz w:val="20"/>
          <w:lang w:val="es-CO"/>
        </w:rPr>
        <w:drawing>
          <wp:anchor distT="0" distB="0" distL="114300" distR="114300" simplePos="0" relativeHeight="251658240" behindDoc="0" locked="0" layoutInCell="1" allowOverlap="1" wp14:anchorId="659A59BE" wp14:editId="09514DE8">
            <wp:simplePos x="0" y="0"/>
            <wp:positionH relativeFrom="column">
              <wp:posOffset>1714500</wp:posOffset>
            </wp:positionH>
            <wp:positionV relativeFrom="paragraph">
              <wp:posOffset>215265</wp:posOffset>
            </wp:positionV>
            <wp:extent cx="2377440" cy="109283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pic:spPr>
                </pic:pic>
              </a:graphicData>
            </a:graphic>
            <wp14:sizeRelH relativeFrom="page">
              <wp14:pctWidth>0</wp14:pctWidth>
            </wp14:sizeRelH>
            <wp14:sizeRelV relativeFrom="page">
              <wp14:pctHeight>0</wp14:pctHeight>
            </wp14:sizeRelV>
          </wp:anchor>
        </w:drawing>
      </w:r>
    </w:p>
    <w:p w14:paraId="5E5A4256" w14:textId="77777777" w:rsidR="00E816C3" w:rsidRPr="009809B2" w:rsidRDefault="00E816C3" w:rsidP="00E816C3">
      <w:pPr>
        <w:rPr>
          <w:spacing w:val="-5"/>
          <w:lang w:val="es-CO"/>
        </w:rPr>
      </w:pPr>
    </w:p>
    <w:p w14:paraId="2C527183" w14:textId="77777777" w:rsidR="00E816C3" w:rsidRPr="009809B2" w:rsidRDefault="00E816C3" w:rsidP="00E816C3">
      <w:pPr>
        <w:rPr>
          <w:spacing w:val="-5"/>
          <w:lang w:val="es-CO"/>
        </w:rPr>
      </w:pPr>
    </w:p>
    <w:p w14:paraId="71D9801C" w14:textId="77777777" w:rsidR="00E816C3" w:rsidRPr="009809B2" w:rsidRDefault="00E816C3" w:rsidP="00E816C3">
      <w:pPr>
        <w:rPr>
          <w:spacing w:val="-5"/>
          <w:lang w:val="es-CO"/>
        </w:rPr>
      </w:pPr>
    </w:p>
    <w:p w14:paraId="4014A3FD" w14:textId="77777777" w:rsidR="00E816C3" w:rsidRPr="009809B2" w:rsidRDefault="00E816C3" w:rsidP="00E816C3">
      <w:pPr>
        <w:rPr>
          <w:spacing w:val="-5"/>
          <w:lang w:val="es-CO"/>
        </w:rPr>
      </w:pPr>
    </w:p>
    <w:p w14:paraId="72E3F773" w14:textId="0ACAF56C" w:rsidR="00E816C3" w:rsidRPr="009809B2" w:rsidRDefault="000C5C6D" w:rsidP="00904D27">
      <w:pPr>
        <w:pStyle w:val="Textoindependiente"/>
        <w:rPr>
          <w:spacing w:val="-5"/>
          <w:sz w:val="40"/>
          <w:lang w:val="es-CO"/>
        </w:rPr>
      </w:pPr>
      <w:bookmarkStart w:id="0" w:name="_Hlk43392427"/>
      <w:r w:rsidRPr="009809B2">
        <w:rPr>
          <w:spacing w:val="-5"/>
          <w:sz w:val="40"/>
          <w:lang w:val="es-CO"/>
        </w:rPr>
        <w:t xml:space="preserve">COSTO </w:t>
      </w:r>
      <w:r w:rsidR="00A4374D" w:rsidRPr="009809B2">
        <w:rPr>
          <w:spacing w:val="-5"/>
          <w:sz w:val="40"/>
          <w:lang w:val="es-CO"/>
        </w:rPr>
        <w:t>UNITARIO DE PRESTACIÓN DEL SERVICIO DE ENERGÍA ELÉCTRICA</w:t>
      </w:r>
    </w:p>
    <w:p w14:paraId="3FBB55E0" w14:textId="1DC5E93E" w:rsidR="00904D27" w:rsidRPr="009809B2" w:rsidRDefault="00904D27" w:rsidP="00904D27">
      <w:pPr>
        <w:pStyle w:val="Textoindependiente"/>
        <w:numPr>
          <w:ilvl w:val="0"/>
          <w:numId w:val="30"/>
        </w:numPr>
        <w:rPr>
          <w:spacing w:val="-5"/>
          <w:sz w:val="32"/>
          <w:lang w:val="es-CO"/>
        </w:rPr>
      </w:pPr>
      <w:r w:rsidRPr="009809B2">
        <w:rPr>
          <w:spacing w:val="-5"/>
          <w:sz w:val="40"/>
          <w:lang w:val="es-CO"/>
        </w:rPr>
        <w:t>REVISIÓN</w:t>
      </w:r>
      <w:r w:rsidR="0090209D" w:rsidRPr="009809B2">
        <w:rPr>
          <w:spacing w:val="-5"/>
          <w:sz w:val="40"/>
          <w:lang w:val="es-CO"/>
        </w:rPr>
        <w:t xml:space="preserve"> DE </w:t>
      </w:r>
      <w:r w:rsidRPr="009809B2">
        <w:rPr>
          <w:spacing w:val="-5"/>
          <w:sz w:val="40"/>
          <w:lang w:val="es-CO"/>
        </w:rPr>
        <w:t>ÍNDICES DE PRECIOS -</w:t>
      </w:r>
    </w:p>
    <w:bookmarkEnd w:id="0"/>
    <w:p w14:paraId="2E98EF1D" w14:textId="77777777" w:rsidR="00E816C3" w:rsidRPr="009809B2" w:rsidRDefault="00E816C3" w:rsidP="008157FD">
      <w:pPr>
        <w:pStyle w:val="TDC1"/>
        <w:rPr>
          <w:lang w:val="es-CO"/>
        </w:rPr>
      </w:pPr>
    </w:p>
    <w:p w14:paraId="7623BACC" w14:textId="77777777" w:rsidR="00EC140F" w:rsidRPr="009809B2" w:rsidRDefault="00EC140F" w:rsidP="00EC140F">
      <w:pPr>
        <w:rPr>
          <w:lang w:val="es-CO"/>
        </w:rPr>
      </w:pPr>
    </w:p>
    <w:p w14:paraId="3C19FA96" w14:textId="77777777" w:rsidR="00E816C3" w:rsidRPr="009809B2" w:rsidRDefault="00E816C3" w:rsidP="00E816C3">
      <w:pPr>
        <w:rPr>
          <w:spacing w:val="-5"/>
          <w:lang w:val="es-CO"/>
        </w:rPr>
      </w:pPr>
    </w:p>
    <w:p w14:paraId="4BAF182B" w14:textId="77777777" w:rsidR="00E816C3" w:rsidRPr="009809B2" w:rsidRDefault="00E816C3" w:rsidP="00E816C3">
      <w:pPr>
        <w:rPr>
          <w:spacing w:val="-5"/>
          <w:lang w:val="es-CO"/>
        </w:rPr>
      </w:pPr>
    </w:p>
    <w:p w14:paraId="5FC759FB" w14:textId="77777777" w:rsidR="00E816C3" w:rsidRPr="009809B2" w:rsidRDefault="00E816C3" w:rsidP="00E816C3">
      <w:pPr>
        <w:rPr>
          <w:spacing w:val="-5"/>
          <w:lang w:val="es-CO"/>
        </w:rPr>
      </w:pPr>
    </w:p>
    <w:p w14:paraId="7B29A9BE" w14:textId="77777777" w:rsidR="000C09B6" w:rsidRPr="009809B2" w:rsidRDefault="000C09B6" w:rsidP="00E816C3">
      <w:pPr>
        <w:rPr>
          <w:rFonts w:cstheme="minorHAnsi"/>
          <w:spacing w:val="-5"/>
          <w:lang w:val="es-CO"/>
        </w:rPr>
      </w:pPr>
    </w:p>
    <w:p w14:paraId="7DD3DE9A" w14:textId="32924376" w:rsidR="00E816C3" w:rsidRPr="009809B2" w:rsidRDefault="00E816C3" w:rsidP="00E861C2">
      <w:pPr>
        <w:spacing w:after="0"/>
        <w:rPr>
          <w:b/>
          <w:caps/>
          <w:spacing w:val="-5"/>
          <w:sz w:val="36"/>
          <w:lang w:val="es-CO"/>
        </w:rPr>
      </w:pPr>
      <w:r w:rsidRPr="009809B2">
        <w:rPr>
          <w:b/>
          <w:caps/>
          <w:spacing w:val="-5"/>
          <w:sz w:val="28"/>
          <w:lang w:val="es-CO"/>
        </w:rPr>
        <w:t xml:space="preserve">DOCUMENTO </w:t>
      </w:r>
      <w:r w:rsidRPr="009809B2">
        <w:rPr>
          <w:b/>
          <w:caps/>
          <w:spacing w:val="-5"/>
          <w:sz w:val="40"/>
          <w:lang w:val="es-CO"/>
        </w:rPr>
        <w:t>CREG</w:t>
      </w:r>
      <w:r w:rsidR="00F77CCF">
        <w:rPr>
          <w:b/>
          <w:caps/>
          <w:spacing w:val="-5"/>
          <w:sz w:val="40"/>
          <w:lang w:val="es-CO"/>
        </w:rPr>
        <w:t xml:space="preserve"> 901 107</w:t>
      </w:r>
    </w:p>
    <w:p w14:paraId="440FB3C7" w14:textId="0D57EF0C" w:rsidR="00E816C3" w:rsidRPr="009809B2" w:rsidRDefault="0086202A" w:rsidP="00E861C2">
      <w:pPr>
        <w:tabs>
          <w:tab w:val="left" w:pos="9142"/>
        </w:tabs>
        <w:spacing w:after="0"/>
        <w:rPr>
          <w:spacing w:val="-5"/>
          <w:sz w:val="28"/>
          <w:lang w:val="es-CO"/>
        </w:rPr>
      </w:pPr>
      <w:r w:rsidRPr="009809B2">
        <w:rPr>
          <w:b/>
          <w:caps/>
          <w:spacing w:val="-5"/>
          <w:sz w:val="28"/>
          <w:lang w:val="es-CO"/>
        </w:rPr>
        <w:t>4</w:t>
      </w:r>
      <w:r w:rsidR="00F77CCF">
        <w:rPr>
          <w:b/>
          <w:caps/>
          <w:spacing w:val="-5"/>
          <w:sz w:val="28"/>
          <w:lang w:val="es-CO"/>
        </w:rPr>
        <w:t xml:space="preserve"> JUL.2024</w:t>
      </w:r>
    </w:p>
    <w:p w14:paraId="2970C09F" w14:textId="1BBD5903" w:rsidR="0049027F" w:rsidRPr="009809B2" w:rsidRDefault="00E816C3" w:rsidP="008157FD">
      <w:pPr>
        <w:pStyle w:val="TDC1"/>
        <w:rPr>
          <w:lang w:val="es-CO"/>
        </w:rPr>
      </w:pPr>
      <w:r w:rsidRPr="009809B2">
        <w:rPr>
          <w:lang w:val="es-CO"/>
        </w:rPr>
        <w:tab/>
      </w:r>
    </w:p>
    <w:p w14:paraId="63BAE051" w14:textId="176038A4" w:rsidR="00E816C3" w:rsidRPr="009809B2" w:rsidRDefault="0049027F" w:rsidP="00E816C3">
      <w:pPr>
        <w:rPr>
          <w:lang w:val="es-CO"/>
        </w:rPr>
      </w:pPr>
      <w:r w:rsidRPr="009809B2">
        <w:rPr>
          <w:rFonts w:cstheme="minorHAnsi"/>
          <w:lang w:val="es-CO"/>
        </w:rPr>
        <w:br w:type="page"/>
      </w:r>
    </w:p>
    <w:sdt>
      <w:sdtPr>
        <w:rPr>
          <w:spacing w:val="-5"/>
          <w:lang w:val="es-CO"/>
        </w:rPr>
        <w:id w:val="1793015304"/>
        <w:docPartObj>
          <w:docPartGallery w:val="Table of Contents"/>
          <w:docPartUnique/>
        </w:docPartObj>
      </w:sdtPr>
      <w:sdtEndPr>
        <w:rPr>
          <w:b/>
        </w:rPr>
      </w:sdtEndPr>
      <w:sdtContent>
        <w:p w14:paraId="092365D3" w14:textId="77777777" w:rsidR="00367A1D" w:rsidRPr="009809B2" w:rsidRDefault="00367A1D" w:rsidP="00367A1D">
          <w:pPr>
            <w:keepNext/>
            <w:keepLines/>
            <w:spacing w:before="240" w:line="259" w:lineRule="auto"/>
            <w:jc w:val="center"/>
            <w:rPr>
              <w:rFonts w:cs="Arial"/>
              <w:spacing w:val="-5"/>
              <w:szCs w:val="24"/>
              <w:lang w:val="es-CO" w:eastAsia="es-CO"/>
            </w:rPr>
          </w:pPr>
          <w:r w:rsidRPr="009809B2">
            <w:rPr>
              <w:rFonts w:cs="Arial"/>
              <w:b/>
              <w:spacing w:val="-5"/>
              <w:szCs w:val="24"/>
              <w:lang w:val="es-CO" w:eastAsia="es-CO"/>
            </w:rPr>
            <w:t>TABLA DE CONTENIDO</w:t>
          </w:r>
        </w:p>
        <w:p w14:paraId="2E05F81E" w14:textId="77777777" w:rsidR="00367A1D" w:rsidRPr="009809B2" w:rsidRDefault="00367A1D" w:rsidP="00367A1D">
          <w:pPr>
            <w:rPr>
              <w:spacing w:val="-5"/>
              <w:lang w:val="es-CO" w:eastAsia="es-CO"/>
            </w:rPr>
          </w:pPr>
        </w:p>
        <w:p w14:paraId="70AAEA6A" w14:textId="4C965E21" w:rsidR="008E2E98" w:rsidRDefault="00367A1D">
          <w:pPr>
            <w:pStyle w:val="TDC1"/>
            <w:rPr>
              <w:kern w:val="2"/>
              <w:sz w:val="24"/>
              <w:lang w:val="es-CO" w:eastAsia="es-CO"/>
              <w14:ligatures w14:val="standardContextual"/>
            </w:rPr>
          </w:pPr>
          <w:r w:rsidRPr="009809B2">
            <w:rPr>
              <w:noProof w:val="0"/>
              <w:color w:val="000000" w:themeColor="text1"/>
              <w:spacing w:val="-5"/>
              <w:lang w:val="es-CO"/>
            </w:rPr>
            <w:fldChar w:fldCharType="begin"/>
          </w:r>
          <w:r w:rsidRPr="009809B2">
            <w:rPr>
              <w:rFonts w:cstheme="minorHAnsi"/>
              <w:noProof w:val="0"/>
              <w:color w:val="000000" w:themeColor="text1"/>
              <w:spacing w:val="-5"/>
              <w:lang w:val="es-CO"/>
            </w:rPr>
            <w:instrText xml:space="preserve"> TOC \o "1-3" \h \z \u </w:instrText>
          </w:r>
          <w:r w:rsidRPr="009809B2">
            <w:rPr>
              <w:noProof w:val="0"/>
              <w:color w:val="000000" w:themeColor="text1"/>
              <w:spacing w:val="-5"/>
              <w:lang w:val="es-CO"/>
            </w:rPr>
            <w:fldChar w:fldCharType="separate"/>
          </w:r>
          <w:hyperlink w:anchor="_Toc172100723" w:history="1">
            <w:r w:rsidR="008E2E98" w:rsidRPr="00F8359D">
              <w:rPr>
                <w:rStyle w:val="Hipervnculo"/>
                <w:rFonts w:cstheme="minorHAnsi"/>
                <w:b/>
                <w:spacing w:val="-5"/>
                <w:lang w:val="es-CO"/>
              </w:rPr>
              <w:t>1.</w:t>
            </w:r>
            <w:r w:rsidR="008E2E98">
              <w:rPr>
                <w:kern w:val="2"/>
                <w:sz w:val="24"/>
                <w:lang w:val="es-CO" w:eastAsia="es-CO"/>
                <w14:ligatures w14:val="standardContextual"/>
              </w:rPr>
              <w:tab/>
            </w:r>
            <w:r w:rsidR="008E2E98" w:rsidRPr="00F8359D">
              <w:rPr>
                <w:rStyle w:val="Hipervnculo"/>
                <w:rFonts w:cstheme="minorHAnsi"/>
                <w:b/>
                <w:spacing w:val="-5"/>
                <w:lang w:val="es-CO"/>
              </w:rPr>
              <w:t>ANTECEDENTES</w:t>
            </w:r>
            <w:r w:rsidR="008E2E98">
              <w:rPr>
                <w:webHidden/>
              </w:rPr>
              <w:tab/>
            </w:r>
            <w:r w:rsidR="008E2E98">
              <w:rPr>
                <w:webHidden/>
              </w:rPr>
              <w:fldChar w:fldCharType="begin"/>
            </w:r>
            <w:r w:rsidR="008E2E98">
              <w:rPr>
                <w:webHidden/>
              </w:rPr>
              <w:instrText xml:space="preserve"> PAGEREF _Toc172100723 \h </w:instrText>
            </w:r>
            <w:r w:rsidR="008E2E98">
              <w:rPr>
                <w:webHidden/>
              </w:rPr>
            </w:r>
            <w:r w:rsidR="008E2E98">
              <w:rPr>
                <w:webHidden/>
              </w:rPr>
              <w:fldChar w:fldCharType="separate"/>
            </w:r>
            <w:r w:rsidR="00B40B80">
              <w:rPr>
                <w:webHidden/>
              </w:rPr>
              <w:t>3</w:t>
            </w:r>
            <w:r w:rsidR="008E2E98">
              <w:rPr>
                <w:webHidden/>
              </w:rPr>
              <w:fldChar w:fldCharType="end"/>
            </w:r>
          </w:hyperlink>
        </w:p>
        <w:p w14:paraId="67EFD3A0" w14:textId="03400D04" w:rsidR="008E2E98" w:rsidRDefault="00000000">
          <w:pPr>
            <w:pStyle w:val="TDC1"/>
            <w:rPr>
              <w:kern w:val="2"/>
              <w:sz w:val="24"/>
              <w:lang w:val="es-CO" w:eastAsia="es-CO"/>
              <w14:ligatures w14:val="standardContextual"/>
            </w:rPr>
          </w:pPr>
          <w:hyperlink w:anchor="_Toc172100724" w:history="1">
            <w:r w:rsidR="008E2E98" w:rsidRPr="00F8359D">
              <w:rPr>
                <w:rStyle w:val="Hipervnculo"/>
                <w:rFonts w:cstheme="minorHAnsi"/>
                <w:b/>
                <w:spacing w:val="-5"/>
                <w:lang w:val="es-CO"/>
              </w:rPr>
              <w:t>2.</w:t>
            </w:r>
            <w:r w:rsidR="008E2E98">
              <w:rPr>
                <w:kern w:val="2"/>
                <w:sz w:val="24"/>
                <w:lang w:val="es-CO" w:eastAsia="es-CO"/>
                <w14:ligatures w14:val="standardContextual"/>
              </w:rPr>
              <w:tab/>
            </w:r>
            <w:r w:rsidR="008E2E98" w:rsidRPr="00F8359D">
              <w:rPr>
                <w:rStyle w:val="Hipervnculo"/>
                <w:rFonts w:cstheme="minorHAnsi"/>
                <w:b/>
                <w:spacing w:val="-5"/>
                <w:lang w:val="es-CO"/>
              </w:rPr>
              <w:t>SITUACIÓN ACTUAL</w:t>
            </w:r>
            <w:r w:rsidR="008E2E98">
              <w:rPr>
                <w:webHidden/>
              </w:rPr>
              <w:tab/>
            </w:r>
            <w:r w:rsidR="008E2E98">
              <w:rPr>
                <w:webHidden/>
              </w:rPr>
              <w:fldChar w:fldCharType="begin"/>
            </w:r>
            <w:r w:rsidR="008E2E98">
              <w:rPr>
                <w:webHidden/>
              </w:rPr>
              <w:instrText xml:space="preserve"> PAGEREF _Toc172100724 \h </w:instrText>
            </w:r>
            <w:r w:rsidR="008E2E98">
              <w:rPr>
                <w:webHidden/>
              </w:rPr>
            </w:r>
            <w:r w:rsidR="008E2E98">
              <w:rPr>
                <w:webHidden/>
              </w:rPr>
              <w:fldChar w:fldCharType="separate"/>
            </w:r>
            <w:r w:rsidR="00B40B80">
              <w:rPr>
                <w:webHidden/>
              </w:rPr>
              <w:t>4</w:t>
            </w:r>
            <w:r w:rsidR="008E2E98">
              <w:rPr>
                <w:webHidden/>
              </w:rPr>
              <w:fldChar w:fldCharType="end"/>
            </w:r>
          </w:hyperlink>
        </w:p>
        <w:p w14:paraId="76968959" w14:textId="7238ECBF" w:rsidR="008E2E98" w:rsidRDefault="00000000">
          <w:pPr>
            <w:pStyle w:val="TDC1"/>
            <w:rPr>
              <w:kern w:val="2"/>
              <w:sz w:val="24"/>
              <w:lang w:val="es-CO" w:eastAsia="es-CO"/>
              <w14:ligatures w14:val="standardContextual"/>
            </w:rPr>
          </w:pPr>
          <w:hyperlink w:anchor="_Toc172100725" w:history="1">
            <w:r w:rsidR="008E2E98" w:rsidRPr="00F8359D">
              <w:rPr>
                <w:rStyle w:val="Hipervnculo"/>
                <w:rFonts w:cstheme="minorHAnsi"/>
                <w:b/>
                <w:spacing w:val="-5"/>
                <w:lang w:val="es-CO"/>
              </w:rPr>
              <w:t>3.</w:t>
            </w:r>
            <w:r w:rsidR="008E2E98">
              <w:rPr>
                <w:kern w:val="2"/>
                <w:sz w:val="24"/>
                <w:lang w:val="es-CO" w:eastAsia="es-CO"/>
                <w14:ligatures w14:val="standardContextual"/>
              </w:rPr>
              <w:tab/>
            </w:r>
            <w:r w:rsidR="008E2E98" w:rsidRPr="00F8359D">
              <w:rPr>
                <w:rStyle w:val="Hipervnculo"/>
                <w:rFonts w:cstheme="minorHAnsi"/>
                <w:b/>
                <w:spacing w:val="-5"/>
                <w:lang w:val="es-CO"/>
              </w:rPr>
              <w:t>DEFINICIÓN DEL PROBLEMA</w:t>
            </w:r>
            <w:r w:rsidR="008E2E98">
              <w:rPr>
                <w:webHidden/>
              </w:rPr>
              <w:tab/>
            </w:r>
            <w:r w:rsidR="008E2E98">
              <w:rPr>
                <w:webHidden/>
              </w:rPr>
              <w:fldChar w:fldCharType="begin"/>
            </w:r>
            <w:r w:rsidR="008E2E98">
              <w:rPr>
                <w:webHidden/>
              </w:rPr>
              <w:instrText xml:space="preserve"> PAGEREF _Toc172100725 \h </w:instrText>
            </w:r>
            <w:r w:rsidR="008E2E98">
              <w:rPr>
                <w:webHidden/>
              </w:rPr>
            </w:r>
            <w:r w:rsidR="008E2E98">
              <w:rPr>
                <w:webHidden/>
              </w:rPr>
              <w:fldChar w:fldCharType="separate"/>
            </w:r>
            <w:r w:rsidR="00B40B80">
              <w:rPr>
                <w:webHidden/>
              </w:rPr>
              <w:t>10</w:t>
            </w:r>
            <w:r w:rsidR="008E2E98">
              <w:rPr>
                <w:webHidden/>
              </w:rPr>
              <w:fldChar w:fldCharType="end"/>
            </w:r>
          </w:hyperlink>
        </w:p>
        <w:p w14:paraId="08200E93" w14:textId="6B90B23A" w:rsidR="008E2E98" w:rsidRDefault="00000000">
          <w:pPr>
            <w:pStyle w:val="TDC1"/>
            <w:rPr>
              <w:kern w:val="2"/>
              <w:sz w:val="24"/>
              <w:lang w:val="es-CO" w:eastAsia="es-CO"/>
              <w14:ligatures w14:val="standardContextual"/>
            </w:rPr>
          </w:pPr>
          <w:hyperlink w:anchor="_Toc172100726" w:history="1">
            <w:r w:rsidR="008E2E98" w:rsidRPr="00F8359D">
              <w:rPr>
                <w:rStyle w:val="Hipervnculo"/>
                <w:rFonts w:cstheme="minorHAnsi"/>
                <w:b/>
                <w:spacing w:val="-5"/>
                <w:lang w:val="es-CO"/>
              </w:rPr>
              <w:t>4.</w:t>
            </w:r>
            <w:r w:rsidR="008E2E98">
              <w:rPr>
                <w:kern w:val="2"/>
                <w:sz w:val="24"/>
                <w:lang w:val="es-CO" w:eastAsia="es-CO"/>
                <w14:ligatures w14:val="standardContextual"/>
              </w:rPr>
              <w:tab/>
            </w:r>
            <w:r w:rsidR="008E2E98" w:rsidRPr="00F8359D">
              <w:rPr>
                <w:rStyle w:val="Hipervnculo"/>
                <w:rFonts w:cstheme="minorHAnsi"/>
                <w:b/>
                <w:spacing w:val="-5"/>
                <w:lang w:val="es-CO"/>
              </w:rPr>
              <w:t>OBJETIVOS</w:t>
            </w:r>
            <w:r w:rsidR="008E2E98">
              <w:rPr>
                <w:webHidden/>
              </w:rPr>
              <w:tab/>
            </w:r>
            <w:r w:rsidR="008E2E98">
              <w:rPr>
                <w:webHidden/>
              </w:rPr>
              <w:fldChar w:fldCharType="begin"/>
            </w:r>
            <w:r w:rsidR="008E2E98">
              <w:rPr>
                <w:webHidden/>
              </w:rPr>
              <w:instrText xml:space="preserve"> PAGEREF _Toc172100726 \h </w:instrText>
            </w:r>
            <w:r w:rsidR="008E2E98">
              <w:rPr>
                <w:webHidden/>
              </w:rPr>
            </w:r>
            <w:r w:rsidR="008E2E98">
              <w:rPr>
                <w:webHidden/>
              </w:rPr>
              <w:fldChar w:fldCharType="separate"/>
            </w:r>
            <w:r w:rsidR="00B40B80">
              <w:rPr>
                <w:webHidden/>
              </w:rPr>
              <w:t>10</w:t>
            </w:r>
            <w:r w:rsidR="008E2E98">
              <w:rPr>
                <w:webHidden/>
              </w:rPr>
              <w:fldChar w:fldCharType="end"/>
            </w:r>
          </w:hyperlink>
        </w:p>
        <w:p w14:paraId="50DBDEF7" w14:textId="3DBD9B5A" w:rsidR="008E2E98" w:rsidRDefault="00000000">
          <w:pPr>
            <w:pStyle w:val="TDC1"/>
            <w:rPr>
              <w:kern w:val="2"/>
              <w:sz w:val="24"/>
              <w:lang w:val="es-CO" w:eastAsia="es-CO"/>
              <w14:ligatures w14:val="standardContextual"/>
            </w:rPr>
          </w:pPr>
          <w:hyperlink w:anchor="_Toc172100727" w:history="1">
            <w:r w:rsidR="008E2E98" w:rsidRPr="00F8359D">
              <w:rPr>
                <w:rStyle w:val="Hipervnculo"/>
                <w:rFonts w:cstheme="minorHAnsi"/>
                <w:b/>
                <w:spacing w:val="-5"/>
                <w:lang w:val="es-CO"/>
              </w:rPr>
              <w:t>5.</w:t>
            </w:r>
            <w:r w:rsidR="008E2E98">
              <w:rPr>
                <w:kern w:val="2"/>
                <w:sz w:val="24"/>
                <w:lang w:val="es-CO" w:eastAsia="es-CO"/>
                <w14:ligatures w14:val="standardContextual"/>
              </w:rPr>
              <w:tab/>
            </w:r>
            <w:r w:rsidR="008E2E98" w:rsidRPr="00F8359D">
              <w:rPr>
                <w:rStyle w:val="Hipervnculo"/>
                <w:rFonts w:cstheme="minorHAnsi"/>
                <w:b/>
                <w:spacing w:val="-5"/>
                <w:lang w:val="es-CO"/>
              </w:rPr>
              <w:t>FUNDAMENTO JURÍDICO</w:t>
            </w:r>
            <w:r w:rsidR="008E2E98">
              <w:rPr>
                <w:webHidden/>
              </w:rPr>
              <w:tab/>
            </w:r>
            <w:r w:rsidR="008E2E98">
              <w:rPr>
                <w:webHidden/>
              </w:rPr>
              <w:fldChar w:fldCharType="begin"/>
            </w:r>
            <w:r w:rsidR="008E2E98">
              <w:rPr>
                <w:webHidden/>
              </w:rPr>
              <w:instrText xml:space="preserve"> PAGEREF _Toc172100727 \h </w:instrText>
            </w:r>
            <w:r w:rsidR="008E2E98">
              <w:rPr>
                <w:webHidden/>
              </w:rPr>
            </w:r>
            <w:r w:rsidR="008E2E98">
              <w:rPr>
                <w:webHidden/>
              </w:rPr>
              <w:fldChar w:fldCharType="separate"/>
            </w:r>
            <w:r w:rsidR="00B40B80">
              <w:rPr>
                <w:webHidden/>
              </w:rPr>
              <w:t>11</w:t>
            </w:r>
            <w:r w:rsidR="008E2E98">
              <w:rPr>
                <w:webHidden/>
              </w:rPr>
              <w:fldChar w:fldCharType="end"/>
            </w:r>
          </w:hyperlink>
        </w:p>
        <w:p w14:paraId="1E058119" w14:textId="74040A20" w:rsidR="008E2E98" w:rsidRDefault="00000000">
          <w:pPr>
            <w:pStyle w:val="TDC1"/>
            <w:rPr>
              <w:kern w:val="2"/>
              <w:sz w:val="24"/>
              <w:lang w:val="es-CO" w:eastAsia="es-CO"/>
              <w14:ligatures w14:val="standardContextual"/>
            </w:rPr>
          </w:pPr>
          <w:hyperlink w:anchor="_Toc172100728" w:history="1">
            <w:r w:rsidR="008E2E98" w:rsidRPr="00F8359D">
              <w:rPr>
                <w:rStyle w:val="Hipervnculo"/>
                <w:rFonts w:cstheme="minorHAnsi"/>
                <w:b/>
                <w:spacing w:val="-5"/>
                <w:lang w:val="es-CO"/>
              </w:rPr>
              <w:t>6.</w:t>
            </w:r>
            <w:r w:rsidR="008E2E98">
              <w:rPr>
                <w:kern w:val="2"/>
                <w:sz w:val="24"/>
                <w:lang w:val="es-CO" w:eastAsia="es-CO"/>
                <w14:ligatures w14:val="standardContextual"/>
              </w:rPr>
              <w:tab/>
            </w:r>
            <w:r w:rsidR="008E2E98" w:rsidRPr="00F8359D">
              <w:rPr>
                <w:rStyle w:val="Hipervnculo"/>
                <w:rFonts w:cstheme="minorHAnsi"/>
                <w:b/>
                <w:spacing w:val="-5"/>
                <w:lang w:val="es-CO"/>
              </w:rPr>
              <w:t>ÍNDICES DE PRECIOS</w:t>
            </w:r>
            <w:r w:rsidR="008E2E98">
              <w:rPr>
                <w:webHidden/>
              </w:rPr>
              <w:tab/>
            </w:r>
            <w:r w:rsidR="008E2E98">
              <w:rPr>
                <w:webHidden/>
              </w:rPr>
              <w:fldChar w:fldCharType="begin"/>
            </w:r>
            <w:r w:rsidR="008E2E98">
              <w:rPr>
                <w:webHidden/>
              </w:rPr>
              <w:instrText xml:space="preserve"> PAGEREF _Toc172100728 \h </w:instrText>
            </w:r>
            <w:r w:rsidR="008E2E98">
              <w:rPr>
                <w:webHidden/>
              </w:rPr>
            </w:r>
            <w:r w:rsidR="008E2E98">
              <w:rPr>
                <w:webHidden/>
              </w:rPr>
              <w:fldChar w:fldCharType="separate"/>
            </w:r>
            <w:r w:rsidR="00B40B80">
              <w:rPr>
                <w:webHidden/>
              </w:rPr>
              <w:t>16</w:t>
            </w:r>
            <w:r w:rsidR="008E2E98">
              <w:rPr>
                <w:webHidden/>
              </w:rPr>
              <w:fldChar w:fldCharType="end"/>
            </w:r>
          </w:hyperlink>
        </w:p>
        <w:p w14:paraId="54366DFA" w14:textId="1956BD9A" w:rsidR="008E2E98" w:rsidRDefault="00000000">
          <w:pPr>
            <w:pStyle w:val="TDC1"/>
            <w:rPr>
              <w:kern w:val="2"/>
              <w:sz w:val="24"/>
              <w:lang w:val="es-CO" w:eastAsia="es-CO"/>
              <w14:ligatures w14:val="standardContextual"/>
            </w:rPr>
          </w:pPr>
          <w:hyperlink w:anchor="_Toc172100729" w:history="1">
            <w:r w:rsidR="008E2E98" w:rsidRPr="00F8359D">
              <w:rPr>
                <w:rStyle w:val="Hipervnculo"/>
                <w:rFonts w:cstheme="minorHAnsi"/>
                <w:b/>
                <w:spacing w:val="-5"/>
                <w:lang w:val="es-CO"/>
              </w:rPr>
              <w:t>7.</w:t>
            </w:r>
            <w:r w:rsidR="008E2E98">
              <w:rPr>
                <w:kern w:val="2"/>
                <w:sz w:val="24"/>
                <w:lang w:val="es-CO" w:eastAsia="es-CO"/>
                <w14:ligatures w14:val="standardContextual"/>
              </w:rPr>
              <w:tab/>
            </w:r>
            <w:r w:rsidR="008E2E98" w:rsidRPr="00F8359D">
              <w:rPr>
                <w:rStyle w:val="Hipervnculo"/>
                <w:rFonts w:cstheme="minorHAnsi"/>
                <w:b/>
                <w:spacing w:val="-5"/>
                <w:lang w:val="es-CO"/>
              </w:rPr>
              <w:t>EXPERIENCIA INTERNACIONAL</w:t>
            </w:r>
            <w:r w:rsidR="008E2E98">
              <w:rPr>
                <w:webHidden/>
              </w:rPr>
              <w:tab/>
            </w:r>
            <w:r w:rsidR="008E2E98">
              <w:rPr>
                <w:webHidden/>
              </w:rPr>
              <w:fldChar w:fldCharType="begin"/>
            </w:r>
            <w:r w:rsidR="008E2E98">
              <w:rPr>
                <w:webHidden/>
              </w:rPr>
              <w:instrText xml:space="preserve"> PAGEREF _Toc172100729 \h </w:instrText>
            </w:r>
            <w:r w:rsidR="008E2E98">
              <w:rPr>
                <w:webHidden/>
              </w:rPr>
            </w:r>
            <w:r w:rsidR="008E2E98">
              <w:rPr>
                <w:webHidden/>
              </w:rPr>
              <w:fldChar w:fldCharType="separate"/>
            </w:r>
            <w:r w:rsidR="00B40B80">
              <w:rPr>
                <w:webHidden/>
              </w:rPr>
              <w:t>18</w:t>
            </w:r>
            <w:r w:rsidR="008E2E98">
              <w:rPr>
                <w:webHidden/>
              </w:rPr>
              <w:fldChar w:fldCharType="end"/>
            </w:r>
          </w:hyperlink>
        </w:p>
        <w:p w14:paraId="4725FE1D" w14:textId="38FEC8C2" w:rsidR="008E2E98" w:rsidRDefault="00000000">
          <w:pPr>
            <w:pStyle w:val="TDC1"/>
            <w:rPr>
              <w:kern w:val="2"/>
              <w:sz w:val="24"/>
              <w:lang w:val="es-CO" w:eastAsia="es-CO"/>
              <w14:ligatures w14:val="standardContextual"/>
            </w:rPr>
          </w:pPr>
          <w:hyperlink w:anchor="_Toc172100730" w:history="1">
            <w:r w:rsidR="008E2E98" w:rsidRPr="00F8359D">
              <w:rPr>
                <w:rStyle w:val="Hipervnculo"/>
                <w:rFonts w:cstheme="minorHAnsi"/>
                <w:b/>
                <w:spacing w:val="-5"/>
                <w:lang w:val="es-CO"/>
              </w:rPr>
              <w:t>8.</w:t>
            </w:r>
            <w:r w:rsidR="008E2E98">
              <w:rPr>
                <w:kern w:val="2"/>
                <w:sz w:val="24"/>
                <w:lang w:val="es-CO" w:eastAsia="es-CO"/>
                <w14:ligatures w14:val="standardContextual"/>
              </w:rPr>
              <w:tab/>
            </w:r>
            <w:r w:rsidR="008E2E98" w:rsidRPr="00F8359D">
              <w:rPr>
                <w:rStyle w:val="Hipervnculo"/>
                <w:rFonts w:cstheme="minorHAnsi"/>
                <w:b/>
                <w:spacing w:val="-5"/>
                <w:lang w:val="es-CO"/>
              </w:rPr>
              <w:t>EXPERIENCIA DE OTROS SECTORES DE SERVICIOS PÚBLICOS EN COLOMBIA</w:t>
            </w:r>
            <w:r w:rsidR="008E2E98">
              <w:rPr>
                <w:webHidden/>
              </w:rPr>
              <w:tab/>
            </w:r>
            <w:r w:rsidR="008E2E98">
              <w:rPr>
                <w:webHidden/>
              </w:rPr>
              <w:fldChar w:fldCharType="begin"/>
            </w:r>
            <w:r w:rsidR="008E2E98">
              <w:rPr>
                <w:webHidden/>
              </w:rPr>
              <w:instrText xml:space="preserve"> PAGEREF _Toc172100730 \h </w:instrText>
            </w:r>
            <w:r w:rsidR="008E2E98">
              <w:rPr>
                <w:webHidden/>
              </w:rPr>
            </w:r>
            <w:r w:rsidR="008E2E98">
              <w:rPr>
                <w:webHidden/>
              </w:rPr>
              <w:fldChar w:fldCharType="separate"/>
            </w:r>
            <w:r w:rsidR="00B40B80">
              <w:rPr>
                <w:webHidden/>
              </w:rPr>
              <w:t>21</w:t>
            </w:r>
            <w:r w:rsidR="008E2E98">
              <w:rPr>
                <w:webHidden/>
              </w:rPr>
              <w:fldChar w:fldCharType="end"/>
            </w:r>
          </w:hyperlink>
        </w:p>
        <w:p w14:paraId="179286C3" w14:textId="45538A7C" w:rsidR="008E2E98" w:rsidRDefault="00000000">
          <w:pPr>
            <w:pStyle w:val="TDC1"/>
            <w:tabs>
              <w:tab w:val="left" w:pos="720"/>
            </w:tabs>
            <w:rPr>
              <w:kern w:val="2"/>
              <w:sz w:val="24"/>
              <w:lang w:val="es-CO" w:eastAsia="es-CO"/>
              <w14:ligatures w14:val="standardContextual"/>
            </w:rPr>
          </w:pPr>
          <w:hyperlink w:anchor="_Toc172100731" w:history="1">
            <w:r w:rsidR="008E2E98" w:rsidRPr="00F8359D">
              <w:rPr>
                <w:rStyle w:val="Hipervnculo"/>
                <w:rFonts w:cstheme="minorHAnsi"/>
                <w:b/>
                <w:lang w:val="es-CO"/>
              </w:rPr>
              <w:t>8.1.</w:t>
            </w:r>
            <w:r w:rsidR="008E2E98">
              <w:rPr>
                <w:kern w:val="2"/>
                <w:sz w:val="24"/>
                <w:lang w:val="es-CO" w:eastAsia="es-CO"/>
                <w14:ligatures w14:val="standardContextual"/>
              </w:rPr>
              <w:tab/>
            </w:r>
            <w:r w:rsidR="008E2E98" w:rsidRPr="00F8359D">
              <w:rPr>
                <w:rStyle w:val="Hipervnculo"/>
                <w:rFonts w:cstheme="minorHAnsi"/>
                <w:b/>
                <w:lang w:val="es-CO"/>
              </w:rPr>
              <w:t>Sector de telecomunicaciones</w:t>
            </w:r>
            <w:r w:rsidR="008E2E98">
              <w:rPr>
                <w:webHidden/>
              </w:rPr>
              <w:tab/>
            </w:r>
            <w:r w:rsidR="008E2E98">
              <w:rPr>
                <w:webHidden/>
              </w:rPr>
              <w:fldChar w:fldCharType="begin"/>
            </w:r>
            <w:r w:rsidR="008E2E98">
              <w:rPr>
                <w:webHidden/>
              </w:rPr>
              <w:instrText xml:space="preserve"> PAGEREF _Toc172100731 \h </w:instrText>
            </w:r>
            <w:r w:rsidR="008E2E98">
              <w:rPr>
                <w:webHidden/>
              </w:rPr>
            </w:r>
            <w:r w:rsidR="008E2E98">
              <w:rPr>
                <w:webHidden/>
              </w:rPr>
              <w:fldChar w:fldCharType="separate"/>
            </w:r>
            <w:r w:rsidR="00B40B80">
              <w:rPr>
                <w:webHidden/>
              </w:rPr>
              <w:t>21</w:t>
            </w:r>
            <w:r w:rsidR="008E2E98">
              <w:rPr>
                <w:webHidden/>
              </w:rPr>
              <w:fldChar w:fldCharType="end"/>
            </w:r>
          </w:hyperlink>
        </w:p>
        <w:p w14:paraId="6B48B3B7" w14:textId="3089D019" w:rsidR="008E2E98" w:rsidRDefault="00000000">
          <w:pPr>
            <w:pStyle w:val="TDC1"/>
            <w:tabs>
              <w:tab w:val="left" w:pos="720"/>
            </w:tabs>
            <w:rPr>
              <w:kern w:val="2"/>
              <w:sz w:val="24"/>
              <w:lang w:val="es-CO" w:eastAsia="es-CO"/>
              <w14:ligatures w14:val="standardContextual"/>
            </w:rPr>
          </w:pPr>
          <w:hyperlink w:anchor="_Toc172100732" w:history="1">
            <w:r w:rsidR="008E2E98" w:rsidRPr="00F8359D">
              <w:rPr>
                <w:rStyle w:val="Hipervnculo"/>
                <w:rFonts w:cstheme="minorHAnsi"/>
                <w:b/>
                <w:lang w:val="es-CO"/>
              </w:rPr>
              <w:t>8.2.</w:t>
            </w:r>
            <w:r w:rsidR="008E2E98">
              <w:rPr>
                <w:kern w:val="2"/>
                <w:sz w:val="24"/>
                <w:lang w:val="es-CO" w:eastAsia="es-CO"/>
                <w14:ligatures w14:val="standardContextual"/>
              </w:rPr>
              <w:tab/>
            </w:r>
            <w:r w:rsidR="008E2E98" w:rsidRPr="00F8359D">
              <w:rPr>
                <w:rStyle w:val="Hipervnculo"/>
                <w:rFonts w:cstheme="minorHAnsi"/>
                <w:b/>
                <w:lang w:val="es-CO"/>
              </w:rPr>
              <w:t>Sector de agua y saneamiento básico</w:t>
            </w:r>
            <w:r w:rsidR="008E2E98">
              <w:rPr>
                <w:webHidden/>
              </w:rPr>
              <w:tab/>
            </w:r>
            <w:r w:rsidR="008E2E98">
              <w:rPr>
                <w:webHidden/>
              </w:rPr>
              <w:fldChar w:fldCharType="begin"/>
            </w:r>
            <w:r w:rsidR="008E2E98">
              <w:rPr>
                <w:webHidden/>
              </w:rPr>
              <w:instrText xml:space="preserve"> PAGEREF _Toc172100732 \h </w:instrText>
            </w:r>
            <w:r w:rsidR="008E2E98">
              <w:rPr>
                <w:webHidden/>
              </w:rPr>
            </w:r>
            <w:r w:rsidR="008E2E98">
              <w:rPr>
                <w:webHidden/>
              </w:rPr>
              <w:fldChar w:fldCharType="separate"/>
            </w:r>
            <w:r w:rsidR="00B40B80">
              <w:rPr>
                <w:webHidden/>
              </w:rPr>
              <w:t>24</w:t>
            </w:r>
            <w:r w:rsidR="008E2E98">
              <w:rPr>
                <w:webHidden/>
              </w:rPr>
              <w:fldChar w:fldCharType="end"/>
            </w:r>
          </w:hyperlink>
        </w:p>
        <w:p w14:paraId="5F235B41" w14:textId="6D4A486B" w:rsidR="008E2E98" w:rsidRDefault="00000000">
          <w:pPr>
            <w:pStyle w:val="TDC1"/>
            <w:rPr>
              <w:kern w:val="2"/>
              <w:sz w:val="24"/>
              <w:lang w:val="es-CO" w:eastAsia="es-CO"/>
              <w14:ligatures w14:val="standardContextual"/>
            </w:rPr>
          </w:pPr>
          <w:hyperlink w:anchor="_Toc172100733" w:history="1">
            <w:r w:rsidR="008E2E98" w:rsidRPr="00F8359D">
              <w:rPr>
                <w:rStyle w:val="Hipervnculo"/>
                <w:rFonts w:cstheme="minorHAnsi"/>
                <w:b/>
                <w:spacing w:val="-5"/>
                <w:lang w:val="es-CO"/>
              </w:rPr>
              <w:t>9.</w:t>
            </w:r>
            <w:r w:rsidR="008E2E98">
              <w:rPr>
                <w:kern w:val="2"/>
                <w:sz w:val="24"/>
                <w:lang w:val="es-CO" w:eastAsia="es-CO"/>
                <w14:ligatures w14:val="standardContextual"/>
              </w:rPr>
              <w:tab/>
            </w:r>
            <w:r w:rsidR="008E2E98" w:rsidRPr="00F8359D">
              <w:rPr>
                <w:rStyle w:val="Hipervnculo"/>
                <w:rFonts w:cstheme="minorHAnsi"/>
                <w:b/>
                <w:spacing w:val="-5"/>
                <w:lang w:val="es-CO"/>
              </w:rPr>
              <w:t>ANÁLISIS DE ALTERNATIVAS</w:t>
            </w:r>
            <w:r w:rsidR="008E2E98">
              <w:rPr>
                <w:webHidden/>
              </w:rPr>
              <w:tab/>
            </w:r>
            <w:r w:rsidR="008E2E98">
              <w:rPr>
                <w:webHidden/>
              </w:rPr>
              <w:fldChar w:fldCharType="begin"/>
            </w:r>
            <w:r w:rsidR="008E2E98">
              <w:rPr>
                <w:webHidden/>
              </w:rPr>
              <w:instrText xml:space="preserve"> PAGEREF _Toc172100733 \h </w:instrText>
            </w:r>
            <w:r w:rsidR="008E2E98">
              <w:rPr>
                <w:webHidden/>
              </w:rPr>
            </w:r>
            <w:r w:rsidR="008E2E98">
              <w:rPr>
                <w:webHidden/>
              </w:rPr>
              <w:fldChar w:fldCharType="separate"/>
            </w:r>
            <w:r w:rsidR="00B40B80">
              <w:rPr>
                <w:webHidden/>
              </w:rPr>
              <w:t>25</w:t>
            </w:r>
            <w:r w:rsidR="008E2E98">
              <w:rPr>
                <w:webHidden/>
              </w:rPr>
              <w:fldChar w:fldCharType="end"/>
            </w:r>
          </w:hyperlink>
        </w:p>
        <w:p w14:paraId="6A70BC7B" w14:textId="20B4AB83" w:rsidR="008E2E98" w:rsidRDefault="00000000">
          <w:pPr>
            <w:pStyle w:val="TDC1"/>
            <w:tabs>
              <w:tab w:val="left" w:pos="720"/>
            </w:tabs>
            <w:rPr>
              <w:kern w:val="2"/>
              <w:sz w:val="24"/>
              <w:lang w:val="es-CO" w:eastAsia="es-CO"/>
              <w14:ligatures w14:val="standardContextual"/>
            </w:rPr>
          </w:pPr>
          <w:hyperlink w:anchor="_Toc172100734" w:history="1">
            <w:r w:rsidR="008E2E98" w:rsidRPr="00F8359D">
              <w:rPr>
                <w:rStyle w:val="Hipervnculo"/>
                <w:rFonts w:cstheme="minorHAnsi"/>
                <w:b/>
                <w:lang w:val="es-CO"/>
              </w:rPr>
              <w:t>9.1.</w:t>
            </w:r>
            <w:r w:rsidR="008E2E98">
              <w:rPr>
                <w:kern w:val="2"/>
                <w:sz w:val="24"/>
                <w:lang w:val="es-CO" w:eastAsia="es-CO"/>
                <w14:ligatures w14:val="standardContextual"/>
              </w:rPr>
              <w:tab/>
            </w:r>
            <w:r w:rsidR="008E2E98" w:rsidRPr="00F8359D">
              <w:rPr>
                <w:rStyle w:val="Hipervnculo"/>
                <w:rFonts w:cstheme="minorHAnsi"/>
                <w:b/>
                <w:lang w:val="es-CO"/>
              </w:rPr>
              <w:t>Mantener los índices vigentes</w:t>
            </w:r>
            <w:r w:rsidR="008E2E98">
              <w:rPr>
                <w:webHidden/>
              </w:rPr>
              <w:tab/>
            </w:r>
            <w:r w:rsidR="008E2E98">
              <w:rPr>
                <w:webHidden/>
              </w:rPr>
              <w:fldChar w:fldCharType="begin"/>
            </w:r>
            <w:r w:rsidR="008E2E98">
              <w:rPr>
                <w:webHidden/>
              </w:rPr>
              <w:instrText xml:space="preserve"> PAGEREF _Toc172100734 \h </w:instrText>
            </w:r>
            <w:r w:rsidR="008E2E98">
              <w:rPr>
                <w:webHidden/>
              </w:rPr>
            </w:r>
            <w:r w:rsidR="008E2E98">
              <w:rPr>
                <w:webHidden/>
              </w:rPr>
              <w:fldChar w:fldCharType="separate"/>
            </w:r>
            <w:r w:rsidR="00B40B80">
              <w:rPr>
                <w:webHidden/>
              </w:rPr>
              <w:t>25</w:t>
            </w:r>
            <w:r w:rsidR="008E2E98">
              <w:rPr>
                <w:webHidden/>
              </w:rPr>
              <w:fldChar w:fldCharType="end"/>
            </w:r>
          </w:hyperlink>
        </w:p>
        <w:p w14:paraId="01FB9BCB" w14:textId="6C0BEDBA" w:rsidR="008E2E98" w:rsidRDefault="00000000">
          <w:pPr>
            <w:pStyle w:val="TDC1"/>
            <w:tabs>
              <w:tab w:val="left" w:pos="720"/>
            </w:tabs>
            <w:rPr>
              <w:kern w:val="2"/>
              <w:sz w:val="24"/>
              <w:lang w:val="es-CO" w:eastAsia="es-CO"/>
              <w14:ligatures w14:val="standardContextual"/>
            </w:rPr>
          </w:pPr>
          <w:hyperlink w:anchor="_Toc172100735" w:history="1">
            <w:r w:rsidR="008E2E98" w:rsidRPr="00F8359D">
              <w:rPr>
                <w:rStyle w:val="Hipervnculo"/>
                <w:rFonts w:cstheme="minorHAnsi"/>
                <w:b/>
                <w:lang w:val="es-CO"/>
              </w:rPr>
              <w:t>9.2.</w:t>
            </w:r>
            <w:r w:rsidR="008E2E98">
              <w:rPr>
                <w:kern w:val="2"/>
                <w:sz w:val="24"/>
                <w:lang w:val="es-CO" w:eastAsia="es-CO"/>
                <w14:ligatures w14:val="standardContextual"/>
              </w:rPr>
              <w:tab/>
            </w:r>
            <w:r w:rsidR="008E2E98" w:rsidRPr="00F8359D">
              <w:rPr>
                <w:rStyle w:val="Hipervnculo"/>
                <w:rFonts w:cstheme="minorHAnsi"/>
                <w:b/>
                <w:lang w:val="es-CO"/>
              </w:rPr>
              <w:t>Nuevos índices</w:t>
            </w:r>
            <w:r w:rsidR="008E2E98">
              <w:rPr>
                <w:webHidden/>
              </w:rPr>
              <w:tab/>
            </w:r>
            <w:r w:rsidR="008E2E98">
              <w:rPr>
                <w:webHidden/>
              </w:rPr>
              <w:fldChar w:fldCharType="begin"/>
            </w:r>
            <w:r w:rsidR="008E2E98">
              <w:rPr>
                <w:webHidden/>
              </w:rPr>
              <w:instrText xml:space="preserve"> PAGEREF _Toc172100735 \h </w:instrText>
            </w:r>
            <w:r w:rsidR="008E2E98">
              <w:rPr>
                <w:webHidden/>
              </w:rPr>
            </w:r>
            <w:r w:rsidR="008E2E98">
              <w:rPr>
                <w:webHidden/>
              </w:rPr>
              <w:fldChar w:fldCharType="separate"/>
            </w:r>
            <w:r w:rsidR="00B40B80">
              <w:rPr>
                <w:webHidden/>
              </w:rPr>
              <w:t>26</w:t>
            </w:r>
            <w:r w:rsidR="008E2E98">
              <w:rPr>
                <w:webHidden/>
              </w:rPr>
              <w:fldChar w:fldCharType="end"/>
            </w:r>
          </w:hyperlink>
        </w:p>
        <w:p w14:paraId="2C947DCF" w14:textId="7EB609A5" w:rsidR="008E2E98" w:rsidRDefault="00000000">
          <w:pPr>
            <w:pStyle w:val="TDC1"/>
            <w:tabs>
              <w:tab w:val="left" w:pos="720"/>
            </w:tabs>
            <w:rPr>
              <w:kern w:val="2"/>
              <w:sz w:val="24"/>
              <w:lang w:val="es-CO" w:eastAsia="es-CO"/>
              <w14:ligatures w14:val="standardContextual"/>
            </w:rPr>
          </w:pPr>
          <w:hyperlink w:anchor="_Toc172100736" w:history="1">
            <w:r w:rsidR="008E2E98" w:rsidRPr="00F8359D">
              <w:rPr>
                <w:rStyle w:val="Hipervnculo"/>
                <w:rFonts w:cstheme="minorHAnsi"/>
                <w:b/>
                <w:lang w:val="es-CO"/>
              </w:rPr>
              <w:t>9.3.</w:t>
            </w:r>
            <w:r w:rsidR="008E2E98">
              <w:rPr>
                <w:kern w:val="2"/>
                <w:sz w:val="24"/>
                <w:lang w:val="es-CO" w:eastAsia="es-CO"/>
                <w14:ligatures w14:val="standardContextual"/>
              </w:rPr>
              <w:tab/>
            </w:r>
            <w:r w:rsidR="008E2E98" w:rsidRPr="00F8359D">
              <w:rPr>
                <w:rStyle w:val="Hipervnculo"/>
                <w:rFonts w:cstheme="minorHAnsi"/>
                <w:b/>
                <w:lang w:val="es-CO"/>
              </w:rPr>
              <w:t>Tomar un índice producido por el DANE</w:t>
            </w:r>
            <w:r w:rsidR="008E2E98">
              <w:rPr>
                <w:webHidden/>
              </w:rPr>
              <w:tab/>
            </w:r>
            <w:r w:rsidR="008E2E98">
              <w:rPr>
                <w:webHidden/>
              </w:rPr>
              <w:fldChar w:fldCharType="begin"/>
            </w:r>
            <w:r w:rsidR="008E2E98">
              <w:rPr>
                <w:webHidden/>
              </w:rPr>
              <w:instrText xml:space="preserve"> PAGEREF _Toc172100736 \h </w:instrText>
            </w:r>
            <w:r w:rsidR="008E2E98">
              <w:rPr>
                <w:webHidden/>
              </w:rPr>
            </w:r>
            <w:r w:rsidR="008E2E98">
              <w:rPr>
                <w:webHidden/>
              </w:rPr>
              <w:fldChar w:fldCharType="separate"/>
            </w:r>
            <w:r w:rsidR="00B40B80">
              <w:rPr>
                <w:webHidden/>
              </w:rPr>
              <w:t>30</w:t>
            </w:r>
            <w:r w:rsidR="008E2E98">
              <w:rPr>
                <w:webHidden/>
              </w:rPr>
              <w:fldChar w:fldCharType="end"/>
            </w:r>
          </w:hyperlink>
        </w:p>
        <w:p w14:paraId="57AB377B" w14:textId="27E13831" w:rsidR="008E2E98" w:rsidRDefault="00000000">
          <w:pPr>
            <w:pStyle w:val="TDC1"/>
            <w:tabs>
              <w:tab w:val="left" w:pos="720"/>
            </w:tabs>
            <w:rPr>
              <w:kern w:val="2"/>
              <w:sz w:val="24"/>
              <w:lang w:val="es-CO" w:eastAsia="es-CO"/>
              <w14:ligatures w14:val="standardContextual"/>
            </w:rPr>
          </w:pPr>
          <w:hyperlink w:anchor="_Toc172100737" w:history="1">
            <w:r w:rsidR="008E2E98" w:rsidRPr="00F8359D">
              <w:rPr>
                <w:rStyle w:val="Hipervnculo"/>
                <w:rFonts w:cstheme="minorHAnsi"/>
                <w:b/>
                <w:lang w:val="es-CO"/>
              </w:rPr>
              <w:t>9.4.</w:t>
            </w:r>
            <w:r w:rsidR="008E2E98">
              <w:rPr>
                <w:kern w:val="2"/>
                <w:sz w:val="24"/>
                <w:lang w:val="es-CO" w:eastAsia="es-CO"/>
                <w14:ligatures w14:val="standardContextual"/>
              </w:rPr>
              <w:tab/>
            </w:r>
            <w:r w:rsidR="008E2E98" w:rsidRPr="00F8359D">
              <w:rPr>
                <w:rStyle w:val="Hipervnculo"/>
                <w:rFonts w:cstheme="minorHAnsi"/>
                <w:b/>
                <w:lang w:val="es-CO"/>
              </w:rPr>
              <w:t>Análisis de las variaciones de los índices propuestos</w:t>
            </w:r>
            <w:r w:rsidR="008E2E98">
              <w:rPr>
                <w:webHidden/>
              </w:rPr>
              <w:tab/>
            </w:r>
            <w:r w:rsidR="008E2E98">
              <w:rPr>
                <w:webHidden/>
              </w:rPr>
              <w:fldChar w:fldCharType="begin"/>
            </w:r>
            <w:r w:rsidR="008E2E98">
              <w:rPr>
                <w:webHidden/>
              </w:rPr>
              <w:instrText xml:space="preserve"> PAGEREF _Toc172100737 \h </w:instrText>
            </w:r>
            <w:r w:rsidR="008E2E98">
              <w:rPr>
                <w:webHidden/>
              </w:rPr>
            </w:r>
            <w:r w:rsidR="008E2E98">
              <w:rPr>
                <w:webHidden/>
              </w:rPr>
              <w:fldChar w:fldCharType="separate"/>
            </w:r>
            <w:r w:rsidR="00B40B80">
              <w:rPr>
                <w:webHidden/>
              </w:rPr>
              <w:t>34</w:t>
            </w:r>
            <w:r w:rsidR="008E2E98">
              <w:rPr>
                <w:webHidden/>
              </w:rPr>
              <w:fldChar w:fldCharType="end"/>
            </w:r>
          </w:hyperlink>
        </w:p>
        <w:p w14:paraId="5E7C4CE3" w14:textId="4A78FD98" w:rsidR="008E2E98" w:rsidRDefault="00000000">
          <w:pPr>
            <w:pStyle w:val="TDC1"/>
            <w:tabs>
              <w:tab w:val="left" w:pos="720"/>
            </w:tabs>
            <w:rPr>
              <w:kern w:val="2"/>
              <w:sz w:val="24"/>
              <w:lang w:val="es-CO" w:eastAsia="es-CO"/>
              <w14:ligatures w14:val="standardContextual"/>
            </w:rPr>
          </w:pPr>
          <w:hyperlink w:anchor="_Toc172100738" w:history="1">
            <w:r w:rsidR="008E2E98" w:rsidRPr="00F8359D">
              <w:rPr>
                <w:rStyle w:val="Hipervnculo"/>
                <w:rFonts w:cstheme="minorHAnsi"/>
                <w:b/>
                <w:spacing w:val="-5"/>
                <w:lang w:val="es-CO"/>
              </w:rPr>
              <w:t>10.</w:t>
            </w:r>
            <w:r w:rsidR="008E2E98">
              <w:rPr>
                <w:kern w:val="2"/>
                <w:sz w:val="24"/>
                <w:lang w:val="es-CO" w:eastAsia="es-CO"/>
                <w14:ligatures w14:val="standardContextual"/>
              </w:rPr>
              <w:tab/>
            </w:r>
            <w:r w:rsidR="008E2E98" w:rsidRPr="00F8359D">
              <w:rPr>
                <w:rStyle w:val="Hipervnculo"/>
                <w:rFonts w:cstheme="minorHAnsi"/>
                <w:b/>
                <w:spacing w:val="-5"/>
                <w:lang w:val="es-CO"/>
              </w:rPr>
              <w:t>CONSIDERACIONES ADICIONALES PARA LA IMPLEMENTACIÓN DE LOS ÍNDICES</w:t>
            </w:r>
            <w:r w:rsidR="008E2E98">
              <w:rPr>
                <w:webHidden/>
              </w:rPr>
              <w:tab/>
            </w:r>
            <w:r w:rsidR="008E2E98">
              <w:rPr>
                <w:webHidden/>
              </w:rPr>
              <w:fldChar w:fldCharType="begin"/>
            </w:r>
            <w:r w:rsidR="008E2E98">
              <w:rPr>
                <w:webHidden/>
              </w:rPr>
              <w:instrText xml:space="preserve"> PAGEREF _Toc172100738 \h </w:instrText>
            </w:r>
            <w:r w:rsidR="008E2E98">
              <w:rPr>
                <w:webHidden/>
              </w:rPr>
            </w:r>
            <w:r w:rsidR="008E2E98">
              <w:rPr>
                <w:webHidden/>
              </w:rPr>
              <w:fldChar w:fldCharType="separate"/>
            </w:r>
            <w:r w:rsidR="00B40B80">
              <w:rPr>
                <w:webHidden/>
              </w:rPr>
              <w:t>39</w:t>
            </w:r>
            <w:r w:rsidR="008E2E98">
              <w:rPr>
                <w:webHidden/>
              </w:rPr>
              <w:fldChar w:fldCharType="end"/>
            </w:r>
          </w:hyperlink>
        </w:p>
        <w:p w14:paraId="619E8D2F" w14:textId="4D94AB4E" w:rsidR="008E2E98" w:rsidRDefault="00000000">
          <w:pPr>
            <w:pStyle w:val="TDC1"/>
            <w:tabs>
              <w:tab w:val="left" w:pos="720"/>
            </w:tabs>
            <w:rPr>
              <w:kern w:val="2"/>
              <w:sz w:val="24"/>
              <w:lang w:val="es-CO" w:eastAsia="es-CO"/>
              <w14:ligatures w14:val="standardContextual"/>
            </w:rPr>
          </w:pPr>
          <w:hyperlink w:anchor="_Toc172100739" w:history="1">
            <w:r w:rsidR="008E2E98" w:rsidRPr="00F8359D">
              <w:rPr>
                <w:rStyle w:val="Hipervnculo"/>
                <w:rFonts w:cstheme="minorHAnsi"/>
                <w:b/>
                <w:spacing w:val="-5"/>
                <w:lang w:val="es-CO"/>
              </w:rPr>
              <w:t>11.</w:t>
            </w:r>
            <w:r w:rsidR="008E2E98">
              <w:rPr>
                <w:kern w:val="2"/>
                <w:sz w:val="24"/>
                <w:lang w:val="es-CO" w:eastAsia="es-CO"/>
                <w14:ligatures w14:val="standardContextual"/>
              </w:rPr>
              <w:tab/>
            </w:r>
            <w:r w:rsidR="008E2E98" w:rsidRPr="00F8359D">
              <w:rPr>
                <w:rStyle w:val="Hipervnculo"/>
                <w:rFonts w:cstheme="minorHAnsi"/>
                <w:b/>
                <w:spacing w:val="-5"/>
                <w:lang w:val="es-CO"/>
              </w:rPr>
              <w:t>RECOMENDACIÓN</w:t>
            </w:r>
            <w:r w:rsidR="008E2E98">
              <w:rPr>
                <w:webHidden/>
              </w:rPr>
              <w:tab/>
            </w:r>
            <w:r w:rsidR="008E2E98">
              <w:rPr>
                <w:webHidden/>
              </w:rPr>
              <w:fldChar w:fldCharType="begin"/>
            </w:r>
            <w:r w:rsidR="008E2E98">
              <w:rPr>
                <w:webHidden/>
              </w:rPr>
              <w:instrText xml:space="preserve"> PAGEREF _Toc172100739 \h </w:instrText>
            </w:r>
            <w:r w:rsidR="008E2E98">
              <w:rPr>
                <w:webHidden/>
              </w:rPr>
            </w:r>
            <w:r w:rsidR="008E2E98">
              <w:rPr>
                <w:webHidden/>
              </w:rPr>
              <w:fldChar w:fldCharType="separate"/>
            </w:r>
            <w:r w:rsidR="00B40B80">
              <w:rPr>
                <w:webHidden/>
              </w:rPr>
              <w:t>41</w:t>
            </w:r>
            <w:r w:rsidR="008E2E98">
              <w:rPr>
                <w:webHidden/>
              </w:rPr>
              <w:fldChar w:fldCharType="end"/>
            </w:r>
          </w:hyperlink>
        </w:p>
        <w:p w14:paraId="1A9B336C" w14:textId="58E30FF9" w:rsidR="008E2E98" w:rsidRDefault="00000000">
          <w:pPr>
            <w:pStyle w:val="TDC1"/>
            <w:rPr>
              <w:kern w:val="2"/>
              <w:sz w:val="24"/>
              <w:lang w:val="es-CO" w:eastAsia="es-CO"/>
              <w14:ligatures w14:val="standardContextual"/>
            </w:rPr>
          </w:pPr>
          <w:hyperlink w:anchor="_Toc172100740" w:history="1">
            <w:r w:rsidR="008E2E98" w:rsidRPr="00F8359D">
              <w:rPr>
                <w:rStyle w:val="Hipervnculo"/>
                <w:lang w:val="es-CO"/>
              </w:rPr>
              <w:t>ANEXO</w:t>
            </w:r>
            <w:r w:rsidR="008E2E98">
              <w:rPr>
                <w:webHidden/>
              </w:rPr>
              <w:tab/>
            </w:r>
            <w:r w:rsidR="008E2E98">
              <w:rPr>
                <w:webHidden/>
              </w:rPr>
              <w:fldChar w:fldCharType="begin"/>
            </w:r>
            <w:r w:rsidR="008E2E98">
              <w:rPr>
                <w:webHidden/>
              </w:rPr>
              <w:instrText xml:space="preserve"> PAGEREF _Toc172100740 \h </w:instrText>
            </w:r>
            <w:r w:rsidR="008E2E98">
              <w:rPr>
                <w:webHidden/>
              </w:rPr>
            </w:r>
            <w:r w:rsidR="008E2E98">
              <w:rPr>
                <w:webHidden/>
              </w:rPr>
              <w:fldChar w:fldCharType="separate"/>
            </w:r>
            <w:r w:rsidR="00B40B80">
              <w:rPr>
                <w:webHidden/>
              </w:rPr>
              <w:t>44</w:t>
            </w:r>
            <w:r w:rsidR="008E2E98">
              <w:rPr>
                <w:webHidden/>
              </w:rPr>
              <w:fldChar w:fldCharType="end"/>
            </w:r>
          </w:hyperlink>
        </w:p>
        <w:p w14:paraId="43F422FE" w14:textId="4F106690" w:rsidR="00367A1D" w:rsidRPr="009809B2" w:rsidRDefault="00367A1D" w:rsidP="00367A1D">
          <w:pPr>
            <w:rPr>
              <w:color w:val="000000" w:themeColor="text1"/>
              <w:spacing w:val="-5"/>
              <w:lang w:val="es-CO"/>
            </w:rPr>
          </w:pPr>
          <w:r w:rsidRPr="009809B2">
            <w:rPr>
              <w:color w:val="000000" w:themeColor="text1"/>
              <w:spacing w:val="-5"/>
              <w:lang w:val="es-CO"/>
            </w:rPr>
            <w:fldChar w:fldCharType="end"/>
          </w:r>
        </w:p>
        <w:p w14:paraId="07EF4338" w14:textId="3559BB67" w:rsidR="00367A1D" w:rsidRPr="009809B2" w:rsidRDefault="00000000" w:rsidP="00367A1D">
          <w:pPr>
            <w:rPr>
              <w:b/>
              <w:spacing w:val="-5"/>
              <w:lang w:val="es-CO"/>
            </w:rPr>
          </w:pPr>
        </w:p>
      </w:sdtContent>
    </w:sdt>
    <w:p w14:paraId="0E87E33B" w14:textId="248AAE65" w:rsidR="00D32E5F" w:rsidRPr="009809B2" w:rsidRDefault="00D32E5F">
      <w:pPr>
        <w:spacing w:after="160" w:line="259" w:lineRule="auto"/>
        <w:rPr>
          <w:lang w:val="es-CO"/>
        </w:rPr>
      </w:pPr>
      <w:r w:rsidRPr="009809B2">
        <w:rPr>
          <w:lang w:val="es-CO"/>
        </w:rPr>
        <w:br w:type="page"/>
      </w:r>
    </w:p>
    <w:p w14:paraId="775121F8" w14:textId="77777777" w:rsidR="00E816C3" w:rsidRPr="009809B2" w:rsidRDefault="00E816C3" w:rsidP="00E816C3">
      <w:pPr>
        <w:rPr>
          <w:lang w:val="es-CO"/>
        </w:rPr>
      </w:pPr>
    </w:p>
    <w:p w14:paraId="01C546C5" w14:textId="63595532" w:rsidR="004655CA" w:rsidRPr="009809B2" w:rsidRDefault="00F130AA" w:rsidP="005B0205">
      <w:pPr>
        <w:spacing w:after="0"/>
        <w:jc w:val="center"/>
        <w:rPr>
          <w:b/>
          <w:lang w:val="es-CO"/>
        </w:rPr>
      </w:pPr>
      <w:r w:rsidRPr="009809B2">
        <w:rPr>
          <w:b/>
          <w:lang w:val="es-CO"/>
        </w:rPr>
        <w:t xml:space="preserve">COMPONENTES DEL </w:t>
      </w:r>
      <w:r w:rsidR="00334ACC" w:rsidRPr="009809B2">
        <w:rPr>
          <w:b/>
          <w:lang w:val="es-CO"/>
        </w:rPr>
        <w:t>COSTO UNITARIO DE PRESTACIÓN DEL SERVICIO DE ENERGÍA ELÉCTRICA</w:t>
      </w:r>
    </w:p>
    <w:p w14:paraId="4B16934E" w14:textId="57448D07" w:rsidR="00904D27" w:rsidRPr="009809B2" w:rsidRDefault="00904D27" w:rsidP="005B0205">
      <w:pPr>
        <w:spacing w:after="0"/>
        <w:jc w:val="center"/>
        <w:rPr>
          <w:b/>
          <w:lang w:val="es-CO"/>
        </w:rPr>
      </w:pPr>
      <w:r w:rsidRPr="009809B2">
        <w:rPr>
          <w:b/>
          <w:lang w:val="es-CO"/>
        </w:rPr>
        <w:t xml:space="preserve">REVISIÓN DE ÍNDICES DE PRECIOS  </w:t>
      </w:r>
    </w:p>
    <w:p w14:paraId="193EFB27" w14:textId="77777777" w:rsidR="00904D27" w:rsidRPr="009809B2" w:rsidRDefault="00904D27" w:rsidP="00D32E5F">
      <w:pPr>
        <w:jc w:val="center"/>
        <w:rPr>
          <w:b/>
          <w:lang w:val="es-CO"/>
        </w:rPr>
      </w:pPr>
    </w:p>
    <w:p w14:paraId="66151D6B" w14:textId="26BC092D" w:rsidR="001548EF" w:rsidRPr="009809B2" w:rsidRDefault="00FC099A" w:rsidP="009F71AA">
      <w:pPr>
        <w:keepNext/>
        <w:numPr>
          <w:ilvl w:val="0"/>
          <w:numId w:val="34"/>
        </w:numPr>
        <w:suppressAutoHyphens/>
        <w:spacing w:before="360"/>
        <w:outlineLvl w:val="0"/>
        <w:rPr>
          <w:rFonts w:cstheme="minorHAnsi"/>
          <w:b/>
          <w:spacing w:val="-5"/>
          <w:lang w:val="es-CO"/>
        </w:rPr>
      </w:pPr>
      <w:bookmarkStart w:id="1" w:name="_Toc125367770"/>
      <w:bookmarkStart w:id="2" w:name="_Toc125367771"/>
      <w:bookmarkStart w:id="3" w:name="_Toc125444713"/>
      <w:bookmarkStart w:id="4" w:name="_Toc125444714"/>
      <w:bookmarkStart w:id="5" w:name="_Toc125389383"/>
      <w:bookmarkStart w:id="6" w:name="_Toc172100723"/>
      <w:bookmarkStart w:id="7" w:name="_Toc58087311"/>
      <w:bookmarkStart w:id="8" w:name="_Toc58246266"/>
      <w:bookmarkStart w:id="9" w:name="_Toc58312325"/>
      <w:bookmarkStart w:id="10" w:name="_Toc58405802"/>
      <w:bookmarkEnd w:id="1"/>
      <w:bookmarkEnd w:id="2"/>
      <w:bookmarkEnd w:id="3"/>
      <w:bookmarkEnd w:id="4"/>
      <w:r w:rsidRPr="009809B2">
        <w:rPr>
          <w:rFonts w:cstheme="minorHAnsi"/>
          <w:b/>
          <w:spacing w:val="-5"/>
          <w:lang w:val="es-CO"/>
        </w:rPr>
        <w:t>ANTECEDENTES</w:t>
      </w:r>
      <w:bookmarkEnd w:id="5"/>
      <w:bookmarkEnd w:id="6"/>
    </w:p>
    <w:p w14:paraId="431AEA96" w14:textId="77777777" w:rsidR="00EC0A6F" w:rsidRPr="009809B2" w:rsidRDefault="00EC0A6F" w:rsidP="00EC0A6F">
      <w:pPr>
        <w:pStyle w:val="Textoindependiente"/>
        <w:spacing w:before="220"/>
        <w:jc w:val="left"/>
        <w:rPr>
          <w:rFonts w:cs="Arial"/>
          <w:b w:val="0"/>
          <w:sz w:val="22"/>
          <w:lang w:val="es-CO"/>
        </w:rPr>
      </w:pPr>
      <w:r w:rsidRPr="009809B2">
        <w:rPr>
          <w:rFonts w:cs="Arial"/>
          <w:b w:val="0"/>
          <w:sz w:val="22"/>
          <w:lang w:val="es-CO"/>
        </w:rPr>
        <w:t>Las tarifas del servicio público domiciliario de energía eléctrica reflejan la aplicación del principio de solidaridad y redistribución del ingreso establecido en la Ley 142 de 1994, sobre el Costo Unitario de Prestación del Servicio (CU), y se encuentran establecidas a través de la Resolución CREG 079 de 1997, así:</w:t>
      </w:r>
    </w:p>
    <w:p w14:paraId="4D4494E6" w14:textId="0250924D" w:rsidR="00EC0A6F" w:rsidRPr="009809B2" w:rsidRDefault="00EC0A6F" w:rsidP="009E2A6B">
      <w:pPr>
        <w:pStyle w:val="Textoindependiente"/>
        <w:spacing w:after="0" w:line="240" w:lineRule="auto"/>
        <w:ind w:left="851"/>
        <w:jc w:val="left"/>
        <w:rPr>
          <w:rFonts w:cs="Arial"/>
          <w:b w:val="0"/>
          <w:sz w:val="22"/>
          <w:lang w:val="es-CO"/>
        </w:rPr>
      </w:pPr>
      <w:r w:rsidRPr="009809B2">
        <w:rPr>
          <w:rFonts w:cs="Arial"/>
          <w:sz w:val="22"/>
          <w:lang w:val="es-CO"/>
        </w:rPr>
        <w:t xml:space="preserve">Tarifa </w:t>
      </w:r>
      <w:r w:rsidRPr="009809B2">
        <w:rPr>
          <w:rFonts w:cs="Arial"/>
          <w:b w:val="0"/>
          <w:sz w:val="22"/>
          <w:lang w:val="es-CO"/>
        </w:rPr>
        <w:t xml:space="preserve">estratos 1,2 </w:t>
      </w:r>
      <w:r w:rsidRPr="009809B2">
        <w:rPr>
          <w:rFonts w:cs="Arial"/>
          <w:b w:val="0"/>
          <w:sz w:val="22"/>
          <w:lang w:val="es-CO"/>
        </w:rPr>
        <w:tab/>
      </w:r>
      <w:r w:rsidR="00C66FD0" w:rsidRPr="009809B2">
        <w:rPr>
          <w:rFonts w:cs="Arial"/>
          <w:b w:val="0"/>
          <w:sz w:val="22"/>
          <w:lang w:val="es-CO"/>
        </w:rPr>
        <w:tab/>
      </w:r>
      <w:r w:rsidR="00C66FD0" w:rsidRPr="009809B2">
        <w:rPr>
          <w:rFonts w:cs="Arial"/>
          <w:b w:val="0"/>
          <w:sz w:val="22"/>
          <w:lang w:val="es-CO"/>
        </w:rPr>
        <w:tab/>
      </w:r>
      <w:r w:rsidRPr="009809B2">
        <w:rPr>
          <w:rFonts w:cs="Arial"/>
          <w:sz w:val="22"/>
          <w:lang w:val="es-CO"/>
        </w:rPr>
        <w:t>=</w:t>
      </w:r>
      <w:r w:rsidR="009E2A6B" w:rsidRPr="009809B2">
        <w:rPr>
          <w:rFonts w:cs="Arial"/>
          <w:b w:val="0"/>
          <w:sz w:val="22"/>
          <w:lang w:val="es-CO"/>
        </w:rPr>
        <w:tab/>
      </w:r>
      <w:r w:rsidRPr="009809B2">
        <w:rPr>
          <w:rFonts w:cs="Arial"/>
          <w:sz w:val="22"/>
          <w:lang w:val="es-CO"/>
        </w:rPr>
        <w:t>CU – Subsidio</w:t>
      </w:r>
      <w:r w:rsidRPr="009809B2">
        <w:rPr>
          <w:rFonts w:cs="Arial"/>
          <w:b w:val="0"/>
          <w:sz w:val="22"/>
          <w:lang w:val="es-CO"/>
        </w:rPr>
        <w:t xml:space="preserve"> Ley 1955 de 2019</w:t>
      </w:r>
    </w:p>
    <w:p w14:paraId="029616C4" w14:textId="63211A0C" w:rsidR="00EC0A6F" w:rsidRPr="009809B2" w:rsidRDefault="00EC0A6F" w:rsidP="009E2A6B">
      <w:pPr>
        <w:pStyle w:val="Textoindependiente"/>
        <w:spacing w:after="0" w:line="240" w:lineRule="auto"/>
        <w:ind w:left="851"/>
        <w:jc w:val="left"/>
        <w:rPr>
          <w:rFonts w:cs="Arial"/>
          <w:b w:val="0"/>
          <w:sz w:val="22"/>
          <w:lang w:val="es-CO"/>
        </w:rPr>
      </w:pPr>
      <w:r w:rsidRPr="009809B2">
        <w:rPr>
          <w:rFonts w:cs="Arial"/>
          <w:sz w:val="22"/>
          <w:lang w:val="es-CO"/>
        </w:rPr>
        <w:t xml:space="preserve">Tarifa </w:t>
      </w:r>
      <w:r w:rsidRPr="009809B2">
        <w:rPr>
          <w:rFonts w:cs="Arial"/>
          <w:b w:val="0"/>
          <w:sz w:val="22"/>
          <w:lang w:val="es-CO"/>
        </w:rPr>
        <w:t xml:space="preserve">estratos 3 </w:t>
      </w:r>
      <w:r w:rsidRPr="009809B2">
        <w:rPr>
          <w:rFonts w:cs="Arial"/>
          <w:b w:val="0"/>
          <w:sz w:val="22"/>
          <w:lang w:val="es-CO"/>
        </w:rPr>
        <w:tab/>
      </w:r>
      <w:r w:rsidR="00C66FD0" w:rsidRPr="009809B2">
        <w:rPr>
          <w:rFonts w:cs="Arial"/>
          <w:b w:val="0"/>
          <w:sz w:val="22"/>
          <w:lang w:val="es-CO"/>
        </w:rPr>
        <w:tab/>
      </w:r>
      <w:r w:rsidR="00C66FD0" w:rsidRPr="009809B2">
        <w:rPr>
          <w:rFonts w:cs="Arial"/>
          <w:b w:val="0"/>
          <w:sz w:val="22"/>
          <w:lang w:val="es-CO"/>
        </w:rPr>
        <w:tab/>
      </w:r>
      <w:r w:rsidRPr="009809B2">
        <w:rPr>
          <w:rFonts w:cs="Arial"/>
          <w:sz w:val="22"/>
          <w:lang w:val="es-CO"/>
        </w:rPr>
        <w:t>=</w:t>
      </w:r>
      <w:r w:rsidRPr="009809B2">
        <w:rPr>
          <w:rFonts w:cs="Arial"/>
          <w:b w:val="0"/>
          <w:sz w:val="22"/>
          <w:lang w:val="es-CO"/>
        </w:rPr>
        <w:t xml:space="preserve"> </w:t>
      </w:r>
      <w:r w:rsidRPr="009809B2">
        <w:rPr>
          <w:rFonts w:cs="Arial"/>
          <w:b w:val="0"/>
          <w:sz w:val="22"/>
          <w:lang w:val="es-CO"/>
        </w:rPr>
        <w:tab/>
      </w:r>
      <w:r w:rsidRPr="009809B2">
        <w:rPr>
          <w:rFonts w:cs="Arial"/>
          <w:sz w:val="22"/>
          <w:lang w:val="es-CO"/>
        </w:rPr>
        <w:t>CU – Subsidio</w:t>
      </w:r>
      <w:r w:rsidRPr="009809B2">
        <w:rPr>
          <w:rFonts w:cs="Arial"/>
          <w:b w:val="0"/>
          <w:sz w:val="22"/>
          <w:lang w:val="es-CO"/>
        </w:rPr>
        <w:t xml:space="preserve"> Ley 142 de 1994 </w:t>
      </w:r>
    </w:p>
    <w:p w14:paraId="52F41300" w14:textId="0D0306B2" w:rsidR="00EC0A6F" w:rsidRPr="009809B2" w:rsidRDefault="00EC0A6F" w:rsidP="009E2A6B">
      <w:pPr>
        <w:pStyle w:val="Textoindependiente"/>
        <w:spacing w:after="0" w:line="240" w:lineRule="auto"/>
        <w:ind w:left="851"/>
        <w:jc w:val="left"/>
        <w:rPr>
          <w:rFonts w:cs="Arial"/>
          <w:b w:val="0"/>
          <w:sz w:val="22"/>
          <w:lang w:val="es-CO"/>
        </w:rPr>
      </w:pPr>
      <w:r w:rsidRPr="009809B2">
        <w:rPr>
          <w:rFonts w:cs="Arial"/>
          <w:sz w:val="22"/>
          <w:lang w:val="es-CO"/>
        </w:rPr>
        <w:t xml:space="preserve">Tarifa </w:t>
      </w:r>
      <w:r w:rsidRPr="009809B2">
        <w:rPr>
          <w:rFonts w:cs="Arial"/>
          <w:b w:val="0"/>
          <w:sz w:val="22"/>
          <w:lang w:val="es-CO"/>
        </w:rPr>
        <w:t xml:space="preserve">estrato 4, Oficial e industrial </w:t>
      </w:r>
      <w:r w:rsidRPr="009809B2">
        <w:rPr>
          <w:rFonts w:cs="Arial"/>
          <w:b w:val="0"/>
          <w:sz w:val="22"/>
          <w:lang w:val="es-CO"/>
        </w:rPr>
        <w:tab/>
      </w:r>
      <w:r w:rsidRPr="009809B2">
        <w:rPr>
          <w:rFonts w:cs="Arial"/>
          <w:sz w:val="22"/>
          <w:lang w:val="es-CO"/>
        </w:rPr>
        <w:t>=</w:t>
      </w:r>
      <w:r w:rsidRPr="009809B2">
        <w:rPr>
          <w:rFonts w:cs="Arial"/>
          <w:b w:val="0"/>
          <w:sz w:val="22"/>
          <w:lang w:val="es-CO"/>
        </w:rPr>
        <w:t xml:space="preserve"> </w:t>
      </w:r>
      <w:r w:rsidRPr="009809B2">
        <w:rPr>
          <w:rFonts w:cs="Arial"/>
          <w:b w:val="0"/>
          <w:sz w:val="22"/>
          <w:lang w:val="es-CO"/>
        </w:rPr>
        <w:tab/>
      </w:r>
      <w:r w:rsidRPr="009809B2">
        <w:rPr>
          <w:rFonts w:cs="Arial"/>
          <w:sz w:val="22"/>
          <w:lang w:val="es-CO"/>
        </w:rPr>
        <w:t>CU</w:t>
      </w:r>
      <w:r w:rsidRPr="009809B2">
        <w:rPr>
          <w:rFonts w:cs="Arial"/>
          <w:b w:val="0"/>
          <w:sz w:val="22"/>
          <w:lang w:val="es-CO"/>
        </w:rPr>
        <w:t xml:space="preserve"> </w:t>
      </w:r>
    </w:p>
    <w:p w14:paraId="7889D0DF" w14:textId="77777777" w:rsidR="00EC0A6F" w:rsidRPr="009809B2" w:rsidRDefault="00EC0A6F" w:rsidP="009E2A6B">
      <w:pPr>
        <w:pStyle w:val="Textoindependiente"/>
        <w:spacing w:after="0" w:line="240" w:lineRule="auto"/>
        <w:ind w:left="851"/>
        <w:jc w:val="left"/>
        <w:rPr>
          <w:rFonts w:cs="Arial"/>
          <w:b w:val="0"/>
          <w:sz w:val="22"/>
          <w:lang w:val="es-CO"/>
        </w:rPr>
      </w:pPr>
      <w:r w:rsidRPr="009809B2">
        <w:rPr>
          <w:rFonts w:cs="Arial"/>
          <w:sz w:val="22"/>
          <w:lang w:val="es-CO"/>
        </w:rPr>
        <w:t>Tarifa</w:t>
      </w:r>
      <w:r w:rsidRPr="009809B2">
        <w:rPr>
          <w:rFonts w:cs="Arial"/>
          <w:b w:val="0"/>
          <w:sz w:val="22"/>
          <w:lang w:val="es-CO"/>
        </w:rPr>
        <w:t xml:space="preserve"> estratos 5, 6, y comercio</w:t>
      </w:r>
      <w:r w:rsidRPr="009809B2">
        <w:rPr>
          <w:rFonts w:cs="Arial"/>
          <w:sz w:val="22"/>
          <w:lang w:val="es-CO"/>
        </w:rPr>
        <w:t xml:space="preserve"> </w:t>
      </w:r>
      <w:r w:rsidRPr="009809B2">
        <w:rPr>
          <w:rFonts w:cs="Arial"/>
          <w:b w:val="0"/>
          <w:sz w:val="22"/>
          <w:lang w:val="es-CO"/>
        </w:rPr>
        <w:tab/>
      </w:r>
      <w:r w:rsidRPr="009809B2">
        <w:rPr>
          <w:rFonts w:cs="Arial"/>
          <w:sz w:val="22"/>
          <w:lang w:val="es-CO"/>
        </w:rPr>
        <w:t>=</w:t>
      </w:r>
      <w:r w:rsidRPr="009809B2">
        <w:rPr>
          <w:rFonts w:cs="Arial"/>
          <w:b w:val="0"/>
          <w:sz w:val="22"/>
          <w:lang w:val="es-CO"/>
        </w:rPr>
        <w:t xml:space="preserve"> </w:t>
      </w:r>
      <w:r w:rsidRPr="009809B2">
        <w:rPr>
          <w:rFonts w:cs="Arial"/>
          <w:b w:val="0"/>
          <w:sz w:val="22"/>
          <w:lang w:val="es-CO"/>
        </w:rPr>
        <w:tab/>
      </w:r>
      <w:r w:rsidRPr="009809B2">
        <w:rPr>
          <w:rFonts w:cs="Arial"/>
          <w:sz w:val="22"/>
          <w:lang w:val="es-CO"/>
        </w:rPr>
        <w:t>CU + Contribución</w:t>
      </w:r>
      <w:r w:rsidRPr="009809B2">
        <w:rPr>
          <w:rFonts w:cs="Arial"/>
          <w:b w:val="0"/>
          <w:sz w:val="22"/>
          <w:lang w:val="es-CO"/>
        </w:rPr>
        <w:t xml:space="preserve"> </w:t>
      </w:r>
    </w:p>
    <w:p w14:paraId="2378B788" w14:textId="36F28F9A" w:rsidR="008D69DE" w:rsidRPr="009809B2" w:rsidRDefault="008D69DE" w:rsidP="00EC0A6F">
      <w:pPr>
        <w:pStyle w:val="Textoindependiente"/>
        <w:spacing w:before="220"/>
        <w:jc w:val="left"/>
        <w:rPr>
          <w:rFonts w:cs="Arial"/>
          <w:b w:val="0"/>
          <w:sz w:val="22"/>
          <w:lang w:val="es-CO"/>
        </w:rPr>
      </w:pPr>
      <w:r w:rsidRPr="009809B2">
        <w:rPr>
          <w:rFonts w:cs="Arial"/>
          <w:b w:val="0"/>
          <w:sz w:val="22"/>
          <w:lang w:val="es-CO"/>
        </w:rPr>
        <w:t xml:space="preserve">De esta manera, los usuarios residenciales de estratos 1, 2 y 3 </w:t>
      </w:r>
      <w:r w:rsidR="00857404" w:rsidRPr="009809B2">
        <w:rPr>
          <w:rFonts w:cs="Arial"/>
          <w:b w:val="0"/>
          <w:sz w:val="22"/>
          <w:lang w:val="es-CO"/>
        </w:rPr>
        <w:t xml:space="preserve">pagan valores inferiores al costo del servicio, </w:t>
      </w:r>
      <w:r w:rsidR="00C3049F" w:rsidRPr="009809B2">
        <w:rPr>
          <w:rFonts w:cs="Arial"/>
          <w:b w:val="0"/>
          <w:sz w:val="22"/>
          <w:lang w:val="es-CO"/>
        </w:rPr>
        <w:t>con subsidios que son cubiertos por las contribuciones que aportan los usuarios residenciales de estratos 5 y 6 y los usuarios comerciales y por los recursos de la nación dirigidos para tal fin.</w:t>
      </w:r>
    </w:p>
    <w:p w14:paraId="4782D96B" w14:textId="14595ED1" w:rsidR="009E581C" w:rsidRPr="009809B2" w:rsidRDefault="009E581C" w:rsidP="00B70021">
      <w:pPr>
        <w:pStyle w:val="Textoindependiente"/>
        <w:spacing w:before="220"/>
        <w:jc w:val="left"/>
        <w:rPr>
          <w:rFonts w:cs="Arial"/>
          <w:b w:val="0"/>
          <w:sz w:val="22"/>
          <w:lang w:val="es-CO"/>
        </w:rPr>
      </w:pPr>
      <w:r w:rsidRPr="009809B2">
        <w:rPr>
          <w:rFonts w:cs="Arial"/>
          <w:b w:val="0"/>
          <w:sz w:val="22"/>
          <w:lang w:val="es-CO"/>
        </w:rPr>
        <w:t xml:space="preserve">Como se observa, el eje fundamental para la determinación de las tarifas del servicio es el Costo unitario de Prestación del servicio (CU) </w:t>
      </w:r>
      <w:r w:rsidR="00482DE7" w:rsidRPr="009809B2">
        <w:rPr>
          <w:rFonts w:cs="Arial"/>
          <w:b w:val="0"/>
          <w:sz w:val="22"/>
          <w:lang w:val="es-CO"/>
        </w:rPr>
        <w:t>establecido en la Resolución CREG 119 de 2007.</w:t>
      </w:r>
    </w:p>
    <w:p w14:paraId="258AC285" w14:textId="1C2231AD" w:rsidR="002B5712" w:rsidRPr="009809B2" w:rsidRDefault="00482DE7" w:rsidP="00B70021">
      <w:pPr>
        <w:pStyle w:val="Textoindependiente"/>
        <w:spacing w:before="220"/>
        <w:jc w:val="left"/>
        <w:rPr>
          <w:rFonts w:cs="Arial"/>
          <w:b w:val="0"/>
          <w:sz w:val="22"/>
          <w:lang w:val="es-CO"/>
        </w:rPr>
      </w:pPr>
      <w:r w:rsidRPr="009809B2">
        <w:rPr>
          <w:rFonts w:cs="Arial"/>
          <w:b w:val="0"/>
          <w:sz w:val="22"/>
          <w:lang w:val="es-CO"/>
        </w:rPr>
        <w:t>E</w:t>
      </w:r>
      <w:r w:rsidR="00EC0A6F" w:rsidRPr="009809B2">
        <w:rPr>
          <w:rFonts w:cs="Arial"/>
          <w:b w:val="0"/>
          <w:sz w:val="22"/>
          <w:lang w:val="es-CO"/>
        </w:rPr>
        <w:t>l CU es un costo económico eficiente, que resulta de agregar los costos de las actividades de Generación</w:t>
      </w:r>
      <w:r w:rsidR="00E347BB" w:rsidRPr="009809B2">
        <w:rPr>
          <w:rFonts w:cs="Arial"/>
          <w:b w:val="0"/>
          <w:sz w:val="22"/>
          <w:lang w:val="es-CO"/>
        </w:rPr>
        <w:t xml:space="preserve"> (G)</w:t>
      </w:r>
      <w:r w:rsidR="00EC0A6F" w:rsidRPr="009809B2">
        <w:rPr>
          <w:rFonts w:cs="Arial"/>
          <w:b w:val="0"/>
          <w:sz w:val="22"/>
          <w:lang w:val="es-CO"/>
        </w:rPr>
        <w:t>, Transmisión</w:t>
      </w:r>
      <w:r w:rsidR="00E347BB" w:rsidRPr="009809B2">
        <w:rPr>
          <w:rFonts w:cs="Arial"/>
          <w:b w:val="0"/>
          <w:sz w:val="22"/>
          <w:lang w:val="es-CO"/>
        </w:rPr>
        <w:t xml:space="preserve"> (T)</w:t>
      </w:r>
      <w:r w:rsidR="00EC0A6F" w:rsidRPr="009809B2">
        <w:rPr>
          <w:rFonts w:cs="Arial"/>
          <w:b w:val="0"/>
          <w:sz w:val="22"/>
          <w:lang w:val="es-CO"/>
        </w:rPr>
        <w:t>, Distribución</w:t>
      </w:r>
      <w:r w:rsidR="00E347BB" w:rsidRPr="009809B2">
        <w:rPr>
          <w:rFonts w:cs="Arial"/>
          <w:b w:val="0"/>
          <w:sz w:val="22"/>
          <w:lang w:val="es-CO"/>
        </w:rPr>
        <w:t>(D)</w:t>
      </w:r>
      <w:r w:rsidR="000E6485" w:rsidRPr="009809B2">
        <w:rPr>
          <w:rFonts w:cs="Arial"/>
          <w:b w:val="0"/>
          <w:sz w:val="22"/>
          <w:lang w:val="es-CO"/>
        </w:rPr>
        <w:t>,</w:t>
      </w:r>
      <w:r w:rsidR="00EC0A6F" w:rsidRPr="009809B2">
        <w:rPr>
          <w:rFonts w:cs="Arial"/>
          <w:b w:val="0"/>
          <w:sz w:val="22"/>
          <w:lang w:val="es-CO"/>
        </w:rPr>
        <w:t xml:space="preserve"> Comercialización</w:t>
      </w:r>
      <w:r w:rsidR="00E347BB" w:rsidRPr="009809B2">
        <w:rPr>
          <w:rFonts w:cs="Arial"/>
          <w:b w:val="0"/>
          <w:sz w:val="22"/>
          <w:lang w:val="es-CO"/>
        </w:rPr>
        <w:t xml:space="preserve"> (C)</w:t>
      </w:r>
      <w:r w:rsidR="000E6485" w:rsidRPr="009809B2">
        <w:rPr>
          <w:rFonts w:cs="Arial"/>
          <w:b w:val="0"/>
          <w:sz w:val="22"/>
          <w:lang w:val="es-CO"/>
        </w:rPr>
        <w:t xml:space="preserve">, Pérdidas Reconocidas </w:t>
      </w:r>
      <w:r w:rsidR="00E347BB" w:rsidRPr="009809B2">
        <w:rPr>
          <w:rFonts w:cs="Arial"/>
          <w:b w:val="0"/>
          <w:sz w:val="22"/>
          <w:lang w:val="es-CO"/>
        </w:rPr>
        <w:t xml:space="preserve">(PR) </w:t>
      </w:r>
      <w:r w:rsidR="000E6485" w:rsidRPr="009809B2">
        <w:rPr>
          <w:rFonts w:cs="Arial"/>
          <w:b w:val="0"/>
          <w:sz w:val="22"/>
          <w:lang w:val="es-CO"/>
        </w:rPr>
        <w:t>y Restricciones</w:t>
      </w:r>
      <w:r w:rsidR="00E347BB" w:rsidRPr="009809B2">
        <w:rPr>
          <w:rFonts w:cs="Arial"/>
          <w:b w:val="0"/>
          <w:sz w:val="22"/>
          <w:lang w:val="es-CO"/>
        </w:rPr>
        <w:t xml:space="preserve"> (R)</w:t>
      </w:r>
      <w:r w:rsidR="0019793C" w:rsidRPr="009809B2">
        <w:rPr>
          <w:rFonts w:cs="Arial"/>
          <w:b w:val="0"/>
          <w:sz w:val="22"/>
          <w:lang w:val="es-CO"/>
        </w:rPr>
        <w:t xml:space="preserve">. </w:t>
      </w:r>
      <w:r w:rsidR="008528E2" w:rsidRPr="009809B2">
        <w:rPr>
          <w:rFonts w:cs="Arial"/>
          <w:b w:val="0"/>
          <w:sz w:val="22"/>
          <w:lang w:val="es-CO"/>
        </w:rPr>
        <w:t xml:space="preserve">El cálculo de varios de estos componentes incluye </w:t>
      </w:r>
      <w:r w:rsidR="002B5712" w:rsidRPr="009809B2">
        <w:rPr>
          <w:rFonts w:cs="Arial"/>
          <w:b w:val="0"/>
          <w:sz w:val="22"/>
          <w:lang w:val="es-CO"/>
        </w:rPr>
        <w:t>la utilización de índices económicos como el índice de precios del productor (IPP) y el índice de precios al consumidor (IP</w:t>
      </w:r>
      <w:r w:rsidR="00086DFD" w:rsidRPr="009809B2">
        <w:rPr>
          <w:rFonts w:cs="Arial"/>
          <w:b w:val="0"/>
          <w:sz w:val="22"/>
          <w:lang w:val="es-CO"/>
        </w:rPr>
        <w:t>C</w:t>
      </w:r>
      <w:r w:rsidR="002B5712" w:rsidRPr="009809B2">
        <w:rPr>
          <w:rFonts w:cs="Arial"/>
          <w:b w:val="0"/>
          <w:sz w:val="22"/>
          <w:lang w:val="es-CO"/>
        </w:rPr>
        <w:t>) que son calculados y publicados mensualmente por el DANE</w:t>
      </w:r>
      <w:r w:rsidR="005110CE" w:rsidRPr="009809B2">
        <w:rPr>
          <w:rFonts w:cs="Arial"/>
          <w:b w:val="0"/>
          <w:sz w:val="22"/>
          <w:lang w:val="es-CO"/>
        </w:rPr>
        <w:t>, para efectos de actualizar los costos resultantes de los componentes de costo mencionados</w:t>
      </w:r>
      <w:r w:rsidR="002B5712" w:rsidRPr="009809B2">
        <w:rPr>
          <w:rFonts w:cs="Arial"/>
          <w:b w:val="0"/>
          <w:sz w:val="22"/>
          <w:lang w:val="es-CO"/>
        </w:rPr>
        <w:t>.</w:t>
      </w:r>
    </w:p>
    <w:p w14:paraId="6692B706" w14:textId="63F2E222" w:rsidR="00111FEC" w:rsidRPr="009809B2" w:rsidRDefault="00111FEC" w:rsidP="00B70021">
      <w:pPr>
        <w:pStyle w:val="Textoindependiente"/>
        <w:spacing w:before="220"/>
        <w:jc w:val="left"/>
        <w:rPr>
          <w:rFonts w:cs="Arial"/>
          <w:b w:val="0"/>
          <w:sz w:val="22"/>
          <w:lang w:val="es-CO"/>
        </w:rPr>
      </w:pPr>
      <w:r w:rsidRPr="009809B2">
        <w:rPr>
          <w:rFonts w:cs="Arial"/>
          <w:b w:val="0"/>
          <w:sz w:val="22"/>
          <w:lang w:val="es-CO"/>
        </w:rPr>
        <w:t xml:space="preserve">Se calcula que, en promedio, el 85% del CU (componentes </w:t>
      </w:r>
      <w:r w:rsidR="00147FD8" w:rsidRPr="009809B2">
        <w:rPr>
          <w:rFonts w:cs="Arial"/>
          <w:b w:val="0"/>
          <w:sz w:val="22"/>
          <w:lang w:val="es-CO"/>
        </w:rPr>
        <w:t xml:space="preserve">G, T, D, R y PR) </w:t>
      </w:r>
      <w:r w:rsidRPr="009809B2">
        <w:rPr>
          <w:rFonts w:cs="Arial"/>
          <w:b w:val="0"/>
          <w:sz w:val="22"/>
          <w:lang w:val="es-CO"/>
        </w:rPr>
        <w:t xml:space="preserve">está influenciado por </w:t>
      </w:r>
      <w:r w:rsidR="00611F83" w:rsidRPr="009809B2">
        <w:rPr>
          <w:rFonts w:cs="Arial"/>
          <w:b w:val="0"/>
          <w:sz w:val="22"/>
          <w:lang w:val="es-CO"/>
        </w:rPr>
        <w:t>la variación d</w:t>
      </w:r>
      <w:r w:rsidRPr="009809B2">
        <w:rPr>
          <w:rFonts w:cs="Arial"/>
          <w:b w:val="0"/>
          <w:sz w:val="22"/>
          <w:lang w:val="es-CO"/>
        </w:rPr>
        <w:t xml:space="preserve">el IPP mientras que el 15% restante </w:t>
      </w:r>
      <w:r w:rsidR="00147FD8" w:rsidRPr="009809B2">
        <w:rPr>
          <w:rFonts w:cs="Arial"/>
          <w:b w:val="0"/>
          <w:sz w:val="22"/>
          <w:lang w:val="es-CO"/>
        </w:rPr>
        <w:t xml:space="preserve">(componente C) </w:t>
      </w:r>
      <w:r w:rsidRPr="009809B2">
        <w:rPr>
          <w:rFonts w:cs="Arial"/>
          <w:b w:val="0"/>
          <w:sz w:val="22"/>
          <w:lang w:val="es-CO"/>
        </w:rPr>
        <w:t xml:space="preserve">por </w:t>
      </w:r>
      <w:r w:rsidR="00611F83" w:rsidRPr="009809B2">
        <w:rPr>
          <w:rFonts w:cs="Arial"/>
          <w:b w:val="0"/>
          <w:sz w:val="22"/>
          <w:lang w:val="es-CO"/>
        </w:rPr>
        <w:t>la variación d</w:t>
      </w:r>
      <w:r w:rsidRPr="009809B2">
        <w:rPr>
          <w:rFonts w:cs="Arial"/>
          <w:b w:val="0"/>
          <w:sz w:val="22"/>
          <w:lang w:val="es-CO"/>
        </w:rPr>
        <w:t>el IPC</w:t>
      </w:r>
      <w:r w:rsidR="00643E05" w:rsidRPr="009809B2">
        <w:rPr>
          <w:rFonts w:cs="Arial"/>
          <w:b w:val="0"/>
          <w:sz w:val="22"/>
          <w:lang w:val="es-CO"/>
        </w:rPr>
        <w:t>.</w:t>
      </w:r>
    </w:p>
    <w:p w14:paraId="4CC347A5" w14:textId="0BA7F98B" w:rsidR="006D750D" w:rsidRPr="009809B2" w:rsidRDefault="002B5712" w:rsidP="00B70021">
      <w:pPr>
        <w:pStyle w:val="Textoindependiente"/>
        <w:spacing w:before="220"/>
        <w:jc w:val="left"/>
        <w:rPr>
          <w:rFonts w:cs="Arial"/>
          <w:b w:val="0"/>
          <w:sz w:val="22"/>
          <w:lang w:val="es-CO"/>
        </w:rPr>
      </w:pPr>
      <w:r w:rsidRPr="009809B2">
        <w:rPr>
          <w:rFonts w:cs="Arial"/>
          <w:b w:val="0"/>
          <w:sz w:val="22"/>
          <w:lang w:val="es-CO"/>
        </w:rPr>
        <w:t>De esta forma, adicionalmente a la variación de precios de las componentes</w:t>
      </w:r>
      <w:r w:rsidR="00643E05" w:rsidRPr="009809B2">
        <w:rPr>
          <w:rFonts w:cs="Arial"/>
          <w:b w:val="0"/>
          <w:sz w:val="22"/>
          <w:lang w:val="es-CO"/>
        </w:rPr>
        <w:t xml:space="preserve">, según las fórmulas de cálculo de cada una de ellas, </w:t>
      </w:r>
      <w:r w:rsidR="00BE1C94" w:rsidRPr="009809B2">
        <w:rPr>
          <w:rFonts w:cs="Arial"/>
          <w:b w:val="0"/>
          <w:sz w:val="22"/>
          <w:lang w:val="es-CO"/>
        </w:rPr>
        <w:t xml:space="preserve">el resultado del costo </w:t>
      </w:r>
      <w:r w:rsidR="006D750D" w:rsidRPr="009809B2">
        <w:rPr>
          <w:rFonts w:cs="Arial"/>
          <w:b w:val="0"/>
          <w:sz w:val="22"/>
          <w:lang w:val="es-CO"/>
        </w:rPr>
        <w:t xml:space="preserve">varía en función de los cambios </w:t>
      </w:r>
      <w:r w:rsidR="00BE1C94" w:rsidRPr="009809B2">
        <w:rPr>
          <w:rFonts w:cs="Arial"/>
          <w:b w:val="0"/>
          <w:sz w:val="22"/>
          <w:lang w:val="es-CO"/>
        </w:rPr>
        <w:t xml:space="preserve">mensuales </w:t>
      </w:r>
      <w:r w:rsidR="006D750D" w:rsidRPr="009809B2">
        <w:rPr>
          <w:rFonts w:cs="Arial"/>
          <w:b w:val="0"/>
          <w:sz w:val="22"/>
          <w:lang w:val="es-CO"/>
        </w:rPr>
        <w:t>del IPP y el IPC.</w:t>
      </w:r>
    </w:p>
    <w:p w14:paraId="34C31A44" w14:textId="6D037B0A" w:rsidR="006D750D" w:rsidRPr="009809B2" w:rsidRDefault="005110CE" w:rsidP="00B70021">
      <w:pPr>
        <w:pStyle w:val="Textoindependiente"/>
        <w:spacing w:before="220"/>
        <w:jc w:val="left"/>
        <w:rPr>
          <w:rFonts w:cs="Arial"/>
          <w:b w:val="0"/>
          <w:sz w:val="22"/>
          <w:lang w:val="es-CO"/>
        </w:rPr>
      </w:pPr>
      <w:r w:rsidRPr="009809B2">
        <w:rPr>
          <w:rFonts w:cs="Arial"/>
          <w:b w:val="0"/>
          <w:sz w:val="22"/>
          <w:lang w:val="es-CO"/>
        </w:rPr>
        <w:t xml:space="preserve">Esta forma de </w:t>
      </w:r>
      <w:r w:rsidR="003604F8" w:rsidRPr="009809B2">
        <w:rPr>
          <w:rFonts w:cs="Arial"/>
          <w:b w:val="0"/>
          <w:sz w:val="22"/>
          <w:lang w:val="es-CO"/>
        </w:rPr>
        <w:t xml:space="preserve">actualizar los costos se ha venido utilizando desde que la CREG inició la determinación de </w:t>
      </w:r>
      <w:r w:rsidR="00EA617B" w:rsidRPr="009809B2">
        <w:rPr>
          <w:rFonts w:cs="Arial"/>
          <w:b w:val="0"/>
          <w:sz w:val="22"/>
          <w:lang w:val="es-CO"/>
        </w:rPr>
        <w:t>las tarifas de la energía eléctrica con base en costos por actividad, es decir, desde 1998</w:t>
      </w:r>
      <w:r w:rsidR="008A2CC0" w:rsidRPr="009809B2">
        <w:rPr>
          <w:rFonts w:cs="Arial"/>
          <w:b w:val="0"/>
          <w:sz w:val="22"/>
          <w:lang w:val="es-CO"/>
        </w:rPr>
        <w:t>. H</w:t>
      </w:r>
      <w:r w:rsidR="00EA617B" w:rsidRPr="009809B2">
        <w:rPr>
          <w:rFonts w:cs="Arial"/>
          <w:b w:val="0"/>
          <w:sz w:val="22"/>
          <w:lang w:val="es-CO"/>
        </w:rPr>
        <w:t>asta el año 2020 los índices presentaban las variaciones normales en la economía</w:t>
      </w:r>
      <w:r w:rsidR="00AB4296" w:rsidRPr="009809B2">
        <w:rPr>
          <w:rFonts w:cs="Arial"/>
          <w:b w:val="0"/>
          <w:sz w:val="22"/>
          <w:lang w:val="es-CO"/>
        </w:rPr>
        <w:t xml:space="preserve"> sin que se advirtiera inconveniente alguno con estos </w:t>
      </w:r>
      <w:r w:rsidR="00A163E3" w:rsidRPr="009809B2">
        <w:rPr>
          <w:rFonts w:cs="Arial"/>
          <w:b w:val="0"/>
          <w:sz w:val="22"/>
          <w:lang w:val="es-CO"/>
        </w:rPr>
        <w:t>índices,</w:t>
      </w:r>
      <w:r w:rsidR="00EA617B" w:rsidRPr="009809B2">
        <w:rPr>
          <w:rFonts w:cs="Arial"/>
          <w:b w:val="0"/>
          <w:sz w:val="22"/>
          <w:lang w:val="es-CO"/>
        </w:rPr>
        <w:t xml:space="preserve"> pero, fue a partir de 2020, </w:t>
      </w:r>
      <w:r w:rsidR="0071018B" w:rsidRPr="009809B2">
        <w:rPr>
          <w:rFonts w:cs="Arial"/>
          <w:b w:val="0"/>
          <w:sz w:val="22"/>
          <w:lang w:val="es-CO"/>
        </w:rPr>
        <w:t xml:space="preserve">como </w:t>
      </w:r>
      <w:r w:rsidR="0071018B" w:rsidRPr="009809B2">
        <w:rPr>
          <w:rFonts w:cs="Arial"/>
          <w:b w:val="0"/>
          <w:sz w:val="22"/>
          <w:lang w:val="es-CO"/>
        </w:rPr>
        <w:lastRenderedPageBreak/>
        <w:t>consecuencia de</w:t>
      </w:r>
      <w:r w:rsidR="00F5790D" w:rsidRPr="009809B2">
        <w:rPr>
          <w:rFonts w:cs="Arial"/>
          <w:b w:val="0"/>
          <w:sz w:val="22"/>
          <w:lang w:val="es-CO"/>
        </w:rPr>
        <w:t xml:space="preserve"> varios fenómenos gl</w:t>
      </w:r>
      <w:r w:rsidR="00D96F68" w:rsidRPr="009809B2">
        <w:rPr>
          <w:rFonts w:cs="Arial"/>
          <w:b w:val="0"/>
          <w:sz w:val="22"/>
          <w:lang w:val="es-CO"/>
        </w:rPr>
        <w:t>o</w:t>
      </w:r>
      <w:r w:rsidR="00F5790D" w:rsidRPr="009809B2">
        <w:rPr>
          <w:rFonts w:cs="Arial"/>
          <w:b w:val="0"/>
          <w:sz w:val="22"/>
          <w:lang w:val="es-CO"/>
        </w:rPr>
        <w:t xml:space="preserve">bales (como lo fue la pandemia causada por el </w:t>
      </w:r>
      <w:proofErr w:type="spellStart"/>
      <w:r w:rsidR="00F5790D" w:rsidRPr="009809B2">
        <w:rPr>
          <w:rFonts w:cs="Arial"/>
          <w:b w:val="0"/>
          <w:sz w:val="22"/>
          <w:lang w:val="es-CO"/>
        </w:rPr>
        <w:t>Covid</w:t>
      </w:r>
      <w:proofErr w:type="spellEnd"/>
      <w:r w:rsidR="00F5790D" w:rsidRPr="009809B2">
        <w:rPr>
          <w:rFonts w:cs="Arial"/>
          <w:b w:val="0"/>
          <w:sz w:val="22"/>
          <w:lang w:val="es-CO"/>
        </w:rPr>
        <w:t xml:space="preserve"> 19 </w:t>
      </w:r>
      <w:r w:rsidR="00D96F68" w:rsidRPr="009809B2">
        <w:rPr>
          <w:rFonts w:cs="Arial"/>
          <w:b w:val="0"/>
          <w:sz w:val="22"/>
          <w:lang w:val="es-CO"/>
        </w:rPr>
        <w:t xml:space="preserve">o la guerra entre Ucrania y Rusia entre otros) </w:t>
      </w:r>
      <w:r w:rsidR="00F57EA5" w:rsidRPr="009809B2">
        <w:rPr>
          <w:rFonts w:cs="Arial"/>
          <w:b w:val="0"/>
          <w:sz w:val="22"/>
          <w:lang w:val="es-CO"/>
        </w:rPr>
        <w:t xml:space="preserve">los índices de precios mencionados comenzaron a </w:t>
      </w:r>
      <w:r w:rsidR="00F76287" w:rsidRPr="009809B2">
        <w:rPr>
          <w:rFonts w:cs="Arial"/>
          <w:b w:val="0"/>
          <w:sz w:val="22"/>
          <w:lang w:val="es-CO"/>
        </w:rPr>
        <w:t>incrementarse de manera importante, aumentando las tarifas del servicio.</w:t>
      </w:r>
    </w:p>
    <w:p w14:paraId="3A25B2E6" w14:textId="6FD41361" w:rsidR="006D750D" w:rsidRPr="009809B2" w:rsidRDefault="007566F1" w:rsidP="00B70021">
      <w:pPr>
        <w:pStyle w:val="Textoindependiente"/>
        <w:spacing w:before="220"/>
        <w:jc w:val="left"/>
        <w:rPr>
          <w:rFonts w:cs="Arial"/>
          <w:b w:val="0"/>
          <w:sz w:val="22"/>
          <w:lang w:val="es-CO"/>
        </w:rPr>
      </w:pPr>
      <w:r w:rsidRPr="009809B2">
        <w:rPr>
          <w:rFonts w:cs="Arial"/>
          <w:b w:val="0"/>
          <w:sz w:val="22"/>
          <w:lang w:val="es-CO"/>
        </w:rPr>
        <w:t>Est</w:t>
      </w:r>
      <w:r w:rsidR="00454769" w:rsidRPr="009809B2">
        <w:rPr>
          <w:rFonts w:cs="Arial"/>
          <w:b w:val="0"/>
          <w:sz w:val="22"/>
          <w:lang w:val="es-CO"/>
        </w:rPr>
        <w:t xml:space="preserve">os aumentos se presentaron, principalmente, </w:t>
      </w:r>
      <w:r w:rsidRPr="009809B2">
        <w:rPr>
          <w:rFonts w:cs="Arial"/>
          <w:b w:val="0"/>
          <w:sz w:val="22"/>
          <w:lang w:val="es-CO"/>
        </w:rPr>
        <w:t>entre el 2020 y el</w:t>
      </w:r>
      <w:r w:rsidR="005F0141" w:rsidRPr="009809B2">
        <w:rPr>
          <w:rFonts w:cs="Arial"/>
          <w:b w:val="0"/>
          <w:sz w:val="22"/>
          <w:lang w:val="es-CO"/>
        </w:rPr>
        <w:t xml:space="preserve"> 2022</w:t>
      </w:r>
      <w:r w:rsidR="00454769" w:rsidRPr="009809B2">
        <w:rPr>
          <w:rFonts w:cs="Arial"/>
          <w:b w:val="0"/>
          <w:sz w:val="22"/>
          <w:lang w:val="es-CO"/>
        </w:rPr>
        <w:t xml:space="preserve"> pues ahora, a partir del 2023 y los últimos meses</w:t>
      </w:r>
      <w:r w:rsidR="005D40B7" w:rsidRPr="009809B2">
        <w:rPr>
          <w:rFonts w:cs="Arial"/>
          <w:b w:val="0"/>
          <w:sz w:val="22"/>
          <w:lang w:val="es-CO"/>
        </w:rPr>
        <w:t xml:space="preserve">, estos índices han cambiado su comportamiento. </w:t>
      </w:r>
    </w:p>
    <w:p w14:paraId="21164916" w14:textId="49023A91" w:rsidR="00D52A05" w:rsidRPr="009809B2" w:rsidRDefault="00F36290" w:rsidP="00B70021">
      <w:pPr>
        <w:pStyle w:val="Textoindependiente"/>
        <w:spacing w:before="220"/>
        <w:jc w:val="left"/>
        <w:rPr>
          <w:rFonts w:cs="Arial"/>
          <w:b w:val="0"/>
          <w:sz w:val="22"/>
          <w:lang w:val="es-CO"/>
        </w:rPr>
      </w:pPr>
      <w:r w:rsidRPr="009809B2">
        <w:rPr>
          <w:rFonts w:cs="Arial"/>
          <w:b w:val="0"/>
          <w:sz w:val="22"/>
          <w:lang w:val="es-CO"/>
        </w:rPr>
        <w:t xml:space="preserve">Ante esta situación, </w:t>
      </w:r>
      <w:r w:rsidR="009330FC" w:rsidRPr="009809B2">
        <w:rPr>
          <w:rFonts w:cs="Arial"/>
          <w:b w:val="0"/>
          <w:sz w:val="22"/>
          <w:lang w:val="es-CO"/>
        </w:rPr>
        <w:t xml:space="preserve">la Comisión </w:t>
      </w:r>
      <w:r w:rsidR="00B52E90" w:rsidRPr="009809B2">
        <w:rPr>
          <w:rFonts w:cs="Arial"/>
          <w:b w:val="0"/>
          <w:sz w:val="22"/>
          <w:lang w:val="es-CO"/>
        </w:rPr>
        <w:t>llevó a cabo un ejercicio de análisis de</w:t>
      </w:r>
      <w:r w:rsidRPr="009809B2">
        <w:rPr>
          <w:rFonts w:cs="Arial"/>
          <w:b w:val="0"/>
          <w:sz w:val="22"/>
          <w:lang w:val="es-CO"/>
        </w:rPr>
        <w:t xml:space="preserve"> los índices de precios </w:t>
      </w:r>
      <w:r w:rsidR="00A45A3C" w:rsidRPr="009809B2">
        <w:rPr>
          <w:rFonts w:cs="Arial"/>
          <w:b w:val="0"/>
          <w:sz w:val="22"/>
          <w:lang w:val="es-CO"/>
        </w:rPr>
        <w:t xml:space="preserve">que </w:t>
      </w:r>
      <w:r w:rsidR="00926958" w:rsidRPr="009809B2">
        <w:rPr>
          <w:rFonts w:cs="Arial"/>
          <w:b w:val="0"/>
          <w:sz w:val="22"/>
          <w:lang w:val="es-CO"/>
        </w:rPr>
        <w:t xml:space="preserve">podrían </w:t>
      </w:r>
      <w:r w:rsidR="00A45A3C" w:rsidRPr="009809B2">
        <w:rPr>
          <w:rFonts w:cs="Arial"/>
          <w:b w:val="0"/>
          <w:sz w:val="22"/>
          <w:lang w:val="es-CO"/>
        </w:rPr>
        <w:t>actualiza</w:t>
      </w:r>
      <w:r w:rsidR="00926958" w:rsidRPr="009809B2">
        <w:rPr>
          <w:rFonts w:cs="Arial"/>
          <w:b w:val="0"/>
          <w:sz w:val="22"/>
          <w:lang w:val="es-CO"/>
        </w:rPr>
        <w:t>r</w:t>
      </w:r>
      <w:r w:rsidR="00A45A3C" w:rsidRPr="009809B2">
        <w:rPr>
          <w:rFonts w:cs="Arial"/>
          <w:b w:val="0"/>
          <w:sz w:val="22"/>
          <w:lang w:val="es-CO"/>
        </w:rPr>
        <w:t xml:space="preserve"> los costos</w:t>
      </w:r>
      <w:r w:rsidR="00581A47" w:rsidRPr="009809B2">
        <w:rPr>
          <w:rFonts w:cs="Arial"/>
          <w:b w:val="0"/>
          <w:sz w:val="22"/>
          <w:lang w:val="es-CO"/>
        </w:rPr>
        <w:t>,</w:t>
      </w:r>
      <w:r w:rsidR="00A45A3C" w:rsidRPr="009809B2">
        <w:rPr>
          <w:rFonts w:cs="Arial"/>
          <w:b w:val="0"/>
          <w:sz w:val="22"/>
          <w:lang w:val="es-CO"/>
        </w:rPr>
        <w:t xml:space="preserve"> para encontrar aquellos que </w:t>
      </w:r>
      <w:r w:rsidR="00926958" w:rsidRPr="009809B2">
        <w:rPr>
          <w:rFonts w:cs="Arial"/>
          <w:b w:val="0"/>
          <w:sz w:val="22"/>
          <w:lang w:val="es-CO"/>
        </w:rPr>
        <w:t xml:space="preserve">puedan </w:t>
      </w:r>
      <w:r w:rsidR="008B3B19" w:rsidRPr="009809B2">
        <w:rPr>
          <w:rFonts w:cs="Arial"/>
          <w:b w:val="0"/>
          <w:sz w:val="22"/>
          <w:lang w:val="es-CO"/>
        </w:rPr>
        <w:t>reflej</w:t>
      </w:r>
      <w:r w:rsidR="00926958" w:rsidRPr="009809B2">
        <w:rPr>
          <w:rFonts w:cs="Arial"/>
          <w:b w:val="0"/>
          <w:sz w:val="22"/>
          <w:lang w:val="es-CO"/>
        </w:rPr>
        <w:t>ar</w:t>
      </w:r>
      <w:r w:rsidR="008B3B19" w:rsidRPr="009809B2">
        <w:rPr>
          <w:rFonts w:cs="Arial"/>
          <w:b w:val="0"/>
          <w:sz w:val="22"/>
          <w:lang w:val="es-CO"/>
        </w:rPr>
        <w:t xml:space="preserve"> condiciones económicas </w:t>
      </w:r>
      <w:r w:rsidR="00A163E3" w:rsidRPr="009809B2">
        <w:rPr>
          <w:rFonts w:cs="Arial"/>
          <w:b w:val="0"/>
          <w:sz w:val="22"/>
          <w:lang w:val="es-CO"/>
        </w:rPr>
        <w:t>y</w:t>
      </w:r>
      <w:r w:rsidR="008E48B3" w:rsidRPr="009809B2">
        <w:rPr>
          <w:rFonts w:cs="Arial"/>
          <w:b w:val="0"/>
          <w:sz w:val="22"/>
          <w:lang w:val="es-CO"/>
        </w:rPr>
        <w:t xml:space="preserve"> que </w:t>
      </w:r>
      <w:r w:rsidR="00A45A3C" w:rsidRPr="009809B2">
        <w:rPr>
          <w:rFonts w:cs="Arial"/>
          <w:b w:val="0"/>
          <w:sz w:val="22"/>
          <w:lang w:val="es-CO"/>
        </w:rPr>
        <w:t xml:space="preserve">se encuentren </w:t>
      </w:r>
      <w:r w:rsidR="00D52A05" w:rsidRPr="009809B2">
        <w:rPr>
          <w:rFonts w:cs="Arial"/>
          <w:b w:val="0"/>
          <w:sz w:val="22"/>
          <w:lang w:val="es-CO"/>
        </w:rPr>
        <w:t xml:space="preserve">libres de aspectos ajenos a la prestación del servicio público domiciliario de energía eléctrica. </w:t>
      </w:r>
    </w:p>
    <w:p w14:paraId="30B25960" w14:textId="7618BE81" w:rsidR="00832A0A" w:rsidRPr="009809B2" w:rsidRDefault="00040404" w:rsidP="00B962F4">
      <w:pPr>
        <w:pStyle w:val="Textoindependiente"/>
        <w:spacing w:before="220"/>
        <w:jc w:val="left"/>
        <w:rPr>
          <w:rFonts w:cs="Arial"/>
          <w:b w:val="0"/>
          <w:sz w:val="22"/>
          <w:lang w:val="es-CO"/>
        </w:rPr>
      </w:pPr>
      <w:r w:rsidRPr="009809B2">
        <w:rPr>
          <w:rFonts w:cs="Arial"/>
          <w:b w:val="0"/>
          <w:sz w:val="22"/>
          <w:lang w:val="es-CO"/>
        </w:rPr>
        <w:t xml:space="preserve">En el 2022, la CREG expidió las </w:t>
      </w:r>
      <w:r w:rsidR="009B4E07" w:rsidRPr="009809B2">
        <w:rPr>
          <w:rFonts w:cs="Arial"/>
          <w:b w:val="0"/>
          <w:sz w:val="22"/>
          <w:lang w:val="es-CO"/>
        </w:rPr>
        <w:t xml:space="preserve">resoluciones CREG  101 027 de 2022, 101 028 de 2022, 101 029 de 2022 y 101 031 de 2022, </w:t>
      </w:r>
      <w:r w:rsidR="00F134D8" w:rsidRPr="009809B2">
        <w:rPr>
          <w:rFonts w:cs="Arial"/>
          <w:b w:val="0"/>
          <w:sz w:val="22"/>
          <w:lang w:val="es-CO"/>
        </w:rPr>
        <w:t>mediante las cuales se permit</w:t>
      </w:r>
      <w:r w:rsidR="00DA4977" w:rsidRPr="009809B2">
        <w:rPr>
          <w:rFonts w:cs="Arial"/>
          <w:b w:val="0"/>
          <w:sz w:val="22"/>
          <w:lang w:val="es-CO"/>
        </w:rPr>
        <w:t>ió</w:t>
      </w:r>
      <w:r w:rsidR="00F134D8" w:rsidRPr="009809B2">
        <w:rPr>
          <w:rFonts w:cs="Arial"/>
          <w:b w:val="0"/>
          <w:sz w:val="22"/>
          <w:lang w:val="es-CO"/>
        </w:rPr>
        <w:t xml:space="preserve"> el </w:t>
      </w:r>
      <w:r w:rsidR="000D11FC" w:rsidRPr="009809B2">
        <w:rPr>
          <w:rFonts w:cs="Arial"/>
          <w:b w:val="0"/>
          <w:sz w:val="22"/>
          <w:lang w:val="es-CO"/>
        </w:rPr>
        <w:t>uso</w:t>
      </w:r>
      <w:r w:rsidR="00F134D8" w:rsidRPr="009809B2">
        <w:rPr>
          <w:rFonts w:cs="Arial"/>
          <w:b w:val="0"/>
          <w:sz w:val="22"/>
          <w:lang w:val="es-CO"/>
        </w:rPr>
        <w:t xml:space="preserve"> de</w:t>
      </w:r>
      <w:r w:rsidR="000D11FC" w:rsidRPr="009809B2">
        <w:rPr>
          <w:rFonts w:cs="Arial"/>
          <w:b w:val="0"/>
          <w:sz w:val="22"/>
          <w:lang w:val="es-CO"/>
        </w:rPr>
        <w:t>l</w:t>
      </w:r>
      <w:r w:rsidR="00F134D8" w:rsidRPr="009809B2">
        <w:rPr>
          <w:rFonts w:cs="Arial"/>
          <w:b w:val="0"/>
          <w:sz w:val="22"/>
          <w:lang w:val="es-CO"/>
        </w:rPr>
        <w:t xml:space="preserve"> IPP </w:t>
      </w:r>
      <w:r w:rsidR="000D11FC" w:rsidRPr="009809B2">
        <w:rPr>
          <w:rFonts w:cs="Arial"/>
          <w:b w:val="0"/>
          <w:sz w:val="22"/>
          <w:lang w:val="es-CO"/>
        </w:rPr>
        <w:t xml:space="preserve">industria manufacturera en vez del IPP oferta interna </w:t>
      </w:r>
      <w:r w:rsidR="00F134D8" w:rsidRPr="009809B2">
        <w:rPr>
          <w:rFonts w:cs="Arial"/>
          <w:b w:val="0"/>
          <w:sz w:val="22"/>
          <w:lang w:val="es-CO"/>
        </w:rPr>
        <w:t>para el cálculo de componentes del costo unitario de prestación del servicio de energía eléctrica, se adopta</w:t>
      </w:r>
      <w:r w:rsidR="00092044" w:rsidRPr="009809B2">
        <w:rPr>
          <w:rFonts w:cs="Arial"/>
          <w:b w:val="0"/>
          <w:sz w:val="22"/>
          <w:lang w:val="es-CO"/>
        </w:rPr>
        <w:t>ron</w:t>
      </w:r>
      <w:r w:rsidR="00F134D8" w:rsidRPr="009809B2">
        <w:rPr>
          <w:rFonts w:cs="Arial"/>
          <w:b w:val="0"/>
          <w:sz w:val="22"/>
          <w:lang w:val="es-CO"/>
        </w:rPr>
        <w:t xml:space="preserve"> medidas transitorias para ajustar los precios e indexadores de contratos de energía de largo plazo</w:t>
      </w:r>
      <w:r w:rsidR="0054590D" w:rsidRPr="009809B2">
        <w:rPr>
          <w:rFonts w:cs="Arial"/>
          <w:b w:val="0"/>
          <w:sz w:val="22"/>
          <w:lang w:val="es-CO"/>
        </w:rPr>
        <w:t>,</w:t>
      </w:r>
      <w:r w:rsidR="00F134D8" w:rsidRPr="009809B2">
        <w:rPr>
          <w:rFonts w:cs="Arial"/>
          <w:b w:val="0"/>
          <w:sz w:val="22"/>
          <w:lang w:val="es-CO"/>
        </w:rPr>
        <w:t xml:space="preserve"> </w:t>
      </w:r>
      <w:r w:rsidR="00111E14" w:rsidRPr="009809B2">
        <w:rPr>
          <w:rFonts w:cs="Arial"/>
          <w:b w:val="0"/>
          <w:sz w:val="22"/>
          <w:lang w:val="es-CO"/>
        </w:rPr>
        <w:t xml:space="preserve">se difirieron </w:t>
      </w:r>
      <w:r w:rsidR="00F134D8" w:rsidRPr="009809B2">
        <w:rPr>
          <w:rFonts w:cs="Arial"/>
          <w:b w:val="0"/>
          <w:sz w:val="22"/>
          <w:lang w:val="es-CO"/>
        </w:rPr>
        <w:t>las obligaciones de pago de los comercializadores y se dicta</w:t>
      </w:r>
      <w:r w:rsidR="00286707" w:rsidRPr="009809B2">
        <w:rPr>
          <w:rFonts w:cs="Arial"/>
          <w:b w:val="0"/>
          <w:sz w:val="22"/>
          <w:lang w:val="es-CO"/>
        </w:rPr>
        <w:t>ron</w:t>
      </w:r>
      <w:r w:rsidR="00F134D8" w:rsidRPr="009809B2">
        <w:rPr>
          <w:rFonts w:cs="Arial"/>
          <w:b w:val="0"/>
          <w:sz w:val="22"/>
          <w:lang w:val="es-CO"/>
        </w:rPr>
        <w:t xml:space="preserve"> otras disposiciones asociadas con la disminución de las tarifas del servicio de energía eléctrica.</w:t>
      </w:r>
    </w:p>
    <w:p w14:paraId="5F53EDC1" w14:textId="4F52FBEC" w:rsidR="00725EAA" w:rsidRPr="009809B2" w:rsidRDefault="00092044" w:rsidP="00B962F4">
      <w:pPr>
        <w:pStyle w:val="Textoindependiente"/>
        <w:spacing w:before="220"/>
        <w:jc w:val="left"/>
        <w:rPr>
          <w:rFonts w:cs="Arial"/>
          <w:b w:val="0"/>
          <w:sz w:val="22"/>
          <w:lang w:val="es-CO"/>
        </w:rPr>
      </w:pPr>
      <w:r w:rsidRPr="009809B2">
        <w:rPr>
          <w:rFonts w:cs="Arial"/>
          <w:b w:val="0"/>
          <w:sz w:val="22"/>
          <w:lang w:val="es-CO"/>
        </w:rPr>
        <w:t xml:space="preserve">Entendiendo que </w:t>
      </w:r>
      <w:r w:rsidR="00195322" w:rsidRPr="009809B2">
        <w:rPr>
          <w:rFonts w:cs="Arial"/>
          <w:b w:val="0"/>
          <w:sz w:val="22"/>
          <w:lang w:val="es-CO"/>
        </w:rPr>
        <w:t xml:space="preserve">en el marco del artículo 126 de la Ley 142 de 1994 y </w:t>
      </w:r>
      <w:r w:rsidRPr="009809B2">
        <w:rPr>
          <w:rFonts w:cs="Arial"/>
          <w:b w:val="0"/>
          <w:sz w:val="22"/>
          <w:lang w:val="es-CO"/>
        </w:rPr>
        <w:t xml:space="preserve">la vigencia del mutuo acuerdo </w:t>
      </w:r>
      <w:r w:rsidR="005D192F" w:rsidRPr="009809B2">
        <w:rPr>
          <w:rFonts w:cs="Arial"/>
          <w:b w:val="0"/>
          <w:sz w:val="22"/>
          <w:lang w:val="es-CO"/>
        </w:rPr>
        <w:t>planteado en estas resoluciones</w:t>
      </w:r>
      <w:r w:rsidRPr="009809B2">
        <w:rPr>
          <w:rFonts w:cs="Arial"/>
          <w:b w:val="0"/>
          <w:sz w:val="22"/>
          <w:lang w:val="es-CO"/>
        </w:rPr>
        <w:t xml:space="preserve"> para el cambio del indexador </w:t>
      </w:r>
      <w:r w:rsidR="00725EAA" w:rsidRPr="009809B2">
        <w:rPr>
          <w:rFonts w:cs="Arial"/>
          <w:b w:val="0"/>
          <w:sz w:val="22"/>
          <w:lang w:val="es-CO"/>
        </w:rPr>
        <w:t>de los componentes de distribución y transmisión de energía eléctrica, para aquellos que se acogieron,</w:t>
      </w:r>
      <w:r w:rsidR="001C0996" w:rsidRPr="009809B2">
        <w:rPr>
          <w:rFonts w:cs="Arial"/>
          <w:b w:val="0"/>
          <w:sz w:val="22"/>
          <w:lang w:val="es-CO"/>
        </w:rPr>
        <w:t xml:space="preserve"> dichas disposiciones </w:t>
      </w:r>
      <w:r w:rsidR="00286F50" w:rsidRPr="009809B2">
        <w:rPr>
          <w:rFonts w:cs="Arial"/>
          <w:b w:val="0"/>
          <w:sz w:val="22"/>
          <w:lang w:val="es-CO"/>
        </w:rPr>
        <w:t xml:space="preserve">operaron durante </w:t>
      </w:r>
      <w:r w:rsidR="00725EAA" w:rsidRPr="009809B2">
        <w:rPr>
          <w:rFonts w:cs="Arial"/>
          <w:b w:val="0"/>
          <w:sz w:val="22"/>
          <w:lang w:val="es-CO"/>
        </w:rPr>
        <w:t xml:space="preserve">un año </w:t>
      </w:r>
      <w:r w:rsidR="002B5EBF" w:rsidRPr="009809B2">
        <w:rPr>
          <w:rFonts w:cs="Arial"/>
          <w:b w:val="0"/>
          <w:sz w:val="22"/>
          <w:lang w:val="es-CO"/>
        </w:rPr>
        <w:t>y</w:t>
      </w:r>
      <w:r w:rsidR="00A96C44" w:rsidRPr="009809B2">
        <w:rPr>
          <w:rFonts w:cs="Arial"/>
          <w:b w:val="0"/>
          <w:sz w:val="22"/>
          <w:lang w:val="es-CO"/>
        </w:rPr>
        <w:t xml:space="preserve">, por otra parte, </w:t>
      </w:r>
      <w:r w:rsidR="001C1979" w:rsidRPr="009809B2">
        <w:rPr>
          <w:rFonts w:cs="Arial"/>
          <w:b w:val="0"/>
          <w:sz w:val="22"/>
          <w:lang w:val="es-CO"/>
        </w:rPr>
        <w:t xml:space="preserve">considerando que se ha identificado la necesidad de revisar los índices </w:t>
      </w:r>
      <w:r w:rsidR="00A96C44" w:rsidRPr="009809B2">
        <w:rPr>
          <w:rFonts w:cs="Arial"/>
          <w:b w:val="0"/>
          <w:sz w:val="22"/>
          <w:lang w:val="es-CO"/>
        </w:rPr>
        <w:t xml:space="preserve">de actualización de precios </w:t>
      </w:r>
      <w:r w:rsidR="001C1979" w:rsidRPr="009809B2">
        <w:rPr>
          <w:rFonts w:cs="Arial"/>
          <w:b w:val="0"/>
          <w:sz w:val="22"/>
          <w:lang w:val="es-CO"/>
        </w:rPr>
        <w:t xml:space="preserve">a aplicar </w:t>
      </w:r>
      <w:r w:rsidR="00A96C44" w:rsidRPr="009809B2">
        <w:rPr>
          <w:rFonts w:cs="Arial"/>
          <w:b w:val="0"/>
          <w:sz w:val="22"/>
          <w:lang w:val="es-CO"/>
        </w:rPr>
        <w:t>a futuro</w:t>
      </w:r>
      <w:r w:rsidR="002B5EBF" w:rsidRPr="009809B2">
        <w:rPr>
          <w:rFonts w:cs="Arial"/>
          <w:b w:val="0"/>
          <w:sz w:val="22"/>
          <w:lang w:val="es-CO"/>
        </w:rPr>
        <w:t xml:space="preserve"> para los componentes de la cadena de prestación del servicio</w:t>
      </w:r>
      <w:r w:rsidR="00AC0B51" w:rsidRPr="009809B2">
        <w:rPr>
          <w:rFonts w:cs="Arial"/>
          <w:b w:val="0"/>
          <w:sz w:val="22"/>
          <w:lang w:val="es-CO"/>
        </w:rPr>
        <w:t>;</w:t>
      </w:r>
      <w:r w:rsidR="00725EAA" w:rsidRPr="009809B2">
        <w:rPr>
          <w:rFonts w:cs="Arial"/>
          <w:b w:val="0"/>
          <w:sz w:val="22"/>
          <w:lang w:val="es-CO"/>
        </w:rPr>
        <w:t xml:space="preserve"> </w:t>
      </w:r>
      <w:r w:rsidR="00926159" w:rsidRPr="009809B2">
        <w:rPr>
          <w:rFonts w:cs="Arial"/>
          <w:b w:val="0"/>
          <w:sz w:val="22"/>
          <w:lang w:val="es-CO"/>
        </w:rPr>
        <w:t>se efectuaron reuniones con representantes de</w:t>
      </w:r>
      <w:r w:rsidR="009F7B87" w:rsidRPr="009809B2">
        <w:rPr>
          <w:rFonts w:cs="Arial"/>
          <w:b w:val="0"/>
          <w:sz w:val="22"/>
          <w:lang w:val="es-CO"/>
        </w:rPr>
        <w:t xml:space="preserve"> la Presidencia de la República, del Ministerio de Minas y Energía, </w:t>
      </w:r>
      <w:r w:rsidR="0070104C" w:rsidRPr="009809B2">
        <w:rPr>
          <w:rFonts w:cs="Arial"/>
          <w:b w:val="0"/>
          <w:sz w:val="22"/>
          <w:lang w:val="es-CO"/>
        </w:rPr>
        <w:t xml:space="preserve">del </w:t>
      </w:r>
      <w:r w:rsidR="009F7B87" w:rsidRPr="009809B2">
        <w:rPr>
          <w:rFonts w:cs="Arial"/>
          <w:b w:val="0"/>
          <w:sz w:val="22"/>
          <w:lang w:val="es-CO"/>
        </w:rPr>
        <w:t xml:space="preserve">Departamento Administrativo </w:t>
      </w:r>
      <w:r w:rsidR="00AC0B51" w:rsidRPr="009809B2">
        <w:rPr>
          <w:rFonts w:cs="Arial"/>
          <w:b w:val="0"/>
          <w:sz w:val="22"/>
          <w:lang w:val="es-CO"/>
        </w:rPr>
        <w:t xml:space="preserve">Nacional </w:t>
      </w:r>
      <w:r w:rsidR="009F7B87" w:rsidRPr="009809B2">
        <w:rPr>
          <w:rFonts w:cs="Arial"/>
          <w:b w:val="0"/>
          <w:sz w:val="22"/>
          <w:lang w:val="es-CO"/>
        </w:rPr>
        <w:t xml:space="preserve">de Estadística, </w:t>
      </w:r>
      <w:r w:rsidR="0070104C" w:rsidRPr="009809B2">
        <w:rPr>
          <w:rFonts w:cs="Arial"/>
          <w:b w:val="0"/>
          <w:sz w:val="22"/>
          <w:lang w:val="es-CO"/>
        </w:rPr>
        <w:t xml:space="preserve">del </w:t>
      </w:r>
      <w:r w:rsidR="009F7B87" w:rsidRPr="009809B2">
        <w:rPr>
          <w:rFonts w:cs="Arial"/>
          <w:b w:val="0"/>
          <w:sz w:val="22"/>
          <w:lang w:val="es-CO"/>
        </w:rPr>
        <w:t xml:space="preserve">Banco de la República de Colombia </w:t>
      </w:r>
      <w:r w:rsidR="0070104C" w:rsidRPr="009809B2">
        <w:rPr>
          <w:rFonts w:cs="Arial"/>
          <w:b w:val="0"/>
          <w:sz w:val="22"/>
          <w:lang w:val="es-CO"/>
        </w:rPr>
        <w:t>y de la CREG.</w:t>
      </w:r>
      <w:r w:rsidR="009F7B87" w:rsidRPr="009809B2">
        <w:rPr>
          <w:rFonts w:cs="Arial"/>
          <w:b w:val="0"/>
          <w:sz w:val="22"/>
          <w:lang w:val="es-CO"/>
        </w:rPr>
        <w:t xml:space="preserve"> </w:t>
      </w:r>
    </w:p>
    <w:p w14:paraId="1EB8523A" w14:textId="70E2BDAC" w:rsidR="00111E14" w:rsidRPr="009809B2" w:rsidRDefault="00ED40C2" w:rsidP="00A12B86">
      <w:pPr>
        <w:pStyle w:val="Textoindependiente"/>
        <w:spacing w:before="220"/>
        <w:jc w:val="left"/>
        <w:rPr>
          <w:rFonts w:cs="Arial"/>
          <w:b w:val="0"/>
          <w:sz w:val="22"/>
          <w:lang w:val="es-CO"/>
        </w:rPr>
      </w:pPr>
      <w:r w:rsidRPr="009809B2">
        <w:rPr>
          <w:rFonts w:cs="Arial"/>
          <w:b w:val="0"/>
          <w:sz w:val="22"/>
          <w:lang w:val="es-CO"/>
        </w:rPr>
        <w:t xml:space="preserve">Con base en la identificación del problema y el objetivo de revisar los </w:t>
      </w:r>
      <w:r w:rsidR="00427B91" w:rsidRPr="009809B2">
        <w:rPr>
          <w:rFonts w:cs="Arial"/>
          <w:b w:val="0"/>
          <w:sz w:val="22"/>
          <w:lang w:val="es-CO"/>
        </w:rPr>
        <w:t xml:space="preserve">mencionados </w:t>
      </w:r>
      <w:r w:rsidRPr="009809B2">
        <w:rPr>
          <w:rFonts w:cs="Arial"/>
          <w:b w:val="0"/>
          <w:sz w:val="22"/>
          <w:lang w:val="es-CO"/>
        </w:rPr>
        <w:t xml:space="preserve">índices, </w:t>
      </w:r>
      <w:r w:rsidR="003D6112" w:rsidRPr="009809B2">
        <w:rPr>
          <w:rFonts w:cs="Arial"/>
          <w:b w:val="0"/>
          <w:sz w:val="22"/>
          <w:lang w:val="es-CO"/>
        </w:rPr>
        <w:t>en el presente documento se encuentra una contextualización del uso actual de los índices de precio</w:t>
      </w:r>
      <w:r w:rsidR="00A05182" w:rsidRPr="009809B2">
        <w:rPr>
          <w:rFonts w:cs="Arial"/>
          <w:b w:val="0"/>
          <w:sz w:val="22"/>
          <w:lang w:val="es-CO"/>
        </w:rPr>
        <w:t>s</w:t>
      </w:r>
      <w:r w:rsidR="00427B91" w:rsidRPr="009809B2">
        <w:rPr>
          <w:rFonts w:cs="Arial"/>
          <w:b w:val="0"/>
          <w:sz w:val="22"/>
          <w:lang w:val="es-CO"/>
        </w:rPr>
        <w:t xml:space="preserve"> </w:t>
      </w:r>
      <w:r w:rsidR="003D6112" w:rsidRPr="009809B2">
        <w:rPr>
          <w:rFonts w:cs="Arial"/>
          <w:b w:val="0"/>
          <w:sz w:val="22"/>
          <w:lang w:val="es-CO"/>
        </w:rPr>
        <w:t>en la formación del costo de prestación del servicio de energía eléctrica</w:t>
      </w:r>
      <w:r w:rsidR="00A12B86" w:rsidRPr="009809B2">
        <w:rPr>
          <w:rFonts w:cs="Arial"/>
          <w:b w:val="0"/>
          <w:sz w:val="22"/>
          <w:lang w:val="es-CO"/>
        </w:rPr>
        <w:t>,</w:t>
      </w:r>
      <w:r w:rsidR="00111E14" w:rsidRPr="009809B2">
        <w:rPr>
          <w:rFonts w:cs="Arial"/>
          <w:b w:val="0"/>
          <w:sz w:val="22"/>
          <w:lang w:val="es-CO"/>
        </w:rPr>
        <w:t xml:space="preserve"> una revisión de los índices de actualización de las tarifas empleados en otros servicios públicos tales como comunicaciones y acueducto y saneamiento básico</w:t>
      </w:r>
      <w:r w:rsidR="00A12B86" w:rsidRPr="009809B2">
        <w:rPr>
          <w:rFonts w:cs="Arial"/>
          <w:b w:val="0"/>
          <w:sz w:val="22"/>
          <w:lang w:val="es-CO"/>
        </w:rPr>
        <w:t xml:space="preserve"> y</w:t>
      </w:r>
      <w:r w:rsidR="007F41CF" w:rsidRPr="009809B2">
        <w:rPr>
          <w:rFonts w:cs="Arial"/>
          <w:b w:val="0"/>
          <w:sz w:val="22"/>
          <w:lang w:val="es-CO"/>
        </w:rPr>
        <w:t>,</w:t>
      </w:r>
      <w:r w:rsidR="00A12B86" w:rsidRPr="009809B2">
        <w:rPr>
          <w:rFonts w:cs="Arial"/>
          <w:b w:val="0"/>
          <w:sz w:val="22"/>
          <w:lang w:val="es-CO"/>
        </w:rPr>
        <w:t xml:space="preserve"> posteriormente</w:t>
      </w:r>
      <w:r w:rsidR="007F41CF" w:rsidRPr="009809B2">
        <w:rPr>
          <w:rFonts w:cs="Arial"/>
          <w:b w:val="0"/>
          <w:sz w:val="22"/>
          <w:lang w:val="es-CO"/>
        </w:rPr>
        <w:t>,</w:t>
      </w:r>
      <w:r w:rsidR="00A12B86" w:rsidRPr="009809B2">
        <w:rPr>
          <w:rFonts w:cs="Arial"/>
          <w:b w:val="0"/>
          <w:sz w:val="22"/>
          <w:lang w:val="es-CO"/>
        </w:rPr>
        <w:t xml:space="preserve"> se presentan las </w:t>
      </w:r>
      <w:r w:rsidR="00111E14" w:rsidRPr="009809B2">
        <w:rPr>
          <w:rFonts w:cs="Arial"/>
          <w:b w:val="0"/>
          <w:sz w:val="22"/>
          <w:lang w:val="es-CO"/>
        </w:rPr>
        <w:t>alternativas estudiadas para actualizar las tarifas</w:t>
      </w:r>
      <w:r w:rsidR="00367357" w:rsidRPr="009809B2">
        <w:rPr>
          <w:rFonts w:cs="Arial"/>
          <w:b w:val="0"/>
          <w:sz w:val="22"/>
          <w:lang w:val="es-CO"/>
        </w:rPr>
        <w:t xml:space="preserve"> del servicio público domiciliario de energía eléctrica</w:t>
      </w:r>
      <w:r w:rsidR="00111E14" w:rsidRPr="009809B2">
        <w:rPr>
          <w:rFonts w:cs="Arial"/>
          <w:b w:val="0"/>
          <w:sz w:val="22"/>
          <w:lang w:val="es-CO"/>
        </w:rPr>
        <w:t xml:space="preserve">.  </w:t>
      </w:r>
    </w:p>
    <w:p w14:paraId="253F2BE4" w14:textId="77777777" w:rsidR="000B328B" w:rsidRPr="009809B2" w:rsidRDefault="000B328B" w:rsidP="000B328B">
      <w:pPr>
        <w:keepNext/>
        <w:numPr>
          <w:ilvl w:val="0"/>
          <w:numId w:val="34"/>
        </w:numPr>
        <w:suppressAutoHyphens/>
        <w:spacing w:before="360"/>
        <w:outlineLvl w:val="0"/>
        <w:rPr>
          <w:rFonts w:cstheme="minorHAnsi"/>
          <w:b/>
          <w:spacing w:val="-5"/>
          <w:lang w:val="es-CO"/>
        </w:rPr>
      </w:pPr>
      <w:bookmarkStart w:id="11" w:name="_Toc172100724"/>
      <w:r w:rsidRPr="009809B2">
        <w:rPr>
          <w:rFonts w:cstheme="minorHAnsi"/>
          <w:b/>
          <w:spacing w:val="-5"/>
          <w:lang w:val="es-CO"/>
        </w:rPr>
        <w:t>SITUACIÓN ACTUAL</w:t>
      </w:r>
      <w:bookmarkEnd w:id="11"/>
      <w:r w:rsidRPr="009809B2">
        <w:rPr>
          <w:rFonts w:cstheme="minorHAnsi"/>
          <w:b/>
          <w:spacing w:val="-5"/>
          <w:lang w:val="es-CO"/>
        </w:rPr>
        <w:t xml:space="preserve"> </w:t>
      </w:r>
    </w:p>
    <w:p w14:paraId="03837F55" w14:textId="77777777" w:rsidR="000B328B" w:rsidRPr="009809B2" w:rsidRDefault="000B328B" w:rsidP="000B328B">
      <w:pPr>
        <w:rPr>
          <w:rFonts w:cstheme="minorHAnsi"/>
          <w:lang w:val="es-CO"/>
        </w:rPr>
      </w:pPr>
      <w:r w:rsidRPr="009809B2">
        <w:rPr>
          <w:rFonts w:cstheme="minorHAnsi"/>
          <w:lang w:val="es-CO"/>
        </w:rPr>
        <w:t>El Costo Unitario de Prestación del Servicio (CU), que se aplica actualmente, se establece en la Resolución CREG 119 de 2007 y se subdivide en componentes, expresados en $/kWh, según se indica a continuación:</w:t>
      </w:r>
    </w:p>
    <w:p w14:paraId="66B88784" w14:textId="77777777" w:rsidR="000B328B" w:rsidRPr="009809B2" w:rsidRDefault="000B328B" w:rsidP="000B328B">
      <w:pPr>
        <w:jc w:val="center"/>
        <w:rPr>
          <w:rFonts w:cstheme="minorHAnsi"/>
          <w:lang w:val="es-CO"/>
        </w:rPr>
      </w:pPr>
      <w:r w:rsidRPr="009809B2">
        <w:rPr>
          <w:rFonts w:cstheme="minorHAnsi"/>
          <w:lang w:val="es-CO"/>
        </w:rPr>
        <w:object w:dxaOrig="7680" w:dyaOrig="540" w14:anchorId="61D0E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7pt" o:ole="">
            <v:imagedata r:id="rId12" o:title=""/>
          </v:shape>
          <o:OLEObject Type="Embed" ProgID="Equation.3" ShapeID="_x0000_i1025" DrawAspect="Content" ObjectID="_1782728581" r:id="rId13"/>
        </w:object>
      </w:r>
    </w:p>
    <w:p w14:paraId="5033B02A" w14:textId="77777777" w:rsidR="000B328B" w:rsidRPr="009809B2" w:rsidRDefault="000B328B" w:rsidP="000B328B">
      <w:pPr>
        <w:pStyle w:val="Textoindependiente2"/>
        <w:spacing w:before="120" w:after="240" w:line="240" w:lineRule="auto"/>
        <w:rPr>
          <w:rFonts w:cstheme="minorHAnsi"/>
          <w:lang w:val="es-CO"/>
        </w:rPr>
      </w:pPr>
      <w:r w:rsidRPr="009809B2">
        <w:rPr>
          <w:rFonts w:cstheme="minorHAnsi"/>
          <w:lang w:val="es-CO"/>
        </w:rPr>
        <w:t>Cada uno de los componentes varía de la siguiente manera:</w:t>
      </w:r>
    </w:p>
    <w:tbl>
      <w:tblPr>
        <w:tblW w:w="8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1697"/>
        <w:gridCol w:w="2977"/>
        <w:gridCol w:w="2945"/>
      </w:tblGrid>
      <w:tr w:rsidR="000B328B" w:rsidRPr="009809B2" w14:paraId="470BC3BA" w14:textId="77777777" w:rsidTr="004F2EA4">
        <w:trPr>
          <w:tblHeader/>
          <w:jc w:val="center"/>
        </w:trPr>
        <w:tc>
          <w:tcPr>
            <w:tcW w:w="1275" w:type="dxa"/>
            <w:shd w:val="pct12" w:color="auto" w:fill="auto"/>
            <w:vAlign w:val="center"/>
          </w:tcPr>
          <w:p w14:paraId="69FA1399" w14:textId="77777777" w:rsidR="000B328B" w:rsidRPr="009809B2" w:rsidRDefault="000B328B" w:rsidP="00BE7DAD">
            <w:pPr>
              <w:spacing w:before="60" w:after="60"/>
              <w:jc w:val="center"/>
              <w:rPr>
                <w:rFonts w:cs="Arial"/>
                <w:sz w:val="20"/>
                <w:lang w:val="es-CO"/>
              </w:rPr>
            </w:pPr>
            <w:r w:rsidRPr="009809B2">
              <w:rPr>
                <w:rFonts w:cs="Arial"/>
                <w:sz w:val="20"/>
                <w:lang w:val="es-CO"/>
              </w:rPr>
              <w:t>Componente</w:t>
            </w:r>
          </w:p>
        </w:tc>
        <w:tc>
          <w:tcPr>
            <w:tcW w:w="1697" w:type="dxa"/>
            <w:shd w:val="pct12" w:color="auto" w:fill="auto"/>
            <w:vAlign w:val="center"/>
          </w:tcPr>
          <w:p w14:paraId="39CEB457" w14:textId="77777777" w:rsidR="000B328B" w:rsidRPr="009809B2" w:rsidRDefault="000B328B" w:rsidP="00BE7DAD">
            <w:pPr>
              <w:spacing w:before="60" w:after="60"/>
              <w:jc w:val="center"/>
              <w:rPr>
                <w:rFonts w:cs="Arial"/>
                <w:sz w:val="20"/>
                <w:lang w:val="es-CO"/>
              </w:rPr>
            </w:pPr>
            <w:r w:rsidRPr="009809B2">
              <w:rPr>
                <w:rFonts w:cs="Arial"/>
                <w:sz w:val="20"/>
                <w:lang w:val="es-CO"/>
              </w:rPr>
              <w:t>Definición del Componente</w:t>
            </w:r>
          </w:p>
        </w:tc>
        <w:tc>
          <w:tcPr>
            <w:tcW w:w="2977" w:type="dxa"/>
            <w:shd w:val="pct12" w:color="auto" w:fill="auto"/>
            <w:vAlign w:val="center"/>
          </w:tcPr>
          <w:p w14:paraId="49E94CB0" w14:textId="77777777" w:rsidR="000B328B" w:rsidRPr="009809B2" w:rsidRDefault="000B328B" w:rsidP="00BE7DAD">
            <w:pPr>
              <w:spacing w:before="60" w:after="60"/>
              <w:jc w:val="center"/>
              <w:rPr>
                <w:rFonts w:cs="Arial"/>
                <w:sz w:val="20"/>
                <w:lang w:val="es-CO"/>
              </w:rPr>
            </w:pPr>
            <w:r w:rsidRPr="009809B2">
              <w:rPr>
                <w:rFonts w:cs="Arial"/>
                <w:sz w:val="20"/>
                <w:lang w:val="es-CO"/>
              </w:rPr>
              <w:t>Explicación</w:t>
            </w:r>
          </w:p>
        </w:tc>
        <w:tc>
          <w:tcPr>
            <w:tcW w:w="2945" w:type="dxa"/>
            <w:shd w:val="pct12" w:color="auto" w:fill="auto"/>
            <w:vAlign w:val="center"/>
          </w:tcPr>
          <w:p w14:paraId="162FE909" w14:textId="77777777" w:rsidR="000B328B" w:rsidRPr="009809B2" w:rsidRDefault="000B328B" w:rsidP="00BE7DAD">
            <w:pPr>
              <w:spacing w:before="60" w:after="60"/>
              <w:jc w:val="center"/>
              <w:rPr>
                <w:rFonts w:cs="Arial"/>
                <w:sz w:val="20"/>
                <w:lang w:val="es-CO"/>
              </w:rPr>
            </w:pPr>
            <w:r w:rsidRPr="009809B2">
              <w:rPr>
                <w:rFonts w:cs="Arial"/>
                <w:sz w:val="20"/>
                <w:lang w:val="es-CO"/>
              </w:rPr>
              <w:t>Factores de Variación.</w:t>
            </w:r>
          </w:p>
        </w:tc>
      </w:tr>
      <w:tr w:rsidR="000B328B" w:rsidRPr="009809B2" w14:paraId="3DDD2506" w14:textId="77777777" w:rsidTr="004F2EA4">
        <w:trPr>
          <w:jc w:val="center"/>
        </w:trPr>
        <w:tc>
          <w:tcPr>
            <w:tcW w:w="1275" w:type="dxa"/>
            <w:vAlign w:val="center"/>
          </w:tcPr>
          <w:p w14:paraId="29609F06" w14:textId="77777777" w:rsidR="000B328B" w:rsidRPr="009809B2" w:rsidRDefault="000B328B" w:rsidP="00BE7DAD">
            <w:pPr>
              <w:jc w:val="center"/>
              <w:rPr>
                <w:rFonts w:cs="Arial"/>
                <w:sz w:val="20"/>
                <w:lang w:val="es-CO"/>
              </w:rPr>
            </w:pPr>
            <w:r w:rsidRPr="009809B2">
              <w:rPr>
                <w:rFonts w:cs="Arial"/>
                <w:noProof/>
                <w:sz w:val="20"/>
                <w:lang w:val="es-CO"/>
              </w:rPr>
              <w:drawing>
                <wp:inline distT="0" distB="0" distL="0" distR="0" wp14:anchorId="57ACE9F5" wp14:editId="1F983C84">
                  <wp:extent cx="541020" cy="347980"/>
                  <wp:effectExtent l="0" t="0" r="508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 cy="347980"/>
                          </a:xfrm>
                          <a:prstGeom prst="rect">
                            <a:avLst/>
                          </a:prstGeom>
                          <a:noFill/>
                          <a:ln>
                            <a:noFill/>
                          </a:ln>
                        </pic:spPr>
                      </pic:pic>
                    </a:graphicData>
                  </a:graphic>
                </wp:inline>
              </w:drawing>
            </w:r>
          </w:p>
        </w:tc>
        <w:tc>
          <w:tcPr>
            <w:tcW w:w="1697" w:type="dxa"/>
            <w:vAlign w:val="center"/>
          </w:tcPr>
          <w:p w14:paraId="7AC16498"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 xml:space="preserve">Costo de compra de energía ($/kWh- pesos por kilovatio-hora) para el mes m, del Comercializador Minorista. </w:t>
            </w:r>
          </w:p>
          <w:p w14:paraId="683D1CFE" w14:textId="77777777" w:rsidR="000B328B" w:rsidRPr="009809B2" w:rsidRDefault="000B328B" w:rsidP="00BE7DAD">
            <w:pPr>
              <w:spacing w:before="120" w:line="240" w:lineRule="auto"/>
              <w:rPr>
                <w:rFonts w:cs="Arial"/>
                <w:sz w:val="18"/>
                <w:szCs w:val="18"/>
                <w:lang w:val="es-CO"/>
              </w:rPr>
            </w:pPr>
          </w:p>
        </w:tc>
        <w:tc>
          <w:tcPr>
            <w:tcW w:w="2977" w:type="dxa"/>
            <w:vAlign w:val="center"/>
          </w:tcPr>
          <w:p w14:paraId="0B8E2D32"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 xml:space="preserve">Costo de compra de energía por parte del comercializador, bien en el mercado diario “spot” denominado la bolsa de energía o en contratos a largo plazo con generadores u otros comercializadores. </w:t>
            </w:r>
          </w:p>
          <w:p w14:paraId="6868805F" w14:textId="56A802D0" w:rsidR="000B328B" w:rsidRPr="009809B2" w:rsidRDefault="000B328B" w:rsidP="00BE7DAD">
            <w:pPr>
              <w:spacing w:before="120" w:line="240" w:lineRule="auto"/>
              <w:rPr>
                <w:rFonts w:cs="Arial"/>
                <w:sz w:val="18"/>
                <w:szCs w:val="18"/>
                <w:lang w:val="es-CO"/>
              </w:rPr>
            </w:pPr>
            <w:r w:rsidRPr="009809B2">
              <w:rPr>
                <w:rFonts w:cs="Arial"/>
                <w:b/>
                <w:sz w:val="18"/>
                <w:szCs w:val="18"/>
                <w:lang w:val="es-CO"/>
              </w:rPr>
              <w:t>(Resolución CREG 119 de 2007</w:t>
            </w:r>
            <w:r w:rsidR="00464C43" w:rsidRPr="009809B2">
              <w:rPr>
                <w:rFonts w:cs="Arial"/>
                <w:b/>
                <w:sz w:val="18"/>
                <w:szCs w:val="18"/>
                <w:lang w:val="es-CO"/>
              </w:rPr>
              <w:t xml:space="preserve">, </w:t>
            </w:r>
            <w:r w:rsidR="00DD44C0" w:rsidRPr="009809B2">
              <w:rPr>
                <w:rFonts w:cs="Arial"/>
                <w:b/>
                <w:sz w:val="18"/>
                <w:szCs w:val="18"/>
                <w:lang w:val="es-CO"/>
              </w:rPr>
              <w:t xml:space="preserve">Resolución CREG 130 de </w:t>
            </w:r>
            <w:r w:rsidR="00E841C7" w:rsidRPr="009809B2">
              <w:rPr>
                <w:rFonts w:cs="Arial"/>
                <w:b/>
                <w:sz w:val="18"/>
                <w:szCs w:val="18"/>
                <w:lang w:val="es-CO"/>
              </w:rPr>
              <w:t>2019</w:t>
            </w:r>
            <w:r w:rsidRPr="009809B2">
              <w:rPr>
                <w:rFonts w:cs="Arial"/>
                <w:b/>
                <w:sz w:val="18"/>
                <w:szCs w:val="18"/>
                <w:lang w:val="es-CO"/>
              </w:rPr>
              <w:t>)</w:t>
            </w:r>
          </w:p>
        </w:tc>
        <w:tc>
          <w:tcPr>
            <w:tcW w:w="2945" w:type="dxa"/>
          </w:tcPr>
          <w:p w14:paraId="0C11B8F9" w14:textId="77777777" w:rsidR="000B328B" w:rsidRPr="009809B2" w:rsidRDefault="000B328B" w:rsidP="00BE7DAD">
            <w:pPr>
              <w:numPr>
                <w:ilvl w:val="0"/>
                <w:numId w:val="27"/>
              </w:numPr>
              <w:spacing w:before="120" w:line="240" w:lineRule="auto"/>
              <w:ind w:left="142" w:hanging="142"/>
              <w:rPr>
                <w:rFonts w:cs="Arial"/>
                <w:b/>
                <w:sz w:val="18"/>
                <w:szCs w:val="18"/>
                <w:lang w:val="es-CO"/>
              </w:rPr>
            </w:pPr>
            <w:r w:rsidRPr="009809B2">
              <w:rPr>
                <w:rFonts w:cs="Arial"/>
                <w:sz w:val="18"/>
                <w:szCs w:val="18"/>
                <w:lang w:val="es-CO"/>
              </w:rPr>
              <w:t xml:space="preserve">Los contratos de energía a largo plazo, que representan el mayor porcentaje en el total de compras de los comercializadores (históricamente ha representado entre el 80% y el 90% del costo de generación), </w:t>
            </w:r>
            <w:r w:rsidRPr="009809B2">
              <w:rPr>
                <w:rFonts w:cs="Arial"/>
                <w:b/>
                <w:sz w:val="18"/>
                <w:szCs w:val="18"/>
                <w:lang w:val="es-CO"/>
              </w:rPr>
              <w:t>se indexan principalmente con el Índice de Precios del productor -IPP.</w:t>
            </w:r>
          </w:p>
          <w:p w14:paraId="1EF1D09F" w14:textId="77777777" w:rsidR="000B328B" w:rsidRPr="009809B2" w:rsidRDefault="000B328B" w:rsidP="00BE7DAD">
            <w:pPr>
              <w:numPr>
                <w:ilvl w:val="0"/>
                <w:numId w:val="27"/>
              </w:numPr>
              <w:spacing w:before="120" w:line="240" w:lineRule="auto"/>
              <w:ind w:left="142" w:hanging="142"/>
              <w:rPr>
                <w:rFonts w:cs="Arial"/>
                <w:sz w:val="18"/>
                <w:szCs w:val="18"/>
                <w:lang w:val="es-CO"/>
              </w:rPr>
            </w:pPr>
            <w:r w:rsidRPr="009809B2">
              <w:rPr>
                <w:rFonts w:cs="Arial"/>
                <w:sz w:val="18"/>
                <w:szCs w:val="18"/>
                <w:lang w:val="es-CO"/>
              </w:rPr>
              <w:t>El precio de bolsa varía hora a hora en cada día de acuerdo con las condiciones del mercado. Estas compras representan entre el 10% y el 20% del costo de generación y esta fracción no se afecta por la indexación.</w:t>
            </w:r>
          </w:p>
        </w:tc>
      </w:tr>
      <w:tr w:rsidR="000B328B" w:rsidRPr="009809B2" w14:paraId="7E033242" w14:textId="77777777" w:rsidTr="004F2EA4">
        <w:trPr>
          <w:jc w:val="center"/>
        </w:trPr>
        <w:tc>
          <w:tcPr>
            <w:tcW w:w="1275" w:type="dxa"/>
            <w:vAlign w:val="center"/>
          </w:tcPr>
          <w:p w14:paraId="67E23909" w14:textId="77777777" w:rsidR="000B328B" w:rsidRPr="009809B2" w:rsidRDefault="000B328B" w:rsidP="00BE7DAD">
            <w:pPr>
              <w:jc w:val="center"/>
              <w:rPr>
                <w:rFonts w:cs="Arial"/>
                <w:sz w:val="20"/>
                <w:lang w:val="es-CO"/>
              </w:rPr>
            </w:pPr>
            <w:r w:rsidRPr="009809B2">
              <w:rPr>
                <w:rFonts w:cs="Arial"/>
                <w:noProof/>
                <w:sz w:val="20"/>
                <w:lang w:val="es-CO"/>
              </w:rPr>
              <w:drawing>
                <wp:inline distT="0" distB="0" distL="0" distR="0" wp14:anchorId="2E5645A2" wp14:editId="3EBA1BBD">
                  <wp:extent cx="257810" cy="309245"/>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810" cy="309245"/>
                          </a:xfrm>
                          <a:prstGeom prst="rect">
                            <a:avLst/>
                          </a:prstGeom>
                          <a:noFill/>
                          <a:ln>
                            <a:noFill/>
                          </a:ln>
                        </pic:spPr>
                      </pic:pic>
                    </a:graphicData>
                  </a:graphic>
                </wp:inline>
              </w:drawing>
            </w:r>
          </w:p>
        </w:tc>
        <w:tc>
          <w:tcPr>
            <w:tcW w:w="1697" w:type="dxa"/>
            <w:vAlign w:val="center"/>
          </w:tcPr>
          <w:p w14:paraId="6CB2F0A6"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Costo por uso del Sistema de Transmisión Nacional, STN, ($/kWh) para el mes m determinado</w:t>
            </w:r>
          </w:p>
        </w:tc>
        <w:tc>
          <w:tcPr>
            <w:tcW w:w="2977" w:type="dxa"/>
            <w:vAlign w:val="center"/>
          </w:tcPr>
          <w:p w14:paraId="27C6FD1A"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 xml:space="preserve">Es el valor único para todos los comercializadores con el cual se paga el transporte de energía desde las plantas de generación hasta las Redes de Transmisión Regional, STR. </w:t>
            </w:r>
          </w:p>
          <w:p w14:paraId="17E89E66" w14:textId="77777777" w:rsidR="000B328B" w:rsidRPr="009809B2" w:rsidRDefault="000B328B" w:rsidP="00BE7DAD">
            <w:pPr>
              <w:spacing w:before="120" w:line="240" w:lineRule="auto"/>
              <w:rPr>
                <w:rFonts w:cs="Arial"/>
                <w:b/>
                <w:sz w:val="18"/>
                <w:szCs w:val="18"/>
                <w:lang w:val="es-CO"/>
              </w:rPr>
            </w:pPr>
            <w:r w:rsidRPr="009809B2">
              <w:rPr>
                <w:rFonts w:cs="Arial"/>
                <w:b/>
                <w:sz w:val="18"/>
                <w:szCs w:val="18"/>
                <w:lang w:val="es-CO"/>
              </w:rPr>
              <w:t>(Resolución CREG 011 de 2009)</w:t>
            </w:r>
          </w:p>
        </w:tc>
        <w:tc>
          <w:tcPr>
            <w:tcW w:w="2945" w:type="dxa"/>
            <w:vAlign w:val="center"/>
          </w:tcPr>
          <w:p w14:paraId="52115B43"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 xml:space="preserve">La actualización se realiza con el </w:t>
            </w:r>
            <w:r w:rsidRPr="009809B2">
              <w:rPr>
                <w:rFonts w:cs="Arial"/>
                <w:b/>
                <w:sz w:val="18"/>
                <w:szCs w:val="18"/>
                <w:lang w:val="es-CO"/>
              </w:rPr>
              <w:t>Índice de Precios del Productor, IPP</w:t>
            </w:r>
            <w:r w:rsidRPr="009809B2">
              <w:rPr>
                <w:rFonts w:cs="Arial"/>
                <w:sz w:val="18"/>
                <w:szCs w:val="18"/>
                <w:lang w:val="es-CO"/>
              </w:rPr>
              <w:t>.</w:t>
            </w:r>
          </w:p>
          <w:p w14:paraId="0F1BC58B" w14:textId="52439E24" w:rsidR="00F67E6A" w:rsidRPr="009809B2" w:rsidRDefault="00411204" w:rsidP="00BE7DAD">
            <w:pPr>
              <w:spacing w:before="120" w:line="240" w:lineRule="auto"/>
              <w:rPr>
                <w:rFonts w:cs="Arial"/>
                <w:sz w:val="18"/>
                <w:szCs w:val="18"/>
                <w:lang w:val="es-CO"/>
              </w:rPr>
            </w:pPr>
            <w:r w:rsidRPr="009809B2">
              <w:rPr>
                <w:rFonts w:cs="Arial"/>
                <w:sz w:val="18"/>
                <w:szCs w:val="18"/>
                <w:lang w:val="es-CO"/>
              </w:rPr>
              <w:t>Como ejemplo se muestra la fórmula del ingreso mensual del transmisor:</w:t>
            </w:r>
          </w:p>
          <w:p w14:paraId="168D3F80" w14:textId="6ECF99A5" w:rsidR="00411204" w:rsidRPr="009809B2" w:rsidRDefault="00000000" w:rsidP="00BE7DAD">
            <w:pPr>
              <w:spacing w:before="120" w:line="240" w:lineRule="auto"/>
              <w:rPr>
                <w:rFonts w:cs="Arial"/>
                <w:sz w:val="18"/>
                <w:szCs w:val="18"/>
                <w:lang w:val="es-CO"/>
              </w:rPr>
            </w:pPr>
            <m:oMathPara>
              <m:oMath>
                <m:sSub>
                  <m:sSubPr>
                    <m:ctrlPr>
                      <w:rPr>
                        <w:rFonts w:ascii="Cambria Math" w:hAnsi="Cambria Math"/>
                        <w:i/>
                        <w:sz w:val="10"/>
                        <w:szCs w:val="8"/>
                        <w:lang w:val="es-CO"/>
                      </w:rPr>
                    </m:ctrlPr>
                  </m:sSubPr>
                  <m:e>
                    <m:r>
                      <w:rPr>
                        <w:rFonts w:ascii="Cambria Math" w:hAnsi="Cambria Math"/>
                        <w:sz w:val="10"/>
                        <w:szCs w:val="8"/>
                        <w:lang w:val="es-CO"/>
                      </w:rPr>
                      <m:t>IMT</m:t>
                    </m:r>
                  </m:e>
                  <m:sub>
                    <m:r>
                      <w:rPr>
                        <w:rFonts w:ascii="Cambria Math" w:hAnsi="Cambria Math"/>
                        <w:sz w:val="10"/>
                        <w:szCs w:val="8"/>
                        <w:lang w:val="es-CO"/>
                      </w:rPr>
                      <m:t>j,m</m:t>
                    </m:r>
                  </m:sub>
                </m:sSub>
                <m:r>
                  <w:rPr>
                    <w:rFonts w:ascii="Cambria Math" w:hAnsi="Cambria Math"/>
                    <w:sz w:val="10"/>
                    <w:szCs w:val="8"/>
                    <w:lang w:val="es-CO"/>
                  </w:rPr>
                  <m:t>=</m:t>
                </m:r>
                <m:f>
                  <m:fPr>
                    <m:ctrlPr>
                      <w:rPr>
                        <w:rFonts w:ascii="Cambria Math" w:hAnsi="Cambria Math"/>
                        <w:i/>
                        <w:sz w:val="10"/>
                        <w:szCs w:val="8"/>
                        <w:lang w:val="es-CO"/>
                      </w:rPr>
                    </m:ctrlPr>
                  </m:fPr>
                  <m:num>
                    <m:r>
                      <w:rPr>
                        <w:rFonts w:ascii="Cambria Math" w:hAnsi="Cambria Math"/>
                        <w:sz w:val="10"/>
                        <w:szCs w:val="8"/>
                        <w:lang w:val="es-CO"/>
                      </w:rPr>
                      <m:t>1</m:t>
                    </m:r>
                  </m:num>
                  <m:den>
                    <m:r>
                      <w:rPr>
                        <w:rFonts w:ascii="Cambria Math" w:hAnsi="Cambria Math"/>
                        <w:sz w:val="10"/>
                        <w:szCs w:val="8"/>
                        <w:lang w:val="es-CO"/>
                      </w:rPr>
                      <m:t>12</m:t>
                    </m:r>
                  </m:den>
                </m:f>
                <m:r>
                  <w:rPr>
                    <w:rFonts w:ascii="Cambria Math" w:hAnsi="Cambria Math"/>
                    <w:sz w:val="10"/>
                    <w:szCs w:val="8"/>
                    <w:lang w:val="es-CO"/>
                  </w:rPr>
                  <m:t>*</m:t>
                </m:r>
                <m:sSub>
                  <m:sSubPr>
                    <m:ctrlPr>
                      <w:rPr>
                        <w:rFonts w:ascii="Cambria Math" w:hAnsi="Cambria Math"/>
                        <w:i/>
                        <w:sz w:val="10"/>
                        <w:szCs w:val="8"/>
                        <w:lang w:val="es-CO"/>
                      </w:rPr>
                    </m:ctrlPr>
                  </m:sSubPr>
                  <m:e>
                    <m:r>
                      <w:rPr>
                        <w:rFonts w:ascii="Cambria Math" w:hAnsi="Cambria Math"/>
                        <w:sz w:val="10"/>
                        <w:szCs w:val="8"/>
                        <w:lang w:val="es-CO"/>
                      </w:rPr>
                      <m:t>IAT</m:t>
                    </m:r>
                  </m:e>
                  <m:sub>
                    <m:r>
                      <w:rPr>
                        <w:rFonts w:ascii="Cambria Math" w:hAnsi="Cambria Math"/>
                        <w:sz w:val="10"/>
                        <w:szCs w:val="8"/>
                        <w:lang w:val="es-CO"/>
                      </w:rPr>
                      <m:t>j</m:t>
                    </m:r>
                  </m:sub>
                </m:sSub>
                <m:r>
                  <w:rPr>
                    <w:rFonts w:ascii="Cambria Math" w:hAnsi="Cambria Math"/>
                    <w:sz w:val="10"/>
                    <w:szCs w:val="8"/>
                    <w:lang w:val="es-CO"/>
                  </w:rPr>
                  <m:t>*</m:t>
                </m:r>
                <m:f>
                  <m:fPr>
                    <m:ctrlPr>
                      <w:rPr>
                        <w:rFonts w:ascii="Cambria Math" w:hAnsi="Cambria Math"/>
                        <w:b/>
                        <w:bCs/>
                        <w:i/>
                        <w:sz w:val="10"/>
                        <w:szCs w:val="8"/>
                        <w:lang w:val="es-CO"/>
                      </w:rPr>
                    </m:ctrlPr>
                  </m:fPr>
                  <m:num>
                    <m:sSub>
                      <m:sSubPr>
                        <m:ctrlPr>
                          <w:rPr>
                            <w:rFonts w:ascii="Cambria Math" w:hAnsi="Cambria Math"/>
                            <w:b/>
                            <w:bCs/>
                            <w:i/>
                            <w:sz w:val="10"/>
                            <w:szCs w:val="8"/>
                            <w:lang w:val="es-CO"/>
                          </w:rPr>
                        </m:ctrlPr>
                      </m:sSubPr>
                      <m:e>
                        <m:r>
                          <m:rPr>
                            <m:sty m:val="bi"/>
                          </m:rPr>
                          <w:rPr>
                            <w:rFonts w:ascii="Cambria Math" w:hAnsi="Cambria Math"/>
                            <w:sz w:val="10"/>
                            <w:szCs w:val="8"/>
                            <w:lang w:val="es-CO"/>
                          </w:rPr>
                          <m:t>IPP</m:t>
                        </m:r>
                      </m:e>
                      <m:sub>
                        <m:r>
                          <m:rPr>
                            <m:sty m:val="bi"/>
                          </m:rPr>
                          <w:rPr>
                            <w:rFonts w:ascii="Cambria Math" w:hAnsi="Cambria Math"/>
                            <w:sz w:val="10"/>
                            <w:szCs w:val="8"/>
                            <w:lang w:val="es-CO"/>
                          </w:rPr>
                          <m:t>m-1</m:t>
                        </m:r>
                      </m:sub>
                    </m:sSub>
                  </m:num>
                  <m:den>
                    <m:sSub>
                      <m:sSubPr>
                        <m:ctrlPr>
                          <w:rPr>
                            <w:rFonts w:ascii="Cambria Math" w:hAnsi="Cambria Math"/>
                            <w:b/>
                            <w:bCs/>
                            <w:i/>
                            <w:sz w:val="10"/>
                            <w:szCs w:val="8"/>
                            <w:lang w:val="es-CO"/>
                          </w:rPr>
                        </m:ctrlPr>
                      </m:sSubPr>
                      <m:e>
                        <m:r>
                          <m:rPr>
                            <m:sty m:val="bi"/>
                          </m:rPr>
                          <w:rPr>
                            <w:rFonts w:ascii="Cambria Math" w:hAnsi="Cambria Math"/>
                            <w:sz w:val="10"/>
                            <w:szCs w:val="8"/>
                            <w:lang w:val="es-CO"/>
                          </w:rPr>
                          <m:t>IPP</m:t>
                        </m:r>
                      </m:e>
                      <m:sub>
                        <m:r>
                          <m:rPr>
                            <m:sty m:val="bi"/>
                          </m:rPr>
                          <w:rPr>
                            <w:rFonts w:ascii="Cambria Math" w:hAnsi="Cambria Math"/>
                            <w:sz w:val="10"/>
                            <w:szCs w:val="8"/>
                            <w:lang w:val="es-CO"/>
                          </w:rPr>
                          <m:t>0</m:t>
                        </m:r>
                      </m:sub>
                    </m:sSub>
                  </m:den>
                </m:f>
                <m:r>
                  <w:rPr>
                    <w:rFonts w:ascii="Cambria Math" w:hAnsi="Cambria Math"/>
                    <w:sz w:val="10"/>
                    <w:szCs w:val="8"/>
                    <w:lang w:val="es-CO"/>
                  </w:rPr>
                  <m:t>+</m:t>
                </m:r>
                <m:sSub>
                  <m:sSubPr>
                    <m:ctrlPr>
                      <w:rPr>
                        <w:rFonts w:ascii="Cambria Math" w:hAnsi="Cambria Math"/>
                        <w:i/>
                        <w:sz w:val="10"/>
                        <w:szCs w:val="8"/>
                        <w:lang w:val="es-CO"/>
                      </w:rPr>
                    </m:ctrlPr>
                  </m:sSubPr>
                  <m:e>
                    <m:r>
                      <w:rPr>
                        <w:rFonts w:ascii="Cambria Math" w:hAnsi="Cambria Math"/>
                        <w:sz w:val="10"/>
                        <w:szCs w:val="8"/>
                        <w:lang w:val="es-CO"/>
                      </w:rPr>
                      <m:t>IE</m:t>
                    </m:r>
                  </m:e>
                  <m:sub>
                    <m:r>
                      <w:rPr>
                        <w:rFonts w:ascii="Cambria Math" w:hAnsi="Cambria Math"/>
                        <w:sz w:val="10"/>
                        <w:szCs w:val="8"/>
                        <w:lang w:val="es-CO"/>
                      </w:rPr>
                      <m:t>j,m</m:t>
                    </m:r>
                  </m:sub>
                </m:sSub>
                <m:r>
                  <w:rPr>
                    <w:rFonts w:ascii="Cambria Math" w:hAnsi="Cambria Math"/>
                    <w:sz w:val="10"/>
                    <w:szCs w:val="8"/>
                    <w:lang w:val="es-CO"/>
                  </w:rPr>
                  <m:t>-</m:t>
                </m:r>
                <m:sSub>
                  <m:sSubPr>
                    <m:ctrlPr>
                      <w:rPr>
                        <w:rFonts w:ascii="Cambria Math" w:hAnsi="Cambria Math"/>
                        <w:i/>
                        <w:sz w:val="10"/>
                        <w:szCs w:val="8"/>
                        <w:lang w:val="es-CO"/>
                      </w:rPr>
                    </m:ctrlPr>
                  </m:sSubPr>
                  <m:e>
                    <m:r>
                      <w:rPr>
                        <w:rFonts w:ascii="Cambria Math" w:hAnsi="Cambria Math"/>
                        <w:sz w:val="10"/>
                        <w:szCs w:val="8"/>
                        <w:lang w:val="es-CO"/>
                      </w:rPr>
                      <m:t>VMC</m:t>
                    </m:r>
                  </m:e>
                  <m:sub>
                    <m:r>
                      <w:rPr>
                        <w:rFonts w:ascii="Cambria Math" w:hAnsi="Cambria Math"/>
                        <w:sz w:val="10"/>
                        <w:szCs w:val="8"/>
                        <w:lang w:val="es-CO"/>
                      </w:rPr>
                      <m:t>j,m</m:t>
                    </m:r>
                  </m:sub>
                </m:sSub>
              </m:oMath>
            </m:oMathPara>
          </w:p>
          <w:p w14:paraId="7EE6F99F" w14:textId="2FD1340A" w:rsidR="000B328B" w:rsidRPr="009809B2" w:rsidRDefault="00D62F43" w:rsidP="00BE7DAD">
            <w:pPr>
              <w:spacing w:before="120" w:line="240" w:lineRule="auto"/>
              <w:rPr>
                <w:rFonts w:cs="Arial"/>
                <w:sz w:val="18"/>
                <w:szCs w:val="18"/>
                <w:lang w:val="es-CO"/>
              </w:rPr>
            </w:pPr>
            <w:r w:rsidRPr="009809B2">
              <w:rPr>
                <w:rFonts w:cs="Arial"/>
                <w:sz w:val="18"/>
                <w:szCs w:val="18"/>
                <w:lang w:val="es-CO"/>
              </w:rPr>
              <w:t>El costo de transmisión d</w:t>
            </w:r>
            <w:r w:rsidR="000B328B" w:rsidRPr="009809B2">
              <w:rPr>
                <w:rFonts w:cs="Arial"/>
                <w:sz w:val="18"/>
                <w:szCs w:val="18"/>
                <w:lang w:val="es-CO"/>
              </w:rPr>
              <w:t>epende de la cantidad de energía transmitida y, por este motivo, puede tener leves cambios de costo.</w:t>
            </w:r>
          </w:p>
        </w:tc>
      </w:tr>
      <w:tr w:rsidR="000B328B" w:rsidRPr="009809B2" w14:paraId="393399A5" w14:textId="77777777" w:rsidTr="004F2EA4">
        <w:trPr>
          <w:jc w:val="center"/>
        </w:trPr>
        <w:tc>
          <w:tcPr>
            <w:tcW w:w="1275" w:type="dxa"/>
            <w:vAlign w:val="center"/>
          </w:tcPr>
          <w:p w14:paraId="5BAC0496" w14:textId="77777777" w:rsidR="000B328B" w:rsidRPr="009809B2" w:rsidRDefault="000B328B" w:rsidP="00BE7DAD">
            <w:pPr>
              <w:jc w:val="center"/>
              <w:rPr>
                <w:rFonts w:cs="Arial"/>
                <w:sz w:val="20"/>
                <w:lang w:val="es-CO"/>
              </w:rPr>
            </w:pPr>
            <w:r w:rsidRPr="009809B2">
              <w:rPr>
                <w:rFonts w:cs="Arial"/>
                <w:noProof/>
                <w:sz w:val="20"/>
                <w:lang w:val="es-CO"/>
              </w:rPr>
              <w:drawing>
                <wp:inline distT="0" distB="0" distL="0" distR="0" wp14:anchorId="04C6EADE" wp14:editId="5E2D0BE1">
                  <wp:extent cx="438150" cy="334645"/>
                  <wp:effectExtent l="0" t="0" r="635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334645"/>
                          </a:xfrm>
                          <a:prstGeom prst="rect">
                            <a:avLst/>
                          </a:prstGeom>
                          <a:noFill/>
                          <a:ln>
                            <a:noFill/>
                          </a:ln>
                        </pic:spPr>
                      </pic:pic>
                    </a:graphicData>
                  </a:graphic>
                </wp:inline>
              </w:drawing>
            </w:r>
          </w:p>
        </w:tc>
        <w:tc>
          <w:tcPr>
            <w:tcW w:w="1697" w:type="dxa"/>
            <w:vAlign w:val="center"/>
          </w:tcPr>
          <w:p w14:paraId="7138DD02"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Costo por uso de Sistemas de Distribución ($/kWh) correspondiente al nivel de tensión n para el mes m.</w:t>
            </w:r>
          </w:p>
          <w:p w14:paraId="2D8392DC"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Los niveles de tensión son 1, 2, 3 y 4.  En general, los usuarios residenciales están conectados al nivel 1.</w:t>
            </w:r>
          </w:p>
        </w:tc>
        <w:tc>
          <w:tcPr>
            <w:tcW w:w="2977" w:type="dxa"/>
            <w:vAlign w:val="center"/>
          </w:tcPr>
          <w:p w14:paraId="2BA5C296"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Corresponde al valor que se paga por transportar la energía desde el STN hasta el usuario final a través de los STR y los Sistemas de Distribución Local, SDL.   Estos valores se definen por la CREG para cada empresa distribuidora (operador de red).</w:t>
            </w:r>
          </w:p>
          <w:p w14:paraId="1126C4F8"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 xml:space="preserve">Dadas las diferencias en el valor de este componente entre los 29 operadores de red del país, el Ministerio de Minas y Energía, MME, ordenó la creación de Áreas de Distribución de Energía Eléctrica, </w:t>
            </w:r>
            <w:r w:rsidRPr="009809B2">
              <w:rPr>
                <w:rFonts w:cs="Arial"/>
                <w:sz w:val="18"/>
                <w:szCs w:val="18"/>
                <w:lang w:val="es-CO"/>
              </w:rPr>
              <w:lastRenderedPageBreak/>
              <w:t>ADD, con el objeto de unificar el cargo al interior de una misma ADD.</w:t>
            </w:r>
          </w:p>
          <w:p w14:paraId="175F14B8"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 xml:space="preserve">De esta manera, se conformaron cuatro ADD donde, al interior de una misma ADD se encuentran varios Operadores de Red, cada uno con un costo particular, costos que son combinados para obtener un cargo único para todos los usuarios de cada ADD. </w:t>
            </w:r>
          </w:p>
          <w:p w14:paraId="35AA9A48" w14:textId="77777777" w:rsidR="000B328B" w:rsidRPr="009809B2" w:rsidRDefault="000B328B" w:rsidP="00BE7DAD">
            <w:pPr>
              <w:spacing w:line="240" w:lineRule="auto"/>
              <w:rPr>
                <w:rFonts w:cs="Arial"/>
                <w:b/>
                <w:sz w:val="18"/>
                <w:szCs w:val="18"/>
                <w:lang w:val="es-CO"/>
              </w:rPr>
            </w:pPr>
            <w:r w:rsidRPr="009809B2">
              <w:rPr>
                <w:rFonts w:cs="Arial"/>
                <w:b/>
                <w:sz w:val="18"/>
                <w:szCs w:val="18"/>
                <w:lang w:val="es-CO"/>
              </w:rPr>
              <w:t>(Resolución CREG 015 de 2018)</w:t>
            </w:r>
          </w:p>
          <w:p w14:paraId="6CED81E9" w14:textId="77777777" w:rsidR="000B328B" w:rsidRPr="009809B2" w:rsidRDefault="000B328B" w:rsidP="00BE7DAD">
            <w:pPr>
              <w:spacing w:line="240" w:lineRule="auto"/>
              <w:rPr>
                <w:rFonts w:cs="Arial"/>
                <w:sz w:val="18"/>
                <w:szCs w:val="18"/>
                <w:lang w:val="es-CO"/>
              </w:rPr>
            </w:pPr>
            <w:r w:rsidRPr="009809B2">
              <w:rPr>
                <w:rFonts w:cs="Arial"/>
                <w:b/>
                <w:sz w:val="18"/>
                <w:szCs w:val="18"/>
                <w:lang w:val="es-CO"/>
              </w:rPr>
              <w:t>(Resolución CREG 058 de 2008)</w:t>
            </w:r>
          </w:p>
        </w:tc>
        <w:tc>
          <w:tcPr>
            <w:tcW w:w="2945" w:type="dxa"/>
            <w:vAlign w:val="center"/>
          </w:tcPr>
          <w:p w14:paraId="6E9DCBF7"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lastRenderedPageBreak/>
              <w:t xml:space="preserve">La actualización se realiza con el </w:t>
            </w:r>
            <w:r w:rsidRPr="009809B2">
              <w:rPr>
                <w:rFonts w:cs="Arial"/>
                <w:b/>
                <w:sz w:val="18"/>
                <w:szCs w:val="18"/>
                <w:lang w:val="es-CO"/>
              </w:rPr>
              <w:t>Índice de Precios del Productor, IPP</w:t>
            </w:r>
            <w:r w:rsidRPr="009809B2">
              <w:rPr>
                <w:rFonts w:cs="Arial"/>
                <w:sz w:val="18"/>
                <w:szCs w:val="18"/>
                <w:lang w:val="es-CO"/>
              </w:rPr>
              <w:t>.</w:t>
            </w:r>
          </w:p>
          <w:p w14:paraId="3DC7DBBF" w14:textId="26E54528" w:rsidR="00A917ED" w:rsidRPr="009809B2" w:rsidRDefault="00A917ED" w:rsidP="00A917ED">
            <w:pPr>
              <w:spacing w:before="120" w:line="240" w:lineRule="auto"/>
              <w:rPr>
                <w:rFonts w:cs="Arial"/>
                <w:sz w:val="18"/>
                <w:szCs w:val="18"/>
                <w:lang w:val="es-CO"/>
              </w:rPr>
            </w:pPr>
            <w:r w:rsidRPr="009809B2">
              <w:rPr>
                <w:rFonts w:cs="Arial"/>
                <w:sz w:val="18"/>
                <w:szCs w:val="18"/>
                <w:lang w:val="es-CO"/>
              </w:rPr>
              <w:t>Como ejemplo, se muestra la fórmula del ingreso mensual de nivel de tensión 1 de un operador de red:</w:t>
            </w:r>
          </w:p>
          <w:p w14:paraId="60CA8263" w14:textId="65B45CC8" w:rsidR="00A917ED" w:rsidRPr="009809B2" w:rsidRDefault="00000000" w:rsidP="00BE7DAD">
            <w:pPr>
              <w:spacing w:before="120" w:line="240" w:lineRule="auto"/>
              <w:rPr>
                <w:rFonts w:cs="Arial"/>
                <w:sz w:val="18"/>
                <w:szCs w:val="18"/>
                <w:lang w:val="es-CO"/>
              </w:rPr>
            </w:pPr>
            <m:oMathPara>
              <m:oMath>
                <m:sSub>
                  <m:sSubPr>
                    <m:ctrlPr>
                      <w:rPr>
                        <w:rFonts w:ascii="Cambria Math" w:hAnsi="Cambria Math"/>
                        <w:i/>
                        <w:sz w:val="10"/>
                        <w:szCs w:val="10"/>
                        <w:lang w:val="es-CO"/>
                      </w:rPr>
                    </m:ctrlPr>
                  </m:sSubPr>
                  <m:e>
                    <m:r>
                      <w:rPr>
                        <w:rFonts w:ascii="Cambria Math" w:hAnsi="Cambria Math"/>
                        <w:sz w:val="10"/>
                        <w:szCs w:val="10"/>
                        <w:lang w:val="es-CO"/>
                      </w:rPr>
                      <m:t>IA</m:t>
                    </m:r>
                  </m:e>
                  <m:sub>
                    <m:r>
                      <w:rPr>
                        <w:rFonts w:ascii="Cambria Math" w:hAnsi="Cambria Math"/>
                        <w:sz w:val="10"/>
                        <w:szCs w:val="10"/>
                        <w:lang w:val="es-CO"/>
                      </w:rPr>
                      <m:t>j,1</m:t>
                    </m:r>
                    <m:r>
                      <w:rPr>
                        <w:rFonts w:ascii="Cambria Math"/>
                        <w:sz w:val="10"/>
                        <w:szCs w:val="10"/>
                        <w:lang w:val="es-CO"/>
                      </w:rPr>
                      <m:t>,m,</m:t>
                    </m:r>
                    <m:r>
                      <w:rPr>
                        <w:rFonts w:ascii="Cambria Math" w:hAnsi="Cambria Math"/>
                        <w:sz w:val="10"/>
                        <w:szCs w:val="10"/>
                        <w:lang w:val="es-CO"/>
                      </w:rPr>
                      <m:t>t</m:t>
                    </m:r>
                  </m:sub>
                </m:sSub>
                <m:r>
                  <w:rPr>
                    <w:rFonts w:ascii="Cambria Math"/>
                    <w:sz w:val="10"/>
                    <w:szCs w:val="10"/>
                    <w:lang w:val="es-CO"/>
                  </w:rPr>
                  <m:t>=</m:t>
                </m:r>
                <m:d>
                  <m:dPr>
                    <m:begChr m:val="["/>
                    <m:endChr m:val="]"/>
                    <m:ctrlPr>
                      <w:rPr>
                        <w:rFonts w:ascii="Cambria Math" w:hAnsi="Cambria Math"/>
                        <w:i/>
                        <w:sz w:val="10"/>
                        <w:szCs w:val="10"/>
                        <w:lang w:val="es-CO"/>
                      </w:rPr>
                    </m:ctrlPr>
                  </m:dPr>
                  <m:e>
                    <m:sSub>
                      <m:sSubPr>
                        <m:ctrlPr>
                          <w:rPr>
                            <w:rFonts w:ascii="Cambria Math" w:hAnsi="Cambria Math"/>
                            <w:sz w:val="10"/>
                            <w:szCs w:val="10"/>
                            <w:lang w:val="es-CO"/>
                          </w:rPr>
                        </m:ctrlPr>
                      </m:sSubPr>
                      <m:e>
                        <m:r>
                          <w:rPr>
                            <w:rFonts w:ascii="Cambria Math" w:hAnsi="Cambria Math"/>
                            <w:sz w:val="10"/>
                            <w:szCs w:val="10"/>
                            <w:lang w:val="es-CO"/>
                          </w:rPr>
                          <m:t>IAA</m:t>
                        </m:r>
                      </m:e>
                      <m:sub>
                        <m:r>
                          <w:rPr>
                            <w:rFonts w:ascii="Cambria Math" w:hAnsi="Cambria Math"/>
                            <w:sz w:val="10"/>
                            <w:szCs w:val="10"/>
                            <w:lang w:val="es-CO"/>
                          </w:rPr>
                          <m:t>j</m:t>
                        </m:r>
                        <m:r>
                          <m:rPr>
                            <m:sty m:val="p"/>
                          </m:rPr>
                          <w:rPr>
                            <w:rFonts w:ascii="Cambria Math" w:hAnsi="Cambria Math"/>
                            <w:sz w:val="10"/>
                            <w:szCs w:val="10"/>
                            <w:lang w:val="es-CO"/>
                          </w:rPr>
                          <m:t>,1,</m:t>
                        </m:r>
                        <m:r>
                          <w:rPr>
                            <w:rFonts w:ascii="Cambria Math" w:hAnsi="Cambria Math"/>
                            <w:sz w:val="10"/>
                            <w:szCs w:val="10"/>
                            <w:lang w:val="es-CO"/>
                          </w:rPr>
                          <m:t>t</m:t>
                        </m:r>
                      </m:sub>
                    </m:sSub>
                    <m:r>
                      <m:rPr>
                        <m:sty m:val="p"/>
                      </m:rPr>
                      <w:rPr>
                        <w:rFonts w:ascii="Cambria Math" w:hAnsi="Cambria Math"/>
                        <w:sz w:val="10"/>
                        <w:szCs w:val="10"/>
                        <w:lang w:val="es-CO"/>
                      </w:rPr>
                      <m:t>*</m:t>
                    </m:r>
                    <m:r>
                      <w:rPr>
                        <w:rFonts w:ascii="Cambria Math" w:hAnsi="Cambria Math"/>
                        <w:sz w:val="10"/>
                        <w:szCs w:val="10"/>
                        <w:lang w:val="es-CO"/>
                      </w:rPr>
                      <m:t>fM</m:t>
                    </m:r>
                    <m:r>
                      <m:rPr>
                        <m:sty m:val="p"/>
                      </m:rPr>
                      <w:rPr>
                        <w:rFonts w:ascii="Cambria Math" w:hAnsi="Cambria Math"/>
                        <w:sz w:val="10"/>
                        <w:szCs w:val="10"/>
                        <w:lang w:val="es-CO"/>
                      </w:rPr>
                      <m:t>-</m:t>
                    </m:r>
                    <m:f>
                      <m:fPr>
                        <m:ctrlPr>
                          <w:rPr>
                            <w:rFonts w:ascii="Cambria Math" w:hAnsi="Cambria Math"/>
                            <w:sz w:val="10"/>
                            <w:szCs w:val="10"/>
                            <w:lang w:val="es-CO"/>
                          </w:rPr>
                        </m:ctrlPr>
                      </m:fPr>
                      <m:num>
                        <m:sSub>
                          <m:sSubPr>
                            <m:ctrlPr>
                              <w:rPr>
                                <w:rFonts w:ascii="Cambria Math" w:hAnsi="Cambria Math"/>
                                <w:sz w:val="10"/>
                                <w:szCs w:val="10"/>
                                <w:lang w:val="es-CO"/>
                              </w:rPr>
                            </m:ctrlPr>
                          </m:sSubPr>
                          <m:e>
                            <m:r>
                              <w:rPr>
                                <w:rFonts w:ascii="Cambria Math" w:hAnsi="Cambria Math"/>
                                <w:sz w:val="10"/>
                                <w:szCs w:val="10"/>
                                <w:lang w:val="es-CO"/>
                              </w:rPr>
                              <m:t xml:space="preserve"> IRM</m:t>
                            </m:r>
                          </m:e>
                          <m:sub>
                            <m:r>
                              <w:rPr>
                                <w:rFonts w:ascii="Cambria Math" w:hAnsi="Cambria Math"/>
                                <w:sz w:val="10"/>
                                <w:szCs w:val="10"/>
                                <w:lang w:val="es-CO"/>
                              </w:rPr>
                              <m:t xml:space="preserve"> j</m:t>
                            </m:r>
                            <m:r>
                              <m:rPr>
                                <m:sty m:val="p"/>
                              </m:rPr>
                              <w:rPr>
                                <w:rFonts w:ascii="Cambria Math" w:hAnsi="Cambria Math"/>
                                <w:sz w:val="10"/>
                                <w:szCs w:val="10"/>
                                <w:lang w:val="es-CO"/>
                              </w:rPr>
                              <m:t>,1,</m:t>
                            </m:r>
                            <m:r>
                              <w:rPr>
                                <w:rFonts w:ascii="Cambria Math" w:hAnsi="Cambria Math"/>
                                <w:sz w:val="10"/>
                                <w:szCs w:val="10"/>
                                <w:lang w:val="es-CO"/>
                              </w:rPr>
                              <m:t>t</m:t>
                            </m:r>
                          </m:sub>
                        </m:sSub>
                        <m:r>
                          <w:rPr>
                            <w:rFonts w:ascii="Cambria Math" w:hAnsi="Cambria Math"/>
                            <w:sz w:val="10"/>
                            <w:szCs w:val="10"/>
                            <w:lang w:val="es-CO"/>
                          </w:rPr>
                          <m:t>+</m:t>
                        </m:r>
                        <m:sSub>
                          <m:sSubPr>
                            <m:ctrlPr>
                              <w:rPr>
                                <w:rFonts w:ascii="Cambria Math" w:hAnsi="Cambria Math"/>
                                <w:i/>
                                <w:sz w:val="10"/>
                                <w:szCs w:val="10"/>
                                <w:lang w:val="es-CO"/>
                              </w:rPr>
                            </m:ctrlPr>
                          </m:sSubPr>
                          <m:e>
                            <m:r>
                              <w:rPr>
                                <w:rFonts w:ascii="Cambria Math" w:hAnsi="Cambria Math"/>
                                <w:sz w:val="10"/>
                                <w:szCs w:val="10"/>
                                <w:lang w:val="es-CO"/>
                              </w:rPr>
                              <m:t>OI</m:t>
                            </m:r>
                          </m:e>
                          <m:sub>
                            <m:r>
                              <w:rPr>
                                <w:rFonts w:ascii="Cambria Math" w:hAnsi="Cambria Math"/>
                                <w:sz w:val="10"/>
                                <w:szCs w:val="10"/>
                                <w:lang w:val="es-CO"/>
                              </w:rPr>
                              <m:t>j,1,t-1</m:t>
                            </m:r>
                          </m:sub>
                        </m:sSub>
                      </m:num>
                      <m:den>
                        <m:r>
                          <w:rPr>
                            <w:rFonts w:ascii="Cambria Math" w:hAnsi="Cambria Math"/>
                            <w:sz w:val="10"/>
                            <w:szCs w:val="10"/>
                            <w:lang w:val="es-CO"/>
                          </w:rPr>
                          <m:t>12</m:t>
                        </m:r>
                      </m:den>
                    </m:f>
                  </m:e>
                </m:d>
                <m:r>
                  <w:rPr>
                    <w:rFonts w:ascii="Cambria Math" w:hAnsi="Cambria Math"/>
                    <w:sz w:val="10"/>
                    <w:szCs w:val="10"/>
                    <w:lang w:val="es-CO"/>
                  </w:rPr>
                  <m:t>*</m:t>
                </m:r>
                <m:f>
                  <m:fPr>
                    <m:ctrlPr>
                      <w:rPr>
                        <w:rFonts w:ascii="Cambria Math" w:hAnsi="Cambria Math"/>
                        <w:b/>
                        <w:bCs/>
                        <w:i/>
                        <w:sz w:val="10"/>
                        <w:szCs w:val="10"/>
                        <w:lang w:val="es-CO"/>
                      </w:rPr>
                    </m:ctrlPr>
                  </m:fPr>
                  <m:num>
                    <m:sSub>
                      <m:sSubPr>
                        <m:ctrlPr>
                          <w:rPr>
                            <w:rFonts w:ascii="Cambria Math" w:hAnsi="Cambria Math"/>
                            <w:b/>
                            <w:bCs/>
                            <w:i/>
                            <w:sz w:val="10"/>
                            <w:szCs w:val="10"/>
                            <w:lang w:val="es-CO"/>
                          </w:rPr>
                        </m:ctrlPr>
                      </m:sSubPr>
                      <m:e>
                        <m:r>
                          <m:rPr>
                            <m:sty m:val="bi"/>
                          </m:rPr>
                          <w:rPr>
                            <w:rFonts w:ascii="Cambria Math" w:hAnsi="Cambria Math"/>
                            <w:sz w:val="10"/>
                            <w:szCs w:val="10"/>
                            <w:lang w:val="es-CO"/>
                          </w:rPr>
                          <m:t>IPP</m:t>
                        </m:r>
                      </m:e>
                      <m:sub>
                        <m:r>
                          <m:rPr>
                            <m:sty m:val="bi"/>
                          </m:rPr>
                          <w:rPr>
                            <w:rFonts w:ascii="Cambria Math" w:hAnsi="Cambria Math"/>
                            <w:sz w:val="10"/>
                            <w:szCs w:val="10"/>
                            <w:lang w:val="es-CO"/>
                          </w:rPr>
                          <m:t>m-</m:t>
                        </m:r>
                        <m:r>
                          <m:rPr>
                            <m:sty m:val="bi"/>
                          </m:rPr>
                          <w:rPr>
                            <w:rFonts w:ascii="Cambria Math"/>
                            <w:sz w:val="10"/>
                            <w:szCs w:val="10"/>
                            <w:lang w:val="es-CO"/>
                          </w:rPr>
                          <m:t>1</m:t>
                        </m:r>
                      </m:sub>
                    </m:sSub>
                  </m:num>
                  <m:den>
                    <m:sSub>
                      <m:sSubPr>
                        <m:ctrlPr>
                          <w:rPr>
                            <w:rFonts w:ascii="Cambria Math" w:hAnsi="Cambria Math"/>
                            <w:b/>
                            <w:bCs/>
                            <w:i/>
                            <w:sz w:val="10"/>
                            <w:szCs w:val="10"/>
                            <w:lang w:val="es-CO"/>
                          </w:rPr>
                        </m:ctrlPr>
                      </m:sSubPr>
                      <m:e>
                        <m:r>
                          <m:rPr>
                            <m:sty m:val="bi"/>
                          </m:rPr>
                          <w:rPr>
                            <w:rFonts w:ascii="Cambria Math" w:hAnsi="Cambria Math"/>
                            <w:sz w:val="10"/>
                            <w:szCs w:val="10"/>
                            <w:lang w:val="es-CO"/>
                          </w:rPr>
                          <m:t>IPP</m:t>
                        </m:r>
                      </m:e>
                      <m:sub>
                        <m:r>
                          <m:rPr>
                            <m:sty m:val="bi"/>
                          </m:rPr>
                          <w:rPr>
                            <w:rFonts w:ascii="Cambria Math"/>
                            <w:sz w:val="10"/>
                            <w:szCs w:val="10"/>
                            <w:lang w:val="es-CO"/>
                          </w:rPr>
                          <m:t>0</m:t>
                        </m:r>
                      </m:sub>
                    </m:sSub>
                  </m:den>
                </m:f>
              </m:oMath>
            </m:oMathPara>
          </w:p>
          <w:p w14:paraId="36A6BA8B"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Varía mensualmente.</w:t>
            </w:r>
          </w:p>
          <w:p w14:paraId="354F2B0E"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 xml:space="preserve">Por la creación de las ADD, en las áreas donde se unificó el cargo se presentaron variaciones para los usuarios. (Los que tenían cargos superiores al unificado del ADD </w:t>
            </w:r>
            <w:r w:rsidRPr="009809B2">
              <w:rPr>
                <w:rFonts w:cs="Arial"/>
                <w:sz w:val="18"/>
                <w:szCs w:val="18"/>
                <w:lang w:val="es-CO"/>
              </w:rPr>
              <w:lastRenderedPageBreak/>
              <w:t>tuvieron disminuciones mientras que los que tenían cargos inferiores al del ADD presentaron incrementos).</w:t>
            </w:r>
          </w:p>
        </w:tc>
      </w:tr>
      <w:tr w:rsidR="000B328B" w:rsidRPr="009809B2" w14:paraId="708EAFB5" w14:textId="77777777" w:rsidTr="004F2EA4">
        <w:trPr>
          <w:jc w:val="center"/>
        </w:trPr>
        <w:tc>
          <w:tcPr>
            <w:tcW w:w="1275" w:type="dxa"/>
            <w:vAlign w:val="center"/>
          </w:tcPr>
          <w:p w14:paraId="0B9A1574" w14:textId="77777777" w:rsidR="000B328B" w:rsidRPr="009809B2" w:rsidRDefault="000B328B" w:rsidP="00BE7DAD">
            <w:pPr>
              <w:jc w:val="center"/>
              <w:rPr>
                <w:rFonts w:cs="Arial"/>
                <w:sz w:val="20"/>
                <w:lang w:val="es-CO"/>
              </w:rPr>
            </w:pPr>
            <w:r w:rsidRPr="009809B2">
              <w:rPr>
                <w:rFonts w:cs="Arial"/>
                <w:noProof/>
                <w:sz w:val="20"/>
                <w:lang w:val="es-CO"/>
              </w:rPr>
              <w:lastRenderedPageBreak/>
              <w:drawing>
                <wp:inline distT="0" distB="0" distL="0" distR="0" wp14:anchorId="012DB0A7" wp14:editId="50DE9816">
                  <wp:extent cx="618490" cy="347980"/>
                  <wp:effectExtent l="0" t="0" r="381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490" cy="347980"/>
                          </a:xfrm>
                          <a:prstGeom prst="rect">
                            <a:avLst/>
                          </a:prstGeom>
                          <a:noFill/>
                          <a:ln>
                            <a:noFill/>
                          </a:ln>
                        </pic:spPr>
                      </pic:pic>
                    </a:graphicData>
                  </a:graphic>
                </wp:inline>
              </w:drawing>
            </w:r>
          </w:p>
        </w:tc>
        <w:tc>
          <w:tcPr>
            <w:tcW w:w="1697" w:type="dxa"/>
            <w:vAlign w:val="center"/>
          </w:tcPr>
          <w:p w14:paraId="3135B3B2"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Margen de Comercialización correspondiente al mes m, del Comercializador Minorista, expresado en ($/kWh).</w:t>
            </w:r>
          </w:p>
        </w:tc>
        <w:tc>
          <w:tcPr>
            <w:tcW w:w="2977" w:type="dxa"/>
            <w:vAlign w:val="center"/>
          </w:tcPr>
          <w:p w14:paraId="743B821C"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Remunera los costos variables asociados con la comercialización de la energía, tales como el margen de la actividad, riesgo de cartera, pagos al Administrador del Mercado y al Centro Nacional de Despacho, así como las contribuciones a la CREG y a la SSPD y los costos de atención comercial del usuario.</w:t>
            </w:r>
          </w:p>
          <w:p w14:paraId="29FB7332" w14:textId="77777777" w:rsidR="000B328B" w:rsidRPr="009809B2" w:rsidRDefault="000B328B" w:rsidP="00BE7DAD">
            <w:pPr>
              <w:spacing w:before="120" w:line="240" w:lineRule="auto"/>
              <w:rPr>
                <w:rFonts w:cs="Arial"/>
                <w:sz w:val="18"/>
                <w:szCs w:val="18"/>
                <w:lang w:val="es-CO"/>
              </w:rPr>
            </w:pPr>
            <w:r w:rsidRPr="009809B2">
              <w:rPr>
                <w:rFonts w:cs="Arial"/>
                <w:b/>
                <w:sz w:val="18"/>
                <w:szCs w:val="18"/>
                <w:lang w:val="es-CO"/>
              </w:rPr>
              <w:t>(Resoluciones CREG 180 y 191 de 2014)</w:t>
            </w:r>
          </w:p>
        </w:tc>
        <w:tc>
          <w:tcPr>
            <w:tcW w:w="2945" w:type="dxa"/>
            <w:vAlign w:val="center"/>
          </w:tcPr>
          <w:p w14:paraId="2E7F04EE" w14:textId="77777777" w:rsidR="000B328B" w:rsidRPr="009809B2" w:rsidRDefault="000B328B" w:rsidP="00BE7DAD">
            <w:pPr>
              <w:spacing w:before="120" w:line="240" w:lineRule="auto"/>
              <w:rPr>
                <w:rFonts w:cs="Arial"/>
                <w:b/>
                <w:sz w:val="18"/>
                <w:szCs w:val="18"/>
                <w:lang w:val="es-CO"/>
              </w:rPr>
            </w:pPr>
            <w:r w:rsidRPr="009809B2">
              <w:rPr>
                <w:rFonts w:cs="Arial"/>
                <w:sz w:val="18"/>
                <w:szCs w:val="18"/>
                <w:lang w:val="es-CO"/>
              </w:rPr>
              <w:t xml:space="preserve">La actualización se realiza con el </w:t>
            </w:r>
            <w:r w:rsidRPr="009809B2">
              <w:rPr>
                <w:rFonts w:cs="Arial"/>
                <w:b/>
                <w:sz w:val="18"/>
                <w:szCs w:val="18"/>
                <w:lang w:val="es-CO"/>
              </w:rPr>
              <w:t>Índice de Precios al Consumidor, IPC.</w:t>
            </w:r>
          </w:p>
          <w:p w14:paraId="69AA87C3" w14:textId="79B8D7D1" w:rsidR="008F246D" w:rsidRPr="009809B2" w:rsidRDefault="008F246D" w:rsidP="00BE7DAD">
            <w:pPr>
              <w:spacing w:before="120" w:line="240" w:lineRule="auto"/>
              <w:rPr>
                <w:rFonts w:cs="Arial"/>
                <w:color w:val="000000"/>
                <w:sz w:val="18"/>
                <w:szCs w:val="18"/>
                <w:lang w:val="es-CO"/>
              </w:rPr>
            </w:pPr>
            <w:r w:rsidRPr="009809B2">
              <w:rPr>
                <w:rFonts w:cs="Arial"/>
                <w:color w:val="000000"/>
                <w:sz w:val="18"/>
                <w:szCs w:val="18"/>
                <w:lang w:val="es-CO"/>
              </w:rPr>
              <w:t xml:space="preserve">Como ejemplo, se muestra la fórmula del </w:t>
            </w:r>
            <w:r w:rsidR="004109A9" w:rsidRPr="009809B2">
              <w:rPr>
                <w:rFonts w:cs="Arial"/>
                <w:color w:val="000000"/>
                <w:sz w:val="18"/>
                <w:szCs w:val="18"/>
                <w:lang w:val="es-CO"/>
              </w:rPr>
              <w:t>costo base de comercialización</w:t>
            </w:r>
            <w:r w:rsidRPr="009809B2">
              <w:rPr>
                <w:rFonts w:cs="Arial"/>
                <w:color w:val="000000"/>
                <w:sz w:val="18"/>
                <w:szCs w:val="18"/>
                <w:lang w:val="es-CO"/>
              </w:rPr>
              <w:t>:</w:t>
            </w:r>
          </w:p>
          <w:p w14:paraId="353954C0" w14:textId="212A2A6E" w:rsidR="00163E03" w:rsidRPr="009809B2" w:rsidRDefault="00000000" w:rsidP="00BE7DAD">
            <w:pPr>
              <w:spacing w:before="120" w:line="240" w:lineRule="auto"/>
              <w:rPr>
                <w:rFonts w:cs="Arial"/>
                <w:b/>
                <w:sz w:val="18"/>
                <w:szCs w:val="18"/>
                <w:lang w:val="es-CO"/>
              </w:rPr>
            </w:pPr>
            <m:oMathPara>
              <m:oMath>
                <m:sSub>
                  <m:sSubPr>
                    <m:ctrlPr>
                      <w:rPr>
                        <w:rFonts w:ascii="Cambria Math" w:hAnsi="Cambria Math"/>
                        <w:i/>
                        <w:color w:val="000000"/>
                        <w:sz w:val="14"/>
                        <w:szCs w:val="14"/>
                        <w:lang w:val="es-CO"/>
                      </w:rPr>
                    </m:ctrlPr>
                  </m:sSubPr>
                  <m:e>
                    <m:r>
                      <w:rPr>
                        <w:rFonts w:ascii="Cambria Math" w:hAnsi="Cambria Math"/>
                        <w:color w:val="000000"/>
                        <w:sz w:val="14"/>
                        <w:szCs w:val="14"/>
                        <w:lang w:val="es-CO"/>
                      </w:rPr>
                      <m:t>Cf</m:t>
                    </m:r>
                  </m:e>
                  <m:sub>
                    <m:r>
                      <w:rPr>
                        <w:rFonts w:ascii="Cambria Math" w:hAnsi="Cambria Math"/>
                        <w:color w:val="000000"/>
                        <w:sz w:val="14"/>
                        <w:szCs w:val="14"/>
                        <w:lang w:val="es-CO"/>
                      </w:rPr>
                      <m:t>j,m</m:t>
                    </m:r>
                  </m:sub>
                </m:sSub>
                <m:r>
                  <w:rPr>
                    <w:rFonts w:ascii="Cambria Math" w:hAnsi="Cambria Math"/>
                    <w:color w:val="000000"/>
                    <w:sz w:val="14"/>
                    <w:szCs w:val="14"/>
                    <w:lang w:val="es-CO"/>
                  </w:rPr>
                  <m:t xml:space="preserve">= </m:t>
                </m:r>
                <m:sSub>
                  <m:sSubPr>
                    <m:ctrlPr>
                      <w:rPr>
                        <w:rFonts w:ascii="Cambria Math" w:hAnsi="Cambria Math"/>
                        <w:i/>
                        <w:color w:val="000000"/>
                        <w:sz w:val="14"/>
                        <w:szCs w:val="14"/>
                        <w:lang w:val="es-CO"/>
                      </w:rPr>
                    </m:ctrlPr>
                  </m:sSubPr>
                  <m:e>
                    <m:r>
                      <w:rPr>
                        <w:rFonts w:ascii="Cambria Math" w:hAnsi="Cambria Math"/>
                        <w:color w:val="000000"/>
                        <w:sz w:val="14"/>
                        <w:szCs w:val="14"/>
                        <w:lang w:val="es-CO"/>
                      </w:rPr>
                      <m:t>Cf</m:t>
                    </m:r>
                  </m:e>
                  <m:sub>
                    <m:r>
                      <w:rPr>
                        <w:rFonts w:ascii="Cambria Math" w:hAnsi="Cambria Math"/>
                        <w:color w:val="000000"/>
                        <w:sz w:val="14"/>
                        <w:szCs w:val="14"/>
                        <w:lang w:val="es-CO"/>
                      </w:rPr>
                      <m:t>j</m:t>
                    </m:r>
                  </m:sub>
                </m:sSub>
                <m:r>
                  <w:rPr>
                    <w:rFonts w:ascii="Cambria Math" w:hAnsi="Cambria Math"/>
                    <w:color w:val="000000"/>
                    <w:sz w:val="14"/>
                    <w:szCs w:val="14"/>
                    <w:lang w:val="es-CO"/>
                  </w:rPr>
                  <m:t>×</m:t>
                </m:r>
                <m:d>
                  <m:dPr>
                    <m:ctrlPr>
                      <w:rPr>
                        <w:rFonts w:ascii="Cambria Math" w:hAnsi="Cambria Math"/>
                        <w:i/>
                        <w:color w:val="000000"/>
                        <w:sz w:val="14"/>
                        <w:szCs w:val="14"/>
                        <w:lang w:val="es-CO"/>
                      </w:rPr>
                    </m:ctrlPr>
                  </m:dPr>
                  <m:e>
                    <m:r>
                      <w:rPr>
                        <w:rFonts w:ascii="Cambria Math" w:hAnsi="Cambria Math"/>
                        <w:color w:val="000000"/>
                        <w:sz w:val="14"/>
                        <w:szCs w:val="14"/>
                        <w:lang w:val="es-CO"/>
                      </w:rPr>
                      <m:t>1-X</m:t>
                    </m:r>
                  </m:e>
                </m:d>
                <m:r>
                  <w:rPr>
                    <w:rFonts w:ascii="Cambria Math" w:hAnsi="Cambria Math"/>
                    <w:color w:val="000000"/>
                    <w:sz w:val="14"/>
                    <w:szCs w:val="14"/>
                    <w:lang w:val="es-CO"/>
                  </w:rPr>
                  <m:t>×</m:t>
                </m:r>
                <m:f>
                  <m:fPr>
                    <m:ctrlPr>
                      <w:rPr>
                        <w:rFonts w:ascii="Cambria Math" w:hAnsi="Cambria Math"/>
                        <w:b/>
                        <w:bCs/>
                        <w:i/>
                        <w:color w:val="000000"/>
                        <w:sz w:val="14"/>
                        <w:szCs w:val="14"/>
                        <w:lang w:val="es-CO"/>
                      </w:rPr>
                    </m:ctrlPr>
                  </m:fPr>
                  <m:num>
                    <m:sSub>
                      <m:sSubPr>
                        <m:ctrlPr>
                          <w:rPr>
                            <w:rFonts w:ascii="Cambria Math" w:hAnsi="Cambria Math"/>
                            <w:b/>
                            <w:bCs/>
                            <w:i/>
                            <w:color w:val="000000"/>
                            <w:sz w:val="14"/>
                            <w:szCs w:val="14"/>
                            <w:lang w:val="es-CO"/>
                          </w:rPr>
                        </m:ctrlPr>
                      </m:sSubPr>
                      <m:e>
                        <m:r>
                          <m:rPr>
                            <m:sty m:val="bi"/>
                          </m:rPr>
                          <w:rPr>
                            <w:rFonts w:ascii="Cambria Math" w:hAnsi="Cambria Math"/>
                            <w:color w:val="000000"/>
                            <w:sz w:val="14"/>
                            <w:szCs w:val="14"/>
                            <w:lang w:val="es-CO"/>
                          </w:rPr>
                          <m:t>IPC</m:t>
                        </m:r>
                      </m:e>
                      <m:sub>
                        <m:r>
                          <m:rPr>
                            <m:sty m:val="bi"/>
                          </m:rPr>
                          <w:rPr>
                            <w:rFonts w:ascii="Cambria Math" w:hAnsi="Cambria Math"/>
                            <w:color w:val="000000"/>
                            <w:sz w:val="14"/>
                            <w:szCs w:val="14"/>
                            <w:lang w:val="es-CO"/>
                          </w:rPr>
                          <m:t>m-1</m:t>
                        </m:r>
                      </m:sub>
                    </m:sSub>
                  </m:num>
                  <m:den>
                    <m:sSub>
                      <m:sSubPr>
                        <m:ctrlPr>
                          <w:rPr>
                            <w:rFonts w:ascii="Cambria Math" w:hAnsi="Cambria Math"/>
                            <w:b/>
                            <w:bCs/>
                            <w:i/>
                            <w:color w:val="000000"/>
                            <w:sz w:val="14"/>
                            <w:szCs w:val="14"/>
                            <w:lang w:val="es-CO"/>
                          </w:rPr>
                        </m:ctrlPr>
                      </m:sSubPr>
                      <m:e>
                        <m:r>
                          <m:rPr>
                            <m:sty m:val="bi"/>
                          </m:rPr>
                          <w:rPr>
                            <w:rFonts w:ascii="Cambria Math" w:hAnsi="Cambria Math"/>
                            <w:color w:val="000000"/>
                            <w:sz w:val="14"/>
                            <w:szCs w:val="14"/>
                            <w:lang w:val="es-CO"/>
                          </w:rPr>
                          <m:t>IPC</m:t>
                        </m:r>
                      </m:e>
                      <m:sub>
                        <m:r>
                          <m:rPr>
                            <m:sty m:val="bi"/>
                          </m:rPr>
                          <w:rPr>
                            <w:rFonts w:ascii="Cambria Math" w:hAnsi="Cambria Math"/>
                            <w:color w:val="000000"/>
                            <w:sz w:val="14"/>
                            <w:szCs w:val="14"/>
                            <w:lang w:val="es-CO"/>
                          </w:rPr>
                          <m:t>0</m:t>
                        </m:r>
                      </m:sub>
                    </m:sSub>
                  </m:den>
                </m:f>
              </m:oMath>
            </m:oMathPara>
          </w:p>
          <w:p w14:paraId="59ECE80A"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Varía mensualmente.</w:t>
            </w:r>
          </w:p>
        </w:tc>
      </w:tr>
      <w:tr w:rsidR="000B328B" w:rsidRPr="009809B2" w14:paraId="6C9A1AB8" w14:textId="77777777" w:rsidTr="004F2EA4">
        <w:trPr>
          <w:jc w:val="center"/>
        </w:trPr>
        <w:tc>
          <w:tcPr>
            <w:tcW w:w="1275" w:type="dxa"/>
            <w:vAlign w:val="center"/>
          </w:tcPr>
          <w:p w14:paraId="2CF7980F" w14:textId="77777777" w:rsidR="000B328B" w:rsidRPr="009809B2" w:rsidRDefault="000B328B" w:rsidP="00BE7DAD">
            <w:pPr>
              <w:jc w:val="center"/>
              <w:rPr>
                <w:rFonts w:cs="Arial"/>
                <w:sz w:val="20"/>
                <w:lang w:val="es-CO"/>
              </w:rPr>
            </w:pPr>
            <w:r w:rsidRPr="009809B2">
              <w:rPr>
                <w:rFonts w:cs="Arial"/>
                <w:noProof/>
                <w:sz w:val="20"/>
                <w:lang w:val="es-CO"/>
              </w:rPr>
              <w:drawing>
                <wp:inline distT="0" distB="0" distL="0" distR="0" wp14:anchorId="067D5E49" wp14:editId="1296D0BE">
                  <wp:extent cx="386080" cy="334645"/>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080" cy="334645"/>
                          </a:xfrm>
                          <a:prstGeom prst="rect">
                            <a:avLst/>
                          </a:prstGeom>
                          <a:noFill/>
                          <a:ln>
                            <a:noFill/>
                          </a:ln>
                        </pic:spPr>
                      </pic:pic>
                    </a:graphicData>
                  </a:graphic>
                </wp:inline>
              </w:drawing>
            </w:r>
          </w:p>
        </w:tc>
        <w:tc>
          <w:tcPr>
            <w:tcW w:w="1697" w:type="dxa"/>
            <w:vAlign w:val="center"/>
          </w:tcPr>
          <w:p w14:paraId="3191411B"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Costo de Restricciones y de servicios asociados con generación en $/kWh asignados al Comercializador Minorista i en el mes m.</w:t>
            </w:r>
          </w:p>
        </w:tc>
        <w:tc>
          <w:tcPr>
            <w:tcW w:w="2977" w:type="dxa"/>
            <w:vAlign w:val="center"/>
          </w:tcPr>
          <w:p w14:paraId="2C7B717E"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Corresponde a los costos de la generación más costosa que debió utilizarse para que el Sistema de Transmisión Nacional opere de manera segura y/o por las limitaciones de su red.</w:t>
            </w:r>
          </w:p>
          <w:p w14:paraId="16BDA998" w14:textId="77777777" w:rsidR="000B328B" w:rsidRPr="009809B2" w:rsidRDefault="000B328B" w:rsidP="00BE7DAD">
            <w:pPr>
              <w:spacing w:before="120" w:line="240" w:lineRule="auto"/>
              <w:rPr>
                <w:rFonts w:cs="Arial"/>
                <w:sz w:val="18"/>
                <w:szCs w:val="18"/>
                <w:lang w:val="es-CO"/>
              </w:rPr>
            </w:pPr>
            <w:r w:rsidRPr="009809B2">
              <w:rPr>
                <w:rFonts w:cs="Arial"/>
                <w:b/>
                <w:sz w:val="18"/>
                <w:szCs w:val="18"/>
                <w:lang w:val="es-CO"/>
              </w:rPr>
              <w:t>(Resolución CREG 119 de 2007)</w:t>
            </w:r>
          </w:p>
        </w:tc>
        <w:tc>
          <w:tcPr>
            <w:tcW w:w="2945" w:type="dxa"/>
            <w:vAlign w:val="center"/>
          </w:tcPr>
          <w:p w14:paraId="051FF640"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Es variable por cuanto depende principalmente de la magnitud de la indisponibilidad de los activos de transmisión.</w:t>
            </w:r>
          </w:p>
          <w:p w14:paraId="3636BA69"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Varía mensualmente</w:t>
            </w:r>
          </w:p>
        </w:tc>
      </w:tr>
      <w:tr w:rsidR="000B328B" w:rsidRPr="009809B2" w14:paraId="518D8A4D" w14:textId="77777777" w:rsidTr="004F2EA4">
        <w:trPr>
          <w:jc w:val="center"/>
        </w:trPr>
        <w:tc>
          <w:tcPr>
            <w:tcW w:w="1275" w:type="dxa"/>
            <w:vAlign w:val="center"/>
          </w:tcPr>
          <w:p w14:paraId="6EFFF71B" w14:textId="77777777" w:rsidR="000B328B" w:rsidRPr="009809B2" w:rsidRDefault="000B328B" w:rsidP="00BE7DAD">
            <w:pPr>
              <w:jc w:val="center"/>
              <w:rPr>
                <w:rFonts w:cs="Arial"/>
                <w:sz w:val="20"/>
                <w:lang w:val="es-CO"/>
              </w:rPr>
            </w:pPr>
            <w:r w:rsidRPr="009809B2">
              <w:rPr>
                <w:rFonts w:cs="Arial"/>
                <w:noProof/>
                <w:sz w:val="20"/>
                <w:lang w:val="es-CO"/>
              </w:rPr>
              <w:drawing>
                <wp:inline distT="0" distB="0" distL="0" distR="0" wp14:anchorId="3ED2C1AB" wp14:editId="365CA340">
                  <wp:extent cx="566420" cy="309245"/>
                  <wp:effectExtent l="0" t="0" r="508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420" cy="309245"/>
                          </a:xfrm>
                          <a:prstGeom prst="rect">
                            <a:avLst/>
                          </a:prstGeom>
                          <a:noFill/>
                          <a:ln>
                            <a:noFill/>
                          </a:ln>
                        </pic:spPr>
                      </pic:pic>
                    </a:graphicData>
                  </a:graphic>
                </wp:inline>
              </w:drawing>
            </w:r>
          </w:p>
        </w:tc>
        <w:tc>
          <w:tcPr>
            <w:tcW w:w="1697" w:type="dxa"/>
            <w:vAlign w:val="center"/>
          </w:tcPr>
          <w:p w14:paraId="6CB7C729"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Costo de compra, transporte y reducción de pérdidas de energía ($/kWh) acumuladas hasta el nivel de tensión n, para el mes m, del Comerciali</w:t>
            </w:r>
            <w:r w:rsidRPr="009809B2">
              <w:rPr>
                <w:rFonts w:cs="Arial"/>
                <w:sz w:val="18"/>
                <w:szCs w:val="18"/>
                <w:lang w:val="es-CO"/>
              </w:rPr>
              <w:softHyphen/>
              <w:t xml:space="preserve">zador Minorista </w:t>
            </w:r>
          </w:p>
        </w:tc>
        <w:tc>
          <w:tcPr>
            <w:tcW w:w="2977" w:type="dxa"/>
            <w:vAlign w:val="center"/>
          </w:tcPr>
          <w:p w14:paraId="61604F94" w14:textId="77777777" w:rsidR="000B328B" w:rsidRPr="009809B2" w:rsidRDefault="000B328B" w:rsidP="00BE7DAD">
            <w:pPr>
              <w:spacing w:before="120" w:line="240" w:lineRule="auto"/>
              <w:rPr>
                <w:rFonts w:cs="Arial"/>
                <w:sz w:val="18"/>
                <w:szCs w:val="18"/>
                <w:lang w:val="es-CO"/>
              </w:rPr>
            </w:pPr>
            <w:r w:rsidRPr="009809B2">
              <w:rPr>
                <w:rFonts w:cs="Arial"/>
                <w:sz w:val="18"/>
                <w:szCs w:val="18"/>
                <w:lang w:val="es-CO"/>
              </w:rPr>
              <w:t>Corresponde al costo reconocido de pérdidas de energía que por razones técnicas o no técnicas se pierden tanto en el STN como en los STR y SDL; así como los costos de los programas de reducción de pérdidas no técnicas que se realicen por Mercado de Comercialización.</w:t>
            </w:r>
          </w:p>
          <w:p w14:paraId="46D9B8F5" w14:textId="77777777" w:rsidR="000B328B" w:rsidRPr="009809B2" w:rsidRDefault="000B328B" w:rsidP="00BE7DAD">
            <w:pPr>
              <w:spacing w:after="0" w:line="240" w:lineRule="auto"/>
              <w:rPr>
                <w:rFonts w:cs="Arial"/>
                <w:b/>
                <w:sz w:val="18"/>
                <w:szCs w:val="18"/>
                <w:lang w:val="es-CO"/>
              </w:rPr>
            </w:pPr>
            <w:r w:rsidRPr="009809B2">
              <w:rPr>
                <w:rFonts w:cs="Arial"/>
                <w:b/>
                <w:sz w:val="18"/>
                <w:szCs w:val="18"/>
                <w:lang w:val="es-CO"/>
              </w:rPr>
              <w:t>(Resolución CREG 119 de 2007)</w:t>
            </w:r>
          </w:p>
          <w:p w14:paraId="299960D4" w14:textId="77777777" w:rsidR="000B328B" w:rsidRPr="009809B2" w:rsidRDefault="000B328B" w:rsidP="00BE7DAD">
            <w:pPr>
              <w:spacing w:after="0" w:line="240" w:lineRule="auto"/>
              <w:rPr>
                <w:rFonts w:cs="Arial"/>
                <w:sz w:val="18"/>
                <w:szCs w:val="18"/>
                <w:lang w:val="es-CO"/>
              </w:rPr>
            </w:pPr>
            <w:r w:rsidRPr="009809B2">
              <w:rPr>
                <w:rFonts w:cs="Arial"/>
                <w:b/>
                <w:sz w:val="18"/>
                <w:szCs w:val="18"/>
                <w:lang w:val="es-CO"/>
              </w:rPr>
              <w:t>(Resolución CREG 015 de 2018)</w:t>
            </w:r>
          </w:p>
        </w:tc>
        <w:tc>
          <w:tcPr>
            <w:tcW w:w="2945" w:type="dxa"/>
            <w:vAlign w:val="center"/>
          </w:tcPr>
          <w:p w14:paraId="1B69142B" w14:textId="11850A4A" w:rsidR="000B328B" w:rsidRPr="009809B2" w:rsidRDefault="00B70641" w:rsidP="00BE7DAD">
            <w:pPr>
              <w:spacing w:before="120"/>
              <w:rPr>
                <w:rFonts w:cs="Arial"/>
                <w:sz w:val="18"/>
                <w:szCs w:val="18"/>
                <w:lang w:val="es-CO"/>
              </w:rPr>
            </w:pPr>
            <w:r w:rsidRPr="009809B2">
              <w:rPr>
                <w:rFonts w:cs="Arial"/>
                <w:sz w:val="18"/>
                <w:szCs w:val="18"/>
                <w:lang w:val="es-CO"/>
              </w:rPr>
              <w:t xml:space="preserve">Al ser principalmente función del costo de generación y de transmisión y dado es estos últimos se actualizan </w:t>
            </w:r>
            <w:r w:rsidR="004A480C" w:rsidRPr="009809B2">
              <w:rPr>
                <w:rFonts w:cs="Arial"/>
                <w:sz w:val="18"/>
                <w:szCs w:val="18"/>
                <w:lang w:val="es-CO"/>
              </w:rPr>
              <w:t>según el IPP, este costo no requiere actualización adicional pero igualmente varía conforme la variación del IPP.</w:t>
            </w:r>
          </w:p>
          <w:p w14:paraId="38C84FF8" w14:textId="283C3B35" w:rsidR="00392FBA" w:rsidRPr="009809B2" w:rsidRDefault="00F47E5E" w:rsidP="004A480C">
            <w:pPr>
              <w:spacing w:before="120"/>
              <w:rPr>
                <w:rFonts w:cs="Arial"/>
                <w:sz w:val="18"/>
                <w:szCs w:val="18"/>
                <w:lang w:val="es-CO"/>
              </w:rPr>
            </w:pPr>
            <w:r w:rsidRPr="009809B2">
              <w:rPr>
                <w:rFonts w:cs="Arial"/>
                <w:sz w:val="18"/>
                <w:szCs w:val="18"/>
                <w:lang w:val="es-CO"/>
              </w:rPr>
              <w:t xml:space="preserve">Por su parte, el costo del </w:t>
            </w:r>
            <w:r w:rsidR="00392FBA" w:rsidRPr="009809B2">
              <w:rPr>
                <w:rFonts w:cs="Arial"/>
                <w:sz w:val="18"/>
                <w:szCs w:val="18"/>
                <w:lang w:val="es-CO"/>
              </w:rPr>
              <w:t>programa de reducción de pérdidas también varía en función del IPP, así:</w:t>
            </w:r>
          </w:p>
          <w:p w14:paraId="29378246" w14:textId="2C90A66C" w:rsidR="000B328B" w:rsidRPr="009809B2" w:rsidRDefault="00000000" w:rsidP="007C39A8">
            <w:pPr>
              <w:spacing w:before="120"/>
              <w:rPr>
                <w:rFonts w:cs="Arial"/>
                <w:sz w:val="18"/>
                <w:szCs w:val="18"/>
                <w:lang w:val="es-CO"/>
              </w:rPr>
            </w:pPr>
            <m:oMathPara>
              <m:oMath>
                <m:sSub>
                  <m:sSubPr>
                    <m:ctrlPr>
                      <w:rPr>
                        <w:rFonts w:ascii="Cambria Math" w:hAnsi="Cambria Math"/>
                        <w:sz w:val="8"/>
                        <w:szCs w:val="8"/>
                        <w:lang w:val="es-CO"/>
                      </w:rPr>
                    </m:ctrlPr>
                  </m:sSubPr>
                  <m:e>
                    <m:r>
                      <w:rPr>
                        <w:rFonts w:ascii="Cambria Math" w:hAnsi="Cambria Math"/>
                        <w:sz w:val="8"/>
                        <w:szCs w:val="8"/>
                        <w:lang w:val="es-CO"/>
                      </w:rPr>
                      <m:t>CPROG</m:t>
                    </m:r>
                  </m:e>
                  <m:sub>
                    <m:r>
                      <w:rPr>
                        <w:rFonts w:ascii="Cambria Math" w:hAnsi="Cambria Math"/>
                        <w:sz w:val="8"/>
                        <w:szCs w:val="8"/>
                        <w:lang w:val="es-CO"/>
                      </w:rPr>
                      <m:t>j</m:t>
                    </m:r>
                    <m:r>
                      <m:rPr>
                        <m:sty m:val="p"/>
                      </m:rPr>
                      <w:rPr>
                        <w:rFonts w:ascii="Cambria Math" w:hAnsi="Cambria Math"/>
                        <w:sz w:val="8"/>
                        <w:szCs w:val="8"/>
                        <w:lang w:val="es-CO"/>
                      </w:rPr>
                      <m:t>,</m:t>
                    </m:r>
                    <m:r>
                      <w:rPr>
                        <w:rFonts w:ascii="Cambria Math" w:hAnsi="Cambria Math"/>
                        <w:sz w:val="8"/>
                        <w:szCs w:val="8"/>
                        <w:lang w:val="es-CO"/>
                      </w:rPr>
                      <m:t>m</m:t>
                    </m:r>
                  </m:sub>
                </m:sSub>
                <m:r>
                  <m:rPr>
                    <m:sty m:val="p"/>
                  </m:rPr>
                  <w:rPr>
                    <w:rFonts w:ascii="Cambria Math" w:hAnsi="Cambria Math"/>
                    <w:sz w:val="8"/>
                    <w:szCs w:val="8"/>
                    <w:lang w:val="es-CO"/>
                  </w:rPr>
                  <m:t>=</m:t>
                </m:r>
                <m:f>
                  <m:fPr>
                    <m:ctrlPr>
                      <w:rPr>
                        <w:rFonts w:ascii="Cambria Math" w:hAnsi="Cambria Math"/>
                        <w:i/>
                        <w:sz w:val="8"/>
                        <w:szCs w:val="8"/>
                        <w:lang w:val="es-CO"/>
                      </w:rPr>
                    </m:ctrlPr>
                  </m:fPr>
                  <m:num>
                    <m:sSub>
                      <m:sSubPr>
                        <m:ctrlPr>
                          <w:rPr>
                            <w:rFonts w:ascii="Cambria Math" w:hAnsi="Cambria Math"/>
                            <w:i/>
                            <w:sz w:val="8"/>
                            <w:szCs w:val="8"/>
                            <w:lang w:val="es-CO"/>
                          </w:rPr>
                        </m:ctrlPr>
                      </m:sSubPr>
                      <m:e>
                        <m:r>
                          <w:rPr>
                            <w:rFonts w:ascii="Cambria Math" w:hAnsi="Cambria Math"/>
                            <w:sz w:val="8"/>
                            <w:szCs w:val="8"/>
                            <w:lang w:val="es-CO"/>
                          </w:rPr>
                          <m:t>CAP</m:t>
                        </m:r>
                      </m:e>
                      <m:sub>
                        <m:r>
                          <w:rPr>
                            <w:rFonts w:ascii="Cambria Math" w:hAnsi="Cambria Math"/>
                            <w:sz w:val="8"/>
                            <w:szCs w:val="8"/>
                            <w:lang w:val="es-CO"/>
                          </w:rPr>
                          <m:t>j</m:t>
                        </m:r>
                      </m:sub>
                    </m:sSub>
                  </m:num>
                  <m:den>
                    <m:sSub>
                      <m:sSubPr>
                        <m:ctrlPr>
                          <w:rPr>
                            <w:rFonts w:ascii="Cambria Math" w:hAnsi="Cambria Math"/>
                            <w:i/>
                            <w:sz w:val="8"/>
                            <w:szCs w:val="8"/>
                            <w:lang w:val="es-CO"/>
                          </w:rPr>
                        </m:ctrlPr>
                      </m:sSubPr>
                      <m:e>
                        <m:nary>
                          <m:naryPr>
                            <m:chr m:val="∑"/>
                            <m:limLoc m:val="undOvr"/>
                            <m:ctrlPr>
                              <w:rPr>
                                <w:rFonts w:ascii="Cambria Math" w:hAnsi="Cambria Math"/>
                                <w:i/>
                                <w:sz w:val="8"/>
                                <w:szCs w:val="8"/>
                                <w:lang w:val="es-CO"/>
                              </w:rPr>
                            </m:ctrlPr>
                          </m:naryPr>
                          <m:sub>
                            <m:r>
                              <w:rPr>
                                <w:rFonts w:ascii="Cambria Math" w:hAnsi="Cambria Math"/>
                                <w:sz w:val="8"/>
                                <w:szCs w:val="8"/>
                                <w:lang w:val="es-CO"/>
                              </w:rPr>
                              <m:t>m=-14</m:t>
                            </m:r>
                          </m:sub>
                          <m:sup>
                            <m:r>
                              <w:rPr>
                                <w:rFonts w:ascii="Cambria Math" w:hAnsi="Cambria Math"/>
                                <w:sz w:val="8"/>
                                <w:szCs w:val="8"/>
                                <w:lang w:val="es-CO"/>
                              </w:rPr>
                              <m:t>m-3</m:t>
                            </m:r>
                          </m:sup>
                          <m:e>
                            <m:r>
                              <w:rPr>
                                <w:rFonts w:ascii="Cambria Math" w:hAnsi="Cambria Math"/>
                                <w:sz w:val="8"/>
                                <w:szCs w:val="8"/>
                                <w:lang w:val="es-CO"/>
                              </w:rPr>
                              <m:t>VSTN</m:t>
                            </m:r>
                          </m:e>
                        </m:nary>
                      </m:e>
                      <m:sub>
                        <m:r>
                          <w:rPr>
                            <w:rFonts w:ascii="Cambria Math" w:hAnsi="Cambria Math"/>
                            <w:sz w:val="8"/>
                            <w:szCs w:val="8"/>
                            <w:lang w:val="es-CO"/>
                          </w:rPr>
                          <m:t>j,m</m:t>
                        </m:r>
                      </m:sub>
                    </m:sSub>
                    <m:r>
                      <w:rPr>
                        <w:rFonts w:ascii="Cambria Math" w:hAnsi="Cambria Math"/>
                        <w:sz w:val="8"/>
                        <w:szCs w:val="8"/>
                        <w:lang w:val="es-CO"/>
                      </w:rPr>
                      <m:t>+</m:t>
                    </m:r>
                    <m:sSub>
                      <m:sSubPr>
                        <m:ctrlPr>
                          <w:rPr>
                            <w:rFonts w:ascii="Cambria Math" w:hAnsi="Cambria Math"/>
                            <w:i/>
                            <w:sz w:val="8"/>
                            <w:szCs w:val="8"/>
                            <w:lang w:val="es-CO"/>
                          </w:rPr>
                        </m:ctrlPr>
                      </m:sSubPr>
                      <m:e>
                        <m:r>
                          <w:rPr>
                            <w:rFonts w:ascii="Cambria Math" w:hAnsi="Cambria Math"/>
                            <w:sz w:val="8"/>
                            <w:szCs w:val="8"/>
                            <w:lang w:val="es-CO"/>
                          </w:rPr>
                          <m:t>VCP</m:t>
                        </m:r>
                      </m:e>
                      <m:sub>
                        <m:r>
                          <w:rPr>
                            <w:rFonts w:ascii="Cambria Math" w:hAnsi="Cambria Math"/>
                            <w:sz w:val="8"/>
                            <w:szCs w:val="8"/>
                            <w:lang w:val="es-CO"/>
                          </w:rPr>
                          <m:t>j</m:t>
                        </m:r>
                      </m:sub>
                    </m:sSub>
                    <m:r>
                      <w:rPr>
                        <w:rFonts w:ascii="Cambria Math" w:hAnsi="Cambria Math"/>
                        <w:sz w:val="8"/>
                        <w:szCs w:val="8"/>
                        <w:lang w:val="es-CO"/>
                      </w:rPr>
                      <m:t>+</m:t>
                    </m:r>
                    <m:sSub>
                      <m:sSubPr>
                        <m:ctrlPr>
                          <w:rPr>
                            <w:rFonts w:ascii="Cambria Math" w:hAnsi="Cambria Math"/>
                            <w:i/>
                            <w:sz w:val="8"/>
                            <w:szCs w:val="8"/>
                            <w:lang w:val="es-CO"/>
                          </w:rPr>
                        </m:ctrlPr>
                      </m:sSubPr>
                      <m:e>
                        <m:r>
                          <w:rPr>
                            <w:rFonts w:ascii="Cambria Math" w:hAnsi="Cambria Math"/>
                            <w:sz w:val="8"/>
                            <w:szCs w:val="8"/>
                            <w:lang w:val="es-CO"/>
                          </w:rPr>
                          <m:t>VCI</m:t>
                        </m:r>
                      </m:e>
                      <m:sub>
                        <m:r>
                          <w:rPr>
                            <w:rFonts w:ascii="Cambria Math" w:hAnsi="Cambria Math"/>
                            <w:sz w:val="8"/>
                            <w:szCs w:val="8"/>
                            <w:lang w:val="es-CO"/>
                          </w:rPr>
                          <m:t>j</m:t>
                        </m:r>
                      </m:sub>
                    </m:sSub>
                  </m:den>
                </m:f>
                <m:r>
                  <m:rPr>
                    <m:sty m:val="p"/>
                  </m:rPr>
                  <w:rPr>
                    <w:rFonts w:ascii="Cambria Math" w:hAnsi="Cambria Math"/>
                    <w:sz w:val="8"/>
                    <w:szCs w:val="8"/>
                    <w:lang w:val="es-CO"/>
                  </w:rPr>
                  <m:t>*</m:t>
                </m:r>
                <m:f>
                  <m:fPr>
                    <m:ctrlPr>
                      <w:rPr>
                        <w:rFonts w:ascii="Cambria Math" w:hAnsi="Cambria Math"/>
                        <w:b/>
                        <w:bCs/>
                        <w:sz w:val="8"/>
                        <w:szCs w:val="8"/>
                        <w:lang w:val="es-CO"/>
                      </w:rPr>
                    </m:ctrlPr>
                  </m:fPr>
                  <m:num>
                    <m:sSub>
                      <m:sSubPr>
                        <m:ctrlPr>
                          <w:rPr>
                            <w:rFonts w:ascii="Cambria Math" w:hAnsi="Cambria Math"/>
                            <w:b/>
                            <w:bCs/>
                            <w:sz w:val="8"/>
                            <w:szCs w:val="8"/>
                            <w:lang w:val="es-CO"/>
                          </w:rPr>
                        </m:ctrlPr>
                      </m:sSubPr>
                      <m:e>
                        <m:r>
                          <m:rPr>
                            <m:sty m:val="bi"/>
                          </m:rPr>
                          <w:rPr>
                            <w:rFonts w:ascii="Cambria Math" w:hAnsi="Cambria Math"/>
                            <w:sz w:val="8"/>
                            <w:szCs w:val="8"/>
                            <w:lang w:val="es-CO"/>
                          </w:rPr>
                          <m:t>IPP</m:t>
                        </m:r>
                      </m:e>
                      <m:sub>
                        <m:r>
                          <m:rPr>
                            <m:sty m:val="bi"/>
                          </m:rPr>
                          <w:rPr>
                            <w:rFonts w:ascii="Cambria Math" w:hAnsi="Cambria Math"/>
                            <w:sz w:val="8"/>
                            <w:szCs w:val="8"/>
                            <w:lang w:val="es-CO"/>
                          </w:rPr>
                          <m:t>m</m:t>
                        </m:r>
                        <m:r>
                          <m:rPr>
                            <m:sty m:val="b"/>
                          </m:rPr>
                          <w:rPr>
                            <w:rFonts w:ascii="Cambria Math" w:hAnsi="Cambria Math"/>
                            <w:sz w:val="8"/>
                            <w:szCs w:val="8"/>
                            <w:lang w:val="es-CO"/>
                          </w:rPr>
                          <m:t>-2</m:t>
                        </m:r>
                      </m:sub>
                    </m:sSub>
                  </m:num>
                  <m:den>
                    <m:sSub>
                      <m:sSubPr>
                        <m:ctrlPr>
                          <w:rPr>
                            <w:rFonts w:ascii="Cambria Math" w:hAnsi="Cambria Math"/>
                            <w:b/>
                            <w:bCs/>
                            <w:sz w:val="8"/>
                            <w:szCs w:val="8"/>
                            <w:lang w:val="es-CO"/>
                          </w:rPr>
                        </m:ctrlPr>
                      </m:sSubPr>
                      <m:e>
                        <m:r>
                          <m:rPr>
                            <m:sty m:val="bi"/>
                          </m:rPr>
                          <w:rPr>
                            <w:rFonts w:ascii="Cambria Math" w:hAnsi="Cambria Math"/>
                            <w:sz w:val="8"/>
                            <w:szCs w:val="8"/>
                            <w:lang w:val="es-CO"/>
                          </w:rPr>
                          <m:t>IPP</m:t>
                        </m:r>
                      </m:e>
                      <m:sub>
                        <m:r>
                          <m:rPr>
                            <m:sty m:val="b"/>
                          </m:rPr>
                          <w:rPr>
                            <w:rFonts w:ascii="Cambria Math" w:hAnsi="Cambria Math"/>
                            <w:sz w:val="8"/>
                            <w:szCs w:val="8"/>
                            <w:lang w:val="es-CO"/>
                          </w:rPr>
                          <m:t>0</m:t>
                        </m:r>
                      </m:sub>
                    </m:sSub>
                  </m:den>
                </m:f>
                <m:r>
                  <w:rPr>
                    <w:rFonts w:ascii="Cambria Math" w:hAnsi="Cambria Math"/>
                    <w:sz w:val="8"/>
                    <w:szCs w:val="8"/>
                    <w:lang w:val="es-CO"/>
                  </w:rPr>
                  <m:t xml:space="preserve"> </m:t>
                </m:r>
                <m:sSub>
                  <m:sSubPr>
                    <m:ctrlPr>
                      <w:rPr>
                        <w:rFonts w:ascii="Cambria Math" w:hAnsi="Cambria Math"/>
                        <w:sz w:val="8"/>
                        <w:szCs w:val="8"/>
                        <w:lang w:val="es-CO"/>
                      </w:rPr>
                    </m:ctrlPr>
                  </m:sSubPr>
                  <m:e>
                    <m:r>
                      <w:rPr>
                        <w:rFonts w:ascii="Cambria Math" w:hAnsi="Cambria Math"/>
                        <w:sz w:val="8"/>
                        <w:szCs w:val="8"/>
                        <w:lang w:val="es-CO"/>
                      </w:rPr>
                      <m:t>- INVNUCD</m:t>
                    </m:r>
                  </m:e>
                  <m:sub>
                    <m:r>
                      <w:rPr>
                        <w:rFonts w:ascii="Cambria Math" w:hAnsi="Cambria Math"/>
                        <w:sz w:val="8"/>
                        <w:szCs w:val="8"/>
                        <w:lang w:val="es-CO"/>
                      </w:rPr>
                      <m:t>j</m:t>
                    </m:r>
                  </m:sub>
                </m:sSub>
              </m:oMath>
            </m:oMathPara>
          </w:p>
        </w:tc>
      </w:tr>
    </w:tbl>
    <w:p w14:paraId="4C94D717" w14:textId="7158540A" w:rsidR="000B328B" w:rsidRPr="009809B2" w:rsidRDefault="000B328B" w:rsidP="000B328B">
      <w:pPr>
        <w:spacing w:before="220"/>
        <w:rPr>
          <w:rFonts w:eastAsia="Bookman Old Style" w:cstheme="minorHAnsi"/>
          <w:lang w:val="es-CO"/>
        </w:rPr>
      </w:pPr>
      <w:r w:rsidRPr="009809B2">
        <w:rPr>
          <w:lang w:val="es-CO"/>
        </w:rPr>
        <w:lastRenderedPageBreak/>
        <w:t>De la anterior tabla se desprende que la mayoría de los componentes del CU varía de manera directa o indirecta con el Índice de Precios del Productor, IPP, mientras que el componente C varía principalmente con el IPC. La variación del IPP influye aproximadamente sobre el 8</w:t>
      </w:r>
      <w:r w:rsidR="007B3495" w:rsidRPr="009809B2">
        <w:rPr>
          <w:lang w:val="es-CO"/>
        </w:rPr>
        <w:t>5</w:t>
      </w:r>
      <w:r w:rsidRPr="009809B2">
        <w:rPr>
          <w:lang w:val="es-CO"/>
        </w:rPr>
        <w:t xml:space="preserve">% del valor del CU. </w:t>
      </w:r>
      <w:r w:rsidRPr="009809B2">
        <w:rPr>
          <w:rFonts w:eastAsia="Bookman Old Style" w:cstheme="minorHAnsi"/>
          <w:lang w:val="es-CO"/>
        </w:rPr>
        <w:t xml:space="preserve">Como referencia, en las siguientes gráficas se presenta el peso específico y el valor de cada uno de los componentes en el CU (promedio simple), de empresas comercializadoras que se encuentran integradas con operadores de red, en </w:t>
      </w:r>
      <w:r w:rsidR="00367FD8" w:rsidRPr="009809B2">
        <w:rPr>
          <w:rFonts w:eastAsia="Bookman Old Style" w:cstheme="minorHAnsi"/>
          <w:lang w:val="es-CO"/>
        </w:rPr>
        <w:t>junio</w:t>
      </w:r>
      <w:r w:rsidRPr="009809B2">
        <w:rPr>
          <w:rFonts w:eastAsia="Bookman Old Style" w:cstheme="minorHAnsi"/>
          <w:lang w:val="es-CO"/>
        </w:rPr>
        <w:t xml:space="preserve"> de </w:t>
      </w:r>
      <w:r w:rsidR="00367FD8" w:rsidRPr="009809B2">
        <w:rPr>
          <w:rFonts w:eastAsia="Bookman Old Style" w:cstheme="minorHAnsi"/>
          <w:lang w:val="es-CO"/>
        </w:rPr>
        <w:t>2024</w:t>
      </w:r>
      <w:r w:rsidRPr="009809B2">
        <w:rPr>
          <w:rFonts w:eastAsia="Bookman Old Style" w:cstheme="minorHAnsi"/>
          <w:lang w:val="es-CO"/>
        </w:rPr>
        <w:t>, según la información aportada por los prestadores del servicio:</w:t>
      </w:r>
    </w:p>
    <w:p w14:paraId="050C6DB8" w14:textId="77777777" w:rsidR="000B328B" w:rsidRPr="009809B2" w:rsidRDefault="000B328B" w:rsidP="000B328B">
      <w:pPr>
        <w:pStyle w:val="Descripcin"/>
        <w:keepNext/>
        <w:spacing w:before="240"/>
        <w:jc w:val="center"/>
        <w:rPr>
          <w:rFonts w:cstheme="minorHAnsi"/>
          <w:color w:val="000000" w:themeColor="text1"/>
          <w:sz w:val="20"/>
          <w:szCs w:val="20"/>
          <w:lang w:val="es-CO"/>
        </w:rPr>
        <w:sectPr w:rsidR="000B328B" w:rsidRPr="009809B2" w:rsidSect="00EB580D">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17" w:right="1701" w:bottom="1417" w:left="1701" w:header="708" w:footer="708" w:gutter="0"/>
          <w:cols w:space="708"/>
          <w:titlePg/>
          <w:docGrid w:linePitch="360"/>
        </w:sectPr>
      </w:pPr>
    </w:p>
    <w:p w14:paraId="48D9CF96" w14:textId="3FBF2D8B" w:rsidR="000B328B" w:rsidRPr="009809B2" w:rsidRDefault="000B328B" w:rsidP="000B328B">
      <w:pPr>
        <w:pStyle w:val="Descripcin"/>
        <w:keepNext/>
        <w:spacing w:before="240"/>
        <w:ind w:right="-188"/>
        <w:jc w:val="center"/>
        <w:rPr>
          <w:rFonts w:cstheme="minorHAnsi"/>
          <w:color w:val="000000" w:themeColor="text1"/>
          <w:sz w:val="20"/>
          <w:szCs w:val="20"/>
          <w:lang w:val="es-CO"/>
        </w:rPr>
      </w:pPr>
      <w:r w:rsidRPr="009809B2">
        <w:rPr>
          <w:rFonts w:cstheme="minorHAnsi"/>
          <w:color w:val="000000" w:themeColor="text1"/>
          <w:sz w:val="20"/>
          <w:szCs w:val="20"/>
          <w:lang w:val="es-CO"/>
        </w:rPr>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1</w:t>
      </w:r>
      <w:r w:rsidRPr="009809B2">
        <w:rPr>
          <w:rFonts w:cstheme="minorHAnsi"/>
          <w:color w:val="000000" w:themeColor="text1"/>
          <w:sz w:val="20"/>
          <w:szCs w:val="20"/>
          <w:lang w:val="es-CO"/>
        </w:rPr>
        <w:fldChar w:fldCharType="end"/>
      </w:r>
      <w:r w:rsidRPr="009809B2">
        <w:rPr>
          <w:rFonts w:cstheme="minorHAnsi"/>
          <w:color w:val="000000" w:themeColor="text1"/>
          <w:sz w:val="20"/>
          <w:szCs w:val="20"/>
          <w:lang w:val="es-CO"/>
        </w:rPr>
        <w:t xml:space="preserve">. Componentes del CU, nivel de tensión 1 </w:t>
      </w:r>
      <w:r w:rsidR="00573077" w:rsidRPr="009809B2">
        <w:rPr>
          <w:rFonts w:cstheme="minorHAnsi"/>
          <w:color w:val="000000" w:themeColor="text1"/>
          <w:sz w:val="20"/>
          <w:szCs w:val="20"/>
          <w:lang w:val="es-CO"/>
        </w:rPr>
        <w:t>ponderado por energía, junio 2024</w:t>
      </w:r>
    </w:p>
    <w:p w14:paraId="66FD799E" w14:textId="79101E2F" w:rsidR="000B328B" w:rsidRPr="009809B2" w:rsidRDefault="00FA3B47" w:rsidP="000B328B">
      <w:pPr>
        <w:spacing w:before="220"/>
        <w:rPr>
          <w:rFonts w:eastAsia="Bookman Old Style" w:cstheme="minorHAnsi"/>
          <w:lang w:val="es-CO"/>
        </w:rPr>
      </w:pPr>
      <w:r w:rsidRPr="009809B2">
        <w:rPr>
          <w:noProof/>
          <w:lang w:val="es-CO"/>
        </w:rPr>
        <w:drawing>
          <wp:inline distT="0" distB="0" distL="0" distR="0" wp14:anchorId="798C44E2" wp14:editId="56DEBFCA">
            <wp:extent cx="2909570" cy="1866900"/>
            <wp:effectExtent l="0" t="0" r="5080" b="0"/>
            <wp:docPr id="1160859902" name="Imagen 116085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59902" name="Imagen 116085990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932044" cy="1881320"/>
                    </a:xfrm>
                    <a:prstGeom prst="rect">
                      <a:avLst/>
                    </a:prstGeom>
                  </pic:spPr>
                </pic:pic>
              </a:graphicData>
            </a:graphic>
          </wp:inline>
        </w:drawing>
      </w:r>
    </w:p>
    <w:p w14:paraId="252F9138" w14:textId="3FB00C3E" w:rsidR="000B328B" w:rsidRPr="009809B2" w:rsidRDefault="000B328B" w:rsidP="000B328B">
      <w:pPr>
        <w:pStyle w:val="Descripcin"/>
        <w:keepNext/>
        <w:spacing w:before="240"/>
        <w:jc w:val="center"/>
        <w:rPr>
          <w:rFonts w:cstheme="minorHAnsi"/>
          <w:color w:val="000000" w:themeColor="text1"/>
          <w:sz w:val="20"/>
          <w:szCs w:val="20"/>
          <w:lang w:val="es-CO"/>
        </w:rPr>
      </w:pPr>
      <w:r w:rsidRPr="009809B2">
        <w:rPr>
          <w:rFonts w:cstheme="minorHAnsi"/>
          <w:color w:val="000000" w:themeColor="text1"/>
          <w:sz w:val="20"/>
          <w:szCs w:val="20"/>
          <w:lang w:val="es-CO"/>
        </w:rPr>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2</w:t>
      </w:r>
      <w:r w:rsidRPr="009809B2">
        <w:rPr>
          <w:rFonts w:cstheme="minorHAnsi"/>
          <w:color w:val="000000" w:themeColor="text1"/>
          <w:sz w:val="20"/>
          <w:szCs w:val="20"/>
          <w:lang w:val="es-CO"/>
        </w:rPr>
        <w:fldChar w:fldCharType="end"/>
      </w:r>
      <w:r w:rsidRPr="009809B2">
        <w:rPr>
          <w:rFonts w:cstheme="minorHAnsi"/>
          <w:color w:val="000000" w:themeColor="text1"/>
          <w:sz w:val="20"/>
          <w:szCs w:val="20"/>
          <w:lang w:val="es-CO"/>
        </w:rPr>
        <w:t xml:space="preserve">. Costo promedio por componente en CU nivel de tensión 1 ($/kWh) – </w:t>
      </w:r>
      <w:r w:rsidR="003C2B77" w:rsidRPr="009809B2">
        <w:rPr>
          <w:rFonts w:cstheme="minorHAnsi"/>
          <w:color w:val="000000" w:themeColor="text1"/>
          <w:sz w:val="20"/>
          <w:szCs w:val="20"/>
          <w:lang w:val="es-CO"/>
        </w:rPr>
        <w:t>junio</w:t>
      </w:r>
      <w:r w:rsidR="004A776E" w:rsidRPr="009809B2">
        <w:rPr>
          <w:rFonts w:cstheme="minorHAnsi"/>
          <w:color w:val="000000" w:themeColor="text1"/>
          <w:sz w:val="20"/>
          <w:szCs w:val="20"/>
          <w:lang w:val="es-CO"/>
        </w:rPr>
        <w:t xml:space="preserve"> </w:t>
      </w:r>
      <w:r w:rsidRPr="009809B2">
        <w:rPr>
          <w:rFonts w:cstheme="minorHAnsi"/>
          <w:color w:val="000000" w:themeColor="text1"/>
          <w:sz w:val="20"/>
          <w:szCs w:val="20"/>
          <w:lang w:val="es-CO"/>
        </w:rPr>
        <w:t>de 202</w:t>
      </w:r>
      <w:r w:rsidR="003C2B77" w:rsidRPr="009809B2">
        <w:rPr>
          <w:rFonts w:cstheme="minorHAnsi"/>
          <w:color w:val="000000" w:themeColor="text1"/>
          <w:sz w:val="20"/>
          <w:szCs w:val="20"/>
          <w:lang w:val="es-CO"/>
        </w:rPr>
        <w:t>4</w:t>
      </w:r>
    </w:p>
    <w:p w14:paraId="2CE2DD9F" w14:textId="05CF78EA" w:rsidR="000B328B" w:rsidRPr="009809B2" w:rsidRDefault="00AA1DF9" w:rsidP="000B328B">
      <w:pPr>
        <w:spacing w:before="220"/>
        <w:ind w:left="-284"/>
        <w:rPr>
          <w:rFonts w:eastAsia="Bookman Old Style" w:cstheme="minorHAnsi"/>
          <w:lang w:val="es-CO"/>
        </w:rPr>
      </w:pPr>
      <w:r w:rsidRPr="009809B2">
        <w:rPr>
          <w:noProof/>
          <w:lang w:val="es-CO"/>
        </w:rPr>
        <w:drawing>
          <wp:inline distT="0" distB="0" distL="0" distR="0" wp14:anchorId="4F0A4567" wp14:editId="1D114D85">
            <wp:extent cx="2774949" cy="1866900"/>
            <wp:effectExtent l="0" t="0" r="6985" b="0"/>
            <wp:docPr id="1043828464" name="Imagen 104382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28464" name="Imagen 1043828464"/>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801839" cy="1884991"/>
                    </a:xfrm>
                    <a:prstGeom prst="rect">
                      <a:avLst/>
                    </a:prstGeom>
                  </pic:spPr>
                </pic:pic>
              </a:graphicData>
            </a:graphic>
          </wp:inline>
        </w:drawing>
      </w:r>
    </w:p>
    <w:p w14:paraId="165CF328" w14:textId="77777777" w:rsidR="000B328B" w:rsidRPr="009809B2" w:rsidRDefault="000B328B" w:rsidP="000B328B">
      <w:pPr>
        <w:spacing w:before="220"/>
        <w:rPr>
          <w:rFonts w:eastAsia="Bookman Old Style" w:cstheme="minorHAnsi"/>
          <w:lang w:val="es-CO"/>
        </w:rPr>
        <w:sectPr w:rsidR="000B328B" w:rsidRPr="009809B2" w:rsidSect="00872963">
          <w:type w:val="continuous"/>
          <w:pgSz w:w="12240" w:h="15840"/>
          <w:pgMar w:top="1417" w:right="1701" w:bottom="1417" w:left="1701" w:header="708" w:footer="708" w:gutter="0"/>
          <w:cols w:num="2" w:space="708"/>
          <w:docGrid w:linePitch="360"/>
        </w:sectPr>
      </w:pPr>
    </w:p>
    <w:p w14:paraId="06E90992" w14:textId="0F515D0C" w:rsidR="000B328B" w:rsidRPr="009809B2" w:rsidRDefault="000B328B" w:rsidP="000B328B">
      <w:pPr>
        <w:spacing w:before="220"/>
        <w:rPr>
          <w:rFonts w:eastAsia="Bookman Old Style" w:cstheme="minorHAnsi"/>
          <w:lang w:val="es-CO"/>
        </w:rPr>
      </w:pPr>
      <w:r w:rsidRPr="009809B2">
        <w:rPr>
          <w:rFonts w:eastAsia="Bookman Old Style" w:cstheme="minorHAnsi"/>
          <w:lang w:val="es-CO"/>
        </w:rPr>
        <w:t>Desde que se han establecido las fórmulas de costo unitario con base en los costos de cada actividad, (resoluciones CREG 031 de 1997 y 119 de 2007), se definió que algunos componentes de costo deben ser actualizados utilizando índices de precios estándar, particularmente el índice de precios del productor</w:t>
      </w:r>
      <w:r w:rsidR="009A73D2" w:rsidRPr="009809B2">
        <w:rPr>
          <w:rFonts w:eastAsia="Bookman Old Style" w:cstheme="minorHAnsi"/>
          <w:lang w:val="es-CO"/>
        </w:rPr>
        <w:t xml:space="preserve">, </w:t>
      </w:r>
      <w:r w:rsidRPr="009809B2">
        <w:rPr>
          <w:rFonts w:eastAsia="Bookman Old Style" w:cstheme="minorHAnsi"/>
          <w:lang w:val="es-CO"/>
        </w:rPr>
        <w:t>IPP</w:t>
      </w:r>
      <w:r w:rsidR="009A73D2" w:rsidRPr="009809B2">
        <w:rPr>
          <w:rFonts w:eastAsia="Bookman Old Style" w:cstheme="minorHAnsi"/>
          <w:lang w:val="es-CO"/>
        </w:rPr>
        <w:t>,</w:t>
      </w:r>
      <w:r w:rsidRPr="009809B2">
        <w:rPr>
          <w:rFonts w:eastAsia="Bookman Old Style" w:cstheme="minorHAnsi"/>
          <w:lang w:val="es-CO"/>
        </w:rPr>
        <w:t xml:space="preserve"> o el índice de precios al consumidor</w:t>
      </w:r>
      <w:r w:rsidR="009A73D2" w:rsidRPr="009809B2">
        <w:rPr>
          <w:rFonts w:eastAsia="Bookman Old Style" w:cstheme="minorHAnsi"/>
          <w:lang w:val="es-CO"/>
        </w:rPr>
        <w:t>,</w:t>
      </w:r>
      <w:r w:rsidRPr="009809B2">
        <w:rPr>
          <w:rFonts w:eastAsia="Bookman Old Style" w:cstheme="minorHAnsi"/>
          <w:lang w:val="es-CO"/>
        </w:rPr>
        <w:t xml:space="preserve"> IPC, actualmente calculados y publicados por el DANE.</w:t>
      </w:r>
    </w:p>
    <w:p w14:paraId="3520D6D2" w14:textId="77777777" w:rsidR="000B328B" w:rsidRPr="009809B2" w:rsidRDefault="000B328B" w:rsidP="000B328B">
      <w:pPr>
        <w:spacing w:before="220"/>
        <w:rPr>
          <w:rFonts w:eastAsia="Bookman Old Style" w:cstheme="minorHAnsi"/>
          <w:lang w:val="es-CO"/>
        </w:rPr>
      </w:pPr>
      <w:r w:rsidRPr="009809B2">
        <w:rPr>
          <w:rFonts w:eastAsia="Bookman Old Style" w:cstheme="minorHAnsi"/>
          <w:lang w:val="es-CO"/>
        </w:rPr>
        <w:t xml:space="preserve">Así, la actualización de costos con base en el índice de precios del productor, IPP, se realiza para los componentes de costos de Transmisión y de Distribución. Este índice también es utilizado para la indexación del valor pactado en los contratos de suministro de energía a largo plazo (componente </w:t>
      </w:r>
      <w:proofErr w:type="spellStart"/>
      <w:proofErr w:type="gramStart"/>
      <w:r w:rsidRPr="009809B2">
        <w:rPr>
          <w:rFonts w:eastAsia="Bookman Old Style" w:cstheme="minorHAnsi"/>
          <w:i/>
          <w:lang w:val="es-CO"/>
        </w:rPr>
        <w:t>G</w:t>
      </w:r>
      <w:r w:rsidRPr="009809B2">
        <w:rPr>
          <w:rFonts w:eastAsia="Bookman Old Style" w:cstheme="minorHAnsi"/>
          <w:i/>
          <w:vertAlign w:val="subscript"/>
          <w:lang w:val="es-CO"/>
        </w:rPr>
        <w:t>m,i</w:t>
      </w:r>
      <w:proofErr w:type="gramEnd"/>
      <w:r w:rsidRPr="009809B2">
        <w:rPr>
          <w:rFonts w:eastAsia="Bookman Old Style" w:cstheme="minorHAnsi"/>
          <w:i/>
          <w:vertAlign w:val="subscript"/>
          <w:lang w:val="es-CO"/>
        </w:rPr>
        <w:t>,j</w:t>
      </w:r>
      <w:proofErr w:type="spellEnd"/>
      <w:r w:rsidRPr="009809B2">
        <w:rPr>
          <w:rFonts w:eastAsia="Bookman Old Style" w:cstheme="minorHAnsi"/>
          <w:lang w:val="es-CO"/>
        </w:rPr>
        <w:t>).</w:t>
      </w:r>
    </w:p>
    <w:p w14:paraId="47DDF348" w14:textId="543F03BE" w:rsidR="000B328B" w:rsidRPr="009809B2" w:rsidRDefault="000B328B" w:rsidP="000B328B">
      <w:pPr>
        <w:spacing w:before="220"/>
        <w:rPr>
          <w:rFonts w:eastAsia="Bookman Old Style" w:cstheme="minorHAnsi"/>
          <w:lang w:val="es-CO"/>
        </w:rPr>
      </w:pPr>
      <w:r w:rsidRPr="009809B2">
        <w:rPr>
          <w:rFonts w:eastAsia="Bookman Old Style" w:cstheme="minorHAnsi"/>
          <w:lang w:val="es-CO"/>
        </w:rPr>
        <w:t>En las actividades de Transmisión y Distribución de energía eléctrica, la utilización del IPP tiene como finalidad la de actualizar costos definidos con base en datos aprobados por la Comisión, en una fecha particular, a la que se denomina fecha base</w:t>
      </w:r>
      <w:r w:rsidRPr="009809B2">
        <w:rPr>
          <w:rStyle w:val="Refdenotaalpie"/>
          <w:rFonts w:eastAsia="Bookman Old Style" w:cstheme="minorHAnsi"/>
          <w:lang w:val="es-CO"/>
        </w:rPr>
        <w:footnoteReference w:id="2"/>
      </w:r>
      <w:r w:rsidRPr="009809B2">
        <w:rPr>
          <w:rFonts w:eastAsia="Bookman Old Style" w:cstheme="minorHAnsi"/>
          <w:lang w:val="es-CO"/>
        </w:rPr>
        <w:t>, para actividades intensivas en capital</w:t>
      </w:r>
      <w:r w:rsidR="00FC26C4" w:rsidRPr="009809B2">
        <w:rPr>
          <w:rFonts w:eastAsia="Bookman Old Style" w:cstheme="minorHAnsi"/>
          <w:lang w:val="es-CO"/>
        </w:rPr>
        <w:t xml:space="preserve">, donde se incluye tanto el reconocimiento de inversiones como el de costos de operación, de </w:t>
      </w:r>
      <w:r w:rsidR="00FC26C4" w:rsidRPr="009809B2">
        <w:rPr>
          <w:rFonts w:eastAsia="Bookman Old Style" w:cstheme="minorHAnsi"/>
          <w:lang w:val="es-CO"/>
        </w:rPr>
        <w:lastRenderedPageBreak/>
        <w:t xml:space="preserve">manera similar como se realiza en </w:t>
      </w:r>
      <w:r w:rsidR="00D7406A" w:rsidRPr="009809B2">
        <w:rPr>
          <w:rFonts w:eastAsia="Bookman Old Style" w:cstheme="minorHAnsi"/>
          <w:lang w:val="es-CO"/>
        </w:rPr>
        <w:t xml:space="preserve">el servicio de telecomunicaciones donde se utiliza </w:t>
      </w:r>
      <w:r w:rsidR="0085369C" w:rsidRPr="009809B2">
        <w:rPr>
          <w:rFonts w:eastAsia="Bookman Old Style" w:cstheme="minorHAnsi"/>
          <w:lang w:val="es-CO"/>
        </w:rPr>
        <w:t>este índice en combinación con otras variables</w:t>
      </w:r>
      <w:r w:rsidRPr="009809B2">
        <w:rPr>
          <w:rFonts w:eastAsia="Bookman Old Style" w:cstheme="minorHAnsi"/>
          <w:lang w:val="es-CO"/>
        </w:rPr>
        <w:t xml:space="preserve">. Así, las metodologías toman esos valores “fijos” aprobados a una fecha determinada y, para ser incorporados en las tarifas del servicio mes a mes, son actualizados multiplicándolos por la variación del IPP entre la fecha de referencia y la fecha de cálculo de la tarifa. </w:t>
      </w:r>
    </w:p>
    <w:p w14:paraId="28CAE574" w14:textId="3953CFCA" w:rsidR="000B328B" w:rsidRPr="009809B2" w:rsidRDefault="000B328B" w:rsidP="000B328B">
      <w:pPr>
        <w:spacing w:before="220"/>
        <w:rPr>
          <w:rFonts w:eastAsia="Bookman Old Style" w:cstheme="minorHAnsi"/>
          <w:lang w:val="es-CO"/>
        </w:rPr>
      </w:pPr>
      <w:r w:rsidRPr="009809B2">
        <w:rPr>
          <w:rFonts w:cstheme="minorHAnsi"/>
          <w:lang w:val="es-CO"/>
        </w:rPr>
        <w:t>Un índice de precios que capture el comportamiento de los precios del consumo nacional de bienes de capital es una buena aproximación de los costos asociados a la infraestructura del sector</w:t>
      </w:r>
      <w:r w:rsidRPr="009809B2">
        <w:rPr>
          <w:rFonts w:eastAsia="Bookman Old Style" w:cstheme="minorHAnsi"/>
          <w:lang w:val="es-CO"/>
        </w:rPr>
        <w:t>, por ello, la naturaleza del IPP se ajusta a dichas actividades por cuanto las mismas se asimilan</w:t>
      </w:r>
      <w:r w:rsidR="00C254EE" w:rsidRPr="009809B2">
        <w:rPr>
          <w:rFonts w:eastAsia="Bookman Old Style" w:cstheme="minorHAnsi"/>
          <w:lang w:val="es-CO"/>
        </w:rPr>
        <w:t>,</w:t>
      </w:r>
      <w:r w:rsidRPr="009809B2">
        <w:rPr>
          <w:rFonts w:eastAsia="Bookman Old Style" w:cstheme="minorHAnsi"/>
          <w:lang w:val="es-CO"/>
        </w:rPr>
        <w:t xml:space="preserve"> con mayor propiedad </w:t>
      </w:r>
      <w:r w:rsidR="00EB5C38" w:rsidRPr="009809B2">
        <w:rPr>
          <w:rFonts w:eastAsia="Bookman Old Style" w:cstheme="minorHAnsi"/>
          <w:lang w:val="es-CO"/>
        </w:rPr>
        <w:t>que el IPC</w:t>
      </w:r>
      <w:r w:rsidR="00C254EE" w:rsidRPr="009809B2">
        <w:rPr>
          <w:rFonts w:eastAsia="Bookman Old Style" w:cstheme="minorHAnsi"/>
          <w:lang w:val="es-CO"/>
        </w:rPr>
        <w:t>,</w:t>
      </w:r>
      <w:r w:rsidR="00EB5C38" w:rsidRPr="009809B2">
        <w:rPr>
          <w:rFonts w:eastAsia="Bookman Old Style" w:cstheme="minorHAnsi"/>
          <w:lang w:val="es-CO"/>
        </w:rPr>
        <w:t xml:space="preserve"> </w:t>
      </w:r>
      <w:r w:rsidRPr="009809B2">
        <w:rPr>
          <w:rFonts w:eastAsia="Bookman Old Style" w:cstheme="minorHAnsi"/>
          <w:lang w:val="es-CO"/>
        </w:rPr>
        <w:t xml:space="preserve">a aquellas actividades intensivas en capital. </w:t>
      </w:r>
    </w:p>
    <w:p w14:paraId="006F6EB7" w14:textId="4A74FE23" w:rsidR="00B66E38" w:rsidRPr="009809B2" w:rsidRDefault="000B328B" w:rsidP="000B328B">
      <w:pPr>
        <w:spacing w:before="220"/>
        <w:rPr>
          <w:rFonts w:eastAsia="Bookman Old Style" w:cstheme="minorHAnsi"/>
          <w:lang w:val="es-CO"/>
        </w:rPr>
      </w:pPr>
      <w:r w:rsidRPr="009809B2">
        <w:rPr>
          <w:rFonts w:eastAsia="Bookman Old Style" w:cstheme="minorHAnsi"/>
          <w:lang w:val="es-CO"/>
        </w:rPr>
        <w:t>Por su parte, en la actividad de comercialización, la Comisión aprueba una parte de este componente en una fecha determinada</w:t>
      </w:r>
      <w:r w:rsidR="00805120" w:rsidRPr="009809B2">
        <w:rPr>
          <w:rStyle w:val="Refdenotaalpie"/>
          <w:rFonts w:eastAsia="Bookman Old Style" w:cstheme="minorHAnsi"/>
          <w:lang w:val="es-CO"/>
        </w:rPr>
        <w:footnoteReference w:id="3"/>
      </w:r>
      <w:r w:rsidRPr="009809B2">
        <w:rPr>
          <w:rFonts w:eastAsia="Bookman Old Style" w:cstheme="minorHAnsi"/>
          <w:lang w:val="es-CO"/>
        </w:rPr>
        <w:t xml:space="preserve"> y por tal motivo, </w:t>
      </w:r>
      <w:r w:rsidR="007C35AE" w:rsidRPr="009809B2">
        <w:rPr>
          <w:rFonts w:eastAsia="Bookman Old Style" w:cstheme="minorHAnsi"/>
          <w:lang w:val="es-CO"/>
        </w:rPr>
        <w:t>para actualizar</w:t>
      </w:r>
      <w:r w:rsidR="007D43C4" w:rsidRPr="009809B2">
        <w:rPr>
          <w:rFonts w:eastAsia="Bookman Old Style" w:cstheme="minorHAnsi"/>
          <w:lang w:val="es-CO"/>
        </w:rPr>
        <w:t xml:space="preserve"> dicho</w:t>
      </w:r>
      <w:r w:rsidR="00477186" w:rsidRPr="009809B2">
        <w:rPr>
          <w:rFonts w:eastAsia="Bookman Old Style" w:cstheme="minorHAnsi"/>
          <w:lang w:val="es-CO"/>
        </w:rPr>
        <w:t xml:space="preserve"> costo base de comercialización</w:t>
      </w:r>
      <w:r w:rsidR="007D43C4" w:rsidRPr="009809B2">
        <w:rPr>
          <w:rFonts w:eastAsia="Bookman Old Style" w:cstheme="minorHAnsi"/>
          <w:lang w:val="es-CO"/>
        </w:rPr>
        <w:t>,</w:t>
      </w:r>
      <w:r w:rsidR="00477186" w:rsidRPr="009809B2">
        <w:rPr>
          <w:rFonts w:eastAsia="Bookman Old Style" w:cstheme="minorHAnsi"/>
          <w:lang w:val="es-CO"/>
        </w:rPr>
        <w:t xml:space="preserve"> </w:t>
      </w:r>
      <w:r w:rsidR="00A47A16" w:rsidRPr="009809B2">
        <w:rPr>
          <w:rFonts w:eastAsia="Bookman Old Style" w:cstheme="minorHAnsi"/>
          <w:lang w:val="es-CO"/>
        </w:rPr>
        <w:t>se utiliza</w:t>
      </w:r>
      <w:r w:rsidRPr="009809B2">
        <w:rPr>
          <w:rFonts w:eastAsia="Bookman Old Style" w:cstheme="minorHAnsi"/>
          <w:lang w:val="es-CO"/>
        </w:rPr>
        <w:t xml:space="preserve"> el IPC</w:t>
      </w:r>
      <w:r w:rsidR="007D43C4" w:rsidRPr="009809B2">
        <w:rPr>
          <w:rFonts w:eastAsia="Bookman Old Style" w:cstheme="minorHAnsi"/>
          <w:lang w:val="es-CO"/>
        </w:rPr>
        <w:t>;</w:t>
      </w:r>
      <w:r w:rsidR="00AE49D0" w:rsidRPr="009809B2">
        <w:rPr>
          <w:rFonts w:eastAsia="Bookman Old Style" w:cstheme="minorHAnsi"/>
          <w:lang w:val="es-CO"/>
        </w:rPr>
        <w:t xml:space="preserve"> dado que este costo es calculado a partir de los gastos en los que incurre la empresa para realizar actividades relacionadas con facturación, atención al cliente en sede de la empresa, lectura de medidores y </w:t>
      </w:r>
      <w:r w:rsidR="00B66E38" w:rsidRPr="009809B2">
        <w:rPr>
          <w:rFonts w:eastAsia="Bookman Old Style" w:cstheme="minorHAnsi"/>
          <w:lang w:val="es-CO"/>
        </w:rPr>
        <w:t>la compra y venta de energía</w:t>
      </w:r>
      <w:r w:rsidR="00AA333D" w:rsidRPr="009809B2">
        <w:rPr>
          <w:rFonts w:eastAsia="Bookman Old Style" w:cstheme="minorHAnsi"/>
          <w:lang w:val="es-CO"/>
        </w:rPr>
        <w:t xml:space="preserve">. En estas actividades, los principales gastos están relacionados con </w:t>
      </w:r>
      <w:r w:rsidR="00B66E38" w:rsidRPr="009809B2">
        <w:rPr>
          <w:rFonts w:eastAsia="Bookman Old Style" w:cstheme="minorHAnsi"/>
          <w:lang w:val="es-CO"/>
        </w:rPr>
        <w:t>recurso</w:t>
      </w:r>
      <w:r w:rsidR="00AA333D" w:rsidRPr="009809B2">
        <w:rPr>
          <w:rFonts w:eastAsia="Bookman Old Style" w:cstheme="minorHAnsi"/>
          <w:lang w:val="es-CO"/>
        </w:rPr>
        <w:t>s</w:t>
      </w:r>
      <w:r w:rsidR="00B66E38" w:rsidRPr="009809B2">
        <w:rPr>
          <w:rFonts w:eastAsia="Bookman Old Style" w:cstheme="minorHAnsi"/>
          <w:lang w:val="es-CO"/>
        </w:rPr>
        <w:t xml:space="preserve"> humano</w:t>
      </w:r>
      <w:r w:rsidR="00AA333D" w:rsidRPr="009809B2">
        <w:rPr>
          <w:rFonts w:eastAsia="Bookman Old Style" w:cstheme="minorHAnsi"/>
          <w:lang w:val="es-CO"/>
        </w:rPr>
        <w:t>s</w:t>
      </w:r>
      <w:r w:rsidR="00B66E38" w:rsidRPr="009809B2">
        <w:rPr>
          <w:rFonts w:eastAsia="Bookman Old Style" w:cstheme="minorHAnsi"/>
          <w:lang w:val="es-CO"/>
        </w:rPr>
        <w:t>.</w:t>
      </w:r>
    </w:p>
    <w:p w14:paraId="1B8BB62F" w14:textId="77777777" w:rsidR="000B328B" w:rsidRPr="009809B2" w:rsidRDefault="000B328B" w:rsidP="000B328B">
      <w:pPr>
        <w:spacing w:before="220"/>
        <w:rPr>
          <w:rFonts w:eastAsia="Bookman Old Style" w:cstheme="minorHAnsi"/>
          <w:lang w:val="es-CO"/>
        </w:rPr>
      </w:pPr>
      <w:r w:rsidRPr="009809B2">
        <w:rPr>
          <w:rFonts w:eastAsia="Bookman Old Style" w:cstheme="minorHAnsi"/>
          <w:lang w:val="es-CO"/>
        </w:rPr>
        <w:t>Finalmente, en la actividad de generación, por lo general, se acuerda la inclusión de factores de actualización de los precios negociados mediante contratos de largo plazo, de manera bilateral entre los agentes que participan en la transacción, dado que son pactados en una fecha determinada, con las condiciones estacionales determinadas en la fecha de firma y por el periodo cubierto por el contrato.</w:t>
      </w:r>
    </w:p>
    <w:p w14:paraId="59D8DB93" w14:textId="44E46B5B" w:rsidR="000B328B" w:rsidRPr="009809B2" w:rsidRDefault="000B328B" w:rsidP="000B328B">
      <w:pPr>
        <w:spacing w:before="220"/>
        <w:rPr>
          <w:rFonts w:cstheme="minorHAnsi"/>
          <w:lang w:val="es-CO"/>
        </w:rPr>
      </w:pPr>
      <w:r w:rsidRPr="009809B2">
        <w:rPr>
          <w:rFonts w:cstheme="minorHAnsi"/>
          <w:lang w:val="es-CO"/>
        </w:rPr>
        <w:t>A partir de 2015, la CREG consideró conveniente continuar utilizando la serie</w:t>
      </w:r>
      <w:r w:rsidR="00BF141C" w:rsidRPr="009809B2">
        <w:rPr>
          <w:rStyle w:val="Refdenotaalpie"/>
          <w:rFonts w:cstheme="minorHAnsi"/>
          <w:lang w:val="es-CO"/>
        </w:rPr>
        <w:footnoteReference w:id="4"/>
      </w:r>
      <w:r w:rsidRPr="009809B2">
        <w:rPr>
          <w:rFonts w:cstheme="minorHAnsi"/>
          <w:lang w:val="es-CO"/>
        </w:rPr>
        <w:t xml:space="preserve"> “Índice de Precios de la Oferta Interna”</w:t>
      </w:r>
      <w:r w:rsidRPr="009809B2">
        <w:rPr>
          <w:rStyle w:val="Refdenotaalpie"/>
          <w:rFonts w:cstheme="minorHAnsi"/>
          <w:lang w:val="es-CO"/>
        </w:rPr>
        <w:footnoteReference w:id="5"/>
      </w:r>
      <w:r w:rsidRPr="009809B2">
        <w:rPr>
          <w:rFonts w:cstheme="minorHAnsi"/>
          <w:lang w:val="es-CO"/>
        </w:rPr>
        <w:t xml:space="preserve">, que se sigue utilizando hasta la fecha. </w:t>
      </w:r>
      <w:r w:rsidRPr="009809B2">
        <w:rPr>
          <w:rFonts w:cstheme="minorHAnsi"/>
          <w:u w:val="single"/>
          <w:lang w:val="es-CO"/>
        </w:rPr>
        <w:t>Entonces</w:t>
      </w:r>
      <w:r w:rsidR="002B2724" w:rsidRPr="009809B2">
        <w:rPr>
          <w:rFonts w:cstheme="minorHAnsi"/>
          <w:u w:val="single"/>
          <w:lang w:val="es-CO"/>
        </w:rPr>
        <w:t>,</w:t>
      </w:r>
      <w:r w:rsidRPr="009809B2">
        <w:rPr>
          <w:rFonts w:cstheme="minorHAnsi"/>
          <w:u w:val="single"/>
          <w:lang w:val="es-CO"/>
        </w:rPr>
        <w:t xml:space="preserve"> cuando en este documento se haga referencia al IPP</w:t>
      </w:r>
      <w:r w:rsidR="002B2724" w:rsidRPr="009809B2">
        <w:rPr>
          <w:rFonts w:cstheme="minorHAnsi"/>
          <w:u w:val="single"/>
          <w:lang w:val="es-CO"/>
        </w:rPr>
        <w:t>,</w:t>
      </w:r>
      <w:r w:rsidRPr="009809B2">
        <w:rPr>
          <w:rFonts w:cstheme="minorHAnsi"/>
          <w:u w:val="single"/>
          <w:lang w:val="es-CO"/>
        </w:rPr>
        <w:t xml:space="preserve"> se debe entender que se hace referencia a esta serie</w:t>
      </w:r>
      <w:r w:rsidRPr="009809B2">
        <w:rPr>
          <w:rFonts w:cstheme="minorHAnsi"/>
          <w:lang w:val="es-CO"/>
        </w:rPr>
        <w:t xml:space="preserve">. </w:t>
      </w:r>
    </w:p>
    <w:p w14:paraId="6F6C8093" w14:textId="77777777" w:rsidR="000B328B" w:rsidRPr="009809B2" w:rsidRDefault="000B328B" w:rsidP="000B328B">
      <w:pPr>
        <w:spacing w:before="220"/>
        <w:rPr>
          <w:rFonts w:cstheme="minorHAnsi"/>
          <w:lang w:val="es-CO"/>
        </w:rPr>
      </w:pPr>
      <w:r w:rsidRPr="009809B2">
        <w:rPr>
          <w:rFonts w:cstheme="minorHAnsi"/>
          <w:lang w:val="es-CO"/>
        </w:rPr>
        <w:t xml:space="preserve">A partir de enero de 2021, el DANE empezó a publicar, cada mes, unos valores provisionales para las series de índices de precios del productor, incluida la de oferta interna, los cuales se vuelven a publicar como definitivos para el mes siguiente. Sobre esta publicación la Comisión determinó que </w:t>
      </w:r>
      <w:r w:rsidRPr="009809B2">
        <w:rPr>
          <w:rFonts w:cstheme="minorHAnsi"/>
          <w:lang w:val="es-CO"/>
        </w:rPr>
        <w:lastRenderedPageBreak/>
        <w:t>se debería utilizar la serie provisional</w:t>
      </w:r>
      <w:r w:rsidRPr="009809B2">
        <w:rPr>
          <w:rStyle w:val="Refdenotaalpie"/>
          <w:rFonts w:cstheme="minorHAnsi"/>
          <w:lang w:val="es-CO"/>
        </w:rPr>
        <w:footnoteReference w:id="6"/>
      </w:r>
      <w:r w:rsidRPr="009809B2">
        <w:rPr>
          <w:rFonts w:cstheme="minorHAnsi"/>
          <w:lang w:val="es-CO"/>
        </w:rPr>
        <w:t>, dado que se requiere utilizar estos índices al inicio de cada mes con el fin de calcular los cargos a aplicar en ese mismo mes.</w:t>
      </w:r>
    </w:p>
    <w:p w14:paraId="308D7001" w14:textId="77777777" w:rsidR="000B328B" w:rsidRPr="009809B2" w:rsidRDefault="000B328B" w:rsidP="00EB3A9E">
      <w:pPr>
        <w:keepNext/>
        <w:spacing w:before="240" w:after="240"/>
        <w:rPr>
          <w:rFonts w:cstheme="minorHAnsi"/>
          <w:b/>
          <w:lang w:val="es-CO"/>
        </w:rPr>
      </w:pPr>
      <w:r w:rsidRPr="009809B2">
        <w:rPr>
          <w:rFonts w:cstheme="minorHAnsi"/>
          <w:b/>
          <w:lang w:val="es-CO"/>
        </w:rPr>
        <w:t>Comportamiento de las tarifas e IPP e IPC</w:t>
      </w:r>
    </w:p>
    <w:p w14:paraId="3D0E9FB8" w14:textId="43F78FAE" w:rsidR="000B328B" w:rsidRPr="009809B2" w:rsidRDefault="000B328B" w:rsidP="000B328B">
      <w:pPr>
        <w:spacing w:before="240" w:after="240"/>
        <w:rPr>
          <w:rFonts w:cstheme="minorHAnsi"/>
          <w:lang w:val="es-CO"/>
        </w:rPr>
      </w:pPr>
      <w:r w:rsidRPr="009809B2">
        <w:rPr>
          <w:rFonts w:cstheme="minorHAnsi"/>
          <w:lang w:val="es-CO"/>
        </w:rPr>
        <w:t xml:space="preserve">En la </w:t>
      </w:r>
      <w:r w:rsidR="00D75463" w:rsidRPr="009809B2">
        <w:rPr>
          <w:rFonts w:cstheme="minorHAnsi"/>
          <w:lang w:val="es-CO"/>
        </w:rPr>
        <w:t>Gráfica 3</w:t>
      </w:r>
      <w:r w:rsidRPr="009809B2">
        <w:rPr>
          <w:rFonts w:cstheme="minorHAnsi"/>
          <w:lang w:val="es-CO"/>
        </w:rPr>
        <w:t xml:space="preserve"> se presenta la evolución del CU de nivel de tensión 1 del país</w:t>
      </w:r>
      <w:r w:rsidRPr="009809B2">
        <w:rPr>
          <w:rStyle w:val="Refdenotaalpie"/>
          <w:rFonts w:cstheme="minorHAnsi"/>
          <w:lang w:val="es-CO"/>
        </w:rPr>
        <w:footnoteReference w:id="7"/>
      </w:r>
      <w:r w:rsidRPr="009809B2">
        <w:rPr>
          <w:rFonts w:cstheme="minorHAnsi"/>
          <w:lang w:val="es-CO"/>
        </w:rPr>
        <w:t xml:space="preserve"> para el periodo enero de 2020 a </w:t>
      </w:r>
      <w:r w:rsidR="0099157D" w:rsidRPr="009809B2">
        <w:rPr>
          <w:rFonts w:cstheme="minorHAnsi"/>
          <w:lang w:val="es-CO"/>
        </w:rPr>
        <w:t>ju</w:t>
      </w:r>
      <w:r w:rsidR="00ED4635" w:rsidRPr="009809B2">
        <w:rPr>
          <w:rFonts w:cstheme="minorHAnsi"/>
          <w:lang w:val="es-CO"/>
        </w:rPr>
        <w:t>nio</w:t>
      </w:r>
      <w:r w:rsidR="005A0B4B" w:rsidRPr="009809B2">
        <w:rPr>
          <w:rFonts w:cstheme="minorHAnsi"/>
          <w:lang w:val="es-CO"/>
        </w:rPr>
        <w:t xml:space="preserve"> de 202</w:t>
      </w:r>
      <w:r w:rsidR="00ED4635" w:rsidRPr="009809B2">
        <w:rPr>
          <w:rFonts w:cstheme="minorHAnsi"/>
          <w:lang w:val="es-CO"/>
        </w:rPr>
        <w:t>4</w:t>
      </w:r>
      <w:r w:rsidRPr="009809B2">
        <w:rPr>
          <w:rFonts w:cstheme="minorHAnsi"/>
          <w:lang w:val="es-CO"/>
        </w:rPr>
        <w:t xml:space="preserve">. La serie </w:t>
      </w:r>
      <w:r w:rsidRPr="009809B2">
        <w:rPr>
          <w:rFonts w:cstheme="minorHAnsi"/>
          <w:i/>
          <w:lang w:val="es-CO"/>
        </w:rPr>
        <w:t>CU calculado</w:t>
      </w:r>
      <w:r w:rsidRPr="009809B2">
        <w:rPr>
          <w:rFonts w:cstheme="minorHAnsi"/>
          <w:lang w:val="es-CO"/>
        </w:rPr>
        <w:t xml:space="preserve"> corresponde al valor resultante de la aplicación de la metodología definida en la Resolución CREG 119 de 2007, mientras que la serie </w:t>
      </w:r>
      <w:r w:rsidRPr="009809B2">
        <w:rPr>
          <w:rFonts w:cstheme="minorHAnsi"/>
          <w:i/>
          <w:lang w:val="es-CO"/>
        </w:rPr>
        <w:t>CU aplicado</w:t>
      </w:r>
      <w:r w:rsidRPr="009809B2">
        <w:rPr>
          <w:rFonts w:cstheme="minorHAnsi"/>
          <w:lang w:val="es-CO"/>
        </w:rPr>
        <w:t xml:space="preserve"> corresponde al CU cobrado a los usuarios en aplicación de la opción tarifaria</w:t>
      </w:r>
      <w:r w:rsidR="00B322FC" w:rsidRPr="009809B2">
        <w:rPr>
          <w:rFonts w:cstheme="minorHAnsi"/>
          <w:lang w:val="es-CO"/>
        </w:rPr>
        <w:t xml:space="preserve">, lo anterior, en </w:t>
      </w:r>
      <w:r w:rsidR="00A00C6B" w:rsidRPr="009809B2">
        <w:rPr>
          <w:rFonts w:cstheme="minorHAnsi"/>
          <w:lang w:val="es-CO"/>
        </w:rPr>
        <w:t>atención a lo dispuesto en las resoluciones CREG 012 y 058 de 2020</w:t>
      </w:r>
      <w:r w:rsidRPr="009809B2">
        <w:rPr>
          <w:rFonts w:cstheme="minorHAnsi"/>
          <w:lang w:val="es-CO"/>
        </w:rPr>
        <w:t>.</w:t>
      </w:r>
      <w:r w:rsidR="00ED4635" w:rsidRPr="009809B2">
        <w:rPr>
          <w:rFonts w:cstheme="minorHAnsi"/>
          <w:lang w:val="es-CO"/>
        </w:rPr>
        <w:t xml:space="preserve"> A partir de enero de 2024 el </w:t>
      </w:r>
      <w:r w:rsidR="00826673" w:rsidRPr="009809B2">
        <w:rPr>
          <w:rFonts w:cstheme="minorHAnsi"/>
          <w:lang w:val="es-CO"/>
        </w:rPr>
        <w:t>CU aplicado es igual al calculado.</w:t>
      </w:r>
    </w:p>
    <w:p w14:paraId="56666015" w14:textId="18B9FF5E" w:rsidR="000B328B" w:rsidRPr="009809B2" w:rsidRDefault="000B328B" w:rsidP="000405F5">
      <w:pPr>
        <w:spacing w:before="240" w:after="240"/>
        <w:rPr>
          <w:lang w:val="es-CO"/>
        </w:rPr>
      </w:pPr>
      <w:r w:rsidRPr="009809B2">
        <w:rPr>
          <w:rFonts w:cstheme="minorHAnsi"/>
          <w:lang w:val="es-CO"/>
        </w:rPr>
        <w:t>En relación con el CU aplicado, es decir el valor empleado para facturar el servicio, durante el mismo periodo</w:t>
      </w:r>
      <w:r w:rsidR="00662008" w:rsidRPr="009809B2">
        <w:rPr>
          <w:rFonts w:cstheme="minorHAnsi"/>
          <w:lang w:val="es-CO"/>
        </w:rPr>
        <w:t>,</w:t>
      </w:r>
      <w:r w:rsidRPr="009809B2">
        <w:rPr>
          <w:rFonts w:cstheme="minorHAnsi"/>
          <w:lang w:val="es-CO"/>
        </w:rPr>
        <w:t xml:space="preserve"> presentó un incremento ponderado del orden del </w:t>
      </w:r>
      <w:r w:rsidR="00FC0696" w:rsidRPr="009809B2">
        <w:rPr>
          <w:rFonts w:cstheme="minorHAnsi"/>
          <w:lang w:val="es-CO"/>
        </w:rPr>
        <w:t>55</w:t>
      </w:r>
      <w:r w:rsidRPr="009809B2">
        <w:rPr>
          <w:rFonts w:cstheme="minorHAnsi"/>
          <w:lang w:val="es-CO"/>
        </w:rPr>
        <w:t>%, los mayores incrementos se observaron a partir de octubre de 2021</w:t>
      </w:r>
      <w:r w:rsidRPr="009809B2">
        <w:rPr>
          <w:lang w:val="es-CO"/>
        </w:rPr>
        <w:t xml:space="preserve">. </w:t>
      </w:r>
    </w:p>
    <w:p w14:paraId="3080DFD8" w14:textId="40502BED" w:rsidR="000B328B" w:rsidRPr="009809B2" w:rsidRDefault="000B328B" w:rsidP="000B328B">
      <w:pPr>
        <w:pStyle w:val="Descripcin"/>
        <w:keepNext/>
        <w:spacing w:before="240"/>
        <w:jc w:val="center"/>
        <w:rPr>
          <w:rFonts w:cstheme="minorHAnsi"/>
          <w:color w:val="000000" w:themeColor="text1"/>
          <w:sz w:val="20"/>
          <w:szCs w:val="20"/>
          <w:lang w:val="es-CO"/>
        </w:rPr>
      </w:pPr>
      <w:r w:rsidRPr="009809B2">
        <w:rPr>
          <w:rFonts w:cstheme="minorHAnsi"/>
          <w:color w:val="000000" w:themeColor="text1"/>
          <w:sz w:val="20"/>
          <w:szCs w:val="20"/>
          <w:lang w:val="es-CO"/>
        </w:rPr>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highlight w:val="yellow"/>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highlight w:val="yellow"/>
          <w:lang w:val="es-CO"/>
        </w:rPr>
        <w:t>3</w:t>
      </w:r>
      <w:r w:rsidRPr="009809B2">
        <w:rPr>
          <w:rFonts w:cstheme="minorHAnsi"/>
          <w:color w:val="000000" w:themeColor="text1"/>
          <w:sz w:val="20"/>
          <w:szCs w:val="20"/>
          <w:lang w:val="es-CO"/>
        </w:rPr>
        <w:fldChar w:fldCharType="end"/>
      </w:r>
      <w:r w:rsidRPr="009809B2">
        <w:rPr>
          <w:rFonts w:cstheme="minorHAnsi"/>
          <w:color w:val="000000" w:themeColor="text1"/>
          <w:sz w:val="20"/>
          <w:szCs w:val="20"/>
          <w:lang w:val="es-CO"/>
        </w:rPr>
        <w:t xml:space="preserve">. Evolución del CU calculado y aplicado </w:t>
      </w:r>
      <w:r w:rsidR="005A0B4B" w:rsidRPr="009809B2">
        <w:rPr>
          <w:rFonts w:cstheme="minorHAnsi"/>
          <w:color w:val="000000" w:themeColor="text1"/>
          <w:sz w:val="20"/>
          <w:szCs w:val="20"/>
          <w:lang w:val="es-CO"/>
        </w:rPr>
        <w:t xml:space="preserve">enero </w:t>
      </w:r>
      <w:r w:rsidRPr="009809B2">
        <w:rPr>
          <w:rFonts w:cstheme="minorHAnsi"/>
          <w:color w:val="000000" w:themeColor="text1"/>
          <w:sz w:val="20"/>
          <w:szCs w:val="20"/>
          <w:lang w:val="es-CO"/>
        </w:rPr>
        <w:t xml:space="preserve">2020 </w:t>
      </w:r>
      <w:r w:rsidR="005A0B4B" w:rsidRPr="009809B2">
        <w:rPr>
          <w:rFonts w:cstheme="minorHAnsi"/>
          <w:color w:val="000000" w:themeColor="text1"/>
          <w:sz w:val="20"/>
          <w:szCs w:val="20"/>
          <w:lang w:val="es-CO"/>
        </w:rPr>
        <w:t>–</w:t>
      </w:r>
      <w:r w:rsidRPr="009809B2">
        <w:rPr>
          <w:rFonts w:cstheme="minorHAnsi"/>
          <w:color w:val="000000" w:themeColor="text1"/>
          <w:sz w:val="20"/>
          <w:szCs w:val="20"/>
          <w:lang w:val="es-CO"/>
        </w:rPr>
        <w:t xml:space="preserve"> </w:t>
      </w:r>
      <w:r w:rsidR="0099157D" w:rsidRPr="009809B2">
        <w:rPr>
          <w:rFonts w:cstheme="minorHAnsi"/>
          <w:color w:val="000000" w:themeColor="text1"/>
          <w:sz w:val="20"/>
          <w:szCs w:val="20"/>
          <w:lang w:val="es-CO"/>
        </w:rPr>
        <w:t>ju</w:t>
      </w:r>
      <w:r w:rsidR="003D101B" w:rsidRPr="009809B2">
        <w:rPr>
          <w:rFonts w:cstheme="minorHAnsi"/>
          <w:color w:val="000000" w:themeColor="text1"/>
          <w:sz w:val="20"/>
          <w:szCs w:val="20"/>
          <w:lang w:val="es-CO"/>
        </w:rPr>
        <w:t>nio</w:t>
      </w:r>
      <w:r w:rsidR="005A0B4B" w:rsidRPr="009809B2">
        <w:rPr>
          <w:rFonts w:cstheme="minorHAnsi"/>
          <w:color w:val="000000" w:themeColor="text1"/>
          <w:sz w:val="20"/>
          <w:szCs w:val="20"/>
          <w:lang w:val="es-CO"/>
        </w:rPr>
        <w:t xml:space="preserve"> </w:t>
      </w:r>
      <w:r w:rsidRPr="009809B2">
        <w:rPr>
          <w:rFonts w:cstheme="minorHAnsi"/>
          <w:color w:val="000000" w:themeColor="text1"/>
          <w:sz w:val="20"/>
          <w:szCs w:val="20"/>
          <w:lang w:val="es-CO"/>
        </w:rPr>
        <w:t>202</w:t>
      </w:r>
      <w:r w:rsidR="003D101B" w:rsidRPr="009809B2">
        <w:rPr>
          <w:rFonts w:cstheme="minorHAnsi"/>
          <w:color w:val="000000" w:themeColor="text1"/>
          <w:sz w:val="20"/>
          <w:szCs w:val="20"/>
          <w:lang w:val="es-CO"/>
        </w:rPr>
        <w:t>4</w:t>
      </w:r>
    </w:p>
    <w:p w14:paraId="4A9E8EEE" w14:textId="77777777" w:rsidR="00F635BD" w:rsidRPr="009809B2" w:rsidRDefault="000B328B" w:rsidP="007F436F">
      <w:pPr>
        <w:spacing w:before="240" w:after="240"/>
        <w:jc w:val="center"/>
        <w:rPr>
          <w:rFonts w:cstheme="minorHAnsi"/>
          <w:lang w:val="es-CO"/>
        </w:rPr>
      </w:pPr>
      <w:r w:rsidRPr="009809B2">
        <w:rPr>
          <w:noProof/>
          <w:lang w:val="es-CO"/>
        </w:rPr>
        <w:drawing>
          <wp:inline distT="0" distB="0" distL="0" distR="0" wp14:anchorId="22A73B68" wp14:editId="109ACD89">
            <wp:extent cx="4198117" cy="2096079"/>
            <wp:effectExtent l="0" t="0" r="0" b="0"/>
            <wp:docPr id="35" name="Grá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áfico 35"/>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4209795" cy="2101910"/>
                    </a:xfrm>
                    <a:prstGeom prst="rect">
                      <a:avLst/>
                    </a:prstGeom>
                  </pic:spPr>
                </pic:pic>
              </a:graphicData>
            </a:graphic>
          </wp:inline>
        </w:drawing>
      </w:r>
    </w:p>
    <w:p w14:paraId="44D0BFF0" w14:textId="741DB25B" w:rsidR="00401F6F" w:rsidRPr="009809B2" w:rsidRDefault="000B328B" w:rsidP="00401F6F">
      <w:pPr>
        <w:spacing w:before="240" w:after="240"/>
        <w:rPr>
          <w:rFonts w:cstheme="minorHAnsi"/>
          <w:lang w:val="es-CO"/>
        </w:rPr>
      </w:pPr>
      <w:r w:rsidRPr="009809B2">
        <w:rPr>
          <w:rFonts w:cstheme="minorHAnsi"/>
          <w:lang w:val="es-CO"/>
        </w:rPr>
        <w:t xml:space="preserve">La diferencia entre el CU calculado </w:t>
      </w:r>
      <w:r w:rsidR="00DB5DCA" w:rsidRPr="009809B2">
        <w:rPr>
          <w:rFonts w:cstheme="minorHAnsi"/>
          <w:lang w:val="es-CO"/>
        </w:rPr>
        <w:t>(</w:t>
      </w:r>
      <w:proofErr w:type="spellStart"/>
      <w:r w:rsidR="00DB5DCA" w:rsidRPr="009809B2">
        <w:rPr>
          <w:rFonts w:cstheme="minorHAnsi"/>
          <w:lang w:val="es-CO"/>
        </w:rPr>
        <w:t>CU</w:t>
      </w:r>
      <w:r w:rsidR="00977A35" w:rsidRPr="009809B2">
        <w:rPr>
          <w:rFonts w:cstheme="minorHAnsi"/>
          <w:lang w:val="es-CO"/>
        </w:rPr>
        <w:t>vm</w:t>
      </w:r>
      <w:proofErr w:type="spellEnd"/>
      <w:r w:rsidR="00977A35" w:rsidRPr="009809B2">
        <w:rPr>
          <w:rFonts w:cstheme="minorHAnsi"/>
          <w:lang w:val="es-CO"/>
        </w:rPr>
        <w:t xml:space="preserve">) </w:t>
      </w:r>
      <w:r w:rsidRPr="009809B2">
        <w:rPr>
          <w:rFonts w:cstheme="minorHAnsi"/>
          <w:lang w:val="es-CO"/>
        </w:rPr>
        <w:t xml:space="preserve">y el CU aplicado </w:t>
      </w:r>
      <w:r w:rsidR="00977A35" w:rsidRPr="009809B2">
        <w:rPr>
          <w:rFonts w:cstheme="minorHAnsi"/>
          <w:lang w:val="es-CO"/>
        </w:rPr>
        <w:t>(</w:t>
      </w:r>
      <w:proofErr w:type="spellStart"/>
      <w:r w:rsidR="00977A35" w:rsidRPr="009809B2">
        <w:rPr>
          <w:rFonts w:cstheme="minorHAnsi"/>
          <w:lang w:val="es-CO"/>
        </w:rPr>
        <w:t>CU_Opc_Tarif</w:t>
      </w:r>
      <w:proofErr w:type="spellEnd"/>
      <w:r w:rsidR="00977A35" w:rsidRPr="009809B2">
        <w:rPr>
          <w:rFonts w:cstheme="minorHAnsi"/>
          <w:lang w:val="es-CO"/>
        </w:rPr>
        <w:t xml:space="preserve">) </w:t>
      </w:r>
      <w:r w:rsidRPr="009809B2">
        <w:rPr>
          <w:rFonts w:cstheme="minorHAnsi"/>
          <w:lang w:val="es-CO"/>
        </w:rPr>
        <w:t>mensualmente gener</w:t>
      </w:r>
      <w:r w:rsidR="00F635BD" w:rsidRPr="009809B2">
        <w:rPr>
          <w:rFonts w:cstheme="minorHAnsi"/>
          <w:lang w:val="es-CO"/>
        </w:rPr>
        <w:t>ó</w:t>
      </w:r>
      <w:r w:rsidRPr="009809B2">
        <w:rPr>
          <w:rFonts w:cstheme="minorHAnsi"/>
          <w:lang w:val="es-CO"/>
        </w:rPr>
        <w:t xml:space="preserve"> un saldo en cada mercado de comercialización, el cual se acumul</w:t>
      </w:r>
      <w:r w:rsidR="00F635BD" w:rsidRPr="009809B2">
        <w:rPr>
          <w:rFonts w:cstheme="minorHAnsi"/>
          <w:lang w:val="es-CO"/>
        </w:rPr>
        <w:t>ó</w:t>
      </w:r>
      <w:r w:rsidRPr="009809B2">
        <w:rPr>
          <w:rFonts w:cstheme="minorHAnsi"/>
          <w:lang w:val="es-CO"/>
        </w:rPr>
        <w:t xml:space="preserve"> como una cuenta por cobrar a</w:t>
      </w:r>
      <w:r w:rsidR="00345DCF" w:rsidRPr="009809B2">
        <w:rPr>
          <w:rFonts w:cstheme="minorHAnsi"/>
          <w:lang w:val="es-CO"/>
        </w:rPr>
        <w:t xml:space="preserve"> cada mercado</w:t>
      </w:r>
      <w:r w:rsidRPr="009809B2">
        <w:rPr>
          <w:rFonts w:cstheme="minorHAnsi"/>
          <w:lang w:val="es-CO"/>
        </w:rPr>
        <w:t xml:space="preserve">. </w:t>
      </w:r>
    </w:p>
    <w:p w14:paraId="2E009A30" w14:textId="1B2423B7" w:rsidR="00401F6F" w:rsidRPr="009809B2" w:rsidRDefault="00F8272C" w:rsidP="00401F6F">
      <w:pPr>
        <w:spacing w:before="240" w:after="240"/>
        <w:rPr>
          <w:rFonts w:cstheme="minorHAnsi"/>
          <w:lang w:val="es-CO"/>
        </w:rPr>
      </w:pPr>
      <w:r w:rsidRPr="009809B2">
        <w:rPr>
          <w:rFonts w:cstheme="minorHAnsi"/>
          <w:lang w:val="es-CO"/>
        </w:rPr>
        <w:lastRenderedPageBreak/>
        <w:t>Teniendo en cuenta que aproximadamente el 8</w:t>
      </w:r>
      <w:r w:rsidR="00D6309D" w:rsidRPr="009809B2">
        <w:rPr>
          <w:rFonts w:cstheme="minorHAnsi"/>
          <w:lang w:val="es-CO"/>
        </w:rPr>
        <w:t>5</w:t>
      </w:r>
      <w:r w:rsidRPr="009809B2">
        <w:rPr>
          <w:rFonts w:cstheme="minorHAnsi"/>
          <w:lang w:val="es-CO"/>
        </w:rPr>
        <w:t xml:space="preserve">% del </w:t>
      </w:r>
      <w:r w:rsidR="00FA31B1" w:rsidRPr="009809B2">
        <w:rPr>
          <w:rFonts w:cstheme="minorHAnsi"/>
          <w:lang w:val="es-CO"/>
        </w:rPr>
        <w:t xml:space="preserve">CU </w:t>
      </w:r>
      <w:r w:rsidR="000C36ED" w:rsidRPr="009809B2">
        <w:rPr>
          <w:rFonts w:cstheme="minorHAnsi"/>
          <w:lang w:val="es-CO"/>
        </w:rPr>
        <w:t>se actualiza con el IPP y el restante 1</w:t>
      </w:r>
      <w:r w:rsidR="00D6309D" w:rsidRPr="009809B2">
        <w:rPr>
          <w:rFonts w:cstheme="minorHAnsi"/>
          <w:lang w:val="es-CO"/>
        </w:rPr>
        <w:t>5</w:t>
      </w:r>
      <w:r w:rsidR="000C36ED" w:rsidRPr="009809B2">
        <w:rPr>
          <w:rFonts w:cstheme="minorHAnsi"/>
          <w:lang w:val="es-CO"/>
        </w:rPr>
        <w:t>% con el IPC, en la variación del CU calculado</w:t>
      </w:r>
      <w:r w:rsidR="00401F6F" w:rsidRPr="009809B2">
        <w:rPr>
          <w:rFonts w:cstheme="minorHAnsi"/>
          <w:lang w:val="es-CO"/>
        </w:rPr>
        <w:t xml:space="preserve"> se observa una tasa de crecimiento a partir de enero de 2020, consecuentemente con el incremento de los índices de precios del productor, como se puede observar en la siguiente gráfica.</w:t>
      </w:r>
    </w:p>
    <w:p w14:paraId="624DF416" w14:textId="4B1D6280" w:rsidR="006E1373" w:rsidRPr="009809B2" w:rsidRDefault="00D21DFC" w:rsidP="00AA06BA">
      <w:pPr>
        <w:pStyle w:val="Descripcin"/>
        <w:keepNext/>
        <w:spacing w:before="240"/>
        <w:jc w:val="center"/>
        <w:rPr>
          <w:rFonts w:cstheme="minorHAnsi"/>
          <w:color w:val="000000" w:themeColor="text1"/>
          <w:sz w:val="20"/>
          <w:szCs w:val="20"/>
          <w:lang w:val="es-CO"/>
        </w:rPr>
      </w:pPr>
      <w:r w:rsidRPr="00D21DFC">
        <w:rPr>
          <w:rFonts w:cstheme="minorHAnsi"/>
          <w:color w:val="000000" w:themeColor="text1"/>
          <w:sz w:val="20"/>
          <w:szCs w:val="20"/>
          <w:lang w:val="es-CO"/>
        </w:rPr>
        <w:t xml:space="preserve">Gráfica </w:t>
      </w:r>
      <w:r w:rsidRPr="00D21DFC">
        <w:rPr>
          <w:rFonts w:cstheme="minorHAnsi"/>
          <w:color w:val="000000" w:themeColor="text1"/>
          <w:sz w:val="20"/>
          <w:szCs w:val="20"/>
          <w:lang w:val="es-CO"/>
        </w:rPr>
        <w:fldChar w:fldCharType="begin"/>
      </w:r>
      <w:r w:rsidRPr="00D21DFC">
        <w:rPr>
          <w:rFonts w:cstheme="minorHAnsi"/>
          <w:color w:val="000000" w:themeColor="text1"/>
          <w:sz w:val="20"/>
          <w:szCs w:val="20"/>
          <w:lang w:val="es-CO"/>
        </w:rPr>
        <w:instrText xml:space="preserve"> SEQ Gráfica \* ARABIC </w:instrText>
      </w:r>
      <w:r w:rsidRPr="00D21DFC">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4</w:t>
      </w:r>
      <w:r w:rsidRPr="00D21DFC">
        <w:rPr>
          <w:rFonts w:cstheme="minorHAnsi"/>
          <w:color w:val="000000" w:themeColor="text1"/>
          <w:sz w:val="20"/>
          <w:szCs w:val="20"/>
          <w:lang w:val="es-CO"/>
        </w:rPr>
        <w:fldChar w:fldCharType="end"/>
      </w:r>
      <w:r w:rsidRPr="00D21DFC">
        <w:rPr>
          <w:rFonts w:cstheme="minorHAnsi"/>
          <w:color w:val="000000" w:themeColor="text1"/>
          <w:sz w:val="20"/>
          <w:szCs w:val="20"/>
          <w:lang w:val="es-CO"/>
        </w:rPr>
        <w:t xml:space="preserve">. </w:t>
      </w:r>
      <w:r w:rsidR="006E1373" w:rsidRPr="00D21DFC">
        <w:rPr>
          <w:rFonts w:cstheme="minorHAnsi"/>
          <w:color w:val="000000" w:themeColor="text1"/>
          <w:sz w:val="20"/>
          <w:szCs w:val="20"/>
          <w:lang w:val="es-CO"/>
        </w:rPr>
        <w:t>Evolución</w:t>
      </w:r>
      <w:r w:rsidR="006E1373" w:rsidRPr="009809B2">
        <w:rPr>
          <w:rFonts w:cstheme="minorHAnsi"/>
          <w:color w:val="000000" w:themeColor="text1"/>
          <w:sz w:val="20"/>
          <w:szCs w:val="20"/>
          <w:lang w:val="es-CO"/>
        </w:rPr>
        <w:t xml:space="preserve"> del </w:t>
      </w:r>
      <w:r w:rsidR="0032012E" w:rsidRPr="009809B2">
        <w:rPr>
          <w:rFonts w:cstheme="minorHAnsi"/>
          <w:color w:val="000000" w:themeColor="text1"/>
          <w:sz w:val="20"/>
          <w:szCs w:val="20"/>
          <w:lang w:val="es-CO"/>
        </w:rPr>
        <w:t>CU, el</w:t>
      </w:r>
      <w:r w:rsidR="006E1373" w:rsidRPr="009809B2">
        <w:rPr>
          <w:rFonts w:cstheme="minorHAnsi"/>
          <w:color w:val="000000" w:themeColor="text1"/>
          <w:sz w:val="20"/>
          <w:szCs w:val="20"/>
          <w:lang w:val="es-CO"/>
        </w:rPr>
        <w:t xml:space="preserve"> IPP </w:t>
      </w:r>
      <w:r w:rsidR="0032012E" w:rsidRPr="009809B2">
        <w:rPr>
          <w:rFonts w:cstheme="minorHAnsi"/>
          <w:color w:val="000000" w:themeColor="text1"/>
          <w:sz w:val="20"/>
          <w:szCs w:val="20"/>
          <w:lang w:val="es-CO"/>
        </w:rPr>
        <w:t xml:space="preserve">y </w:t>
      </w:r>
      <w:r w:rsidR="006E1373" w:rsidRPr="009809B2">
        <w:rPr>
          <w:rFonts w:cstheme="minorHAnsi"/>
          <w:color w:val="000000" w:themeColor="text1"/>
          <w:sz w:val="20"/>
          <w:szCs w:val="20"/>
          <w:lang w:val="es-CO"/>
        </w:rPr>
        <w:t>e</w:t>
      </w:r>
      <w:r w:rsidR="0032012E" w:rsidRPr="009809B2">
        <w:rPr>
          <w:rFonts w:cstheme="minorHAnsi"/>
          <w:color w:val="000000" w:themeColor="text1"/>
          <w:sz w:val="20"/>
          <w:szCs w:val="20"/>
          <w:lang w:val="es-CO"/>
        </w:rPr>
        <w:t>l</w:t>
      </w:r>
      <w:r w:rsidR="006E1373" w:rsidRPr="009809B2">
        <w:rPr>
          <w:rFonts w:cstheme="minorHAnsi"/>
          <w:color w:val="000000" w:themeColor="text1"/>
          <w:sz w:val="20"/>
          <w:szCs w:val="20"/>
          <w:lang w:val="es-CO"/>
        </w:rPr>
        <w:t xml:space="preserve"> IPC</w:t>
      </w:r>
    </w:p>
    <w:p w14:paraId="6EF48C95" w14:textId="73A436A3" w:rsidR="001B7EBA" w:rsidRPr="009809B2" w:rsidRDefault="006C5D05" w:rsidP="00055250">
      <w:pPr>
        <w:pStyle w:val="Textoindependiente"/>
        <w:spacing w:before="220"/>
        <w:rPr>
          <w:rFonts w:cs="Arial"/>
          <w:b w:val="0"/>
          <w:sz w:val="22"/>
          <w:lang w:val="es-CO"/>
        </w:rPr>
      </w:pPr>
      <w:r w:rsidRPr="009809B2">
        <w:rPr>
          <w:rFonts w:cs="Arial"/>
          <w:b w:val="0"/>
          <w:noProof/>
          <w:sz w:val="22"/>
          <w:lang w:val="es-CO"/>
        </w:rPr>
        <w:drawing>
          <wp:inline distT="0" distB="0" distL="0" distR="0" wp14:anchorId="7586D06B" wp14:editId="2E8266F5">
            <wp:extent cx="4191247" cy="2653405"/>
            <wp:effectExtent l="0" t="0" r="0" b="0"/>
            <wp:docPr id="1414510299" name="Imagen 141451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10299" name="Imagen 1414510299"/>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4217985" cy="2670332"/>
                    </a:xfrm>
                    <a:prstGeom prst="rect">
                      <a:avLst/>
                    </a:prstGeom>
                  </pic:spPr>
                </pic:pic>
              </a:graphicData>
            </a:graphic>
          </wp:inline>
        </w:drawing>
      </w:r>
    </w:p>
    <w:p w14:paraId="0176A3A4" w14:textId="0A1A42B1" w:rsidR="000742F3" w:rsidRPr="009809B2" w:rsidRDefault="00361682" w:rsidP="009F71AA">
      <w:pPr>
        <w:keepNext/>
        <w:numPr>
          <w:ilvl w:val="0"/>
          <w:numId w:val="34"/>
        </w:numPr>
        <w:suppressAutoHyphens/>
        <w:spacing w:before="360"/>
        <w:outlineLvl w:val="0"/>
        <w:rPr>
          <w:rFonts w:cstheme="minorHAnsi"/>
          <w:b/>
          <w:spacing w:val="-5"/>
          <w:lang w:val="es-CO"/>
        </w:rPr>
      </w:pPr>
      <w:bookmarkStart w:id="12" w:name="_Toc142558786"/>
      <w:bookmarkStart w:id="13" w:name="_Toc142558919"/>
      <w:bookmarkStart w:id="14" w:name="_Toc142559027"/>
      <w:bookmarkStart w:id="15" w:name="_Toc142559134"/>
      <w:bookmarkStart w:id="16" w:name="_Toc142559240"/>
      <w:bookmarkStart w:id="17" w:name="_Toc142559352"/>
      <w:bookmarkStart w:id="18" w:name="_Toc142559458"/>
      <w:bookmarkStart w:id="19" w:name="_Toc142558787"/>
      <w:bookmarkStart w:id="20" w:name="_Toc142558920"/>
      <w:bookmarkStart w:id="21" w:name="_Toc142559028"/>
      <w:bookmarkStart w:id="22" w:name="_Toc142559135"/>
      <w:bookmarkStart w:id="23" w:name="_Toc142559241"/>
      <w:bookmarkStart w:id="24" w:name="_Toc142559353"/>
      <w:bookmarkStart w:id="25" w:name="_Toc142559459"/>
      <w:bookmarkStart w:id="26" w:name="_Toc142558788"/>
      <w:bookmarkStart w:id="27" w:name="_Toc142558921"/>
      <w:bookmarkStart w:id="28" w:name="_Toc142559029"/>
      <w:bookmarkStart w:id="29" w:name="_Toc142559136"/>
      <w:bookmarkStart w:id="30" w:name="_Toc142559242"/>
      <w:bookmarkStart w:id="31" w:name="_Toc142559354"/>
      <w:bookmarkStart w:id="32" w:name="_Toc142559460"/>
      <w:bookmarkStart w:id="33" w:name="_Toc142558789"/>
      <w:bookmarkStart w:id="34" w:name="_Toc142558922"/>
      <w:bookmarkStart w:id="35" w:name="_Toc142559030"/>
      <w:bookmarkStart w:id="36" w:name="_Toc142559137"/>
      <w:bookmarkStart w:id="37" w:name="_Toc142559243"/>
      <w:bookmarkStart w:id="38" w:name="_Toc142559355"/>
      <w:bookmarkStart w:id="39" w:name="_Toc142559461"/>
      <w:bookmarkStart w:id="40" w:name="_Toc142558845"/>
      <w:bookmarkStart w:id="41" w:name="_Toc142558978"/>
      <w:bookmarkStart w:id="42" w:name="_Toc142559086"/>
      <w:bookmarkStart w:id="43" w:name="_Toc142559193"/>
      <w:bookmarkStart w:id="44" w:name="_Toc142559299"/>
      <w:bookmarkStart w:id="45" w:name="_Toc142559411"/>
      <w:bookmarkStart w:id="46" w:name="_Toc142559517"/>
      <w:bookmarkStart w:id="47" w:name="_Toc142558846"/>
      <w:bookmarkStart w:id="48" w:name="_Toc142558979"/>
      <w:bookmarkStart w:id="49" w:name="_Toc142559087"/>
      <w:bookmarkStart w:id="50" w:name="_Toc142559194"/>
      <w:bookmarkStart w:id="51" w:name="_Toc142559300"/>
      <w:bookmarkStart w:id="52" w:name="_Toc142559412"/>
      <w:bookmarkStart w:id="53" w:name="_Toc142559518"/>
      <w:bookmarkStart w:id="54" w:name="_Toc142558847"/>
      <w:bookmarkStart w:id="55" w:name="_Toc142558980"/>
      <w:bookmarkStart w:id="56" w:name="_Toc142559088"/>
      <w:bookmarkStart w:id="57" w:name="_Toc142559195"/>
      <w:bookmarkStart w:id="58" w:name="_Toc142559301"/>
      <w:bookmarkStart w:id="59" w:name="_Toc142559413"/>
      <w:bookmarkStart w:id="60" w:name="_Toc142559519"/>
      <w:bookmarkStart w:id="61" w:name="_Toc142558848"/>
      <w:bookmarkStart w:id="62" w:name="_Toc142558981"/>
      <w:bookmarkStart w:id="63" w:name="_Toc142559089"/>
      <w:bookmarkStart w:id="64" w:name="_Toc142559196"/>
      <w:bookmarkStart w:id="65" w:name="_Toc142559302"/>
      <w:bookmarkStart w:id="66" w:name="_Toc142559414"/>
      <w:bookmarkStart w:id="67" w:name="_Toc142559520"/>
      <w:bookmarkStart w:id="68" w:name="_Toc142558849"/>
      <w:bookmarkStart w:id="69" w:name="_Toc142558982"/>
      <w:bookmarkStart w:id="70" w:name="_Toc142559090"/>
      <w:bookmarkStart w:id="71" w:name="_Toc142559197"/>
      <w:bookmarkStart w:id="72" w:name="_Toc142559303"/>
      <w:bookmarkStart w:id="73" w:name="_Toc142559415"/>
      <w:bookmarkStart w:id="74" w:name="_Toc142559521"/>
      <w:bookmarkStart w:id="75" w:name="_Toc142558850"/>
      <w:bookmarkStart w:id="76" w:name="_Toc142558983"/>
      <w:bookmarkStart w:id="77" w:name="_Toc142559091"/>
      <w:bookmarkStart w:id="78" w:name="_Toc142559198"/>
      <w:bookmarkStart w:id="79" w:name="_Toc142559304"/>
      <w:bookmarkStart w:id="80" w:name="_Toc142559416"/>
      <w:bookmarkStart w:id="81" w:name="_Toc142559522"/>
      <w:bookmarkStart w:id="82" w:name="_Toc142558851"/>
      <w:bookmarkStart w:id="83" w:name="_Toc142558984"/>
      <w:bookmarkStart w:id="84" w:name="_Toc142559092"/>
      <w:bookmarkStart w:id="85" w:name="_Toc142559199"/>
      <w:bookmarkStart w:id="86" w:name="_Toc142559305"/>
      <w:bookmarkStart w:id="87" w:name="_Toc142559417"/>
      <w:bookmarkStart w:id="88" w:name="_Toc142559523"/>
      <w:bookmarkStart w:id="89" w:name="_Toc142558852"/>
      <w:bookmarkStart w:id="90" w:name="_Toc142558985"/>
      <w:bookmarkStart w:id="91" w:name="_Toc142559093"/>
      <w:bookmarkStart w:id="92" w:name="_Toc142559200"/>
      <w:bookmarkStart w:id="93" w:name="_Toc142559306"/>
      <w:bookmarkStart w:id="94" w:name="_Toc142559418"/>
      <w:bookmarkStart w:id="95" w:name="_Toc142559524"/>
      <w:bookmarkStart w:id="96" w:name="_Toc142558853"/>
      <w:bookmarkStart w:id="97" w:name="_Toc142558986"/>
      <w:bookmarkStart w:id="98" w:name="_Toc142559094"/>
      <w:bookmarkStart w:id="99" w:name="_Toc142559201"/>
      <w:bookmarkStart w:id="100" w:name="_Toc142559307"/>
      <w:bookmarkStart w:id="101" w:name="_Toc142559419"/>
      <w:bookmarkStart w:id="102" w:name="_Toc142559525"/>
      <w:bookmarkStart w:id="103" w:name="_Toc142558854"/>
      <w:bookmarkStart w:id="104" w:name="_Toc142558987"/>
      <w:bookmarkStart w:id="105" w:name="_Toc142559095"/>
      <w:bookmarkStart w:id="106" w:name="_Toc142559202"/>
      <w:bookmarkStart w:id="107" w:name="_Toc142559308"/>
      <w:bookmarkStart w:id="108" w:name="_Toc142559420"/>
      <w:bookmarkStart w:id="109" w:name="_Toc142559526"/>
      <w:bookmarkStart w:id="110" w:name="_Toc142558855"/>
      <w:bookmarkStart w:id="111" w:name="_Toc142558988"/>
      <w:bookmarkStart w:id="112" w:name="_Toc142559096"/>
      <w:bookmarkStart w:id="113" w:name="_Toc142559203"/>
      <w:bookmarkStart w:id="114" w:name="_Toc142559309"/>
      <w:bookmarkStart w:id="115" w:name="_Toc142559421"/>
      <w:bookmarkStart w:id="116" w:name="_Toc142559527"/>
      <w:bookmarkStart w:id="117" w:name="_Toc142558856"/>
      <w:bookmarkStart w:id="118" w:name="_Toc142558989"/>
      <w:bookmarkStart w:id="119" w:name="_Toc142559097"/>
      <w:bookmarkStart w:id="120" w:name="_Toc142559204"/>
      <w:bookmarkStart w:id="121" w:name="_Toc142559310"/>
      <w:bookmarkStart w:id="122" w:name="_Toc142559422"/>
      <w:bookmarkStart w:id="123" w:name="_Toc142559528"/>
      <w:bookmarkStart w:id="124" w:name="_Toc142558857"/>
      <w:bookmarkStart w:id="125" w:name="_Toc142558990"/>
      <w:bookmarkStart w:id="126" w:name="_Toc142559098"/>
      <w:bookmarkStart w:id="127" w:name="_Toc142559205"/>
      <w:bookmarkStart w:id="128" w:name="_Toc142559311"/>
      <w:bookmarkStart w:id="129" w:name="_Toc142559423"/>
      <w:bookmarkStart w:id="130" w:name="_Toc142559529"/>
      <w:bookmarkStart w:id="131" w:name="_Toc142558858"/>
      <w:bookmarkStart w:id="132" w:name="_Toc142558991"/>
      <w:bookmarkStart w:id="133" w:name="_Toc142559099"/>
      <w:bookmarkStart w:id="134" w:name="_Toc142559206"/>
      <w:bookmarkStart w:id="135" w:name="_Toc142559312"/>
      <w:bookmarkStart w:id="136" w:name="_Toc142559424"/>
      <w:bookmarkStart w:id="137" w:name="_Toc142559530"/>
      <w:bookmarkStart w:id="138" w:name="_Toc142558859"/>
      <w:bookmarkStart w:id="139" w:name="_Toc142558992"/>
      <w:bookmarkStart w:id="140" w:name="_Toc142559100"/>
      <w:bookmarkStart w:id="141" w:name="_Toc142559207"/>
      <w:bookmarkStart w:id="142" w:name="_Toc142559313"/>
      <w:bookmarkStart w:id="143" w:name="_Toc142559425"/>
      <w:bookmarkStart w:id="144" w:name="_Toc142559531"/>
      <w:bookmarkStart w:id="145" w:name="_Toc142558860"/>
      <w:bookmarkStart w:id="146" w:name="_Toc142558993"/>
      <w:bookmarkStart w:id="147" w:name="_Toc142559101"/>
      <w:bookmarkStart w:id="148" w:name="_Toc142559208"/>
      <w:bookmarkStart w:id="149" w:name="_Toc142559314"/>
      <w:bookmarkStart w:id="150" w:name="_Toc142559426"/>
      <w:bookmarkStart w:id="151" w:name="_Toc142559532"/>
      <w:bookmarkStart w:id="152" w:name="_Toc142558861"/>
      <w:bookmarkStart w:id="153" w:name="_Toc142558994"/>
      <w:bookmarkStart w:id="154" w:name="_Toc142559102"/>
      <w:bookmarkStart w:id="155" w:name="_Toc142559209"/>
      <w:bookmarkStart w:id="156" w:name="_Toc142559315"/>
      <w:bookmarkStart w:id="157" w:name="_Toc142559427"/>
      <w:bookmarkStart w:id="158" w:name="_Toc142559533"/>
      <w:bookmarkStart w:id="159" w:name="_Toc142558862"/>
      <w:bookmarkStart w:id="160" w:name="_Toc142558995"/>
      <w:bookmarkStart w:id="161" w:name="_Toc142559103"/>
      <w:bookmarkStart w:id="162" w:name="_Toc142559210"/>
      <w:bookmarkStart w:id="163" w:name="_Toc142559316"/>
      <w:bookmarkStart w:id="164" w:name="_Toc142559428"/>
      <w:bookmarkStart w:id="165" w:name="_Toc142559534"/>
      <w:bookmarkStart w:id="166" w:name="_Toc142558863"/>
      <w:bookmarkStart w:id="167" w:name="_Toc142558996"/>
      <w:bookmarkStart w:id="168" w:name="_Toc142559104"/>
      <w:bookmarkStart w:id="169" w:name="_Toc142559211"/>
      <w:bookmarkStart w:id="170" w:name="_Toc142559317"/>
      <w:bookmarkStart w:id="171" w:name="_Toc142559429"/>
      <w:bookmarkStart w:id="172" w:name="_Toc142559535"/>
      <w:bookmarkStart w:id="173" w:name="_Toc142558864"/>
      <w:bookmarkStart w:id="174" w:name="_Toc142558997"/>
      <w:bookmarkStart w:id="175" w:name="_Toc142559105"/>
      <w:bookmarkStart w:id="176" w:name="_Toc142559212"/>
      <w:bookmarkStart w:id="177" w:name="_Toc142559318"/>
      <w:bookmarkStart w:id="178" w:name="_Toc142559430"/>
      <w:bookmarkStart w:id="179" w:name="_Toc142559536"/>
      <w:bookmarkStart w:id="180" w:name="_Toc142558865"/>
      <w:bookmarkStart w:id="181" w:name="_Toc142558998"/>
      <w:bookmarkStart w:id="182" w:name="_Toc142559106"/>
      <w:bookmarkStart w:id="183" w:name="_Toc142559213"/>
      <w:bookmarkStart w:id="184" w:name="_Toc142559319"/>
      <w:bookmarkStart w:id="185" w:name="_Toc142559431"/>
      <w:bookmarkStart w:id="186" w:name="_Toc142559537"/>
      <w:bookmarkStart w:id="187" w:name="_Toc142558866"/>
      <w:bookmarkStart w:id="188" w:name="_Toc142558999"/>
      <w:bookmarkStart w:id="189" w:name="_Toc142559107"/>
      <w:bookmarkStart w:id="190" w:name="_Toc142559214"/>
      <w:bookmarkStart w:id="191" w:name="_Toc142559320"/>
      <w:bookmarkStart w:id="192" w:name="_Toc142559432"/>
      <w:bookmarkStart w:id="193" w:name="_Toc142559538"/>
      <w:bookmarkStart w:id="194" w:name="_Toc142558867"/>
      <w:bookmarkStart w:id="195" w:name="_Toc142559000"/>
      <w:bookmarkStart w:id="196" w:name="_Toc142559108"/>
      <w:bookmarkStart w:id="197" w:name="_Toc142559215"/>
      <w:bookmarkStart w:id="198" w:name="_Toc142559321"/>
      <w:bookmarkStart w:id="199" w:name="_Toc142559433"/>
      <w:bookmarkStart w:id="200" w:name="_Toc142559539"/>
      <w:bookmarkStart w:id="201" w:name="_Toc142558868"/>
      <w:bookmarkStart w:id="202" w:name="_Toc142559001"/>
      <w:bookmarkStart w:id="203" w:name="_Toc142559109"/>
      <w:bookmarkStart w:id="204" w:name="_Toc142559216"/>
      <w:bookmarkStart w:id="205" w:name="_Toc142559322"/>
      <w:bookmarkStart w:id="206" w:name="_Toc142559434"/>
      <w:bookmarkStart w:id="207" w:name="_Toc142559540"/>
      <w:bookmarkStart w:id="208" w:name="_Toc142558869"/>
      <w:bookmarkStart w:id="209" w:name="_Toc142559002"/>
      <w:bookmarkStart w:id="210" w:name="_Toc142559110"/>
      <w:bookmarkStart w:id="211" w:name="_Toc142559217"/>
      <w:bookmarkStart w:id="212" w:name="_Toc142559323"/>
      <w:bookmarkStart w:id="213" w:name="_Toc142559435"/>
      <w:bookmarkStart w:id="214" w:name="_Toc142559541"/>
      <w:bookmarkStart w:id="215" w:name="_Toc142558870"/>
      <w:bookmarkStart w:id="216" w:name="_Toc142559003"/>
      <w:bookmarkStart w:id="217" w:name="_Toc142559111"/>
      <w:bookmarkStart w:id="218" w:name="_Toc142559218"/>
      <w:bookmarkStart w:id="219" w:name="_Toc142559324"/>
      <w:bookmarkStart w:id="220" w:name="_Toc142559436"/>
      <w:bookmarkStart w:id="221" w:name="_Toc142559542"/>
      <w:bookmarkStart w:id="222" w:name="_Toc142558871"/>
      <w:bookmarkStart w:id="223" w:name="_Toc142559004"/>
      <w:bookmarkStart w:id="224" w:name="_Toc142559112"/>
      <w:bookmarkStart w:id="225" w:name="_Toc142559219"/>
      <w:bookmarkStart w:id="226" w:name="_Toc142559325"/>
      <w:bookmarkStart w:id="227" w:name="_Toc142559437"/>
      <w:bookmarkStart w:id="228" w:name="_Toc142559543"/>
      <w:bookmarkStart w:id="229" w:name="_Toc142558872"/>
      <w:bookmarkStart w:id="230" w:name="_Toc142559005"/>
      <w:bookmarkStart w:id="231" w:name="_Toc142559113"/>
      <w:bookmarkStart w:id="232" w:name="_Toc142559220"/>
      <w:bookmarkStart w:id="233" w:name="_Toc142559326"/>
      <w:bookmarkStart w:id="234" w:name="_Toc142559438"/>
      <w:bookmarkStart w:id="235" w:name="_Toc142559544"/>
      <w:bookmarkStart w:id="236" w:name="_Toc142558873"/>
      <w:bookmarkStart w:id="237" w:name="_Toc142559006"/>
      <w:bookmarkStart w:id="238" w:name="_Toc142559114"/>
      <w:bookmarkStart w:id="239" w:name="_Toc142559221"/>
      <w:bookmarkStart w:id="240" w:name="_Toc142559327"/>
      <w:bookmarkStart w:id="241" w:name="_Toc142559439"/>
      <w:bookmarkStart w:id="242" w:name="_Toc142559545"/>
      <w:bookmarkStart w:id="243" w:name="_Toc142558874"/>
      <w:bookmarkStart w:id="244" w:name="_Toc142559007"/>
      <w:bookmarkStart w:id="245" w:name="_Toc142559115"/>
      <w:bookmarkStart w:id="246" w:name="_Toc142559222"/>
      <w:bookmarkStart w:id="247" w:name="_Toc142559328"/>
      <w:bookmarkStart w:id="248" w:name="_Toc142559440"/>
      <w:bookmarkStart w:id="249" w:name="_Toc142559546"/>
      <w:bookmarkStart w:id="250" w:name="_Toc142558875"/>
      <w:bookmarkStart w:id="251" w:name="_Toc142559008"/>
      <w:bookmarkStart w:id="252" w:name="_Toc142559116"/>
      <w:bookmarkStart w:id="253" w:name="_Toc142559223"/>
      <w:bookmarkStart w:id="254" w:name="_Toc142559329"/>
      <w:bookmarkStart w:id="255" w:name="_Toc142559441"/>
      <w:bookmarkStart w:id="256" w:name="_Toc142559547"/>
      <w:bookmarkStart w:id="257" w:name="_Toc142558876"/>
      <w:bookmarkStart w:id="258" w:name="_Toc142559009"/>
      <w:bookmarkStart w:id="259" w:name="_Toc142559117"/>
      <w:bookmarkStart w:id="260" w:name="_Toc142559224"/>
      <w:bookmarkStart w:id="261" w:name="_Toc142559330"/>
      <w:bookmarkStart w:id="262" w:name="_Toc142559442"/>
      <w:bookmarkStart w:id="263" w:name="_Toc142559548"/>
      <w:bookmarkStart w:id="264" w:name="_Toc125389384"/>
      <w:bookmarkStart w:id="265" w:name="_Toc172100725"/>
      <w:bookmarkEnd w:id="7"/>
      <w:bookmarkEnd w:id="8"/>
      <w:bookmarkEnd w:id="9"/>
      <w:bookmarkEnd w:id="1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9809B2">
        <w:rPr>
          <w:rFonts w:cstheme="minorHAnsi"/>
          <w:b/>
          <w:spacing w:val="-5"/>
          <w:lang w:val="es-CO"/>
        </w:rPr>
        <w:t>DEFINICIÓN DEL PROBLEMA</w:t>
      </w:r>
      <w:bookmarkEnd w:id="264"/>
      <w:bookmarkEnd w:id="265"/>
    </w:p>
    <w:p w14:paraId="40026C2C" w14:textId="2C2A5CA4" w:rsidR="00421B8E" w:rsidRPr="009809B2" w:rsidRDefault="0060717C" w:rsidP="002062B7">
      <w:pPr>
        <w:spacing w:before="220"/>
        <w:rPr>
          <w:rFonts w:cstheme="minorHAnsi"/>
          <w:lang w:val="es-CO"/>
        </w:rPr>
      </w:pPr>
      <w:r w:rsidRPr="009809B2">
        <w:rPr>
          <w:rFonts w:cstheme="minorHAnsi"/>
          <w:lang w:val="es-CO"/>
        </w:rPr>
        <w:t>La remuneración de l</w:t>
      </w:r>
      <w:r w:rsidR="00EB5AD6" w:rsidRPr="009809B2">
        <w:rPr>
          <w:rFonts w:cstheme="minorHAnsi"/>
          <w:lang w:val="es-CO"/>
        </w:rPr>
        <w:t xml:space="preserve">os costos </w:t>
      </w:r>
      <w:r w:rsidR="00CF635D" w:rsidRPr="009809B2">
        <w:rPr>
          <w:rFonts w:cstheme="minorHAnsi"/>
          <w:lang w:val="es-CO"/>
        </w:rPr>
        <w:t xml:space="preserve">y gastos de las actividades que componen </w:t>
      </w:r>
      <w:r w:rsidR="00EB5AD6" w:rsidRPr="009809B2">
        <w:rPr>
          <w:rFonts w:cstheme="minorHAnsi"/>
          <w:lang w:val="es-CO"/>
        </w:rPr>
        <w:t xml:space="preserve">el servicio de energía eléctrica </w:t>
      </w:r>
      <w:r w:rsidR="00111E14" w:rsidRPr="009809B2">
        <w:rPr>
          <w:rFonts w:cstheme="minorHAnsi"/>
          <w:lang w:val="es-CO"/>
        </w:rPr>
        <w:t xml:space="preserve">en Colombia </w:t>
      </w:r>
      <w:r w:rsidRPr="009809B2">
        <w:rPr>
          <w:rFonts w:cstheme="minorHAnsi"/>
          <w:lang w:val="es-CO"/>
        </w:rPr>
        <w:t>se</w:t>
      </w:r>
      <w:r w:rsidR="00D85F42" w:rsidRPr="009809B2">
        <w:rPr>
          <w:rFonts w:cstheme="minorHAnsi"/>
          <w:lang w:val="es-CO"/>
        </w:rPr>
        <w:t xml:space="preserve"> actualiza mediante</w:t>
      </w:r>
      <w:r w:rsidR="004977EF" w:rsidRPr="009809B2">
        <w:rPr>
          <w:rFonts w:cstheme="minorHAnsi"/>
          <w:lang w:val="es-CO"/>
        </w:rPr>
        <w:t xml:space="preserve"> las variaciones de</w:t>
      </w:r>
      <w:r w:rsidR="00812193" w:rsidRPr="009809B2">
        <w:rPr>
          <w:rFonts w:cstheme="minorHAnsi"/>
          <w:lang w:val="es-CO"/>
        </w:rPr>
        <w:t xml:space="preserve"> los índices</w:t>
      </w:r>
      <w:r w:rsidR="001F1E89" w:rsidRPr="009809B2">
        <w:rPr>
          <w:rFonts w:cstheme="minorHAnsi"/>
          <w:lang w:val="es-CO"/>
        </w:rPr>
        <w:t xml:space="preserve"> IPP e IPC</w:t>
      </w:r>
      <w:r w:rsidR="009941C6" w:rsidRPr="009809B2">
        <w:rPr>
          <w:rFonts w:cstheme="minorHAnsi"/>
          <w:lang w:val="es-CO"/>
        </w:rPr>
        <w:t>, lo cuales</w:t>
      </w:r>
      <w:r w:rsidR="00812193" w:rsidRPr="009809B2">
        <w:rPr>
          <w:rFonts w:cstheme="minorHAnsi"/>
          <w:lang w:val="es-CO"/>
        </w:rPr>
        <w:t xml:space="preserve"> </w:t>
      </w:r>
      <w:r w:rsidR="004977EF" w:rsidRPr="009809B2">
        <w:rPr>
          <w:rFonts w:cstheme="minorHAnsi"/>
          <w:lang w:val="es-CO"/>
        </w:rPr>
        <w:t>han mostrado comportamientos atípicos</w:t>
      </w:r>
      <w:r w:rsidR="00B80E7C" w:rsidRPr="009809B2">
        <w:rPr>
          <w:rFonts w:cstheme="minorHAnsi"/>
          <w:lang w:val="es-CO"/>
        </w:rPr>
        <w:t xml:space="preserve"> en periodos recientes</w:t>
      </w:r>
      <w:r w:rsidR="001F066F" w:rsidRPr="009809B2">
        <w:rPr>
          <w:rFonts w:cstheme="minorHAnsi"/>
          <w:lang w:val="es-CO"/>
        </w:rPr>
        <w:t xml:space="preserve"> (desde diciembre del 2020 y hasta </w:t>
      </w:r>
      <w:r w:rsidR="009D635E" w:rsidRPr="009809B2">
        <w:rPr>
          <w:rFonts w:cstheme="minorHAnsi"/>
          <w:lang w:val="es-CO"/>
        </w:rPr>
        <w:t xml:space="preserve">febrero </w:t>
      </w:r>
      <w:r w:rsidR="00B30F28" w:rsidRPr="009809B2">
        <w:rPr>
          <w:rFonts w:cstheme="minorHAnsi"/>
          <w:lang w:val="es-CO"/>
        </w:rPr>
        <w:t>de 2023)</w:t>
      </w:r>
      <w:r w:rsidR="00610543" w:rsidRPr="009809B2">
        <w:rPr>
          <w:rFonts w:cstheme="minorHAnsi"/>
          <w:lang w:val="es-CO"/>
        </w:rPr>
        <w:t>,</w:t>
      </w:r>
      <w:r w:rsidR="004977EF" w:rsidRPr="009809B2">
        <w:rPr>
          <w:rFonts w:cstheme="minorHAnsi"/>
          <w:lang w:val="es-CO"/>
        </w:rPr>
        <w:t xml:space="preserve"> por factores externos a</w:t>
      </w:r>
      <w:r w:rsidR="00E11C57" w:rsidRPr="009809B2">
        <w:rPr>
          <w:rFonts w:cstheme="minorHAnsi"/>
          <w:lang w:val="es-CO"/>
        </w:rPr>
        <w:t>l servicio</w:t>
      </w:r>
      <w:r w:rsidR="00610543" w:rsidRPr="009809B2">
        <w:rPr>
          <w:rFonts w:cstheme="minorHAnsi"/>
          <w:lang w:val="es-CO"/>
        </w:rPr>
        <w:t>,</w:t>
      </w:r>
      <w:r w:rsidR="00B80E7C" w:rsidRPr="009809B2">
        <w:rPr>
          <w:rFonts w:cstheme="minorHAnsi"/>
          <w:lang w:val="es-CO"/>
        </w:rPr>
        <w:t xml:space="preserve"> </w:t>
      </w:r>
      <w:r w:rsidR="00382E0C" w:rsidRPr="009809B2">
        <w:rPr>
          <w:rFonts w:cstheme="minorHAnsi"/>
          <w:lang w:val="es-CO"/>
        </w:rPr>
        <w:t>l</w:t>
      </w:r>
      <w:r w:rsidR="00B80E7C" w:rsidRPr="009809B2">
        <w:rPr>
          <w:rFonts w:cstheme="minorHAnsi"/>
          <w:lang w:val="es-CO"/>
        </w:rPr>
        <w:t xml:space="preserve">o que </w:t>
      </w:r>
      <w:r w:rsidR="00852FA8" w:rsidRPr="009809B2">
        <w:rPr>
          <w:rFonts w:cstheme="minorHAnsi"/>
          <w:lang w:val="es-CO"/>
        </w:rPr>
        <w:t xml:space="preserve">se </w:t>
      </w:r>
      <w:r w:rsidR="00F2588B" w:rsidRPr="009809B2">
        <w:rPr>
          <w:rFonts w:cstheme="minorHAnsi"/>
          <w:lang w:val="es-CO"/>
        </w:rPr>
        <w:t xml:space="preserve">ha </w:t>
      </w:r>
      <w:r w:rsidR="00852FA8" w:rsidRPr="009809B2">
        <w:rPr>
          <w:rFonts w:cstheme="minorHAnsi"/>
          <w:lang w:val="es-CO"/>
        </w:rPr>
        <w:t>reflejado en el aumento</w:t>
      </w:r>
      <w:r w:rsidR="00831960" w:rsidRPr="009809B2">
        <w:rPr>
          <w:rFonts w:cstheme="minorHAnsi"/>
          <w:lang w:val="es-CO"/>
        </w:rPr>
        <w:t xml:space="preserve"> </w:t>
      </w:r>
      <w:r w:rsidR="00852FA8" w:rsidRPr="009809B2">
        <w:rPr>
          <w:rFonts w:cstheme="minorHAnsi"/>
          <w:lang w:val="es-CO"/>
        </w:rPr>
        <w:t>de</w:t>
      </w:r>
      <w:r w:rsidR="00831960" w:rsidRPr="009809B2">
        <w:rPr>
          <w:rFonts w:cstheme="minorHAnsi"/>
          <w:lang w:val="es-CO"/>
        </w:rPr>
        <w:t xml:space="preserve"> las tarifas</w:t>
      </w:r>
      <w:r w:rsidR="00855472" w:rsidRPr="009809B2">
        <w:rPr>
          <w:rFonts w:cstheme="minorHAnsi"/>
          <w:lang w:val="es-CO"/>
        </w:rPr>
        <w:t>.</w:t>
      </w:r>
    </w:p>
    <w:p w14:paraId="43DC7CF7" w14:textId="4BF69BC0" w:rsidR="00F346B2" w:rsidRPr="009809B2" w:rsidRDefault="00F346B2" w:rsidP="009F71AA">
      <w:pPr>
        <w:keepNext/>
        <w:numPr>
          <w:ilvl w:val="0"/>
          <w:numId w:val="34"/>
        </w:numPr>
        <w:suppressAutoHyphens/>
        <w:spacing w:before="360"/>
        <w:outlineLvl w:val="0"/>
        <w:rPr>
          <w:rFonts w:cstheme="minorHAnsi"/>
          <w:b/>
          <w:spacing w:val="-5"/>
          <w:lang w:val="es-CO"/>
        </w:rPr>
      </w:pPr>
      <w:bookmarkStart w:id="266" w:name="_Toc125389385"/>
      <w:bookmarkStart w:id="267" w:name="_Toc172100726"/>
      <w:r w:rsidRPr="009809B2">
        <w:rPr>
          <w:rFonts w:cstheme="minorHAnsi"/>
          <w:b/>
          <w:spacing w:val="-5"/>
          <w:lang w:val="es-CO"/>
        </w:rPr>
        <w:t>OBJETIVOS</w:t>
      </w:r>
      <w:bookmarkEnd w:id="266"/>
      <w:bookmarkEnd w:id="267"/>
    </w:p>
    <w:p w14:paraId="2BE91175" w14:textId="164B6CB9" w:rsidR="0090209D" w:rsidRPr="009809B2" w:rsidRDefault="00716D86" w:rsidP="000B4434">
      <w:pPr>
        <w:spacing w:before="220"/>
        <w:rPr>
          <w:lang w:val="es-CO"/>
        </w:rPr>
      </w:pPr>
      <w:r w:rsidRPr="009809B2">
        <w:rPr>
          <w:lang w:val="es-CO"/>
        </w:rPr>
        <w:t>D</w:t>
      </w:r>
      <w:r w:rsidR="00A30C1B" w:rsidRPr="009809B2">
        <w:rPr>
          <w:lang w:val="es-CO"/>
        </w:rPr>
        <w:t xml:space="preserve">e acuerdo con </w:t>
      </w:r>
      <w:r w:rsidR="00753A50" w:rsidRPr="009809B2">
        <w:rPr>
          <w:lang w:val="es-CO"/>
        </w:rPr>
        <w:t>la problemática identificada</w:t>
      </w:r>
      <w:r w:rsidR="00525A2B" w:rsidRPr="009809B2">
        <w:rPr>
          <w:lang w:val="es-CO"/>
        </w:rPr>
        <w:t xml:space="preserve">, </w:t>
      </w:r>
      <w:bookmarkStart w:id="268" w:name="_Hlk109156907"/>
      <w:r w:rsidR="00C00376" w:rsidRPr="009809B2">
        <w:rPr>
          <w:lang w:val="es-CO"/>
        </w:rPr>
        <w:t>el objetivo principal es el</w:t>
      </w:r>
      <w:r w:rsidR="009A4DA4" w:rsidRPr="009809B2">
        <w:rPr>
          <w:lang w:val="es-CO"/>
        </w:rPr>
        <w:t xml:space="preserve"> establecer los índices de actualización de costos de las actividades de la cadena de prestación del servicio de energía eléctrica que mejor se ajusten al comportamiento del sector.</w:t>
      </w:r>
    </w:p>
    <w:p w14:paraId="568BB10B" w14:textId="765C077F" w:rsidR="00692CF6" w:rsidRPr="009809B2" w:rsidRDefault="00584F53" w:rsidP="00584F53">
      <w:pPr>
        <w:spacing w:before="200"/>
        <w:rPr>
          <w:rFonts w:cstheme="minorHAnsi"/>
          <w:lang w:val="es-CO"/>
        </w:rPr>
      </w:pPr>
      <w:r w:rsidRPr="009809B2">
        <w:rPr>
          <w:rFonts w:cstheme="minorHAnsi"/>
          <w:lang w:val="es-CO"/>
        </w:rPr>
        <w:t>Como objetivo</w:t>
      </w:r>
      <w:r w:rsidR="00AD3681" w:rsidRPr="009809B2">
        <w:rPr>
          <w:rFonts w:cstheme="minorHAnsi"/>
          <w:lang w:val="es-CO"/>
        </w:rPr>
        <w:t>s</w:t>
      </w:r>
      <w:r w:rsidRPr="009809B2">
        <w:rPr>
          <w:rFonts w:cstheme="minorHAnsi"/>
          <w:lang w:val="es-CO"/>
        </w:rPr>
        <w:t xml:space="preserve"> específico</w:t>
      </w:r>
      <w:r w:rsidR="00692CF6" w:rsidRPr="009809B2">
        <w:rPr>
          <w:rFonts w:cstheme="minorHAnsi"/>
          <w:lang w:val="es-CO"/>
        </w:rPr>
        <w:t xml:space="preserve">s </w:t>
      </w:r>
      <w:r w:rsidRPr="009809B2">
        <w:rPr>
          <w:rFonts w:cstheme="minorHAnsi"/>
          <w:lang w:val="es-CO"/>
        </w:rPr>
        <w:t xml:space="preserve">se </w:t>
      </w:r>
      <w:r w:rsidR="0090209D" w:rsidRPr="009809B2">
        <w:rPr>
          <w:rFonts w:cstheme="minorHAnsi"/>
          <w:lang w:val="es-CO"/>
        </w:rPr>
        <w:t>señalan los siguientes</w:t>
      </w:r>
      <w:r w:rsidR="00692CF6" w:rsidRPr="009809B2">
        <w:rPr>
          <w:rFonts w:cstheme="minorHAnsi"/>
          <w:lang w:val="es-CO"/>
        </w:rPr>
        <w:t>:</w:t>
      </w:r>
    </w:p>
    <w:p w14:paraId="37C70491" w14:textId="6271D19E" w:rsidR="0090209D" w:rsidRPr="009809B2" w:rsidRDefault="0090209D" w:rsidP="0090209D">
      <w:pPr>
        <w:pStyle w:val="Prrafodelista"/>
        <w:numPr>
          <w:ilvl w:val="0"/>
          <w:numId w:val="30"/>
        </w:numPr>
        <w:spacing w:before="120"/>
        <w:rPr>
          <w:lang w:val="es-CO"/>
        </w:rPr>
      </w:pPr>
      <w:r w:rsidRPr="009809B2">
        <w:rPr>
          <w:lang w:val="es-CO"/>
        </w:rPr>
        <w:lastRenderedPageBreak/>
        <w:t xml:space="preserve">Revisar el comportamiento de los índices utilizados actualmente para actualizar las tarifas con el fin de analizar su permanencia o modificación. </w:t>
      </w:r>
    </w:p>
    <w:p w14:paraId="3BA08576" w14:textId="23FC960C" w:rsidR="0090209D" w:rsidRPr="009809B2" w:rsidRDefault="006A4370" w:rsidP="004A6659">
      <w:pPr>
        <w:pStyle w:val="Prrafodelista"/>
        <w:numPr>
          <w:ilvl w:val="0"/>
          <w:numId w:val="30"/>
        </w:numPr>
        <w:spacing w:before="120"/>
        <w:rPr>
          <w:rFonts w:cstheme="minorHAnsi"/>
          <w:lang w:val="es-CO"/>
        </w:rPr>
      </w:pPr>
      <w:r w:rsidRPr="009809B2">
        <w:rPr>
          <w:rFonts w:cstheme="minorHAnsi"/>
          <w:lang w:val="es-CO"/>
        </w:rPr>
        <w:t xml:space="preserve">Revisar la posibilidad de elaborar un índice </w:t>
      </w:r>
      <w:r w:rsidR="00A17983" w:rsidRPr="009809B2">
        <w:rPr>
          <w:rFonts w:cstheme="minorHAnsi"/>
          <w:lang w:val="es-CO"/>
        </w:rPr>
        <w:t>exclusivo para el sector</w:t>
      </w:r>
    </w:p>
    <w:p w14:paraId="418DB089" w14:textId="034CE3A0" w:rsidR="00A17983" w:rsidRPr="009809B2" w:rsidRDefault="00A17983" w:rsidP="004A6659">
      <w:pPr>
        <w:pStyle w:val="Prrafodelista"/>
        <w:numPr>
          <w:ilvl w:val="0"/>
          <w:numId w:val="30"/>
        </w:numPr>
        <w:spacing w:before="120"/>
        <w:rPr>
          <w:rFonts w:cstheme="minorHAnsi"/>
          <w:lang w:val="es-CO"/>
        </w:rPr>
      </w:pPr>
      <w:r w:rsidRPr="009809B2">
        <w:rPr>
          <w:rFonts w:cstheme="minorHAnsi"/>
          <w:lang w:val="es-CO"/>
        </w:rPr>
        <w:t xml:space="preserve">Comparar los índices empleados con los </w:t>
      </w:r>
      <w:r w:rsidR="003E3EF9" w:rsidRPr="009809B2">
        <w:rPr>
          <w:rFonts w:cstheme="minorHAnsi"/>
          <w:lang w:val="es-CO"/>
        </w:rPr>
        <w:t>utilizados en otros servicios públicos.</w:t>
      </w:r>
    </w:p>
    <w:p w14:paraId="0264A374" w14:textId="6BFDCCD7" w:rsidR="003E3EF9" w:rsidRPr="009809B2" w:rsidRDefault="003E3EF9" w:rsidP="004A6659">
      <w:pPr>
        <w:pStyle w:val="Prrafodelista"/>
        <w:numPr>
          <w:ilvl w:val="0"/>
          <w:numId w:val="30"/>
        </w:numPr>
        <w:spacing w:before="120"/>
        <w:rPr>
          <w:rFonts w:cstheme="minorHAnsi"/>
          <w:lang w:val="es-CO"/>
        </w:rPr>
      </w:pPr>
      <w:r w:rsidRPr="009809B2">
        <w:rPr>
          <w:rFonts w:cstheme="minorHAnsi"/>
          <w:lang w:val="es-CO"/>
        </w:rPr>
        <w:t>Revisar la</w:t>
      </w:r>
      <w:r w:rsidR="003616E5" w:rsidRPr="009809B2">
        <w:rPr>
          <w:rFonts w:cstheme="minorHAnsi"/>
          <w:lang w:val="es-CO"/>
        </w:rPr>
        <w:t xml:space="preserve"> </w:t>
      </w:r>
      <w:r w:rsidRPr="009809B2">
        <w:rPr>
          <w:rFonts w:cstheme="minorHAnsi"/>
          <w:lang w:val="es-CO"/>
        </w:rPr>
        <w:t xml:space="preserve">existencia de índices que sean producidos por el DANE y que </w:t>
      </w:r>
      <w:r w:rsidR="003616E5" w:rsidRPr="009809B2">
        <w:rPr>
          <w:rFonts w:cstheme="minorHAnsi"/>
          <w:lang w:val="es-CO"/>
        </w:rPr>
        <w:t xml:space="preserve">excluyan sectores no relacionados con la prestación del servicio de energía. </w:t>
      </w:r>
    </w:p>
    <w:p w14:paraId="22D042FA" w14:textId="4857E6A0" w:rsidR="0090209D" w:rsidRPr="009809B2" w:rsidRDefault="0090209D" w:rsidP="0090209D">
      <w:pPr>
        <w:keepNext/>
        <w:numPr>
          <w:ilvl w:val="0"/>
          <w:numId w:val="34"/>
        </w:numPr>
        <w:suppressAutoHyphens/>
        <w:spacing w:before="360"/>
        <w:outlineLvl w:val="0"/>
        <w:rPr>
          <w:rFonts w:cstheme="minorHAnsi"/>
          <w:b/>
          <w:spacing w:val="-5"/>
          <w:lang w:val="es-CO"/>
        </w:rPr>
      </w:pPr>
      <w:bookmarkStart w:id="269" w:name="_Toc172100727"/>
      <w:r w:rsidRPr="009809B2">
        <w:rPr>
          <w:rFonts w:cstheme="minorHAnsi"/>
          <w:b/>
          <w:spacing w:val="-5"/>
          <w:lang w:val="es-CO"/>
        </w:rPr>
        <w:t>FUNDAMENTO JURÍDICO</w:t>
      </w:r>
      <w:bookmarkEnd w:id="269"/>
    </w:p>
    <w:p w14:paraId="07E45FA7" w14:textId="77777777" w:rsidR="003F2D80" w:rsidRPr="009809B2" w:rsidRDefault="003F2D80" w:rsidP="00AF6B2D">
      <w:pPr>
        <w:spacing w:after="0" w:line="240" w:lineRule="auto"/>
        <w:ind w:right="-93"/>
        <w:jc w:val="both"/>
        <w:rPr>
          <w:rFonts w:eastAsia="Times New Roman" w:cs="Arial"/>
          <w:b/>
          <w:lang w:val="es-CO" w:eastAsia="es-ES"/>
        </w:rPr>
      </w:pPr>
      <w:r w:rsidRPr="009809B2">
        <w:rPr>
          <w:rFonts w:eastAsia="Times New Roman" w:cs="Arial"/>
          <w:b/>
          <w:lang w:val="es-CO" w:eastAsia="es-ES"/>
        </w:rPr>
        <w:t>Alcance y finalidades de la función regulatoria.</w:t>
      </w:r>
    </w:p>
    <w:p w14:paraId="5F364BFA" w14:textId="77777777" w:rsidR="003F2D80" w:rsidRPr="009809B2" w:rsidRDefault="003F2D80" w:rsidP="003F2D80">
      <w:pPr>
        <w:pStyle w:val="Prrafodelista"/>
        <w:spacing w:after="0" w:line="240" w:lineRule="auto"/>
        <w:ind w:right="-93"/>
        <w:jc w:val="both"/>
        <w:rPr>
          <w:rFonts w:eastAsia="Times New Roman" w:cs="Arial"/>
          <w:lang w:val="es-CO" w:eastAsia="es-ES"/>
        </w:rPr>
      </w:pPr>
    </w:p>
    <w:p w14:paraId="4ED658D9" w14:textId="77777777" w:rsidR="00AD18FC" w:rsidRPr="009809B2" w:rsidRDefault="003F2D80" w:rsidP="003F2D80">
      <w:pPr>
        <w:spacing w:after="0" w:line="240" w:lineRule="auto"/>
        <w:ind w:right="-93"/>
        <w:jc w:val="both"/>
        <w:rPr>
          <w:rFonts w:eastAsia="Times New Roman" w:cs="Arial"/>
          <w:lang w:val="es-CO" w:eastAsia="es-ES"/>
        </w:rPr>
      </w:pPr>
      <w:r w:rsidRPr="009809B2">
        <w:rPr>
          <w:rFonts w:eastAsia="Times New Roman" w:cs="Arial"/>
          <w:lang w:val="es-CO" w:eastAsia="es-ES"/>
        </w:rPr>
        <w:t xml:space="preserve">En relación con el alcance de las atribuciones asignadas a esta Comisión en las leyes 142 y 143 de 1994 en materia regulatoria, se tiene en cuenta que el ejercicio de dicha facultad ha sido considerada como una forma de intervención estatal en la economía a fin de garantizar la prestación eficiente de los servicios públicos domiciliarios y el adecuado funcionamiento del mercado, corrigiendo los errores de un mercado imperfecto, delimitando el ejercicio de la libertad de empresa, promoviendo y preservando la sana y transparente competencia, protegiendo los derechos de los usuarios, así como de evitar el abuso de la posición dominante, entre otras. </w:t>
      </w:r>
    </w:p>
    <w:p w14:paraId="436B4D0D" w14:textId="77777777" w:rsidR="00AD18FC" w:rsidRPr="009809B2" w:rsidRDefault="00AD18FC" w:rsidP="003F2D80">
      <w:pPr>
        <w:spacing w:after="0" w:line="240" w:lineRule="auto"/>
        <w:ind w:right="-93"/>
        <w:jc w:val="both"/>
        <w:rPr>
          <w:rFonts w:eastAsia="Times New Roman" w:cs="Arial"/>
          <w:lang w:val="es-CO" w:eastAsia="es-ES"/>
        </w:rPr>
      </w:pPr>
    </w:p>
    <w:p w14:paraId="410DAC82" w14:textId="5AB5A6FA" w:rsidR="003F2D80" w:rsidRPr="009809B2" w:rsidRDefault="003F2D80" w:rsidP="003F2D80">
      <w:pPr>
        <w:spacing w:after="0" w:line="240" w:lineRule="auto"/>
        <w:ind w:right="-93"/>
        <w:jc w:val="both"/>
        <w:rPr>
          <w:rFonts w:eastAsia="Times New Roman" w:cs="Arial"/>
          <w:lang w:val="es-CO" w:eastAsia="es-ES"/>
        </w:rPr>
      </w:pPr>
      <w:r w:rsidRPr="009809B2">
        <w:rPr>
          <w:rFonts w:eastAsia="Times New Roman" w:cs="Arial"/>
          <w:lang w:val="es-CO" w:eastAsia="es-ES"/>
        </w:rPr>
        <w:t xml:space="preserve">Es por esto </w:t>
      </w:r>
      <w:proofErr w:type="gramStart"/>
      <w:r w:rsidRPr="009809B2">
        <w:rPr>
          <w:rFonts w:eastAsia="Times New Roman" w:cs="Arial"/>
          <w:lang w:val="es-CO" w:eastAsia="es-ES"/>
        </w:rPr>
        <w:t>que</w:t>
      </w:r>
      <w:proofErr w:type="gramEnd"/>
      <w:r w:rsidRPr="009809B2">
        <w:rPr>
          <w:rFonts w:eastAsia="Times New Roman" w:cs="Arial"/>
          <w:lang w:val="es-CO" w:eastAsia="es-ES"/>
        </w:rPr>
        <w:t xml:space="preserve"> las facultades regulatorias previstas en los artículos 73 y 74.1 de la Ley 142 de 1994 deben sujetarse al cumplimiento de los fines y principios de orden constitucional y legal en materia social y económica</w:t>
      </w:r>
      <w:r w:rsidRPr="009809B2">
        <w:rPr>
          <w:rFonts w:eastAsia="Times New Roman"/>
          <w:vertAlign w:val="superscript"/>
          <w:lang w:val="es-CO" w:eastAsia="es-ES"/>
        </w:rPr>
        <w:footnoteReference w:id="8"/>
      </w:r>
      <w:r w:rsidRPr="009809B2">
        <w:rPr>
          <w:rFonts w:eastAsia="Times New Roman" w:cs="Arial"/>
          <w:lang w:val="es-CO" w:eastAsia="es-ES"/>
        </w:rPr>
        <w:t xml:space="preserve"> previstos en dichas normas,</w:t>
      </w:r>
      <w:r w:rsidRPr="009809B2">
        <w:rPr>
          <w:rFonts w:eastAsia="Calibri" w:cs="Times New Roman"/>
          <w:lang w:val="es-CO"/>
        </w:rPr>
        <w:t xml:space="preserve"> </w:t>
      </w:r>
      <w:r w:rsidRPr="009809B2">
        <w:rPr>
          <w:rFonts w:eastAsia="Times New Roman" w:cs="Arial"/>
          <w:lang w:val="es-CO" w:eastAsia="es-ES"/>
        </w:rPr>
        <w:t>garantizando la efectividad de los principios sociales y el adecuado funcionamiento del mercado.</w:t>
      </w:r>
    </w:p>
    <w:p w14:paraId="7DBCAFF6" w14:textId="77777777" w:rsidR="003F2D80" w:rsidRPr="009809B2" w:rsidRDefault="003F2D80" w:rsidP="003F2D80">
      <w:pPr>
        <w:spacing w:after="0" w:line="240" w:lineRule="auto"/>
        <w:ind w:right="-93"/>
        <w:jc w:val="both"/>
        <w:rPr>
          <w:rFonts w:eastAsia="Times New Roman" w:cs="Arial"/>
          <w:lang w:val="es-CO" w:eastAsia="es-ES"/>
        </w:rPr>
      </w:pPr>
    </w:p>
    <w:p w14:paraId="4AB77BBC" w14:textId="77777777" w:rsidR="003F2D80" w:rsidRPr="009809B2" w:rsidRDefault="003F2D80" w:rsidP="003F2D80">
      <w:pPr>
        <w:spacing w:after="0" w:line="240" w:lineRule="auto"/>
        <w:ind w:right="-93"/>
        <w:jc w:val="both"/>
        <w:rPr>
          <w:rFonts w:eastAsia="Calibri" w:cs="Arial"/>
          <w:lang w:val="es-CO"/>
        </w:rPr>
      </w:pPr>
      <w:r w:rsidRPr="009809B2">
        <w:rPr>
          <w:rFonts w:eastAsia="Times New Roman" w:cs="Arial"/>
          <w:lang w:val="es-CO" w:eastAsia="es-ES"/>
        </w:rPr>
        <w:t xml:space="preserve">En este sentido, dentro de las actuaciones administrativas que adelante esta Comisión, para </w:t>
      </w:r>
      <w:r w:rsidRPr="009809B2">
        <w:rPr>
          <w:rFonts w:eastAsia="Calibri" w:cs="Arial"/>
          <w:lang w:val="es-CO"/>
        </w:rPr>
        <w:t>la correcta aplicación de los criterios en materia tarifaria, así como su aplicación armónica con los principios constitucionales</w:t>
      </w:r>
      <w:r w:rsidRPr="009809B2">
        <w:rPr>
          <w:rFonts w:eastAsia="Calibri" w:cs="Arial"/>
          <w:vertAlign w:val="superscript"/>
          <w:lang w:val="es-CO"/>
        </w:rPr>
        <w:footnoteReference w:id="9"/>
      </w:r>
      <w:r w:rsidRPr="009809B2">
        <w:rPr>
          <w:rFonts w:eastAsia="Calibri" w:cs="Arial"/>
          <w:lang w:val="es-CO"/>
        </w:rPr>
        <w:t xml:space="preserve"> y legales</w:t>
      </w:r>
      <w:r w:rsidRPr="009809B2">
        <w:rPr>
          <w:rFonts w:eastAsia="Calibri" w:cs="Arial"/>
          <w:vertAlign w:val="superscript"/>
          <w:lang w:val="es-CO"/>
        </w:rPr>
        <w:footnoteReference w:id="10"/>
      </w:r>
      <w:r w:rsidRPr="009809B2">
        <w:rPr>
          <w:rFonts w:eastAsia="Calibri" w:cs="Arial"/>
          <w:lang w:val="es-CO"/>
        </w:rPr>
        <w:t xml:space="preserve"> en materia de servicios públicos, debe existir una convergencia entre los intereses colectivos que persigue la prestación de los servicios públicos, como aquellos intereses de las empresas en relación con la competencia, la iniciativa privada y la libertad de empresa, entendidas como la existencia de “</w:t>
      </w:r>
      <w:r w:rsidRPr="009809B2">
        <w:rPr>
          <w:rFonts w:eastAsia="Calibri" w:cs="Arial"/>
          <w:i/>
          <w:lang w:val="es-CO"/>
        </w:rPr>
        <w:t>relaciones jurídicas de equilibrio entre usuarios y las empresas prestadoras de servicios públicos domiciliarios”</w:t>
      </w:r>
      <w:r w:rsidRPr="009809B2">
        <w:rPr>
          <w:rFonts w:eastAsia="Calibri" w:cs="Arial"/>
          <w:vertAlign w:val="superscript"/>
          <w:lang w:val="es-CO"/>
        </w:rPr>
        <w:footnoteReference w:id="11"/>
      </w:r>
      <w:r w:rsidRPr="009809B2">
        <w:rPr>
          <w:rFonts w:eastAsia="Calibri" w:cs="Arial"/>
          <w:i/>
          <w:lang w:val="es-CO"/>
        </w:rPr>
        <w:t>.</w:t>
      </w:r>
    </w:p>
    <w:p w14:paraId="7C12AF70" w14:textId="77777777" w:rsidR="003F2D80" w:rsidRPr="009809B2" w:rsidRDefault="003F2D80" w:rsidP="003F2D80">
      <w:pPr>
        <w:spacing w:after="0" w:line="240" w:lineRule="auto"/>
        <w:ind w:right="-142"/>
        <w:jc w:val="both"/>
        <w:rPr>
          <w:rFonts w:eastAsia="Calibri" w:cs="Times New Roman"/>
          <w:lang w:val="es-CO"/>
        </w:rPr>
      </w:pPr>
    </w:p>
    <w:p w14:paraId="73E15B36" w14:textId="77777777" w:rsidR="003F2D80" w:rsidRPr="009809B2" w:rsidRDefault="003F2D80" w:rsidP="003F2D80">
      <w:pPr>
        <w:spacing w:after="0" w:line="240" w:lineRule="auto"/>
        <w:ind w:right="-93"/>
        <w:jc w:val="both"/>
        <w:rPr>
          <w:rFonts w:eastAsia="Calibri" w:cs="Arial"/>
          <w:lang w:val="es-CO"/>
        </w:rPr>
      </w:pPr>
      <w:r w:rsidRPr="009809B2">
        <w:rPr>
          <w:rFonts w:eastAsia="Calibri" w:cs="Arial"/>
          <w:lang w:val="es-CO"/>
        </w:rPr>
        <w:lastRenderedPageBreak/>
        <w:t>Por lo tanto, esta convergencia a través de los mecanismos regulatorios debe garantizar el equilibrio entre la libertad económica (incentivo económico), la promoción de intereses colectivos concretos y la prestación de servicios públicos, es decir, la regulación ha de propender por hacer compatibles los intereses privados, que actúan como motor de la actividad económica, con la satisfacción de las necesidades colectivas</w:t>
      </w:r>
      <w:r w:rsidRPr="009809B2">
        <w:rPr>
          <w:rFonts w:eastAsia="Calibri" w:cs="Arial"/>
          <w:vertAlign w:val="superscript"/>
          <w:lang w:val="es-CO"/>
        </w:rPr>
        <w:footnoteReference w:id="12"/>
      </w:r>
      <w:r w:rsidRPr="009809B2">
        <w:rPr>
          <w:rFonts w:eastAsia="Calibri" w:cs="Arial"/>
          <w:lang w:val="es-CO"/>
        </w:rPr>
        <w:t>.</w:t>
      </w:r>
    </w:p>
    <w:p w14:paraId="27752CD1" w14:textId="77777777" w:rsidR="003F2D80" w:rsidRPr="009809B2" w:rsidRDefault="003F2D80" w:rsidP="003F2D80">
      <w:pPr>
        <w:spacing w:after="0" w:line="240" w:lineRule="auto"/>
        <w:ind w:right="-93"/>
        <w:jc w:val="both"/>
        <w:rPr>
          <w:rFonts w:eastAsia="Times New Roman" w:cs="Arial"/>
          <w:lang w:val="es-CO" w:eastAsia="es-ES"/>
        </w:rPr>
      </w:pPr>
    </w:p>
    <w:p w14:paraId="55450DB0" w14:textId="77777777" w:rsidR="003F2D80" w:rsidRPr="009809B2" w:rsidRDefault="003F2D80" w:rsidP="003F2D80">
      <w:pPr>
        <w:spacing w:after="0" w:line="240" w:lineRule="auto"/>
        <w:ind w:right="-93"/>
        <w:jc w:val="both"/>
        <w:rPr>
          <w:rFonts w:eastAsia="Times New Roman" w:cs="Arial"/>
          <w:lang w:val="es-CO" w:eastAsia="es-ES"/>
        </w:rPr>
      </w:pPr>
      <w:r w:rsidRPr="009809B2">
        <w:rPr>
          <w:rFonts w:eastAsia="Times New Roman" w:cs="Arial"/>
          <w:lang w:val="es-CO" w:eastAsia="es-ES"/>
        </w:rPr>
        <w:t xml:space="preserve">En este sentido, la jurisprudencia constitucional ha precisado que la regulación es una actividad continua que comprende el seguimiento de la evolución del sector correspondiente y que implica la adopción de diversos tipos de decisiones y actos adecuados tanto para orientar la dinámica del sector hacia los fines que la justifican en cada caso, como para permitir el flujo de actividad </w:t>
      </w:r>
      <w:proofErr w:type="gramStart"/>
      <w:r w:rsidRPr="009809B2">
        <w:rPr>
          <w:rFonts w:eastAsia="Times New Roman" w:cs="Arial"/>
          <w:lang w:val="es-CO" w:eastAsia="es-ES"/>
        </w:rPr>
        <w:t>socio-económica</w:t>
      </w:r>
      <w:proofErr w:type="gramEnd"/>
      <w:r w:rsidRPr="009809B2">
        <w:rPr>
          <w:rFonts w:eastAsia="Times New Roman" w:cs="Arial"/>
          <w:lang w:val="es-CO" w:eastAsia="es-ES"/>
        </w:rPr>
        <w:t xml:space="preserve"> respectivo. De esto hace parte igualmente el seguimiento del comportamiento de los agentes, a fin de orientar sus actividades dentro de los fines perseguidos en materia de servicios públicos, de acuerdo con lo previsto en la Ley 142 de 1994</w:t>
      </w:r>
      <w:r w:rsidRPr="009809B2">
        <w:rPr>
          <w:rFonts w:eastAsia="Times New Roman" w:cs="Arial"/>
          <w:vertAlign w:val="superscript"/>
          <w:lang w:val="es-CO" w:eastAsia="es-ES"/>
        </w:rPr>
        <w:footnoteReference w:id="13"/>
      </w:r>
      <w:r w:rsidRPr="009809B2">
        <w:rPr>
          <w:rFonts w:eastAsia="Times New Roman" w:cs="Arial"/>
          <w:lang w:val="es-CO" w:eastAsia="es-ES"/>
        </w:rPr>
        <w:t>.</w:t>
      </w:r>
    </w:p>
    <w:p w14:paraId="552B08E1" w14:textId="77777777" w:rsidR="003F2D80" w:rsidRPr="009809B2" w:rsidRDefault="003F2D80" w:rsidP="003F2D80">
      <w:pPr>
        <w:spacing w:after="0" w:line="240" w:lineRule="auto"/>
        <w:jc w:val="both"/>
        <w:rPr>
          <w:rFonts w:eastAsia="Times New Roman" w:cs="Arial"/>
          <w:vertAlign w:val="superscript"/>
          <w:lang w:val="es-CO" w:eastAsia="es-ES"/>
        </w:rPr>
      </w:pPr>
    </w:p>
    <w:p w14:paraId="6F0087D0" w14:textId="5FFF48E7" w:rsidR="003F2D80" w:rsidRPr="009809B2" w:rsidRDefault="003F2D80" w:rsidP="003F2D80">
      <w:pPr>
        <w:spacing w:after="0" w:line="240" w:lineRule="auto"/>
        <w:jc w:val="both"/>
        <w:rPr>
          <w:rFonts w:eastAsia="Times New Roman" w:cs="Arial"/>
          <w:lang w:val="es-CO" w:eastAsia="es-ES"/>
        </w:rPr>
      </w:pPr>
      <w:r w:rsidRPr="009809B2">
        <w:rPr>
          <w:rFonts w:eastAsia="Times New Roman" w:cs="Arial"/>
          <w:lang w:val="es-CO" w:eastAsia="es-ES"/>
        </w:rPr>
        <w:t xml:space="preserve">Es por esto </w:t>
      </w:r>
      <w:proofErr w:type="gramStart"/>
      <w:r w:rsidRPr="009809B2">
        <w:rPr>
          <w:rFonts w:eastAsia="Times New Roman" w:cs="Arial"/>
          <w:lang w:val="es-CO" w:eastAsia="es-ES"/>
        </w:rPr>
        <w:t>que</w:t>
      </w:r>
      <w:proofErr w:type="gramEnd"/>
      <w:r w:rsidRPr="009809B2">
        <w:rPr>
          <w:rFonts w:eastAsia="Times New Roman" w:cs="Arial"/>
          <w:lang w:val="es-CO" w:eastAsia="es-ES"/>
        </w:rPr>
        <w:t xml:space="preserve"> la facultad de regular implica tener en cuenta las dinámicas condiciones del mercado y las necesidades propias de cada sector, por lo que las medidas que se adopten</w:t>
      </w:r>
      <w:r w:rsidR="002C5CD8" w:rsidRPr="009809B2">
        <w:rPr>
          <w:rFonts w:eastAsia="Times New Roman" w:cs="Arial"/>
          <w:lang w:val="es-CO" w:eastAsia="es-ES"/>
        </w:rPr>
        <w:t>,</w:t>
      </w:r>
      <w:r w:rsidRPr="009809B2">
        <w:rPr>
          <w:rFonts w:eastAsia="Times New Roman" w:cs="Arial"/>
          <w:lang w:val="es-CO" w:eastAsia="es-ES"/>
        </w:rPr>
        <w:t xml:space="preserve"> atendiendo dicha dinámica, </w:t>
      </w:r>
      <w:r w:rsidR="00BE3657" w:rsidRPr="009809B2">
        <w:rPr>
          <w:rFonts w:eastAsia="Times New Roman" w:cs="Arial"/>
          <w:lang w:val="es-CO" w:eastAsia="es-ES"/>
        </w:rPr>
        <w:t xml:space="preserve">deben </w:t>
      </w:r>
      <w:r w:rsidRPr="009809B2">
        <w:rPr>
          <w:rFonts w:eastAsia="Times New Roman" w:cs="Arial"/>
          <w:lang w:val="es-CO" w:eastAsia="es-ES"/>
        </w:rPr>
        <w:t>realiza</w:t>
      </w:r>
      <w:r w:rsidR="00BE3657" w:rsidRPr="009809B2">
        <w:rPr>
          <w:rFonts w:eastAsia="Times New Roman" w:cs="Arial"/>
          <w:lang w:val="es-CO" w:eastAsia="es-ES"/>
        </w:rPr>
        <w:t>r</w:t>
      </w:r>
      <w:r w:rsidRPr="009809B2">
        <w:rPr>
          <w:rFonts w:eastAsia="Times New Roman" w:cs="Arial"/>
          <w:lang w:val="es-CO" w:eastAsia="es-ES"/>
        </w:rPr>
        <w:t xml:space="preserve"> los ajustes a que haya lugar dentro del marco de competencias definido por la ley y teniendo en cuenta los hechos previamente comprobados. </w:t>
      </w:r>
    </w:p>
    <w:p w14:paraId="02671BDF" w14:textId="77777777" w:rsidR="003F2D80" w:rsidRPr="009809B2" w:rsidRDefault="003F2D80" w:rsidP="003F2D80">
      <w:pPr>
        <w:spacing w:after="0" w:line="240" w:lineRule="auto"/>
        <w:jc w:val="both"/>
        <w:rPr>
          <w:rFonts w:eastAsia="Times New Roman" w:cs="Arial"/>
          <w:lang w:val="es-CO" w:eastAsia="es-ES"/>
        </w:rPr>
      </w:pPr>
    </w:p>
    <w:p w14:paraId="48A4DD4E" w14:textId="036C676E" w:rsidR="003F2D80" w:rsidRPr="009809B2" w:rsidRDefault="003F2D80" w:rsidP="0069412D">
      <w:pPr>
        <w:spacing w:after="0" w:line="240" w:lineRule="auto"/>
        <w:jc w:val="both"/>
        <w:rPr>
          <w:rFonts w:eastAsia="Times New Roman" w:cs="Arial"/>
          <w:lang w:val="es-CO" w:eastAsia="es-ES"/>
        </w:rPr>
      </w:pPr>
      <w:r w:rsidRPr="009809B2">
        <w:rPr>
          <w:rFonts w:eastAsia="Times New Roman" w:cs="Arial"/>
          <w:b/>
          <w:lang w:val="es-CO" w:eastAsia="es-ES"/>
        </w:rPr>
        <w:t>Aplicación del régimen y los criterios tarifarios por parte de la CREG en la definición de las fórmulas tarifarias.</w:t>
      </w:r>
    </w:p>
    <w:p w14:paraId="77CAC204" w14:textId="77777777" w:rsidR="003F2D80" w:rsidRPr="009809B2" w:rsidRDefault="003F2D80" w:rsidP="003F2D80">
      <w:pPr>
        <w:pStyle w:val="Prrafodelista"/>
        <w:spacing w:after="0" w:line="240" w:lineRule="auto"/>
        <w:jc w:val="both"/>
        <w:rPr>
          <w:rFonts w:eastAsia="Times New Roman" w:cs="Arial"/>
          <w:lang w:val="es-CO" w:eastAsia="es-ES"/>
        </w:rPr>
      </w:pPr>
    </w:p>
    <w:p w14:paraId="38820BA4" w14:textId="2F725E86" w:rsidR="003F2D80" w:rsidRPr="009809B2" w:rsidRDefault="003F2D80" w:rsidP="003F2D80">
      <w:pPr>
        <w:spacing w:after="0" w:line="240" w:lineRule="auto"/>
        <w:jc w:val="both"/>
        <w:rPr>
          <w:rFonts w:eastAsia="Times New Roman" w:cs="Arial"/>
          <w:lang w:val="es-CO" w:eastAsia="es-ES"/>
        </w:rPr>
      </w:pPr>
      <w:r w:rsidRPr="009809B2">
        <w:rPr>
          <w:rFonts w:eastAsia="Times New Roman" w:cs="Arial"/>
          <w:lang w:val="es-CO" w:eastAsia="es-ES"/>
        </w:rPr>
        <w:t>Ahora bien, en relación con la a</w:t>
      </w:r>
      <w:r w:rsidRPr="009809B2">
        <w:rPr>
          <w:rFonts w:eastAsia="Calibri" w:cs="Arial"/>
          <w:lang w:val="es-CO"/>
        </w:rPr>
        <w:t>plicación del régimen y los criterios tarifarios por parte de la CREG dentro de sus actuaciones administrativas,</w:t>
      </w:r>
      <w:r w:rsidRPr="009809B2">
        <w:rPr>
          <w:rFonts w:eastAsia="Times New Roman" w:cs="Arial"/>
          <w:lang w:val="es-CO" w:eastAsia="es-ES"/>
        </w:rPr>
        <w:t xml:space="preserve"> se debe tener en cuenta que</w:t>
      </w:r>
      <w:r w:rsidRPr="009809B2">
        <w:rPr>
          <w:rFonts w:eastAsia="Calibri" w:cs="Arial"/>
          <w:lang w:val="es-CO"/>
        </w:rPr>
        <w:t xml:space="preserve"> del contenido de la Ley 142 de 1994 se han consagrado una serie de disposiciones relacionadas con lo que se denomina el “régimen tarifario”, para lo cual en su artículo 86 ha consagrado lo siguiente:</w:t>
      </w:r>
    </w:p>
    <w:p w14:paraId="7005538A" w14:textId="77777777" w:rsidR="003F2D80" w:rsidRPr="009809B2" w:rsidRDefault="003F2D80" w:rsidP="003F2D80">
      <w:pPr>
        <w:spacing w:after="0" w:line="240" w:lineRule="auto"/>
        <w:ind w:right="-93"/>
        <w:jc w:val="both"/>
        <w:rPr>
          <w:rFonts w:eastAsia="Times New Roman" w:cs="Arial"/>
          <w:color w:val="000000"/>
          <w:lang w:val="es-CO" w:eastAsia="es-ES"/>
        </w:rPr>
      </w:pPr>
    </w:p>
    <w:p w14:paraId="1762C17B" w14:textId="5E658307"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r w:rsidRPr="009809B2">
        <w:rPr>
          <w:rFonts w:eastAsia="Times New Roman" w:cs="Arial"/>
          <w:b/>
          <w:color w:val="000000"/>
          <w:sz w:val="20"/>
          <w:szCs w:val="20"/>
          <w:lang w:val="es-CO" w:eastAsia="es-ES"/>
        </w:rPr>
        <w:t>Artículo 86. El régimen tarifario.</w:t>
      </w:r>
      <w:r w:rsidRPr="009809B2">
        <w:rPr>
          <w:rFonts w:eastAsia="Times New Roman" w:cs="Arial"/>
          <w:color w:val="000000"/>
          <w:sz w:val="20"/>
          <w:szCs w:val="20"/>
          <w:lang w:val="es-CO" w:eastAsia="es-ES"/>
        </w:rPr>
        <w:t xml:space="preserve"> </w:t>
      </w:r>
      <w:r w:rsidRPr="009809B2">
        <w:rPr>
          <w:rFonts w:eastAsia="Times New Roman" w:cs="Arial"/>
          <w:color w:val="000000"/>
          <w:sz w:val="20"/>
          <w:szCs w:val="20"/>
          <w:u w:val="single"/>
          <w:lang w:val="es-CO" w:eastAsia="es-ES"/>
        </w:rPr>
        <w:t>El régimen tarifario</w:t>
      </w:r>
      <w:r w:rsidRPr="009809B2">
        <w:rPr>
          <w:rFonts w:eastAsia="Times New Roman" w:cs="Arial"/>
          <w:color w:val="000000"/>
          <w:sz w:val="20"/>
          <w:szCs w:val="20"/>
          <w:lang w:val="es-CO" w:eastAsia="es-ES"/>
        </w:rPr>
        <w:t xml:space="preserve"> en los servicios públicos a los que esta Ley </w:t>
      </w:r>
      <w:r w:rsidRPr="009809B2">
        <w:rPr>
          <w:rFonts w:eastAsia="Times New Roman" w:cs="Arial"/>
          <w:color w:val="000000"/>
          <w:sz w:val="20"/>
          <w:szCs w:val="20"/>
          <w:u w:val="single"/>
          <w:lang w:val="es-CO" w:eastAsia="es-ES"/>
        </w:rPr>
        <w:t xml:space="preserve">se </w:t>
      </w:r>
      <w:proofErr w:type="gramStart"/>
      <w:r w:rsidRPr="009809B2">
        <w:rPr>
          <w:rFonts w:eastAsia="Times New Roman" w:cs="Arial"/>
          <w:color w:val="000000"/>
          <w:sz w:val="20"/>
          <w:szCs w:val="20"/>
          <w:u w:val="single"/>
          <w:lang w:val="es-CO" w:eastAsia="es-ES"/>
        </w:rPr>
        <w:t>refiere</w:t>
      </w:r>
      <w:r w:rsidRPr="009809B2">
        <w:rPr>
          <w:rFonts w:eastAsia="Times New Roman" w:cs="Arial"/>
          <w:color w:val="000000"/>
          <w:sz w:val="20"/>
          <w:szCs w:val="20"/>
          <w:lang w:val="es-CO" w:eastAsia="es-ES"/>
        </w:rPr>
        <w:t>,</w:t>
      </w:r>
      <w:proofErr w:type="gramEnd"/>
      <w:r w:rsidRPr="009809B2">
        <w:rPr>
          <w:rFonts w:eastAsia="Times New Roman" w:cs="Arial"/>
          <w:color w:val="000000"/>
          <w:sz w:val="20"/>
          <w:szCs w:val="20"/>
          <w:lang w:val="es-CO" w:eastAsia="es-ES"/>
        </w:rPr>
        <w:t xml:space="preserve"> está compuesto por reglas relativas a:</w:t>
      </w:r>
    </w:p>
    <w:p w14:paraId="42A55856" w14:textId="77777777"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p>
    <w:p w14:paraId="5C3AAE1D" w14:textId="77777777"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r w:rsidRPr="009809B2">
        <w:rPr>
          <w:rFonts w:eastAsia="Times New Roman" w:cs="Arial"/>
          <w:color w:val="000000"/>
          <w:sz w:val="20"/>
          <w:szCs w:val="20"/>
          <w:lang w:val="es-CO" w:eastAsia="es-ES"/>
        </w:rPr>
        <w:t>(…)</w:t>
      </w:r>
    </w:p>
    <w:p w14:paraId="52366454" w14:textId="77777777"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p>
    <w:p w14:paraId="0BB3C389" w14:textId="5A66B8C6"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r w:rsidRPr="009809B2">
        <w:rPr>
          <w:rFonts w:eastAsia="Times New Roman" w:cs="Arial"/>
          <w:color w:val="000000"/>
          <w:sz w:val="20"/>
          <w:szCs w:val="20"/>
          <w:lang w:val="es-CO" w:eastAsia="es-ES"/>
        </w:rPr>
        <w:t xml:space="preserve">86.4. </w:t>
      </w:r>
      <w:r w:rsidRPr="009809B2">
        <w:rPr>
          <w:rFonts w:eastAsia="Times New Roman" w:cs="Arial"/>
          <w:color w:val="000000"/>
          <w:sz w:val="20"/>
          <w:szCs w:val="20"/>
          <w:u w:val="single"/>
          <w:lang w:val="es-CO" w:eastAsia="es-ES"/>
        </w:rPr>
        <w:t xml:space="preserve">Las reglas relativas a procedimientos, </w:t>
      </w:r>
      <w:r w:rsidRPr="009809B2">
        <w:rPr>
          <w:rFonts w:eastAsia="Times New Roman" w:cs="Arial"/>
          <w:b/>
          <w:color w:val="000000"/>
          <w:sz w:val="20"/>
          <w:szCs w:val="20"/>
          <w:u w:val="single"/>
          <w:lang w:val="es-CO" w:eastAsia="es-ES"/>
        </w:rPr>
        <w:t>metodologías, f</w:t>
      </w:r>
      <w:r w:rsidR="008C3312" w:rsidRPr="009809B2">
        <w:rPr>
          <w:rFonts w:eastAsia="Times New Roman" w:cs="Arial"/>
          <w:b/>
          <w:color w:val="000000"/>
          <w:sz w:val="20"/>
          <w:szCs w:val="20"/>
          <w:u w:val="single"/>
          <w:lang w:val="es-CO" w:eastAsia="es-ES"/>
        </w:rPr>
        <w:t>ó</w:t>
      </w:r>
      <w:r w:rsidRPr="009809B2">
        <w:rPr>
          <w:rFonts w:eastAsia="Times New Roman" w:cs="Arial"/>
          <w:b/>
          <w:color w:val="000000"/>
          <w:sz w:val="20"/>
          <w:szCs w:val="20"/>
          <w:u w:val="single"/>
          <w:lang w:val="es-CO" w:eastAsia="es-ES"/>
        </w:rPr>
        <w:t>rmulas</w:t>
      </w:r>
      <w:r w:rsidRPr="009809B2">
        <w:rPr>
          <w:rFonts w:eastAsia="Times New Roman" w:cs="Arial"/>
          <w:color w:val="000000"/>
          <w:sz w:val="20"/>
          <w:szCs w:val="20"/>
          <w:u w:val="single"/>
          <w:lang w:val="es-CO" w:eastAsia="es-ES"/>
        </w:rPr>
        <w:t>, estructuras</w:t>
      </w:r>
      <w:r w:rsidRPr="009809B2">
        <w:rPr>
          <w:rFonts w:eastAsia="Times New Roman" w:cs="Arial"/>
          <w:color w:val="000000"/>
          <w:sz w:val="20"/>
          <w:szCs w:val="20"/>
          <w:lang w:val="es-CO" w:eastAsia="es-ES"/>
        </w:rPr>
        <w:t xml:space="preserve">, estratos, facturación, </w:t>
      </w:r>
      <w:r w:rsidRPr="009809B2">
        <w:rPr>
          <w:rFonts w:eastAsia="Times New Roman" w:cs="Arial"/>
          <w:color w:val="000000"/>
          <w:sz w:val="20"/>
          <w:szCs w:val="20"/>
          <w:u w:val="single"/>
          <w:lang w:val="es-CO" w:eastAsia="es-ES"/>
        </w:rPr>
        <w:t>opciones, valores</w:t>
      </w:r>
      <w:r w:rsidRPr="009809B2">
        <w:rPr>
          <w:rFonts w:eastAsia="Times New Roman" w:cs="Arial"/>
          <w:color w:val="000000"/>
          <w:sz w:val="20"/>
          <w:szCs w:val="20"/>
          <w:lang w:val="es-CO" w:eastAsia="es-ES"/>
        </w:rPr>
        <w:t xml:space="preserve"> </w:t>
      </w:r>
      <w:r w:rsidRPr="009809B2">
        <w:rPr>
          <w:rFonts w:eastAsia="Times New Roman" w:cs="Arial"/>
          <w:b/>
          <w:color w:val="000000"/>
          <w:sz w:val="20"/>
          <w:szCs w:val="20"/>
          <w:u w:val="single"/>
          <w:lang w:val="es-CO" w:eastAsia="es-ES"/>
        </w:rPr>
        <w:t>y, en general, todos los aspectos que determinan el cobro de las tarifas</w:t>
      </w:r>
      <w:r w:rsidR="00805CB9" w:rsidRPr="009809B2">
        <w:rPr>
          <w:rFonts w:eastAsia="Times New Roman" w:cs="Arial"/>
          <w:color w:val="000000"/>
          <w:sz w:val="20"/>
          <w:szCs w:val="20"/>
          <w:lang w:val="es-CO" w:eastAsia="es-ES"/>
        </w:rPr>
        <w:t>.</w:t>
      </w:r>
      <w:r w:rsidR="0084183B" w:rsidRPr="009809B2">
        <w:rPr>
          <w:rFonts w:eastAsia="Times New Roman" w:cs="Arial"/>
          <w:color w:val="000000"/>
          <w:sz w:val="20"/>
          <w:szCs w:val="20"/>
          <w:lang w:val="es-CO" w:eastAsia="es-ES"/>
        </w:rPr>
        <w:t xml:space="preserve"> (Resaltado fuera de texto)</w:t>
      </w:r>
    </w:p>
    <w:p w14:paraId="0A610A28" w14:textId="77777777" w:rsidR="003F2D80" w:rsidRPr="009809B2" w:rsidRDefault="003F2D80" w:rsidP="003F2D80">
      <w:pPr>
        <w:spacing w:after="0" w:line="240" w:lineRule="auto"/>
        <w:ind w:right="-93"/>
        <w:jc w:val="both"/>
        <w:rPr>
          <w:rFonts w:eastAsia="Times New Roman" w:cs="Arial"/>
          <w:color w:val="000000"/>
          <w:lang w:val="es-CO" w:eastAsia="es-ES"/>
        </w:rPr>
      </w:pPr>
    </w:p>
    <w:p w14:paraId="47CF5A87" w14:textId="0ACC14B1" w:rsidR="003F2D80" w:rsidRPr="009809B2" w:rsidRDefault="003F2D80" w:rsidP="003F2D80">
      <w:pPr>
        <w:spacing w:after="0" w:line="240" w:lineRule="auto"/>
        <w:ind w:right="-93"/>
        <w:jc w:val="both"/>
        <w:rPr>
          <w:rFonts w:eastAsia="Times New Roman" w:cs="Arial"/>
          <w:color w:val="000000"/>
          <w:lang w:val="es-CO" w:eastAsia="es-ES"/>
        </w:rPr>
      </w:pPr>
      <w:r w:rsidRPr="009809B2">
        <w:rPr>
          <w:rFonts w:eastAsia="Times New Roman" w:cs="Arial"/>
          <w:color w:val="000000"/>
          <w:lang w:val="es-CO" w:eastAsia="es-ES"/>
        </w:rPr>
        <w:t>En concordancia con lo anterior, el artículo 87 de la Ley 142 de 1994 establece lo siguiente</w:t>
      </w:r>
      <w:r w:rsidR="008C3312" w:rsidRPr="009809B2">
        <w:rPr>
          <w:rFonts w:eastAsia="Times New Roman" w:cs="Arial"/>
          <w:color w:val="000000"/>
          <w:lang w:val="es-CO" w:eastAsia="es-ES"/>
        </w:rPr>
        <w:t xml:space="preserve"> en </w:t>
      </w:r>
      <w:r w:rsidR="0069412D" w:rsidRPr="009809B2">
        <w:rPr>
          <w:rFonts w:eastAsia="Times New Roman" w:cs="Arial"/>
          <w:color w:val="000000"/>
          <w:lang w:val="es-CO" w:eastAsia="es-ES"/>
        </w:rPr>
        <w:t>relación</w:t>
      </w:r>
      <w:r w:rsidR="008C3312" w:rsidRPr="009809B2">
        <w:rPr>
          <w:rFonts w:eastAsia="Times New Roman" w:cs="Arial"/>
          <w:color w:val="000000"/>
          <w:lang w:val="es-CO" w:eastAsia="es-ES"/>
        </w:rPr>
        <w:t xml:space="preserve"> con los criterios tarifarios</w:t>
      </w:r>
      <w:r w:rsidRPr="009809B2">
        <w:rPr>
          <w:rFonts w:eastAsia="Times New Roman" w:cs="Arial"/>
          <w:color w:val="000000"/>
          <w:lang w:val="es-CO" w:eastAsia="es-ES"/>
        </w:rPr>
        <w:t>:</w:t>
      </w:r>
    </w:p>
    <w:p w14:paraId="78D0B725" w14:textId="77777777" w:rsidR="003F2D80" w:rsidRPr="009809B2" w:rsidRDefault="003F2D80" w:rsidP="003F2D80">
      <w:pPr>
        <w:spacing w:after="0" w:line="240" w:lineRule="auto"/>
        <w:ind w:right="-93"/>
        <w:jc w:val="both"/>
        <w:rPr>
          <w:rFonts w:eastAsia="Times New Roman" w:cs="Arial"/>
          <w:color w:val="000000"/>
          <w:lang w:val="es-CO" w:eastAsia="es-ES"/>
        </w:rPr>
      </w:pPr>
    </w:p>
    <w:p w14:paraId="7A0EF8EE" w14:textId="24778E3D"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r w:rsidRPr="009809B2">
        <w:rPr>
          <w:rFonts w:eastAsia="Times New Roman" w:cs="Arial"/>
          <w:b/>
          <w:color w:val="000000"/>
          <w:sz w:val="20"/>
          <w:szCs w:val="20"/>
          <w:lang w:val="es-CO" w:eastAsia="es-ES"/>
        </w:rPr>
        <w:t>Artículo 87. Criterios para definir el régimen tarifario.</w:t>
      </w:r>
      <w:r w:rsidRPr="009809B2">
        <w:rPr>
          <w:rFonts w:eastAsia="Times New Roman" w:cs="Arial"/>
          <w:color w:val="000000"/>
          <w:sz w:val="20"/>
          <w:szCs w:val="20"/>
          <w:lang w:val="es-CO" w:eastAsia="es-ES"/>
        </w:rPr>
        <w:t xml:space="preserve"> </w:t>
      </w:r>
      <w:r w:rsidRPr="009809B2">
        <w:rPr>
          <w:rFonts w:eastAsia="Times New Roman" w:cs="Arial"/>
          <w:color w:val="000000"/>
          <w:sz w:val="20"/>
          <w:szCs w:val="20"/>
          <w:u w:val="single"/>
          <w:lang w:val="es-CO" w:eastAsia="es-ES"/>
        </w:rPr>
        <w:t>El régimen tarifario estará orientado por los criterios de eficiencia económica, neutralidad, solidaridad, redistribución, suficiencia financiera, simplicidad y transparencia</w:t>
      </w:r>
      <w:r w:rsidRPr="009809B2">
        <w:rPr>
          <w:rFonts w:eastAsia="Times New Roman" w:cs="Arial"/>
          <w:color w:val="000000"/>
          <w:sz w:val="20"/>
          <w:szCs w:val="20"/>
          <w:lang w:val="es-CO" w:eastAsia="es-ES"/>
        </w:rPr>
        <w:t xml:space="preserve"> (…)</w:t>
      </w:r>
    </w:p>
    <w:p w14:paraId="2B70B148" w14:textId="77777777" w:rsidR="003F2D80" w:rsidRPr="009809B2" w:rsidRDefault="003F2D80" w:rsidP="003F2D80">
      <w:pPr>
        <w:spacing w:after="0" w:line="240" w:lineRule="auto"/>
        <w:ind w:right="-93"/>
        <w:jc w:val="both"/>
        <w:rPr>
          <w:rFonts w:eastAsia="Times New Roman" w:cs="Arial"/>
          <w:color w:val="000000"/>
          <w:lang w:val="es-CO" w:eastAsia="es-ES"/>
        </w:rPr>
      </w:pPr>
    </w:p>
    <w:p w14:paraId="1D4DE383" w14:textId="77777777" w:rsidR="003F2D80" w:rsidRPr="009809B2" w:rsidRDefault="003F2D80" w:rsidP="003F2D80">
      <w:pPr>
        <w:spacing w:after="0" w:line="240" w:lineRule="auto"/>
        <w:ind w:right="-93"/>
        <w:jc w:val="both"/>
        <w:rPr>
          <w:rFonts w:eastAsia="Times New Roman" w:cs="Arial"/>
          <w:color w:val="000000"/>
          <w:lang w:val="es-CO" w:eastAsia="es-ES"/>
        </w:rPr>
      </w:pPr>
      <w:r w:rsidRPr="009809B2">
        <w:rPr>
          <w:rFonts w:eastAsia="Times New Roman" w:cs="Arial"/>
          <w:color w:val="000000"/>
          <w:lang w:val="es-CO" w:eastAsia="es-ES"/>
        </w:rPr>
        <w:t>Adicionalmente, para el caso específico de los índices de precios, estos han sido reconocidos como un elemento que hace parte de las fórmulas tarifarias por lo que el artículo 125 de la Ley 142 de 1994 ha dispuesto lo siguiente:</w:t>
      </w:r>
    </w:p>
    <w:p w14:paraId="501DCF96" w14:textId="77777777" w:rsidR="003F2D80" w:rsidRPr="009809B2" w:rsidRDefault="003F2D80" w:rsidP="003F2D80">
      <w:pPr>
        <w:spacing w:after="0" w:line="240" w:lineRule="auto"/>
        <w:ind w:right="-93"/>
        <w:jc w:val="both"/>
        <w:rPr>
          <w:rFonts w:eastAsia="Times New Roman" w:cs="Arial"/>
          <w:color w:val="000000"/>
          <w:lang w:val="es-CO" w:eastAsia="es-ES"/>
        </w:rPr>
      </w:pPr>
    </w:p>
    <w:p w14:paraId="22B193C5" w14:textId="3F8FC372"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r w:rsidRPr="009809B2">
        <w:rPr>
          <w:rFonts w:eastAsia="Times New Roman" w:cs="Arial"/>
          <w:b/>
          <w:color w:val="000000"/>
          <w:sz w:val="20"/>
          <w:szCs w:val="20"/>
          <w:lang w:val="es-CO" w:eastAsia="es-ES"/>
        </w:rPr>
        <w:t>Artículo 125. Actualización de las tarifas</w:t>
      </w:r>
      <w:r w:rsidRPr="009809B2">
        <w:rPr>
          <w:rFonts w:eastAsia="Times New Roman" w:cs="Arial"/>
          <w:color w:val="000000"/>
          <w:sz w:val="20"/>
          <w:szCs w:val="20"/>
          <w:lang w:val="es-CO" w:eastAsia="es-ES"/>
        </w:rPr>
        <w:t xml:space="preserve">. </w:t>
      </w:r>
      <w:r w:rsidRPr="009809B2">
        <w:rPr>
          <w:rFonts w:eastAsia="Times New Roman" w:cs="Arial"/>
          <w:color w:val="000000"/>
          <w:sz w:val="20"/>
          <w:szCs w:val="20"/>
          <w:u w:val="single"/>
          <w:lang w:val="es-CO" w:eastAsia="es-ES"/>
        </w:rPr>
        <w:t xml:space="preserve">Durante el período de vigencia </w:t>
      </w:r>
      <w:r w:rsidRPr="009809B2">
        <w:rPr>
          <w:rFonts w:eastAsia="Times New Roman" w:cs="Arial"/>
          <w:b/>
          <w:color w:val="000000"/>
          <w:sz w:val="20"/>
          <w:szCs w:val="20"/>
          <w:u w:val="single"/>
          <w:lang w:val="es-CO" w:eastAsia="es-ES"/>
        </w:rPr>
        <w:t>de cada fórmula</w:t>
      </w:r>
      <w:r w:rsidRPr="009809B2">
        <w:rPr>
          <w:rFonts w:eastAsia="Times New Roman" w:cs="Arial"/>
          <w:color w:val="000000"/>
          <w:sz w:val="20"/>
          <w:szCs w:val="20"/>
          <w:lang w:val="es-CO" w:eastAsia="es-ES"/>
        </w:rPr>
        <w:t xml:space="preserve">, las empresas podrán actualizar las tarifas que cobran a sus usuarios </w:t>
      </w:r>
      <w:r w:rsidRPr="009809B2">
        <w:rPr>
          <w:rFonts w:eastAsia="Times New Roman" w:cs="Arial"/>
          <w:b/>
          <w:color w:val="000000"/>
          <w:sz w:val="20"/>
          <w:szCs w:val="20"/>
          <w:u w:val="single"/>
          <w:lang w:val="es-CO" w:eastAsia="es-ES"/>
        </w:rPr>
        <w:t>aplicando las variaciones en los índices de precios que las fórmulas contienen</w:t>
      </w:r>
      <w:r w:rsidRPr="009809B2">
        <w:rPr>
          <w:rFonts w:eastAsia="Times New Roman" w:cs="Arial"/>
          <w:color w:val="000000"/>
          <w:sz w:val="20"/>
          <w:szCs w:val="20"/>
          <w:lang w:val="es-CO" w:eastAsia="es-ES"/>
        </w:rPr>
        <w:t xml:space="preserve">. Las nuevas tarifas se aplicarán a partir del día quince del mes que corresponda, cada vez que se acumule una variación de, por lo menos, un tres por ciento (3%) </w:t>
      </w:r>
      <w:r w:rsidRPr="009809B2">
        <w:rPr>
          <w:rFonts w:eastAsia="Times New Roman" w:cs="Arial"/>
          <w:b/>
          <w:color w:val="000000"/>
          <w:sz w:val="20"/>
          <w:szCs w:val="20"/>
          <w:u w:val="single"/>
          <w:lang w:val="es-CO" w:eastAsia="es-ES"/>
        </w:rPr>
        <w:t>en alguno de los índices de precios que considera la fórmula</w:t>
      </w:r>
      <w:r w:rsidRPr="009809B2">
        <w:rPr>
          <w:rFonts w:eastAsia="Times New Roman" w:cs="Arial"/>
          <w:color w:val="000000"/>
          <w:sz w:val="20"/>
          <w:szCs w:val="20"/>
          <w:lang w:val="es-CO" w:eastAsia="es-ES"/>
        </w:rPr>
        <w:t>.</w:t>
      </w:r>
    </w:p>
    <w:p w14:paraId="117EC416" w14:textId="77777777"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p>
    <w:p w14:paraId="47353976" w14:textId="2D0075D3"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r w:rsidRPr="009809B2">
        <w:rPr>
          <w:rFonts w:eastAsia="Times New Roman" w:cs="Arial"/>
          <w:color w:val="000000"/>
          <w:sz w:val="20"/>
          <w:szCs w:val="20"/>
          <w:lang w:val="es-CO" w:eastAsia="es-ES"/>
        </w:rPr>
        <w:t>Cada vez que las empresas de servicios públicos reajusten las tarifas, deberán comunicar los nuevos valores a la Superintendencia de servicios públicos, y a la comisión respectiva. Deberán, además, publicarlos, por una vez, en un periódico que circule en los municipios en donde se presta el servicio, o en uno de circulación nacional.</w:t>
      </w:r>
      <w:r w:rsidR="00F90671" w:rsidRPr="009809B2">
        <w:rPr>
          <w:rFonts w:eastAsia="Times New Roman" w:cs="Arial"/>
          <w:color w:val="000000"/>
          <w:sz w:val="20"/>
          <w:szCs w:val="20"/>
          <w:lang w:val="es-CO" w:eastAsia="es-ES"/>
        </w:rPr>
        <w:t xml:space="preserve"> </w:t>
      </w:r>
      <w:r w:rsidRPr="009809B2">
        <w:rPr>
          <w:rFonts w:eastAsia="Times New Roman" w:cs="Arial"/>
          <w:color w:val="000000"/>
          <w:sz w:val="20"/>
          <w:szCs w:val="20"/>
          <w:lang w:val="es-CO" w:eastAsia="es-ES"/>
        </w:rPr>
        <w:t>(Resaltado fuera de texto)</w:t>
      </w:r>
    </w:p>
    <w:p w14:paraId="5FEA49EB" w14:textId="77777777" w:rsidR="003F2D80" w:rsidRPr="009809B2" w:rsidRDefault="003F2D80" w:rsidP="003F2D80">
      <w:pPr>
        <w:spacing w:after="0" w:line="240" w:lineRule="auto"/>
        <w:ind w:right="-93"/>
        <w:jc w:val="both"/>
        <w:rPr>
          <w:rFonts w:eastAsia="Times New Roman" w:cs="Arial"/>
          <w:color w:val="000000"/>
          <w:lang w:val="es-CO" w:eastAsia="es-ES"/>
        </w:rPr>
      </w:pPr>
    </w:p>
    <w:p w14:paraId="3A22A559" w14:textId="7CF61C4C" w:rsidR="003F2D80" w:rsidRPr="009809B2" w:rsidRDefault="008E1B6B" w:rsidP="003F2D80">
      <w:pPr>
        <w:spacing w:after="0" w:line="240" w:lineRule="auto"/>
        <w:ind w:right="-93"/>
        <w:jc w:val="both"/>
        <w:rPr>
          <w:rFonts w:eastAsia="Times New Roman" w:cs="Arial"/>
          <w:color w:val="000000"/>
          <w:lang w:val="es-CO" w:eastAsia="es-ES"/>
        </w:rPr>
      </w:pPr>
      <w:r w:rsidRPr="009809B2">
        <w:rPr>
          <w:rFonts w:eastAsia="Times New Roman" w:cs="Arial"/>
          <w:color w:val="000000"/>
          <w:lang w:val="es-CO" w:eastAsia="es-ES"/>
        </w:rPr>
        <w:t>A partir de las normas citadas, la Ley</w:t>
      </w:r>
      <w:r w:rsidR="003F2D80" w:rsidRPr="009809B2">
        <w:rPr>
          <w:rFonts w:eastAsia="Times New Roman" w:cs="Arial"/>
          <w:color w:val="000000"/>
          <w:lang w:val="es-CO" w:eastAsia="es-ES"/>
        </w:rPr>
        <w:t xml:space="preserve"> ha precisado que el régimen tarifario</w:t>
      </w:r>
      <w:r w:rsidR="003F2D80" w:rsidRPr="009809B2">
        <w:rPr>
          <w:rFonts w:eastAsia="Calibri" w:cs="Times New Roman"/>
          <w:lang w:val="es-CO"/>
        </w:rPr>
        <w:t xml:space="preserve"> </w:t>
      </w:r>
      <w:r w:rsidR="003F2D80" w:rsidRPr="009809B2">
        <w:rPr>
          <w:rFonts w:eastAsia="Times New Roman" w:cs="Arial"/>
          <w:color w:val="000000"/>
          <w:lang w:val="es-CO" w:eastAsia="es-ES"/>
        </w:rPr>
        <w:t>estará orientado por los criterios de eficiencia económica, neutralidad, solidaridad, redistribución, suficiencia financiera, simplicidad y transparencia, de acuerdo con los objetivos perseguidos por la regulación de acuerdo con la metodología que establece la forma que se debe remunerar una actividad que hace parte de los servicios públicos de energía eléctrica y gas combustible.</w:t>
      </w:r>
    </w:p>
    <w:p w14:paraId="5E2E0D2A" w14:textId="77777777" w:rsidR="003F2D80" w:rsidRPr="009809B2" w:rsidRDefault="003F2D80" w:rsidP="003F2D80">
      <w:pPr>
        <w:spacing w:after="0" w:line="240" w:lineRule="auto"/>
        <w:ind w:right="-93"/>
        <w:jc w:val="both"/>
        <w:rPr>
          <w:rFonts w:eastAsia="Times New Roman" w:cs="Arial"/>
          <w:color w:val="000000"/>
          <w:lang w:val="es-CO" w:eastAsia="es-ES"/>
        </w:rPr>
      </w:pPr>
    </w:p>
    <w:p w14:paraId="27BBE930" w14:textId="314B3A1B" w:rsidR="003F2D80" w:rsidRPr="009809B2" w:rsidRDefault="008E1B6B" w:rsidP="003F2D80">
      <w:pPr>
        <w:spacing w:after="0" w:line="240" w:lineRule="auto"/>
        <w:ind w:right="-93"/>
        <w:jc w:val="both"/>
        <w:rPr>
          <w:rFonts w:eastAsia="Times New Roman" w:cs="Arial"/>
          <w:color w:val="000000"/>
          <w:lang w:val="es-CO" w:eastAsia="es-ES"/>
        </w:rPr>
      </w:pPr>
      <w:r w:rsidRPr="009809B2">
        <w:rPr>
          <w:rFonts w:eastAsia="Times New Roman" w:cs="Arial"/>
          <w:color w:val="000000"/>
          <w:lang w:val="es-CO" w:eastAsia="es-ES"/>
        </w:rPr>
        <w:t>En este sentido,</w:t>
      </w:r>
      <w:r w:rsidR="003F2D80" w:rsidRPr="009809B2">
        <w:rPr>
          <w:rFonts w:eastAsia="Times New Roman" w:cs="Arial"/>
          <w:color w:val="000000"/>
          <w:lang w:val="es-CO" w:eastAsia="es-ES"/>
        </w:rPr>
        <w:t xml:space="preserve"> le corresponde a las comisiones de regulación dar cumplimiento a los criterios tarifarios en aquellos aspectos definidos específicamente por el legislador y que hacen parte del régimen tarifario, como es el caso de los: procedimientos, metodologías, fórmulas, </w:t>
      </w:r>
      <w:r w:rsidRPr="009809B2">
        <w:rPr>
          <w:rFonts w:eastAsia="Times New Roman" w:cs="Arial"/>
          <w:color w:val="000000"/>
          <w:lang w:val="es-CO" w:eastAsia="es-ES"/>
        </w:rPr>
        <w:t>e</w:t>
      </w:r>
      <w:r w:rsidR="003F2D80" w:rsidRPr="009809B2">
        <w:rPr>
          <w:rFonts w:eastAsia="Times New Roman" w:cs="Arial"/>
          <w:color w:val="000000"/>
          <w:lang w:val="es-CO" w:eastAsia="es-ES"/>
        </w:rPr>
        <w:t xml:space="preserve">structuras, estratos, facturación, opciones, valores, así como en aquellos eventos que de manera general se ajusten a un aspecto que determine el cobro de las tarifas; donde los índices de precios corresponden a uno de estos aspectos que hacen parte de las fórmulas tarifarias. </w:t>
      </w:r>
    </w:p>
    <w:p w14:paraId="6EEDA39C" w14:textId="77777777" w:rsidR="003F2D80" w:rsidRPr="009809B2" w:rsidRDefault="003F2D80" w:rsidP="003F2D80">
      <w:pPr>
        <w:spacing w:after="0" w:line="240" w:lineRule="auto"/>
        <w:ind w:right="-93"/>
        <w:jc w:val="both"/>
        <w:rPr>
          <w:rFonts w:eastAsia="Times New Roman" w:cs="Arial"/>
          <w:color w:val="000000"/>
          <w:lang w:val="es-CO" w:eastAsia="es-ES"/>
        </w:rPr>
      </w:pPr>
    </w:p>
    <w:p w14:paraId="2DAA9B53" w14:textId="5FFF7042" w:rsidR="003F2D80" w:rsidRPr="009809B2" w:rsidRDefault="003F2D80" w:rsidP="003F2D80">
      <w:pPr>
        <w:spacing w:after="0" w:line="240" w:lineRule="auto"/>
        <w:ind w:right="-93"/>
        <w:jc w:val="both"/>
        <w:rPr>
          <w:rFonts w:eastAsia="Times New Roman" w:cs="Arial"/>
          <w:color w:val="000000"/>
          <w:lang w:val="es-CO" w:eastAsia="es-ES"/>
        </w:rPr>
      </w:pPr>
      <w:r w:rsidRPr="009809B2">
        <w:rPr>
          <w:rFonts w:eastAsia="Times New Roman" w:cs="Arial"/>
          <w:color w:val="000000"/>
          <w:lang w:val="es-CO" w:eastAsia="es-ES"/>
        </w:rPr>
        <w:t>La definición de estas fórmulas tarifarias y los componentes que de estas hacen parte</w:t>
      </w:r>
      <w:r w:rsidR="008D2AC1" w:rsidRPr="009809B2">
        <w:rPr>
          <w:rFonts w:eastAsia="Times New Roman" w:cs="Arial"/>
          <w:color w:val="000000"/>
          <w:lang w:val="es-CO" w:eastAsia="es-ES"/>
        </w:rPr>
        <w:t>,</w:t>
      </w:r>
      <w:r w:rsidRPr="009809B2">
        <w:rPr>
          <w:rFonts w:eastAsia="Times New Roman" w:cs="Arial"/>
          <w:color w:val="000000"/>
          <w:lang w:val="es-CO" w:eastAsia="es-ES"/>
        </w:rPr>
        <w:t xml:space="preserve"> como es el caso de los índices </w:t>
      </w:r>
      <w:r w:rsidR="0044473D" w:rsidRPr="009809B2">
        <w:rPr>
          <w:rFonts w:eastAsia="Times New Roman" w:cs="Arial"/>
          <w:color w:val="000000"/>
          <w:lang w:val="es-CO" w:eastAsia="es-ES"/>
        </w:rPr>
        <w:t xml:space="preserve">de </w:t>
      </w:r>
      <w:r w:rsidRPr="009809B2">
        <w:rPr>
          <w:rFonts w:eastAsia="Times New Roman" w:cs="Arial"/>
          <w:color w:val="000000"/>
          <w:lang w:val="es-CO" w:eastAsia="es-ES"/>
        </w:rPr>
        <w:t xml:space="preserve">precios, de manera general, corresponde a un aspecto </w:t>
      </w:r>
      <w:r w:rsidR="00010418" w:rsidRPr="009809B2">
        <w:rPr>
          <w:rFonts w:eastAsia="Times New Roman" w:cs="Arial"/>
          <w:color w:val="000000"/>
          <w:lang w:val="es-CO" w:eastAsia="es-ES"/>
        </w:rPr>
        <w:t>establec</w:t>
      </w:r>
      <w:r w:rsidRPr="009809B2">
        <w:rPr>
          <w:rFonts w:eastAsia="Times New Roman" w:cs="Arial"/>
          <w:color w:val="000000"/>
          <w:lang w:val="es-CO" w:eastAsia="es-ES"/>
        </w:rPr>
        <w:t>ido en las metodologías que remuneran cada actividad del servicio público domiciliario de energía eléctrica</w:t>
      </w:r>
      <w:r w:rsidR="003B1252" w:rsidRPr="009809B2">
        <w:rPr>
          <w:rFonts w:eastAsia="Times New Roman" w:cs="Arial"/>
          <w:color w:val="000000"/>
          <w:lang w:val="es-CO" w:eastAsia="es-ES"/>
        </w:rPr>
        <w:t xml:space="preserve"> (i.e.</w:t>
      </w:r>
      <w:r w:rsidRPr="009809B2">
        <w:rPr>
          <w:rFonts w:eastAsia="Times New Roman" w:cs="Arial"/>
          <w:color w:val="000000"/>
          <w:lang w:val="es-CO" w:eastAsia="es-ES"/>
        </w:rPr>
        <w:t xml:space="preserve"> distribución, transmisión, comercialización minorista</w:t>
      </w:r>
      <w:r w:rsidR="003B1252" w:rsidRPr="009809B2">
        <w:rPr>
          <w:rFonts w:eastAsia="Times New Roman" w:cs="Arial"/>
          <w:color w:val="000000"/>
          <w:lang w:val="es-CO" w:eastAsia="es-ES"/>
        </w:rPr>
        <w:t>)</w:t>
      </w:r>
      <w:r w:rsidRPr="009809B2">
        <w:rPr>
          <w:rFonts w:eastAsia="Times New Roman" w:cs="Arial"/>
          <w:color w:val="000000"/>
          <w:lang w:val="es-CO" w:eastAsia="es-ES"/>
        </w:rPr>
        <w:t xml:space="preserve"> o que hacen parte del costo unitario de prestación del servicio. </w:t>
      </w:r>
    </w:p>
    <w:p w14:paraId="0515782D" w14:textId="77777777" w:rsidR="003F2D80" w:rsidRPr="009809B2" w:rsidRDefault="003F2D80" w:rsidP="003F2D80">
      <w:pPr>
        <w:spacing w:after="0" w:line="240" w:lineRule="auto"/>
        <w:ind w:right="-93"/>
        <w:jc w:val="both"/>
        <w:rPr>
          <w:rFonts w:eastAsia="Times New Roman" w:cs="Arial"/>
          <w:color w:val="000000"/>
          <w:lang w:val="es-CO" w:eastAsia="es-ES"/>
        </w:rPr>
      </w:pPr>
    </w:p>
    <w:p w14:paraId="506EACCF" w14:textId="62FF77B6" w:rsidR="00076104" w:rsidRPr="009809B2" w:rsidRDefault="00076104" w:rsidP="003F2D80">
      <w:pPr>
        <w:spacing w:after="0" w:line="240" w:lineRule="auto"/>
        <w:ind w:right="-93"/>
        <w:jc w:val="both"/>
        <w:rPr>
          <w:rFonts w:eastAsia="Times New Roman" w:cs="Arial"/>
          <w:color w:val="000000"/>
          <w:lang w:val="es-CO" w:eastAsia="es-ES"/>
        </w:rPr>
      </w:pPr>
      <w:r w:rsidRPr="009809B2">
        <w:rPr>
          <w:rFonts w:eastAsia="Times New Roman" w:cs="Arial"/>
          <w:color w:val="000000"/>
          <w:lang w:val="es-CO" w:eastAsia="es-ES"/>
        </w:rPr>
        <w:t>De acuerdo con esto,</w:t>
      </w:r>
      <w:r w:rsidR="003F2D80" w:rsidRPr="009809B2">
        <w:rPr>
          <w:rFonts w:eastAsia="Times New Roman" w:cs="Arial"/>
          <w:color w:val="000000"/>
          <w:lang w:val="es-CO" w:eastAsia="es-ES"/>
        </w:rPr>
        <w:t xml:space="preserve"> </w:t>
      </w:r>
      <w:r w:rsidR="00B67D20" w:rsidRPr="009809B2">
        <w:rPr>
          <w:rFonts w:eastAsia="Times New Roman" w:cs="Arial"/>
          <w:color w:val="000000"/>
          <w:lang w:val="es-CO" w:eastAsia="es-ES"/>
        </w:rPr>
        <w:t xml:space="preserve">en </w:t>
      </w:r>
      <w:r w:rsidR="003F2D80" w:rsidRPr="009809B2">
        <w:rPr>
          <w:rFonts w:eastAsia="Times New Roman" w:cs="Arial"/>
          <w:color w:val="000000"/>
          <w:lang w:val="es-CO" w:eastAsia="es-ES"/>
        </w:rPr>
        <w:t>la definición de estas fórmulas se debe dar cumplimiento</w:t>
      </w:r>
      <w:r w:rsidR="00B67D20" w:rsidRPr="009809B2">
        <w:rPr>
          <w:rFonts w:eastAsia="Times New Roman" w:cs="Arial"/>
          <w:color w:val="000000"/>
          <w:lang w:val="es-CO" w:eastAsia="es-ES"/>
        </w:rPr>
        <w:t>,</w:t>
      </w:r>
      <w:r w:rsidR="003F2D80" w:rsidRPr="009809B2">
        <w:rPr>
          <w:rFonts w:eastAsia="Times New Roman" w:cs="Arial"/>
          <w:color w:val="000000"/>
          <w:lang w:val="es-CO" w:eastAsia="es-ES"/>
        </w:rPr>
        <w:t xml:space="preserve"> por parte de la Comisión</w:t>
      </w:r>
      <w:r w:rsidR="00B67D20" w:rsidRPr="009809B2">
        <w:rPr>
          <w:rFonts w:eastAsia="Times New Roman" w:cs="Arial"/>
          <w:color w:val="000000"/>
          <w:lang w:val="es-CO" w:eastAsia="es-ES"/>
        </w:rPr>
        <w:t>,</w:t>
      </w:r>
      <w:r w:rsidR="003F2D80" w:rsidRPr="009809B2">
        <w:rPr>
          <w:rFonts w:eastAsia="Times New Roman" w:cs="Arial"/>
          <w:color w:val="000000"/>
          <w:lang w:val="es-CO" w:eastAsia="es-ES"/>
        </w:rPr>
        <w:t xml:space="preserve"> a los criterios tarifarios previstos en el artículo 87 de la Ley 142 de 1994 en todos los aspectos que determinan el cobro de las tarifas</w:t>
      </w:r>
      <w:r w:rsidR="008D7BC8" w:rsidRPr="009809B2">
        <w:rPr>
          <w:rFonts w:eastAsia="Times New Roman" w:cs="Arial"/>
          <w:color w:val="000000"/>
          <w:lang w:val="es-CO" w:eastAsia="es-ES"/>
        </w:rPr>
        <w:t>, incluidos los índices de precios</w:t>
      </w:r>
      <w:r w:rsidR="003F2D80" w:rsidRPr="009809B2">
        <w:rPr>
          <w:rFonts w:eastAsia="Times New Roman" w:cs="Arial"/>
          <w:color w:val="000000"/>
          <w:lang w:val="es-CO" w:eastAsia="es-ES"/>
        </w:rPr>
        <w:t xml:space="preserve">. </w:t>
      </w:r>
    </w:p>
    <w:p w14:paraId="2EDF4B3A" w14:textId="77777777" w:rsidR="00076104" w:rsidRPr="009809B2" w:rsidRDefault="00076104" w:rsidP="003F2D80">
      <w:pPr>
        <w:spacing w:after="0" w:line="240" w:lineRule="auto"/>
        <w:ind w:right="-93"/>
        <w:jc w:val="both"/>
        <w:rPr>
          <w:rFonts w:eastAsia="Times New Roman" w:cs="Arial"/>
          <w:color w:val="000000"/>
          <w:lang w:val="es-CO" w:eastAsia="es-ES"/>
        </w:rPr>
      </w:pPr>
    </w:p>
    <w:p w14:paraId="23B01298" w14:textId="739EC247" w:rsidR="003F2D80" w:rsidRPr="009809B2" w:rsidRDefault="008D7BC8" w:rsidP="003F2D80">
      <w:pPr>
        <w:spacing w:after="0" w:line="240" w:lineRule="auto"/>
        <w:ind w:right="-93"/>
        <w:jc w:val="both"/>
        <w:rPr>
          <w:rFonts w:eastAsia="Times New Roman" w:cs="Arial"/>
          <w:color w:val="000000"/>
          <w:lang w:val="es-CO" w:eastAsia="es-ES"/>
        </w:rPr>
      </w:pPr>
      <w:r w:rsidRPr="009809B2">
        <w:rPr>
          <w:rFonts w:eastAsia="Times New Roman" w:cs="Arial"/>
          <w:color w:val="000000"/>
          <w:lang w:val="es-CO" w:eastAsia="es-ES"/>
        </w:rPr>
        <w:t>Así mismo</w:t>
      </w:r>
      <w:r w:rsidR="003F2D80" w:rsidRPr="009809B2">
        <w:rPr>
          <w:rFonts w:eastAsia="Times New Roman" w:cs="Arial"/>
          <w:color w:val="000000"/>
          <w:lang w:val="es-CO" w:eastAsia="es-ES"/>
        </w:rPr>
        <w:t xml:space="preserve">, </w:t>
      </w:r>
      <w:r w:rsidRPr="009809B2">
        <w:rPr>
          <w:rFonts w:eastAsia="Times New Roman" w:cs="Arial"/>
          <w:color w:val="000000"/>
          <w:lang w:val="es-CO" w:eastAsia="es-ES"/>
        </w:rPr>
        <w:t xml:space="preserve">en el marco de </w:t>
      </w:r>
      <w:r w:rsidR="003F2D80" w:rsidRPr="009809B2">
        <w:rPr>
          <w:rFonts w:eastAsia="Times New Roman" w:cs="Arial"/>
          <w:color w:val="000000"/>
          <w:lang w:val="es-CO" w:eastAsia="es-ES"/>
        </w:rPr>
        <w:t xml:space="preserve">la Ley 142 de 1994 todas las decisiones de las autoridades en materia de servicios públicos, incluida esta Comisión, deben fundarse en los motivos que determina la Ley, los </w:t>
      </w:r>
      <w:r w:rsidR="003F2D80" w:rsidRPr="009809B2">
        <w:rPr>
          <w:rFonts w:eastAsia="Times New Roman" w:cs="Arial"/>
          <w:color w:val="000000"/>
          <w:lang w:val="es-CO" w:eastAsia="es-ES"/>
        </w:rPr>
        <w:lastRenderedPageBreak/>
        <w:t xml:space="preserve">cuales deben ser comprobables, por lo que dicho fundamento está relacionado con la aplicación de los criterios tarifarios dentro de un aspecto específico, ya sea en un acto de carácter general o como parte de una decisión que deba ser adoptada dentro de una actuación administrativa, </w:t>
      </w:r>
      <w:r w:rsidR="007C098A" w:rsidRPr="009809B2">
        <w:rPr>
          <w:rFonts w:eastAsia="Times New Roman" w:cs="Arial"/>
          <w:color w:val="000000"/>
          <w:lang w:val="es-CO" w:eastAsia="es-ES"/>
        </w:rPr>
        <w:t xml:space="preserve">como </w:t>
      </w:r>
      <w:r w:rsidR="003F2D80" w:rsidRPr="009809B2">
        <w:rPr>
          <w:rFonts w:eastAsia="Times New Roman" w:cs="Arial"/>
          <w:lang w:val="es-CO" w:eastAsia="es-ES"/>
        </w:rPr>
        <w:t xml:space="preserve">ha </w:t>
      </w:r>
      <w:r w:rsidR="00AB4DAD" w:rsidRPr="009809B2">
        <w:rPr>
          <w:rFonts w:eastAsia="Times New Roman" w:cs="Arial"/>
          <w:lang w:val="es-CO" w:eastAsia="es-ES"/>
        </w:rPr>
        <w:t>ocurrido</w:t>
      </w:r>
      <w:r w:rsidR="003F2D80" w:rsidRPr="009809B2">
        <w:rPr>
          <w:rFonts w:eastAsia="Times New Roman" w:cs="Arial"/>
          <w:lang w:val="es-CO" w:eastAsia="es-ES"/>
        </w:rPr>
        <w:t xml:space="preserve">, por ejemplo, </w:t>
      </w:r>
      <w:r w:rsidR="00AB4DAD" w:rsidRPr="009809B2">
        <w:rPr>
          <w:rFonts w:eastAsia="Times New Roman" w:cs="Arial"/>
          <w:lang w:val="es-CO" w:eastAsia="es-ES"/>
        </w:rPr>
        <w:t>en</w:t>
      </w:r>
      <w:r w:rsidR="003F2D80" w:rsidRPr="009809B2">
        <w:rPr>
          <w:rFonts w:eastAsia="Times New Roman" w:cs="Arial"/>
          <w:lang w:val="es-CO" w:eastAsia="es-ES"/>
        </w:rPr>
        <w:t xml:space="preserve"> aquellos casos donde se han llevado a cabo revisiones tarifarias por parte de la Comisión de acuerdo con lo previsto en el artículo 126 de la Ley 142 de 1994. </w:t>
      </w:r>
    </w:p>
    <w:p w14:paraId="34C60632" w14:textId="77777777" w:rsidR="003F2D80" w:rsidRPr="009809B2" w:rsidRDefault="003F2D80" w:rsidP="003F2D80">
      <w:pPr>
        <w:spacing w:after="0" w:line="240" w:lineRule="auto"/>
        <w:jc w:val="both"/>
        <w:rPr>
          <w:rFonts w:eastAsia="Times New Roman" w:cs="Arial"/>
          <w:lang w:val="es-CO" w:eastAsia="es-ES"/>
        </w:rPr>
      </w:pPr>
    </w:p>
    <w:p w14:paraId="2BE86FC0" w14:textId="680ED6FF" w:rsidR="003F2D80" w:rsidRPr="009809B2" w:rsidRDefault="006B651A" w:rsidP="003F2D80">
      <w:pPr>
        <w:spacing w:after="0" w:line="240" w:lineRule="auto"/>
        <w:jc w:val="both"/>
        <w:rPr>
          <w:rFonts w:eastAsia="Times New Roman" w:cs="Arial"/>
          <w:lang w:val="es-CO" w:eastAsia="es-ES"/>
        </w:rPr>
      </w:pPr>
      <w:r w:rsidRPr="009809B2">
        <w:rPr>
          <w:rFonts w:eastAsia="Times New Roman" w:cs="Arial"/>
          <w:lang w:val="es-CO" w:eastAsia="es-ES"/>
        </w:rPr>
        <w:t>Ahora bien, t</w:t>
      </w:r>
      <w:r w:rsidR="003F2D80" w:rsidRPr="009809B2">
        <w:rPr>
          <w:rFonts w:eastAsia="Times New Roman" w:cs="Arial"/>
          <w:lang w:val="es-CO" w:eastAsia="es-ES"/>
        </w:rPr>
        <w:t xml:space="preserve">eniendo en cuenta la obligatoriedad de llevar a cabo la aplicación de los criterios tarifarios a </w:t>
      </w:r>
      <w:r w:rsidR="003F2D80" w:rsidRPr="009809B2">
        <w:rPr>
          <w:rFonts w:eastAsia="Times New Roman" w:cs="Arial"/>
          <w:color w:val="000000"/>
          <w:lang w:val="es-CO" w:eastAsia="es-ES"/>
        </w:rPr>
        <w:t>todos los aspectos que determinan el cobro de las tarifas, respeto del criterio de eficiencia el artículo 87.1 de la Ley 142 de 1994 lo ha definido de la siguiente forma:</w:t>
      </w:r>
    </w:p>
    <w:p w14:paraId="0F13EC73" w14:textId="77777777" w:rsidR="003F2D80" w:rsidRPr="009809B2" w:rsidRDefault="003F2D80" w:rsidP="003F2D80">
      <w:pPr>
        <w:spacing w:after="0" w:line="240" w:lineRule="auto"/>
        <w:ind w:right="-93"/>
        <w:jc w:val="both"/>
        <w:rPr>
          <w:rFonts w:eastAsia="Times New Roman" w:cs="Arial"/>
          <w:i/>
          <w:color w:val="000000"/>
          <w:lang w:val="es-CO" w:eastAsia="es-ES"/>
        </w:rPr>
      </w:pPr>
    </w:p>
    <w:p w14:paraId="0A62A723" w14:textId="04ECA58A"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r w:rsidRPr="009809B2">
        <w:rPr>
          <w:rFonts w:eastAsia="Times New Roman" w:cs="Arial"/>
          <w:b/>
          <w:color w:val="000000"/>
          <w:sz w:val="20"/>
          <w:szCs w:val="20"/>
          <w:lang w:val="es-CO" w:eastAsia="es-ES"/>
        </w:rPr>
        <w:t>Artículo 87. Criterios para definir el régimen tarifario.</w:t>
      </w:r>
      <w:r w:rsidRPr="009809B2">
        <w:rPr>
          <w:rFonts w:eastAsia="Times New Roman" w:cs="Arial"/>
          <w:color w:val="000000"/>
          <w:sz w:val="20"/>
          <w:szCs w:val="20"/>
          <w:lang w:val="es-CO" w:eastAsia="es-ES"/>
        </w:rPr>
        <w:t xml:space="preserve"> El régimen tarifario estará orientado por los criterios de eficiencia económica, neutralidad, solidaridad, redistribución, suficiencia financiera, simplicidad y transparencia. </w:t>
      </w:r>
    </w:p>
    <w:p w14:paraId="05B29567" w14:textId="77777777"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p>
    <w:p w14:paraId="2F1A3FED" w14:textId="1577F3A6" w:rsidR="003F2D80" w:rsidRPr="009809B2" w:rsidRDefault="003F2D80" w:rsidP="003F2D80">
      <w:pPr>
        <w:spacing w:after="0" w:line="240" w:lineRule="auto"/>
        <w:ind w:left="284" w:right="284"/>
        <w:jc w:val="both"/>
        <w:rPr>
          <w:rFonts w:eastAsia="Times New Roman" w:cs="Arial"/>
          <w:color w:val="000000"/>
          <w:sz w:val="20"/>
          <w:szCs w:val="20"/>
          <w:lang w:val="es-CO" w:eastAsia="es-ES"/>
        </w:rPr>
      </w:pPr>
      <w:r w:rsidRPr="009809B2">
        <w:rPr>
          <w:rFonts w:eastAsia="Times New Roman" w:cs="Arial"/>
          <w:color w:val="000000"/>
          <w:sz w:val="20"/>
          <w:szCs w:val="20"/>
          <w:lang w:val="es-CO" w:eastAsia="es-ES"/>
        </w:rPr>
        <w:t>87.1. Por eficiencia económica se entiende que el régimen de tarifas procurará que éstas se aproximen a lo que serían los precios de un mercado competitivo; que las fórmulas tarifarias deben tener en cuenta no solo los costos sino los aumentos de productividad esperados, y que éstos deben distribuirse entre la empresa y los usuarios, tal como ocurriría en un mercado competitivo; y que las fórmulas tarifarias no pueden trasladar a los usuarios los costos de una gestión ineficiente, ni permitir que las empresas se apropien de las utilidades provenientes de prácticas restrictivas de la competencia. En el caso de servicios públicos sujetos a fórmulas tarifarias, las tarifas deben reflejar siempre tanto el nivel y la estructura de los costos económicos de prestar el servicio, como la demanda por éste. (…)</w:t>
      </w:r>
    </w:p>
    <w:p w14:paraId="1D1320B8" w14:textId="77777777" w:rsidR="003F2D80" w:rsidRPr="009809B2" w:rsidRDefault="003F2D80" w:rsidP="003F2D80">
      <w:pPr>
        <w:spacing w:after="0" w:line="240" w:lineRule="auto"/>
        <w:ind w:right="-93"/>
        <w:jc w:val="both"/>
        <w:rPr>
          <w:rFonts w:eastAsia="Calibri" w:cs="Arial"/>
          <w:highlight w:val="yellow"/>
          <w:lang w:val="es-CO"/>
        </w:rPr>
      </w:pPr>
    </w:p>
    <w:p w14:paraId="01DB0079" w14:textId="77777777" w:rsidR="003F2D80" w:rsidRPr="009809B2" w:rsidRDefault="003F2D80" w:rsidP="003F2D80">
      <w:pPr>
        <w:spacing w:after="0" w:line="240" w:lineRule="auto"/>
        <w:ind w:right="-93"/>
        <w:jc w:val="both"/>
        <w:rPr>
          <w:rFonts w:eastAsia="Times New Roman" w:cs="Times New Roman"/>
          <w:lang w:val="es-CO" w:eastAsia="es-ES"/>
        </w:rPr>
      </w:pPr>
      <w:r w:rsidRPr="009809B2">
        <w:rPr>
          <w:rFonts w:eastAsia="Times New Roman" w:cs="Times New Roman"/>
          <w:lang w:val="es-CO" w:eastAsia="es-ES"/>
        </w:rPr>
        <w:t xml:space="preserve">De acuerdo con esta disposición, por eficiencia económica se entiende que: i) el régimen de tarifas procurará que éstas se aproximen a lo que serían los precios de un mercado competitivo; </w:t>
      </w:r>
      <w:proofErr w:type="spellStart"/>
      <w:r w:rsidRPr="009809B2">
        <w:rPr>
          <w:rFonts w:eastAsia="Times New Roman" w:cs="Times New Roman"/>
          <w:lang w:val="es-CO" w:eastAsia="es-ES"/>
        </w:rPr>
        <w:t>ii</w:t>
      </w:r>
      <w:proofErr w:type="spellEnd"/>
      <w:r w:rsidRPr="009809B2">
        <w:rPr>
          <w:rFonts w:eastAsia="Times New Roman" w:cs="Times New Roman"/>
          <w:lang w:val="es-CO" w:eastAsia="es-ES"/>
        </w:rPr>
        <w:t xml:space="preserve">) las fórmulas tarifarias no pueden trasladar a los </w:t>
      </w:r>
      <w:r w:rsidRPr="009809B2">
        <w:rPr>
          <w:rFonts w:eastAsia="Times New Roman" w:cs="Arial"/>
          <w:color w:val="000000"/>
          <w:lang w:val="es-CO" w:eastAsia="es-ES"/>
        </w:rPr>
        <w:t>usuarios</w:t>
      </w:r>
      <w:r w:rsidRPr="009809B2">
        <w:rPr>
          <w:rFonts w:eastAsia="Times New Roman" w:cs="Times New Roman"/>
          <w:lang w:val="es-CO" w:eastAsia="es-ES"/>
        </w:rPr>
        <w:t xml:space="preserve"> los costos de una gestión ineficiente; y </w:t>
      </w:r>
      <w:proofErr w:type="spellStart"/>
      <w:r w:rsidRPr="009809B2">
        <w:rPr>
          <w:rFonts w:eastAsia="Times New Roman" w:cs="Times New Roman"/>
          <w:lang w:val="es-CO" w:eastAsia="es-ES"/>
        </w:rPr>
        <w:t>iii</w:t>
      </w:r>
      <w:proofErr w:type="spellEnd"/>
      <w:r w:rsidRPr="009809B2">
        <w:rPr>
          <w:rFonts w:eastAsia="Times New Roman" w:cs="Times New Roman"/>
          <w:lang w:val="es-CO" w:eastAsia="es-ES"/>
        </w:rPr>
        <w:t xml:space="preserve">) las tarifas deben reflejar tanto el nivel y la estructura de los costos económicos de prestar el servicio. </w:t>
      </w:r>
    </w:p>
    <w:p w14:paraId="49ADDC53" w14:textId="77777777" w:rsidR="003F2D80" w:rsidRPr="009809B2" w:rsidRDefault="003F2D80" w:rsidP="003F2D80">
      <w:pPr>
        <w:spacing w:after="0" w:line="240" w:lineRule="auto"/>
        <w:ind w:right="-93"/>
        <w:jc w:val="both"/>
        <w:rPr>
          <w:rFonts w:eastAsia="Times New Roman" w:cs="Arial"/>
          <w:color w:val="000000"/>
          <w:lang w:val="es-CO" w:eastAsia="es-ES"/>
        </w:rPr>
      </w:pPr>
    </w:p>
    <w:p w14:paraId="2DEA491A" w14:textId="729B3834" w:rsidR="003F2D80" w:rsidRPr="009809B2" w:rsidRDefault="003F2D80" w:rsidP="003F2D80">
      <w:pPr>
        <w:spacing w:after="0" w:line="240" w:lineRule="auto"/>
        <w:ind w:right="-93"/>
        <w:jc w:val="both"/>
        <w:rPr>
          <w:rFonts w:eastAsia="Times New Roman" w:cs="Times New Roman"/>
          <w:lang w:val="es-CO" w:eastAsia="es-ES"/>
        </w:rPr>
      </w:pPr>
      <w:r w:rsidRPr="009809B2">
        <w:rPr>
          <w:rFonts w:eastAsia="Times New Roman" w:cs="Arial"/>
          <w:color w:val="000000"/>
          <w:lang w:val="es-CO" w:eastAsia="es-ES"/>
        </w:rPr>
        <w:t>En materia tarifaria, la aplicación de los criterios tarifarios y la remuneración que se debe hacer de las actividades que hacen parte d</w:t>
      </w:r>
      <w:r w:rsidR="006B651A" w:rsidRPr="009809B2">
        <w:rPr>
          <w:rFonts w:eastAsia="Times New Roman" w:cs="Arial"/>
          <w:color w:val="000000"/>
          <w:lang w:val="es-CO" w:eastAsia="es-ES"/>
        </w:rPr>
        <w:t>e</w:t>
      </w:r>
      <w:r w:rsidRPr="009809B2">
        <w:rPr>
          <w:rFonts w:eastAsia="Times New Roman" w:cs="Arial"/>
          <w:color w:val="000000"/>
          <w:lang w:val="es-CO" w:eastAsia="es-ES"/>
        </w:rPr>
        <w:t>l servicio público domiciliario de energía eléctrica se sujetan a un criterio de eficiencia, razón por la cual, la Comisión debe garantizar que la remuneración de las actividades que hacen parte de estos servicios, así como las tarifas o cargos que se definan permitan la inversión de activos por parte de las empresas y los costos en que incurran a efectos de mantener dichos activos y para llevar a cabo la prestación del servicio se haga de manera eficiente.</w:t>
      </w:r>
      <w:r w:rsidRPr="009809B2">
        <w:rPr>
          <w:rFonts w:eastAsia="Times New Roman" w:cs="Times New Roman"/>
          <w:lang w:val="es-CO" w:eastAsia="es-ES"/>
        </w:rPr>
        <w:t xml:space="preserve"> Es por esto </w:t>
      </w:r>
      <w:proofErr w:type="gramStart"/>
      <w:r w:rsidRPr="009809B2">
        <w:rPr>
          <w:rFonts w:eastAsia="Times New Roman" w:cs="Times New Roman"/>
          <w:lang w:val="es-CO" w:eastAsia="es-ES"/>
        </w:rPr>
        <w:t>que</w:t>
      </w:r>
      <w:proofErr w:type="gramEnd"/>
      <w:r w:rsidRPr="009809B2">
        <w:rPr>
          <w:rFonts w:eastAsia="Times New Roman" w:cs="Times New Roman"/>
          <w:lang w:val="es-CO" w:eastAsia="es-ES"/>
        </w:rPr>
        <w:t>, la definición de las fórmulas y los cargos o tarifas deben reflejar estos elementos previstos por la Ley 142 de 1994.</w:t>
      </w:r>
    </w:p>
    <w:p w14:paraId="42D3BA07" w14:textId="77777777" w:rsidR="006B651A" w:rsidRPr="009809B2" w:rsidRDefault="006B651A" w:rsidP="003F2D80">
      <w:pPr>
        <w:spacing w:after="0" w:line="240" w:lineRule="auto"/>
        <w:ind w:right="-93"/>
        <w:jc w:val="both"/>
        <w:rPr>
          <w:rFonts w:eastAsia="Times New Roman" w:cs="Times New Roman"/>
          <w:lang w:val="es-CO" w:eastAsia="es-ES"/>
        </w:rPr>
      </w:pPr>
    </w:p>
    <w:p w14:paraId="35E79299" w14:textId="0D8730C3" w:rsidR="006B651A" w:rsidRPr="009809B2" w:rsidRDefault="006B651A" w:rsidP="003F2D80">
      <w:pPr>
        <w:spacing w:after="0" w:line="240" w:lineRule="auto"/>
        <w:ind w:right="-93"/>
        <w:jc w:val="both"/>
        <w:rPr>
          <w:rFonts w:eastAsia="Times New Roman" w:cs="Times New Roman"/>
          <w:lang w:val="es-CO" w:eastAsia="es-ES"/>
        </w:rPr>
      </w:pPr>
      <w:r w:rsidRPr="009809B2">
        <w:rPr>
          <w:rFonts w:eastAsia="Times New Roman" w:cs="Times New Roman"/>
          <w:lang w:val="es-CO" w:eastAsia="es-ES"/>
        </w:rPr>
        <w:t>Así mismo, para el caso de suficiencia financiera el mismo artículo 87 de la Ley 142 de 1994 ha dispuesto lo siguiente:</w:t>
      </w:r>
    </w:p>
    <w:p w14:paraId="2D6A6AFA" w14:textId="77777777" w:rsidR="005E44D4" w:rsidRPr="009809B2" w:rsidRDefault="005E44D4" w:rsidP="003F2D80">
      <w:pPr>
        <w:spacing w:after="0" w:line="240" w:lineRule="auto"/>
        <w:ind w:right="-93"/>
        <w:jc w:val="both"/>
        <w:rPr>
          <w:rFonts w:eastAsia="Times New Roman" w:cs="Times New Roman"/>
          <w:lang w:val="es-CO" w:eastAsia="es-ES"/>
        </w:rPr>
      </w:pPr>
    </w:p>
    <w:p w14:paraId="20F9BA9D" w14:textId="39732B9C" w:rsidR="005E44D4" w:rsidRPr="009809B2" w:rsidRDefault="0090213A" w:rsidP="0090213A">
      <w:pPr>
        <w:spacing w:after="0" w:line="240" w:lineRule="auto"/>
        <w:ind w:left="720" w:right="-93"/>
        <w:jc w:val="both"/>
        <w:rPr>
          <w:rFonts w:eastAsia="Times New Roman" w:cs="Arial"/>
          <w:color w:val="000000"/>
          <w:sz w:val="20"/>
          <w:szCs w:val="20"/>
          <w:lang w:val="es-CO" w:eastAsia="es-ES"/>
        </w:rPr>
      </w:pPr>
      <w:r w:rsidRPr="009809B2">
        <w:rPr>
          <w:rFonts w:eastAsia="Times New Roman" w:cs="Arial"/>
          <w:b/>
          <w:color w:val="000000"/>
          <w:sz w:val="20"/>
          <w:szCs w:val="20"/>
          <w:lang w:val="es-CO" w:eastAsia="es-ES"/>
        </w:rPr>
        <w:t>Artículo 87</w:t>
      </w:r>
      <w:r w:rsidR="005E44D4" w:rsidRPr="009809B2">
        <w:rPr>
          <w:rFonts w:eastAsia="Times New Roman" w:cs="Arial"/>
          <w:b/>
          <w:color w:val="000000"/>
          <w:sz w:val="20"/>
          <w:szCs w:val="20"/>
          <w:lang w:val="es-CO" w:eastAsia="es-ES"/>
        </w:rPr>
        <w:t>. Criterios para definir el régimen tarifario.</w:t>
      </w:r>
      <w:r w:rsidR="005E44D4" w:rsidRPr="009809B2">
        <w:rPr>
          <w:rFonts w:eastAsia="Times New Roman" w:cs="Arial"/>
          <w:color w:val="000000"/>
          <w:sz w:val="20"/>
          <w:szCs w:val="20"/>
          <w:lang w:val="es-CO" w:eastAsia="es-ES"/>
        </w:rPr>
        <w:t xml:space="preserve"> El régimen tarifario estará orientado por los criterios de eficiencia económica, neutralidad, solidaridad, redistribución, suficiencia financiera, simplicidad y transparencia.</w:t>
      </w:r>
    </w:p>
    <w:p w14:paraId="048F4C2D" w14:textId="77777777" w:rsidR="0090213A" w:rsidRPr="009809B2" w:rsidRDefault="0090213A" w:rsidP="0090213A">
      <w:pPr>
        <w:spacing w:after="0" w:line="240" w:lineRule="auto"/>
        <w:ind w:left="720" w:right="-93"/>
        <w:jc w:val="both"/>
        <w:rPr>
          <w:rFonts w:eastAsia="Times New Roman" w:cs="Arial"/>
          <w:color w:val="000000"/>
          <w:sz w:val="20"/>
          <w:szCs w:val="20"/>
          <w:lang w:val="es-CO" w:eastAsia="es-ES"/>
        </w:rPr>
      </w:pPr>
    </w:p>
    <w:p w14:paraId="46964D72" w14:textId="6F810499" w:rsidR="0090213A" w:rsidRPr="009809B2" w:rsidRDefault="0090213A" w:rsidP="0090213A">
      <w:pPr>
        <w:spacing w:after="0" w:line="240" w:lineRule="auto"/>
        <w:ind w:left="720" w:right="-93"/>
        <w:jc w:val="both"/>
        <w:rPr>
          <w:rFonts w:eastAsia="Times New Roman" w:cs="Times New Roman"/>
          <w:sz w:val="20"/>
          <w:szCs w:val="20"/>
          <w:lang w:val="es-CO" w:eastAsia="es-ES"/>
        </w:rPr>
      </w:pPr>
      <w:r w:rsidRPr="009809B2">
        <w:rPr>
          <w:rFonts w:eastAsia="Times New Roman" w:cs="Arial"/>
          <w:color w:val="000000"/>
          <w:sz w:val="20"/>
          <w:szCs w:val="20"/>
          <w:lang w:val="es-CO" w:eastAsia="es-ES"/>
        </w:rPr>
        <w:t>(…)</w:t>
      </w:r>
    </w:p>
    <w:p w14:paraId="68AF5A52" w14:textId="77777777" w:rsidR="006B651A" w:rsidRPr="009809B2" w:rsidRDefault="006B651A" w:rsidP="0090213A">
      <w:pPr>
        <w:spacing w:after="0" w:line="240" w:lineRule="auto"/>
        <w:ind w:left="720" w:right="-93"/>
        <w:jc w:val="both"/>
        <w:rPr>
          <w:rFonts w:eastAsia="Times New Roman" w:cs="Times New Roman"/>
          <w:sz w:val="20"/>
          <w:szCs w:val="20"/>
          <w:lang w:val="es-CO" w:eastAsia="es-ES"/>
        </w:rPr>
      </w:pPr>
    </w:p>
    <w:p w14:paraId="59E6942E" w14:textId="5F720B1D" w:rsidR="006B651A" w:rsidRPr="009809B2" w:rsidRDefault="005E44D4" w:rsidP="0090213A">
      <w:pPr>
        <w:ind w:left="720"/>
        <w:jc w:val="both"/>
        <w:rPr>
          <w:rFonts w:eastAsia="Times New Roman" w:cs="Arial"/>
          <w:color w:val="000000"/>
          <w:sz w:val="20"/>
          <w:szCs w:val="20"/>
          <w:lang w:val="es-CO" w:eastAsia="es-ES"/>
        </w:rPr>
      </w:pPr>
      <w:r w:rsidRPr="009809B2">
        <w:rPr>
          <w:rFonts w:eastAsia="Times New Roman" w:cs="Arial"/>
          <w:color w:val="000000"/>
          <w:sz w:val="20"/>
          <w:szCs w:val="20"/>
          <w:lang w:val="es-CO" w:eastAsia="es-ES"/>
        </w:rPr>
        <w:t>87.4. Por suficiencia financiera se entiende que las fórmulas de tarifas garantizarán la recuperación de los costos y gastos propios de operación, incluyendo la expansión, la reposición y el mantenimiento; permitirán remunerar el patrimonio de los accionistas en la misma forma en la que lo habría remunerado una empresa eficiente en un sector de riesgo comparable; y permitirán utilizar las tecnologías y sistemas administrativos que garanticen la mejor calidad, continuidad y seguridad a sus usuarios.</w:t>
      </w:r>
    </w:p>
    <w:p w14:paraId="100338F9" w14:textId="71BFFCA2" w:rsidR="003F2D80" w:rsidRPr="009809B2" w:rsidRDefault="000341E9" w:rsidP="003F2D80">
      <w:pPr>
        <w:spacing w:after="0" w:line="240" w:lineRule="auto"/>
        <w:ind w:right="-93"/>
        <w:jc w:val="both"/>
        <w:rPr>
          <w:rFonts w:eastAsia="Calibri" w:cs="Arial"/>
          <w:lang w:val="es-CO"/>
        </w:rPr>
      </w:pPr>
      <w:r w:rsidRPr="009809B2">
        <w:rPr>
          <w:rFonts w:eastAsia="Calibri" w:cs="Arial"/>
          <w:lang w:val="es-CO"/>
        </w:rPr>
        <w:t xml:space="preserve">La suficiencia financiera es un criterio orientado no sólo a contemplar esos costos de mantenimiento de la prestación del servicio público domiciliario sino, además, de mejoramiento </w:t>
      </w:r>
      <w:proofErr w:type="gramStart"/>
      <w:r w:rsidRPr="009809B2">
        <w:rPr>
          <w:rFonts w:eastAsia="Calibri" w:cs="Arial"/>
          <w:lang w:val="es-CO"/>
        </w:rPr>
        <w:t>del mismo</w:t>
      </w:r>
      <w:proofErr w:type="gramEnd"/>
      <w:r w:rsidRPr="009809B2">
        <w:rPr>
          <w:rFonts w:eastAsia="Calibri" w:cs="Arial"/>
          <w:lang w:val="es-CO"/>
        </w:rPr>
        <w:t xml:space="preserve"> en cuanto se busca que se garanticen la mejor calidad, continuidad y seguridad para los usuarios.</w:t>
      </w:r>
    </w:p>
    <w:p w14:paraId="7E0ADF89" w14:textId="77777777" w:rsidR="000341E9" w:rsidRPr="009809B2" w:rsidRDefault="000341E9" w:rsidP="003F2D80">
      <w:pPr>
        <w:spacing w:after="0" w:line="240" w:lineRule="auto"/>
        <w:ind w:right="-93"/>
        <w:jc w:val="both"/>
        <w:rPr>
          <w:rFonts w:eastAsia="Calibri" w:cs="Arial"/>
          <w:lang w:val="es-CO"/>
        </w:rPr>
      </w:pPr>
    </w:p>
    <w:p w14:paraId="66AD69B8" w14:textId="4510AEA1" w:rsidR="003F2D80" w:rsidRPr="009809B2" w:rsidRDefault="00E84850" w:rsidP="003F2D80">
      <w:pPr>
        <w:spacing w:after="0" w:line="240" w:lineRule="auto"/>
        <w:ind w:right="-93"/>
        <w:jc w:val="both"/>
        <w:rPr>
          <w:rFonts w:eastAsia="Calibri" w:cs="Arial"/>
          <w:lang w:val="es-CO"/>
        </w:rPr>
      </w:pPr>
      <w:r w:rsidRPr="009809B2">
        <w:rPr>
          <w:rFonts w:eastAsia="Calibri" w:cs="Arial"/>
          <w:lang w:val="es-CO"/>
        </w:rPr>
        <w:t xml:space="preserve">A partir de lo anterior, la correcta </w:t>
      </w:r>
      <w:r w:rsidR="00B23BC4" w:rsidRPr="009809B2">
        <w:rPr>
          <w:rFonts w:eastAsia="Calibri" w:cs="Arial"/>
          <w:lang w:val="es-CO"/>
        </w:rPr>
        <w:t>aplicación de los criterios de eficiencia y suficiencia financiera garantiza</w:t>
      </w:r>
      <w:r w:rsidR="007F436F">
        <w:rPr>
          <w:rFonts w:eastAsia="Calibri" w:cs="Arial"/>
          <w:lang w:val="es-CO"/>
        </w:rPr>
        <w:t>,</w:t>
      </w:r>
      <w:r w:rsidR="00B23BC4" w:rsidRPr="009809B2">
        <w:rPr>
          <w:rFonts w:eastAsia="Calibri" w:cs="Arial"/>
          <w:lang w:val="es-CO"/>
        </w:rPr>
        <w:t xml:space="preserve"> desde el punto de vista tarifario</w:t>
      </w:r>
      <w:r w:rsidR="007F436F">
        <w:rPr>
          <w:rFonts w:eastAsia="Calibri" w:cs="Arial"/>
          <w:lang w:val="es-CO"/>
        </w:rPr>
        <w:t>,</w:t>
      </w:r>
      <w:r w:rsidR="00B23BC4" w:rsidRPr="009809B2">
        <w:rPr>
          <w:rFonts w:eastAsia="Calibri" w:cs="Arial"/>
          <w:lang w:val="es-CO"/>
        </w:rPr>
        <w:t xml:space="preserve"> l</w:t>
      </w:r>
      <w:r w:rsidR="003F2D80" w:rsidRPr="009809B2">
        <w:rPr>
          <w:rFonts w:eastAsia="Calibri" w:cs="Arial"/>
          <w:lang w:val="es-CO"/>
        </w:rPr>
        <w:t xml:space="preserve">a prestación eficiente </w:t>
      </w:r>
      <w:r w:rsidR="00B23BC4" w:rsidRPr="009809B2">
        <w:rPr>
          <w:rFonts w:eastAsia="Calibri" w:cs="Arial"/>
          <w:lang w:val="es-CO"/>
        </w:rPr>
        <w:t>del servicio, entendida</w:t>
      </w:r>
      <w:r w:rsidR="003F2D80" w:rsidRPr="009809B2">
        <w:rPr>
          <w:rFonts w:eastAsia="Calibri" w:cs="Arial"/>
          <w:lang w:val="es-CO"/>
        </w:rPr>
        <w:t xml:space="preserve"> entonces como la garantía que brinda el Estado de asegurar que las empresas que proporcionen el servicio lo hagan de manera racional, generando un mayor beneficio o rendimiento a los usuarios del servicio, atendiendo a una tarifa competitiva, permiti</w:t>
      </w:r>
      <w:r w:rsidR="00093875" w:rsidRPr="009809B2">
        <w:rPr>
          <w:rFonts w:eastAsia="Calibri" w:cs="Arial"/>
          <w:lang w:val="es-CO"/>
        </w:rPr>
        <w:t>endo la</w:t>
      </w:r>
      <w:r w:rsidR="003F2D80" w:rsidRPr="009809B2">
        <w:rPr>
          <w:rFonts w:eastAsia="Calibri" w:cs="Arial"/>
          <w:lang w:val="es-CO"/>
        </w:rPr>
        <w:t xml:space="preserve"> recupera</w:t>
      </w:r>
      <w:r w:rsidR="00093875" w:rsidRPr="009809B2">
        <w:rPr>
          <w:rFonts w:eastAsia="Calibri" w:cs="Arial"/>
          <w:lang w:val="es-CO"/>
        </w:rPr>
        <w:t>ción de</w:t>
      </w:r>
      <w:r w:rsidR="003F2D80" w:rsidRPr="009809B2">
        <w:rPr>
          <w:rFonts w:eastAsia="Calibri" w:cs="Arial"/>
          <w:lang w:val="es-CO"/>
        </w:rPr>
        <w:t xml:space="preserve"> los costos eficientes en que incurran, así como tener en cuenta los aumentos de productividad esperados, los cuales, deben distribuirse entre la empresa y los usuarios, entre otros, a fin de que los recursos que se obtengan puedan ser invertidos en el mismo sector con el objetivo de tener unos mínimos beneficios que se traduzcan en mayor competitividad y mejores condiciones para los usuarios. </w:t>
      </w:r>
    </w:p>
    <w:p w14:paraId="25BD99B4" w14:textId="77777777" w:rsidR="003F2D80" w:rsidRPr="009809B2" w:rsidRDefault="003F2D80" w:rsidP="003F2D80">
      <w:pPr>
        <w:spacing w:after="0" w:line="240" w:lineRule="auto"/>
        <w:ind w:right="-93"/>
        <w:jc w:val="both"/>
        <w:rPr>
          <w:rFonts w:eastAsia="Calibri" w:cs="Arial"/>
          <w:lang w:val="es-CO"/>
        </w:rPr>
      </w:pPr>
    </w:p>
    <w:p w14:paraId="75BE4A68" w14:textId="77777777" w:rsidR="003F2D80" w:rsidRPr="009809B2" w:rsidRDefault="003F2D80" w:rsidP="003F2D80">
      <w:pPr>
        <w:spacing w:after="0" w:line="240" w:lineRule="auto"/>
        <w:jc w:val="both"/>
        <w:rPr>
          <w:rFonts w:eastAsia="Times New Roman" w:cs="Arial"/>
          <w:color w:val="000000"/>
          <w:lang w:val="es-CO" w:eastAsia="es-ES"/>
        </w:rPr>
      </w:pPr>
      <w:r w:rsidRPr="009809B2">
        <w:rPr>
          <w:rFonts w:eastAsia="Times New Roman" w:cs="Arial"/>
          <w:color w:val="000000"/>
          <w:lang w:val="es-CO" w:eastAsia="es-ES"/>
        </w:rPr>
        <w:t>De acuerdo con esto, se debe garantizar dentro de la remuneración de las tarifas que estas han de permitir la prestación, continúa e ininterrumpida del servicio, sin embargo, esta se debe realizar de manera eficiente, por lo que esta no puede ser a cualquier costo, en especial cuando ese costo represente una gestión ineficiente por parte de las empresas. Por lo tanto, no todo activo, ni todo costo o gasto destinado a la prestación del servicio debe ser remunerado sino sólo aquel que se encuentre en condiciones de eficiencia de acuerdo con lo previsto en cada metodología, así como parte de la aplicación del régimen tarifario.</w:t>
      </w:r>
    </w:p>
    <w:p w14:paraId="20396494" w14:textId="77777777" w:rsidR="003F2D80" w:rsidRPr="009809B2" w:rsidRDefault="003F2D80" w:rsidP="003F2D80">
      <w:pPr>
        <w:spacing w:after="0" w:line="240" w:lineRule="auto"/>
        <w:ind w:right="-93"/>
        <w:jc w:val="both"/>
        <w:rPr>
          <w:rFonts w:eastAsia="Times New Roman" w:cs="Arial"/>
          <w:color w:val="000000"/>
          <w:lang w:val="es-CO" w:eastAsia="es-ES"/>
        </w:rPr>
      </w:pPr>
    </w:p>
    <w:p w14:paraId="54D451B7" w14:textId="0AB1607D" w:rsidR="003F2D80" w:rsidRPr="009809B2" w:rsidRDefault="003F2D80" w:rsidP="003F2D80">
      <w:pPr>
        <w:spacing w:after="0" w:line="240" w:lineRule="auto"/>
        <w:ind w:right="-93"/>
        <w:jc w:val="both"/>
        <w:rPr>
          <w:rFonts w:eastAsia="Calibri" w:cs="Arial"/>
          <w:lang w:val="es-CO"/>
        </w:rPr>
      </w:pPr>
      <w:r w:rsidRPr="009809B2">
        <w:rPr>
          <w:rFonts w:eastAsia="Times New Roman" w:cs="Arial"/>
          <w:color w:val="000000"/>
          <w:lang w:val="es-CO" w:eastAsia="es-ES"/>
        </w:rPr>
        <w:t xml:space="preserve">Es por esto </w:t>
      </w:r>
      <w:proofErr w:type="gramStart"/>
      <w:r w:rsidRPr="009809B2">
        <w:rPr>
          <w:rFonts w:eastAsia="Times New Roman" w:cs="Arial"/>
          <w:color w:val="000000"/>
          <w:lang w:val="es-CO" w:eastAsia="es-ES"/>
        </w:rPr>
        <w:t>que</w:t>
      </w:r>
      <w:proofErr w:type="gramEnd"/>
      <w:r w:rsidRPr="009809B2">
        <w:rPr>
          <w:rFonts w:eastAsia="Times New Roman" w:cs="Arial"/>
          <w:color w:val="000000"/>
          <w:lang w:val="es-CO" w:eastAsia="es-ES"/>
        </w:rPr>
        <w:t xml:space="preserve"> las decisiones que </w:t>
      </w:r>
      <w:r w:rsidR="009B3282" w:rsidRPr="009809B2">
        <w:rPr>
          <w:rFonts w:eastAsia="Times New Roman" w:cs="Arial"/>
          <w:color w:val="000000"/>
          <w:lang w:val="es-CO" w:eastAsia="es-ES"/>
        </w:rPr>
        <w:t>se</w:t>
      </w:r>
      <w:r w:rsidRPr="009809B2">
        <w:rPr>
          <w:rFonts w:eastAsia="Times New Roman" w:cs="Arial"/>
          <w:color w:val="000000"/>
          <w:lang w:val="es-CO" w:eastAsia="es-ES"/>
        </w:rPr>
        <w:t xml:space="preserve"> adopten atendiendo este análisis </w:t>
      </w:r>
      <w:r w:rsidR="008D66A4" w:rsidRPr="009809B2">
        <w:rPr>
          <w:rFonts w:eastAsia="Times New Roman" w:cs="Arial"/>
          <w:color w:val="000000"/>
          <w:lang w:val="es-CO" w:eastAsia="es-ES"/>
        </w:rPr>
        <w:t xml:space="preserve">en materia tarifaria </w:t>
      </w:r>
      <w:r w:rsidRPr="009809B2">
        <w:rPr>
          <w:rFonts w:eastAsia="Times New Roman" w:cs="Arial"/>
          <w:color w:val="000000"/>
          <w:lang w:val="es-CO" w:eastAsia="es-ES"/>
        </w:rPr>
        <w:t xml:space="preserve">permiten </w:t>
      </w:r>
      <w:r w:rsidRPr="009809B2">
        <w:rPr>
          <w:rFonts w:eastAsia="Calibri" w:cs="Arial"/>
          <w:lang w:val="es-CO"/>
        </w:rPr>
        <w:t>garantizar los postulados de equilibrio de las relaciones que deben existir entre usuarios y las empresas, las cuales se materializan en la prestación eficiente del servicio, lo que permite la efectividad de los derechos fundamentales y el interés colectivo, el adecuado funcionamiento del mercado, así como la compatibilidad de los intereses económicos de las empresas.</w:t>
      </w:r>
    </w:p>
    <w:p w14:paraId="704FAC0C" w14:textId="77777777" w:rsidR="003F2D80" w:rsidRPr="009809B2" w:rsidRDefault="003F2D80" w:rsidP="003F2D80">
      <w:pPr>
        <w:spacing w:after="0" w:line="240" w:lineRule="auto"/>
        <w:ind w:right="-93"/>
        <w:jc w:val="both"/>
        <w:rPr>
          <w:rFonts w:eastAsia="Times New Roman" w:cs="Arial"/>
          <w:color w:val="000000"/>
          <w:lang w:val="es-CO" w:eastAsia="es-ES"/>
        </w:rPr>
      </w:pPr>
    </w:p>
    <w:p w14:paraId="3B884F02" w14:textId="7E0D1BFE" w:rsidR="003F2D80" w:rsidRPr="009809B2" w:rsidRDefault="003F2D80" w:rsidP="003F2D80">
      <w:pPr>
        <w:spacing w:after="0" w:line="240" w:lineRule="auto"/>
        <w:ind w:right="-93"/>
        <w:jc w:val="both"/>
        <w:rPr>
          <w:lang w:val="es-CO"/>
        </w:rPr>
      </w:pPr>
      <w:r w:rsidRPr="009809B2">
        <w:rPr>
          <w:rFonts w:eastAsia="Times New Roman" w:cs="Arial"/>
          <w:color w:val="000000"/>
          <w:lang w:val="es-CO" w:eastAsia="es-ES"/>
        </w:rPr>
        <w:t xml:space="preserve">Se concluye entonces que, le corresponde a esta Comisión garantizar dentro de la remuneración de las tarifas que estas han de permitir la prestación, continúa e ininterrumpida del servicio, sin embargo, esta se debe realizar de manera eficiente, por lo que esta no puede ser a cualquier costo, en especial cuando ese costo represente una gestión ineficiente por parte de las empresas a efectos de dar cumplimiento a los criterios tarifarios previstos en el artículo 87 de la Ley 142 de 1994 en todos los aspectos que determinan el cobro de las tarifas y que hagan parte del régimen tarifario, lo cual incluye las fórmulas tarifarias y los índices de precios que estas </w:t>
      </w:r>
      <w:r w:rsidR="00611A02" w:rsidRPr="009809B2">
        <w:rPr>
          <w:rFonts w:eastAsia="Times New Roman" w:cs="Arial"/>
          <w:color w:val="000000"/>
          <w:lang w:val="es-CO" w:eastAsia="es-ES"/>
        </w:rPr>
        <w:t>utilicen</w:t>
      </w:r>
      <w:r w:rsidRPr="009809B2">
        <w:rPr>
          <w:rFonts w:eastAsia="Times New Roman" w:cs="Arial"/>
          <w:color w:val="000000"/>
          <w:lang w:val="es-CO" w:eastAsia="es-ES"/>
        </w:rPr>
        <w:t xml:space="preserve">. </w:t>
      </w:r>
    </w:p>
    <w:p w14:paraId="645C70FF" w14:textId="718D7643" w:rsidR="0090209D" w:rsidRPr="009809B2" w:rsidRDefault="00300D33" w:rsidP="00B43DE1">
      <w:pPr>
        <w:keepNext/>
        <w:numPr>
          <w:ilvl w:val="0"/>
          <w:numId w:val="34"/>
        </w:numPr>
        <w:suppressAutoHyphens/>
        <w:spacing w:before="360"/>
        <w:outlineLvl w:val="0"/>
        <w:rPr>
          <w:rFonts w:cstheme="minorHAnsi"/>
          <w:b/>
          <w:spacing w:val="-5"/>
          <w:lang w:val="es-CO"/>
        </w:rPr>
      </w:pPr>
      <w:bookmarkStart w:id="270" w:name="_Ref144891164"/>
      <w:bookmarkStart w:id="271" w:name="_Toc172100728"/>
      <w:r w:rsidRPr="009809B2">
        <w:rPr>
          <w:rFonts w:cstheme="minorHAnsi"/>
          <w:b/>
          <w:spacing w:val="-5"/>
          <w:lang w:val="es-CO"/>
        </w:rPr>
        <w:lastRenderedPageBreak/>
        <w:t>Í</w:t>
      </w:r>
      <w:r w:rsidR="007A5EC0" w:rsidRPr="009809B2">
        <w:rPr>
          <w:rFonts w:cstheme="minorHAnsi"/>
          <w:b/>
          <w:spacing w:val="-5"/>
          <w:lang w:val="es-CO"/>
        </w:rPr>
        <w:t>NDICES DE</w:t>
      </w:r>
      <w:r w:rsidR="00B64C27" w:rsidRPr="009809B2">
        <w:rPr>
          <w:rFonts w:cstheme="minorHAnsi"/>
          <w:b/>
          <w:spacing w:val="-5"/>
          <w:lang w:val="es-CO"/>
        </w:rPr>
        <w:t xml:space="preserve"> </w:t>
      </w:r>
      <w:r w:rsidR="007A5EC0" w:rsidRPr="009809B2">
        <w:rPr>
          <w:rFonts w:cstheme="minorHAnsi"/>
          <w:b/>
          <w:spacing w:val="-5"/>
          <w:lang w:val="es-CO"/>
        </w:rPr>
        <w:t>PRECIOS</w:t>
      </w:r>
      <w:bookmarkEnd w:id="270"/>
      <w:bookmarkEnd w:id="271"/>
    </w:p>
    <w:p w14:paraId="5A0D7CAC" w14:textId="5C8E3CA8" w:rsidR="00F11A49" w:rsidRPr="009809B2" w:rsidRDefault="00F06271" w:rsidP="0090209D">
      <w:pPr>
        <w:spacing w:after="0" w:line="240" w:lineRule="auto"/>
        <w:rPr>
          <w:rFonts w:eastAsia="Times New Roman" w:cstheme="minorHAnsi"/>
          <w:lang w:val="es-CO" w:eastAsia="es-MX"/>
        </w:rPr>
      </w:pPr>
      <w:r w:rsidRPr="009809B2">
        <w:rPr>
          <w:rFonts w:eastAsia="Times New Roman" w:cstheme="minorHAnsi"/>
          <w:lang w:val="es-CO" w:eastAsia="es-MX"/>
        </w:rPr>
        <w:t>E</w:t>
      </w:r>
      <w:r w:rsidR="00F60652" w:rsidRPr="009809B2">
        <w:rPr>
          <w:rFonts w:eastAsia="Times New Roman" w:cstheme="minorHAnsi"/>
          <w:lang w:val="es-CO" w:eastAsia="es-MX"/>
        </w:rPr>
        <w:t>l Departamento Administrativo Nacional de Estadística</w:t>
      </w:r>
      <w:r w:rsidR="005864F1" w:rsidRPr="009809B2">
        <w:rPr>
          <w:rFonts w:eastAsia="Times New Roman" w:cstheme="minorHAnsi"/>
          <w:lang w:val="es-CO" w:eastAsia="es-MX"/>
        </w:rPr>
        <w:t xml:space="preserve">, </w:t>
      </w:r>
      <w:r w:rsidR="00F60652" w:rsidRPr="009809B2">
        <w:rPr>
          <w:rFonts w:eastAsia="Times New Roman" w:cstheme="minorHAnsi"/>
          <w:lang w:val="es-CO" w:eastAsia="es-MX"/>
        </w:rPr>
        <w:t>DANE,</w:t>
      </w:r>
      <w:r w:rsidR="003F4F06" w:rsidRPr="009809B2">
        <w:rPr>
          <w:rFonts w:eastAsia="Times New Roman" w:cstheme="minorHAnsi"/>
          <w:lang w:val="es-CO" w:eastAsia="es-MX"/>
        </w:rPr>
        <w:t xml:space="preserve"> es la</w:t>
      </w:r>
      <w:r w:rsidR="00626984" w:rsidRPr="009809B2">
        <w:rPr>
          <w:rFonts w:eastAsia="Times New Roman" w:cstheme="minorHAnsi"/>
          <w:lang w:val="es-CO" w:eastAsia="es-MX"/>
        </w:rPr>
        <w:t xml:space="preserve"> </w:t>
      </w:r>
      <w:r w:rsidR="00E663BB" w:rsidRPr="009809B2">
        <w:rPr>
          <w:rFonts w:eastAsia="Times New Roman" w:cstheme="minorHAnsi"/>
          <w:lang w:val="es-CO" w:eastAsia="es-MX"/>
        </w:rPr>
        <w:t>e</w:t>
      </w:r>
      <w:r w:rsidR="003F4F06" w:rsidRPr="009809B2">
        <w:rPr>
          <w:rFonts w:eastAsia="Times New Roman" w:cstheme="minorHAnsi"/>
          <w:lang w:val="es-CO" w:eastAsia="es-MX"/>
        </w:rPr>
        <w:t>ntida</w:t>
      </w:r>
      <w:r w:rsidR="00AA7B0A" w:rsidRPr="009809B2">
        <w:rPr>
          <w:rFonts w:eastAsia="Times New Roman" w:cstheme="minorHAnsi"/>
          <w:lang w:val="es-CO" w:eastAsia="es-MX"/>
        </w:rPr>
        <w:t>d</w:t>
      </w:r>
      <w:r w:rsidR="003F4F06" w:rsidRPr="009809B2">
        <w:rPr>
          <w:rFonts w:ascii="Arial" w:eastAsia="Times New Roman" w:hAnsi="Arial" w:cs="Arial"/>
          <w:lang w:val="es-CO" w:eastAsia="es-MX"/>
        </w:rPr>
        <w:t xml:space="preserve"> </w:t>
      </w:r>
      <w:r w:rsidR="003F4F06" w:rsidRPr="009809B2">
        <w:rPr>
          <w:rFonts w:eastAsia="Times New Roman" w:cstheme="minorHAnsi"/>
          <w:lang w:val="es-CO" w:eastAsia="es-MX"/>
        </w:rPr>
        <w:t xml:space="preserve">encargada de calcular y publicar </w:t>
      </w:r>
      <w:r w:rsidR="000852F2" w:rsidRPr="009809B2">
        <w:rPr>
          <w:rFonts w:eastAsia="Times New Roman" w:cstheme="minorHAnsi"/>
          <w:lang w:val="es-CO" w:eastAsia="es-MX"/>
        </w:rPr>
        <w:t>el Índice de Precios al Consumidor</w:t>
      </w:r>
      <w:r w:rsidR="00906D9B" w:rsidRPr="009809B2">
        <w:rPr>
          <w:rFonts w:eastAsia="Times New Roman" w:cstheme="minorHAnsi"/>
          <w:lang w:val="es-CO" w:eastAsia="es-MX"/>
        </w:rPr>
        <w:t xml:space="preserve">, </w:t>
      </w:r>
      <w:r w:rsidR="000852F2" w:rsidRPr="009809B2">
        <w:rPr>
          <w:rFonts w:eastAsia="Times New Roman" w:cstheme="minorHAnsi"/>
          <w:lang w:val="es-CO" w:eastAsia="es-MX"/>
        </w:rPr>
        <w:t>IPC</w:t>
      </w:r>
      <w:r w:rsidR="00B70C9F" w:rsidRPr="009809B2">
        <w:rPr>
          <w:rFonts w:eastAsia="Times New Roman" w:cstheme="minorHAnsi"/>
          <w:lang w:val="es-CO" w:eastAsia="es-MX"/>
        </w:rPr>
        <w:t>,</w:t>
      </w:r>
      <w:r w:rsidR="00F11A49" w:rsidRPr="009809B2">
        <w:rPr>
          <w:rFonts w:eastAsia="Times New Roman" w:cstheme="minorHAnsi"/>
          <w:lang w:val="es-CO" w:eastAsia="es-MX"/>
        </w:rPr>
        <w:t xml:space="preserve"> y el Índice de Precios del Productor, IPP.</w:t>
      </w:r>
    </w:p>
    <w:p w14:paraId="6DC1533B" w14:textId="6C281DD6" w:rsidR="007A314C" w:rsidRPr="009809B2" w:rsidRDefault="00F60652" w:rsidP="0090209D">
      <w:pPr>
        <w:spacing w:after="0" w:line="240" w:lineRule="auto"/>
        <w:rPr>
          <w:rFonts w:eastAsia="Times New Roman" w:cstheme="minorHAnsi"/>
          <w:lang w:val="es-CO" w:eastAsia="es-MX"/>
        </w:rPr>
      </w:pPr>
      <w:r w:rsidRPr="009809B2">
        <w:rPr>
          <w:rFonts w:eastAsia="Times New Roman" w:cstheme="minorHAnsi"/>
          <w:lang w:val="es-CO" w:eastAsia="es-MX"/>
        </w:rPr>
        <w:t xml:space="preserve">  </w:t>
      </w:r>
    </w:p>
    <w:p w14:paraId="03FBA6F3" w14:textId="788E89F8" w:rsidR="00F45F43" w:rsidRPr="009809B2" w:rsidRDefault="0090209D" w:rsidP="00D0393F">
      <w:pPr>
        <w:spacing w:after="0" w:line="240" w:lineRule="auto"/>
        <w:rPr>
          <w:rFonts w:eastAsia="Times New Roman" w:cstheme="minorHAnsi"/>
          <w:lang w:val="es-CO" w:eastAsia="es-MX"/>
        </w:rPr>
      </w:pPr>
      <w:r w:rsidRPr="009809B2">
        <w:rPr>
          <w:rFonts w:eastAsia="Times New Roman" w:cstheme="minorHAnsi"/>
          <w:lang w:val="es-CO" w:eastAsia="es-MX"/>
        </w:rPr>
        <w:t>Conforme con el DANE</w:t>
      </w:r>
      <w:r w:rsidRPr="009809B2">
        <w:rPr>
          <w:rFonts w:eastAsia="Times New Roman" w:cstheme="minorHAnsi"/>
          <w:vertAlign w:val="superscript"/>
          <w:lang w:val="es-CO" w:eastAsia="es-MX"/>
        </w:rPr>
        <w:footnoteReference w:id="14"/>
      </w:r>
      <w:r w:rsidRPr="009809B2">
        <w:rPr>
          <w:rFonts w:eastAsia="Times New Roman" w:cstheme="minorHAnsi"/>
          <w:lang w:val="es-CO" w:eastAsia="es-MX"/>
        </w:rPr>
        <w:t>,</w:t>
      </w:r>
      <w:r w:rsidR="000852F2" w:rsidRPr="009809B2" w:rsidDel="000852F2">
        <w:rPr>
          <w:rFonts w:eastAsia="Times New Roman" w:cstheme="minorHAnsi"/>
          <w:lang w:val="es-CO" w:eastAsia="es-MX"/>
        </w:rPr>
        <w:t xml:space="preserve"> </w:t>
      </w:r>
      <w:r w:rsidR="00B70C9F" w:rsidRPr="009809B2">
        <w:rPr>
          <w:rFonts w:eastAsia="Times New Roman" w:cstheme="minorHAnsi"/>
          <w:lang w:val="es-CO" w:eastAsia="es-MX"/>
        </w:rPr>
        <w:t>el IPC</w:t>
      </w:r>
      <w:r w:rsidRPr="009809B2">
        <w:rPr>
          <w:rFonts w:eastAsia="Times New Roman" w:cstheme="minorHAnsi"/>
          <w:lang w:val="es-CO" w:eastAsia="es-MX"/>
        </w:rPr>
        <w:t xml:space="preserve"> </w:t>
      </w:r>
      <w:r w:rsidR="00CE1793" w:rsidRPr="009809B2">
        <w:rPr>
          <w:rFonts w:eastAsia="Times New Roman" w:cstheme="minorHAnsi"/>
          <w:lang w:val="es-CO" w:eastAsia="es-MX"/>
        </w:rPr>
        <w:t>es una medida del cambio (variación), en el precio de bienes y servicios representativos del consumo de los hogares del país conocido como canasta</w:t>
      </w:r>
      <w:r w:rsidR="00F45F43" w:rsidRPr="009809B2">
        <w:rPr>
          <w:rFonts w:eastAsia="Times New Roman" w:cstheme="minorHAnsi"/>
          <w:lang w:val="es-CO" w:eastAsia="es-MX"/>
        </w:rPr>
        <w:t>,</w:t>
      </w:r>
      <w:r w:rsidR="00D0393F" w:rsidRPr="009809B2">
        <w:rPr>
          <w:rFonts w:eastAsia="Times New Roman" w:cstheme="minorHAnsi"/>
          <w:lang w:val="es-CO" w:eastAsia="es-MX"/>
        </w:rPr>
        <w:t xml:space="preserve"> que</w:t>
      </w:r>
      <w:r w:rsidR="00CE1793" w:rsidRPr="009809B2">
        <w:rPr>
          <w:rFonts w:eastAsia="Times New Roman" w:cstheme="minorHAnsi"/>
          <w:lang w:val="es-CO" w:eastAsia="es-MX"/>
        </w:rPr>
        <w:t xml:space="preserve"> se define a partir de la Encuesta Nacional de Presupuesto de los Hogares –ENPH-, que el DANE realiza cada 10 años. La última se realizó entre julio de 2016 y julio de 2017</w:t>
      </w:r>
    </w:p>
    <w:p w14:paraId="6A631A68" w14:textId="77777777" w:rsidR="00F45F43" w:rsidRPr="009809B2" w:rsidRDefault="00F45F43" w:rsidP="00D0393F">
      <w:pPr>
        <w:spacing w:after="0" w:line="240" w:lineRule="auto"/>
        <w:rPr>
          <w:rFonts w:eastAsia="Times New Roman" w:cstheme="minorHAnsi"/>
          <w:lang w:val="es-CO" w:eastAsia="es-MX"/>
        </w:rPr>
      </w:pPr>
    </w:p>
    <w:p w14:paraId="07F09A51" w14:textId="5F23C386" w:rsidR="0090209D" w:rsidRPr="009809B2" w:rsidRDefault="00F45F43" w:rsidP="00D0393F">
      <w:pPr>
        <w:spacing w:after="0" w:line="240" w:lineRule="auto"/>
        <w:rPr>
          <w:rFonts w:eastAsia="Times New Roman" w:cstheme="minorHAnsi"/>
          <w:lang w:val="es-CO" w:eastAsia="es-MX"/>
        </w:rPr>
      </w:pPr>
      <w:r w:rsidRPr="009809B2">
        <w:rPr>
          <w:rFonts w:eastAsia="Times New Roman" w:cstheme="minorHAnsi"/>
          <w:lang w:val="es-CO" w:eastAsia="es-MX"/>
        </w:rPr>
        <w:t>El IPC t</w:t>
      </w:r>
      <w:r w:rsidR="0090209D" w:rsidRPr="009809B2">
        <w:rPr>
          <w:rFonts w:eastAsia="Times New Roman" w:cstheme="minorHAnsi"/>
          <w:lang w:val="es-CO" w:eastAsia="es-MX"/>
        </w:rPr>
        <w:t>iene como objetivo</w:t>
      </w:r>
      <w:r w:rsidRPr="009809B2">
        <w:rPr>
          <w:rFonts w:eastAsia="Times New Roman" w:cstheme="minorHAnsi"/>
          <w:lang w:val="es-CO" w:eastAsia="es-MX"/>
        </w:rPr>
        <w:t>s principales</w:t>
      </w:r>
      <w:r w:rsidR="0090209D" w:rsidRPr="009809B2">
        <w:rPr>
          <w:rFonts w:eastAsia="Times New Roman" w:cstheme="minorHAnsi"/>
          <w:lang w:val="es-CO" w:eastAsia="es-MX"/>
        </w:rPr>
        <w:t xml:space="preserve">: </w:t>
      </w:r>
    </w:p>
    <w:p w14:paraId="63BD2C75" w14:textId="77777777" w:rsidR="0090209D" w:rsidRPr="009809B2" w:rsidRDefault="0090209D" w:rsidP="0090209D">
      <w:pPr>
        <w:spacing w:after="0" w:line="240" w:lineRule="auto"/>
        <w:rPr>
          <w:rFonts w:eastAsia="Times New Roman" w:cstheme="minorHAnsi"/>
          <w:lang w:val="es-CO" w:eastAsia="es-MX"/>
        </w:rPr>
      </w:pPr>
    </w:p>
    <w:p w14:paraId="254009E7" w14:textId="0DD27500" w:rsidR="001E2F80" w:rsidRPr="009809B2" w:rsidRDefault="001E2F80" w:rsidP="00F45F43">
      <w:pPr>
        <w:pStyle w:val="Prrafodelista"/>
        <w:tabs>
          <w:tab w:val="left" w:pos="426"/>
        </w:tabs>
        <w:spacing w:after="0" w:line="240" w:lineRule="auto"/>
        <w:ind w:left="1134" w:hanging="850"/>
        <w:rPr>
          <w:rFonts w:eastAsia="Times New Roman" w:cstheme="minorHAnsi"/>
          <w:lang w:val="es-CO" w:eastAsia="es-MX"/>
        </w:rPr>
      </w:pPr>
      <w:r w:rsidRPr="009809B2">
        <w:rPr>
          <w:rFonts w:eastAsia="Times New Roman" w:cstheme="minorHAnsi"/>
          <w:lang w:val="es-CO" w:eastAsia="es-MX"/>
        </w:rPr>
        <w:t>· Medir los cambios de precios de los bienes y servicios que conforman la canasta.</w:t>
      </w:r>
    </w:p>
    <w:p w14:paraId="24C8A754" w14:textId="77777777" w:rsidR="001E2F80" w:rsidRPr="009809B2" w:rsidRDefault="001E2F80" w:rsidP="00F45F43">
      <w:pPr>
        <w:pStyle w:val="Prrafodelista"/>
        <w:tabs>
          <w:tab w:val="left" w:pos="426"/>
        </w:tabs>
        <w:spacing w:after="0" w:line="240" w:lineRule="auto"/>
        <w:ind w:left="1134" w:hanging="850"/>
        <w:rPr>
          <w:rFonts w:eastAsia="Times New Roman" w:cstheme="minorHAnsi"/>
          <w:lang w:val="es-CO" w:eastAsia="es-MX"/>
        </w:rPr>
      </w:pPr>
      <w:r w:rsidRPr="009809B2">
        <w:rPr>
          <w:rFonts w:eastAsia="Times New Roman" w:cstheme="minorHAnsi"/>
          <w:lang w:val="es-CO" w:eastAsia="es-MX"/>
        </w:rPr>
        <w:t>· Comparar la economía colombiana con la de otros países.</w:t>
      </w:r>
    </w:p>
    <w:p w14:paraId="40C81523" w14:textId="77777777" w:rsidR="001E2F80" w:rsidRPr="009809B2" w:rsidRDefault="001E2F80" w:rsidP="00F45F43">
      <w:pPr>
        <w:pStyle w:val="Prrafodelista"/>
        <w:tabs>
          <w:tab w:val="left" w:pos="426"/>
        </w:tabs>
        <w:spacing w:after="0" w:line="240" w:lineRule="auto"/>
        <w:ind w:left="1134" w:hanging="850"/>
        <w:rPr>
          <w:rFonts w:eastAsia="Times New Roman" w:cstheme="minorHAnsi"/>
          <w:lang w:val="es-CO" w:eastAsia="es-MX"/>
        </w:rPr>
      </w:pPr>
      <w:r w:rsidRPr="009809B2">
        <w:rPr>
          <w:rFonts w:eastAsia="Times New Roman" w:cstheme="minorHAnsi"/>
          <w:lang w:val="es-CO" w:eastAsia="es-MX"/>
        </w:rPr>
        <w:t>· Entender la evolución de la situación económica del país y proyectarla.</w:t>
      </w:r>
    </w:p>
    <w:p w14:paraId="79A0BB38" w14:textId="6169606F" w:rsidR="00B67038" w:rsidRPr="009809B2" w:rsidRDefault="00F45F43" w:rsidP="0090209D">
      <w:pPr>
        <w:spacing w:before="220"/>
        <w:rPr>
          <w:rFonts w:cstheme="minorHAnsi"/>
          <w:lang w:val="es-CO"/>
        </w:rPr>
      </w:pPr>
      <w:r w:rsidRPr="009809B2">
        <w:rPr>
          <w:rFonts w:cstheme="minorHAnsi"/>
          <w:lang w:val="es-CO"/>
        </w:rPr>
        <w:t>Por su parte, e</w:t>
      </w:r>
      <w:r w:rsidR="00B67038" w:rsidRPr="009809B2">
        <w:rPr>
          <w:rFonts w:cstheme="minorHAnsi"/>
          <w:lang w:val="es-CO"/>
        </w:rPr>
        <w:t>l IPP es un indicador coyuntural que mide los cambios de los precios de los bienes en su primer canal de distribución, a través del seguimiento en el cambio de precios, de los bienes incluidos en las canastas representativas de los bienes producidos (tanto para el consumo al interior del país, como para exportación) y de las importaciones. El IPP incluye el seguimiento de los precios para bienes, exclusivamente</w:t>
      </w:r>
      <w:r w:rsidR="007D1C66" w:rsidRPr="009809B2">
        <w:rPr>
          <w:rFonts w:cstheme="minorHAnsi"/>
          <w:lang w:val="es-CO"/>
        </w:rPr>
        <w:t>”</w:t>
      </w:r>
      <w:r w:rsidR="007D1C66" w:rsidRPr="009809B2">
        <w:rPr>
          <w:rStyle w:val="Refdenotaalpie"/>
          <w:rFonts w:cstheme="minorHAnsi"/>
          <w:lang w:val="es-CO"/>
        </w:rPr>
        <w:footnoteReference w:id="15"/>
      </w:r>
      <w:r w:rsidR="00B67038" w:rsidRPr="009809B2">
        <w:rPr>
          <w:rFonts w:cstheme="minorHAnsi"/>
          <w:lang w:val="es-CO"/>
        </w:rPr>
        <w:t>.</w:t>
      </w:r>
    </w:p>
    <w:p w14:paraId="610514EF" w14:textId="77777777" w:rsidR="00B67038" w:rsidRPr="009809B2" w:rsidRDefault="00B67038" w:rsidP="00B67038">
      <w:pPr>
        <w:spacing w:before="220"/>
        <w:rPr>
          <w:rFonts w:cstheme="minorHAnsi"/>
          <w:color w:val="000000"/>
          <w:lang w:val="es-CO"/>
        </w:rPr>
      </w:pPr>
      <w:r w:rsidRPr="009809B2">
        <w:rPr>
          <w:rFonts w:cstheme="minorHAnsi"/>
          <w:color w:val="000000"/>
          <w:lang w:val="es-CO"/>
        </w:rPr>
        <w:t xml:space="preserve">Este índice hace parte de un conjunto de herramientas para el análisis de coyuntura, su finalidad principal es detectar canales de transmisión inflacionarios, de manera que se permita estudiar el comportamiento de los precios de los productos desde el momento en que ellos ingresan a los canales de comercialización. </w:t>
      </w:r>
    </w:p>
    <w:p w14:paraId="0D5580F6" w14:textId="7B228480" w:rsidR="009C0963" w:rsidRPr="009809B2" w:rsidRDefault="00F11233" w:rsidP="00B67038">
      <w:pPr>
        <w:spacing w:before="220"/>
        <w:rPr>
          <w:rFonts w:cstheme="minorHAnsi"/>
          <w:color w:val="000000"/>
          <w:lang w:val="es-CO"/>
        </w:rPr>
      </w:pPr>
      <w:r w:rsidRPr="009809B2">
        <w:rPr>
          <w:rFonts w:cstheme="minorHAnsi"/>
          <w:color w:val="000000"/>
          <w:lang w:val="es-CO"/>
        </w:rPr>
        <w:t>El IPP proporciona una medición de la variación mensual promedio de los precios de una canasta de bienes representativa de la producción nacional e incluye bienes producidos para consumo interno y bienes exportados.</w:t>
      </w:r>
    </w:p>
    <w:p w14:paraId="59D7AD70" w14:textId="149495F3" w:rsidR="00EA6696" w:rsidRPr="009809B2" w:rsidRDefault="00672849" w:rsidP="00B67038">
      <w:pPr>
        <w:spacing w:before="220"/>
        <w:rPr>
          <w:rFonts w:cstheme="minorHAnsi"/>
          <w:color w:val="000000"/>
          <w:lang w:val="es-CO"/>
        </w:rPr>
      </w:pPr>
      <w:r w:rsidRPr="009809B2">
        <w:rPr>
          <w:rFonts w:cstheme="minorHAnsi"/>
          <w:color w:val="000000"/>
          <w:lang w:val="es-CO"/>
        </w:rPr>
        <w:t>D</w:t>
      </w:r>
      <w:r w:rsidR="001765AF" w:rsidRPr="009809B2">
        <w:rPr>
          <w:rFonts w:cstheme="minorHAnsi"/>
          <w:color w:val="000000"/>
          <w:lang w:val="es-CO"/>
        </w:rPr>
        <w:t>e</w:t>
      </w:r>
      <w:r w:rsidRPr="009809B2">
        <w:rPr>
          <w:rFonts w:cstheme="minorHAnsi"/>
          <w:color w:val="000000"/>
          <w:lang w:val="es-CO"/>
        </w:rPr>
        <w:t xml:space="preserve"> acuerdo</w:t>
      </w:r>
      <w:r w:rsidR="001765AF" w:rsidRPr="009809B2">
        <w:rPr>
          <w:rFonts w:cstheme="minorHAnsi"/>
          <w:color w:val="000000"/>
          <w:lang w:val="es-CO"/>
        </w:rPr>
        <w:t xml:space="preserve"> </w:t>
      </w:r>
      <w:r w:rsidRPr="009809B2">
        <w:rPr>
          <w:rFonts w:cstheme="minorHAnsi"/>
          <w:color w:val="000000"/>
          <w:lang w:val="es-CO"/>
        </w:rPr>
        <w:t>con</w:t>
      </w:r>
      <w:r w:rsidR="001765AF" w:rsidRPr="009809B2">
        <w:rPr>
          <w:rFonts w:cstheme="minorHAnsi"/>
          <w:color w:val="000000"/>
          <w:lang w:val="es-CO"/>
        </w:rPr>
        <w:t xml:space="preserve"> </w:t>
      </w:r>
      <w:r w:rsidRPr="009809B2">
        <w:rPr>
          <w:rFonts w:cstheme="minorHAnsi"/>
          <w:color w:val="000000"/>
          <w:lang w:val="es-CO"/>
        </w:rPr>
        <w:t xml:space="preserve">la metodología para el cálculo del IPP, </w:t>
      </w:r>
      <w:r w:rsidR="004E635A" w:rsidRPr="009809B2">
        <w:rPr>
          <w:rFonts w:cstheme="minorHAnsi"/>
          <w:color w:val="000000"/>
          <w:lang w:val="es-CO"/>
        </w:rPr>
        <w:t>este</w:t>
      </w:r>
      <w:r w:rsidR="002A73C6" w:rsidRPr="009809B2">
        <w:rPr>
          <w:rFonts w:cstheme="minorHAnsi"/>
          <w:color w:val="000000"/>
          <w:lang w:val="es-CO"/>
        </w:rPr>
        <w:t xml:space="preserve"> </w:t>
      </w:r>
      <w:r w:rsidR="004E635A" w:rsidRPr="009809B2">
        <w:rPr>
          <w:rFonts w:cstheme="minorHAnsi"/>
          <w:color w:val="000000"/>
          <w:lang w:val="es-CO"/>
        </w:rPr>
        <w:t xml:space="preserve">índice tiene los </w:t>
      </w:r>
      <w:r w:rsidR="002A73C6" w:rsidRPr="009809B2">
        <w:rPr>
          <w:rFonts w:cstheme="minorHAnsi"/>
          <w:color w:val="000000"/>
          <w:lang w:val="es-CO"/>
        </w:rPr>
        <w:t>s</w:t>
      </w:r>
      <w:r w:rsidR="004E635A" w:rsidRPr="009809B2">
        <w:rPr>
          <w:rFonts w:cstheme="minorHAnsi"/>
          <w:color w:val="000000"/>
          <w:lang w:val="es-CO"/>
        </w:rPr>
        <w:t>iguientes objetivos</w:t>
      </w:r>
      <w:r w:rsidR="002A73C6" w:rsidRPr="009809B2">
        <w:rPr>
          <w:rFonts w:cstheme="minorHAnsi"/>
          <w:color w:val="000000"/>
          <w:lang w:val="es-CO"/>
        </w:rPr>
        <w:t>:</w:t>
      </w:r>
    </w:p>
    <w:p w14:paraId="4894D3C2" w14:textId="46C396A8" w:rsidR="00337A91" w:rsidRPr="009809B2" w:rsidRDefault="00337A91" w:rsidP="00D7634E">
      <w:pPr>
        <w:spacing w:before="220"/>
        <w:ind w:left="284" w:hanging="284"/>
        <w:rPr>
          <w:rFonts w:cstheme="minorHAnsi"/>
          <w:color w:val="000000"/>
          <w:lang w:val="es-CO"/>
        </w:rPr>
      </w:pPr>
      <w:r w:rsidRPr="009809B2">
        <w:rPr>
          <w:rFonts w:cstheme="minorHAnsi"/>
          <w:color w:val="000000"/>
          <w:lang w:val="es-CO"/>
        </w:rPr>
        <w:lastRenderedPageBreak/>
        <w:t>-</w:t>
      </w:r>
      <w:r w:rsidR="000E227A" w:rsidRPr="009809B2">
        <w:rPr>
          <w:rFonts w:cstheme="minorHAnsi"/>
          <w:color w:val="000000"/>
          <w:lang w:val="es-CO"/>
        </w:rPr>
        <w:tab/>
      </w:r>
      <w:r w:rsidRPr="009809B2">
        <w:rPr>
          <w:rFonts w:cstheme="minorHAnsi"/>
          <w:color w:val="000000"/>
          <w:lang w:val="es-CO"/>
        </w:rPr>
        <w:t>Servir como deflactor de valores nominales de la cuenta de producción del Sistema de Cuentas Nacionales (anuales y trimestrales), Encuesta Anual Manufacturera (EAM), Encuesta Mensual Manufacturera (EMM), entre otras.</w:t>
      </w:r>
    </w:p>
    <w:p w14:paraId="108C8BFA" w14:textId="66C158DE" w:rsidR="00337A91" w:rsidRPr="009809B2" w:rsidRDefault="00337A91" w:rsidP="00D7634E">
      <w:pPr>
        <w:spacing w:before="220"/>
        <w:ind w:left="284" w:hanging="284"/>
        <w:rPr>
          <w:rFonts w:cstheme="minorHAnsi"/>
          <w:color w:val="000000"/>
          <w:lang w:val="es-CO"/>
        </w:rPr>
      </w:pPr>
      <w:r w:rsidRPr="009809B2">
        <w:rPr>
          <w:rFonts w:cstheme="minorHAnsi"/>
          <w:color w:val="000000"/>
          <w:lang w:val="es-CO"/>
        </w:rPr>
        <w:t>-</w:t>
      </w:r>
      <w:r w:rsidR="000E227A" w:rsidRPr="009809B2">
        <w:rPr>
          <w:rFonts w:cstheme="minorHAnsi"/>
          <w:color w:val="000000"/>
          <w:lang w:val="es-CO"/>
        </w:rPr>
        <w:tab/>
      </w:r>
      <w:r w:rsidRPr="009809B2">
        <w:rPr>
          <w:rFonts w:cstheme="minorHAnsi"/>
          <w:color w:val="000000"/>
          <w:lang w:val="es-CO"/>
        </w:rPr>
        <w:t>Elaborar un índice sobre la evolución de los precios para los bienes de la producción nacional.</w:t>
      </w:r>
    </w:p>
    <w:p w14:paraId="1B910BA5" w14:textId="7C194BEB" w:rsidR="002A73C6" w:rsidRPr="009809B2" w:rsidRDefault="00337A91" w:rsidP="00D7634E">
      <w:pPr>
        <w:spacing w:before="220"/>
        <w:ind w:left="284" w:hanging="284"/>
        <w:rPr>
          <w:rFonts w:cstheme="minorHAnsi"/>
          <w:color w:val="000000"/>
          <w:lang w:val="es-CO"/>
        </w:rPr>
      </w:pPr>
      <w:r w:rsidRPr="009809B2">
        <w:rPr>
          <w:rFonts w:cstheme="minorHAnsi"/>
          <w:color w:val="000000"/>
          <w:lang w:val="es-CO"/>
        </w:rPr>
        <w:t>-</w:t>
      </w:r>
      <w:r w:rsidR="00A12A3A" w:rsidRPr="009809B2">
        <w:rPr>
          <w:rFonts w:cstheme="minorHAnsi"/>
          <w:color w:val="000000"/>
          <w:lang w:val="es-CO"/>
        </w:rPr>
        <w:tab/>
      </w:r>
      <w:r w:rsidRPr="009809B2">
        <w:rPr>
          <w:rFonts w:cstheme="minorHAnsi"/>
          <w:color w:val="000000"/>
          <w:lang w:val="es-CO"/>
        </w:rPr>
        <w:t xml:space="preserve">Suministrar números índices para ejercicios técnicos </w:t>
      </w:r>
      <w:r w:rsidR="006F3A30" w:rsidRPr="009809B2">
        <w:rPr>
          <w:rFonts w:cstheme="minorHAnsi"/>
          <w:color w:val="000000"/>
          <w:lang w:val="es-CO"/>
        </w:rPr>
        <w:t xml:space="preserve">que permitan </w:t>
      </w:r>
      <w:r w:rsidRPr="009809B2">
        <w:rPr>
          <w:rFonts w:cstheme="minorHAnsi"/>
          <w:color w:val="000000"/>
          <w:lang w:val="es-CO"/>
        </w:rPr>
        <w:t>deflacta</w:t>
      </w:r>
      <w:r w:rsidR="006F3A30" w:rsidRPr="009809B2">
        <w:rPr>
          <w:rFonts w:cstheme="minorHAnsi"/>
          <w:color w:val="000000"/>
          <w:lang w:val="es-CO"/>
        </w:rPr>
        <w:t>r</w:t>
      </w:r>
      <w:r w:rsidRPr="009809B2">
        <w:rPr>
          <w:rFonts w:cstheme="minorHAnsi"/>
          <w:color w:val="000000"/>
          <w:lang w:val="es-CO"/>
        </w:rPr>
        <w:t xml:space="preserve"> e indexa</w:t>
      </w:r>
      <w:r w:rsidR="006F3A30" w:rsidRPr="009809B2">
        <w:rPr>
          <w:rFonts w:cstheme="minorHAnsi"/>
          <w:color w:val="000000"/>
          <w:lang w:val="es-CO"/>
        </w:rPr>
        <w:t>r</w:t>
      </w:r>
      <w:r w:rsidRPr="009809B2">
        <w:rPr>
          <w:rFonts w:cstheme="minorHAnsi"/>
          <w:color w:val="000000"/>
          <w:lang w:val="es-CO"/>
        </w:rPr>
        <w:t xml:space="preserve"> valores monetarios, relacionados con la producción nacional.</w:t>
      </w:r>
    </w:p>
    <w:p w14:paraId="3FF21C7B" w14:textId="2D60435D" w:rsidR="0090209D" w:rsidRPr="009809B2" w:rsidRDefault="0090209D" w:rsidP="0090209D">
      <w:pPr>
        <w:spacing w:before="220"/>
        <w:rPr>
          <w:rFonts w:cstheme="minorHAnsi"/>
          <w:lang w:val="es-CO"/>
        </w:rPr>
      </w:pPr>
      <w:r w:rsidRPr="009809B2">
        <w:rPr>
          <w:rFonts w:cstheme="minorHAnsi"/>
          <w:lang w:val="es-CO"/>
        </w:rPr>
        <w:t>Respecto de la utilización del IPP, es conveniente mencionar que el 4 de marzo de 2015 el DANE informó lo siguiente:</w:t>
      </w:r>
    </w:p>
    <w:p w14:paraId="463B7D97" w14:textId="77777777" w:rsidR="0090209D" w:rsidRPr="009809B2" w:rsidRDefault="0090209D" w:rsidP="0090209D">
      <w:pPr>
        <w:pStyle w:val="Cita"/>
        <w:ind w:left="284" w:right="333"/>
        <w:rPr>
          <w:lang w:val="es-CO"/>
        </w:rPr>
      </w:pPr>
      <w:r w:rsidRPr="009809B2">
        <w:rPr>
          <w:lang w:val="es-CO"/>
        </w:rPr>
        <w:t>El DANE venía publicando hasta diciembre de 2014 una serie oficial de Índice de Precios de la Oferta Interna. No obstante, desde enero de 2015 se publicó el rediseño del IPP. Este rediseño implicó la publicación de un nuevo índice denominado IPP de la Producción Nacional el cual difiere del anterior denominado IPP Oferta Interna. Sin embargo, debe tenerse en cuenta que el IPP Oferta Interna no ha dejado de ser publicado y quienes venían usándolo tradicionalmente pueden seguir tomando la serie empalmada para los fines que se estimen convenientes.</w:t>
      </w:r>
    </w:p>
    <w:p w14:paraId="734DDAB3" w14:textId="77777777" w:rsidR="0090209D" w:rsidRPr="009809B2" w:rsidRDefault="0090209D" w:rsidP="0090209D">
      <w:pPr>
        <w:pStyle w:val="Cita"/>
        <w:ind w:left="284" w:right="333"/>
        <w:rPr>
          <w:lang w:val="es-CO"/>
        </w:rPr>
      </w:pPr>
      <w:r w:rsidRPr="009809B2">
        <w:rPr>
          <w:lang w:val="es-CO"/>
        </w:rPr>
        <w:t>(…)</w:t>
      </w:r>
    </w:p>
    <w:p w14:paraId="0CCC04DC" w14:textId="77777777" w:rsidR="0090209D" w:rsidRPr="009809B2" w:rsidRDefault="0090209D" w:rsidP="0090209D">
      <w:pPr>
        <w:pStyle w:val="Cita"/>
        <w:ind w:left="284" w:right="333"/>
        <w:rPr>
          <w:lang w:val="es-CO"/>
        </w:rPr>
      </w:pPr>
      <w:r w:rsidRPr="009809B2">
        <w:rPr>
          <w:lang w:val="es-CO"/>
        </w:rPr>
        <w:t xml:space="preserve">El nuevo Índice de Precios de la Producción Nacional es de naturaleza completamente diferente al Índice de Precios de la Oferta Interna. En ningún momento el usuario deberá actualizar el dato del Índice de Precios de la Oferta Interna con la variación del Índice de Precios de la Producción Nacional. Es importante recordar que por recomendación internacional del Fondo Monetario y </w:t>
      </w:r>
      <w:proofErr w:type="spellStart"/>
      <w:r w:rsidRPr="009809B2">
        <w:rPr>
          <w:lang w:val="es-CO"/>
        </w:rPr>
        <w:t>StatCan</w:t>
      </w:r>
      <w:proofErr w:type="spellEnd"/>
      <w:r w:rsidRPr="009809B2">
        <w:rPr>
          <w:lang w:val="es-CO"/>
        </w:rPr>
        <w:t xml:space="preserve">, y por el esfuerzo que ha realizado el DANE de presentar cifras lo más precisas posibles y comparables internacionalmente, se produce el rediseño del IPP y se construye el nuevo Índice de Precios de la Producción Nacional, cuyo dato oficialmente nace en enero de 2015, lo que implica que no tiene historia. El índice para enero de 2015 fue 98,72 y la variación mensual oficial fue de -1.28%. </w:t>
      </w:r>
    </w:p>
    <w:p w14:paraId="09E31AE8" w14:textId="77777777" w:rsidR="0090209D" w:rsidRPr="009809B2" w:rsidRDefault="0090209D" w:rsidP="0090209D">
      <w:pPr>
        <w:pStyle w:val="Cita"/>
        <w:ind w:left="284" w:right="333"/>
        <w:rPr>
          <w:lang w:val="es-CO"/>
        </w:rPr>
      </w:pPr>
      <w:r w:rsidRPr="009809B2">
        <w:rPr>
          <w:lang w:val="es-CO"/>
        </w:rPr>
        <w:t>Se recuerda a todos los usuarios que tradicionalmente han usado el Índice de Precios de la Oferta Interna que pueden seguir usando el mismo para efectos de indexación.</w:t>
      </w:r>
    </w:p>
    <w:p w14:paraId="10876245" w14:textId="75E99E90" w:rsidR="0090209D" w:rsidRPr="009809B2" w:rsidRDefault="0090209D" w:rsidP="0090209D">
      <w:pPr>
        <w:spacing w:before="240" w:after="240"/>
        <w:rPr>
          <w:rFonts w:cstheme="minorHAnsi"/>
          <w:lang w:val="es-CO"/>
        </w:rPr>
      </w:pPr>
      <w:r w:rsidRPr="009809B2">
        <w:rPr>
          <w:rFonts w:cstheme="minorHAnsi"/>
          <w:lang w:val="es-CO"/>
        </w:rPr>
        <w:t xml:space="preserve">Durante el periodo 2017 – 2020, la variación mensual del IPP es superior a la del IPC en 23 de los 48 meses del periodo, sin embargo, la variación anual es similar para los dos índices (del orden del 3%), siendo la del año 2020 la menor variación anual. </w:t>
      </w:r>
    </w:p>
    <w:p w14:paraId="34D1AE5C" w14:textId="2645AE1B" w:rsidR="0090209D" w:rsidRPr="009809B2" w:rsidRDefault="0090209D" w:rsidP="0090209D">
      <w:pPr>
        <w:spacing w:before="240" w:after="240"/>
        <w:rPr>
          <w:rFonts w:cstheme="minorHAnsi"/>
          <w:lang w:val="es-CO"/>
        </w:rPr>
      </w:pPr>
      <w:r w:rsidRPr="009809B2">
        <w:rPr>
          <w:rFonts w:cstheme="minorHAnsi"/>
          <w:lang w:val="es-CO"/>
        </w:rPr>
        <w:t xml:space="preserve">No obstante, en el periodo diciembre de 2020 a julio de 2022 se modificó el comportamiento de estos índices. En la </w:t>
      </w:r>
      <w:r w:rsidR="00851504">
        <w:rPr>
          <w:rFonts w:cstheme="minorHAnsi"/>
          <w:lang w:val="es-CO"/>
        </w:rPr>
        <w:t xml:space="preserve">gráfica 5 </w:t>
      </w:r>
      <w:r w:rsidRPr="009809B2">
        <w:rPr>
          <w:rFonts w:cstheme="minorHAnsi"/>
          <w:lang w:val="es-CO"/>
        </w:rPr>
        <w:t xml:space="preserve">se observa que la variación del IPP es mayor que la del IPC y se </w:t>
      </w:r>
      <w:r w:rsidRPr="009809B2">
        <w:rPr>
          <w:rFonts w:cstheme="minorHAnsi"/>
          <w:lang w:val="es-CO"/>
        </w:rPr>
        <w:lastRenderedPageBreak/>
        <w:t>presenta durante todos los meses del periodo. Como resultado, la variación del IPP de enero de 2020 a agosto de 2022 fue del orden del 37% mientras que la del IPC fue del orden del 15% en ese mismo periodo.</w:t>
      </w:r>
    </w:p>
    <w:p w14:paraId="7DA68CAF" w14:textId="7B89E250" w:rsidR="0090209D" w:rsidRPr="009809B2" w:rsidRDefault="0090209D" w:rsidP="004C5216">
      <w:pPr>
        <w:spacing w:before="240" w:after="240"/>
        <w:jc w:val="center"/>
        <w:rPr>
          <w:rFonts w:cstheme="minorHAnsi"/>
          <w:color w:val="000000" w:themeColor="text1"/>
          <w:sz w:val="20"/>
          <w:szCs w:val="20"/>
          <w:lang w:val="es-CO"/>
        </w:rPr>
      </w:pPr>
      <w:r w:rsidRPr="00851504">
        <w:rPr>
          <w:rFonts w:cstheme="minorHAnsi"/>
          <w:color w:val="000000" w:themeColor="text1"/>
          <w:sz w:val="20"/>
          <w:szCs w:val="20"/>
          <w:lang w:val="es-CO"/>
        </w:rPr>
        <w:t xml:space="preserve">Gráfica </w:t>
      </w:r>
      <w:r w:rsidRPr="00851504">
        <w:rPr>
          <w:rFonts w:cstheme="minorHAnsi"/>
          <w:color w:val="000000" w:themeColor="text1"/>
          <w:sz w:val="20"/>
          <w:szCs w:val="20"/>
          <w:lang w:val="es-CO"/>
        </w:rPr>
        <w:fldChar w:fldCharType="begin"/>
      </w:r>
      <w:r w:rsidRPr="00851504">
        <w:rPr>
          <w:rFonts w:cstheme="minorHAnsi"/>
          <w:color w:val="000000" w:themeColor="text1"/>
          <w:sz w:val="20"/>
          <w:szCs w:val="20"/>
          <w:lang w:val="es-CO"/>
        </w:rPr>
        <w:instrText xml:space="preserve"> SEQ Gráfica \* ARABIC </w:instrText>
      </w:r>
      <w:r w:rsidRPr="00851504">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5</w:t>
      </w:r>
      <w:r w:rsidRPr="00851504">
        <w:rPr>
          <w:rFonts w:cstheme="minorHAnsi"/>
          <w:color w:val="000000" w:themeColor="text1"/>
          <w:sz w:val="20"/>
          <w:szCs w:val="20"/>
          <w:lang w:val="es-CO"/>
        </w:rPr>
        <w:fldChar w:fldCharType="end"/>
      </w:r>
      <w:r w:rsidRPr="009809B2">
        <w:rPr>
          <w:rFonts w:cstheme="minorHAnsi"/>
          <w:color w:val="000000" w:themeColor="text1"/>
          <w:sz w:val="20"/>
          <w:szCs w:val="20"/>
          <w:lang w:val="es-CO"/>
        </w:rPr>
        <w:t>. Variación mensual de índices de precios IPP (oferta interna) e IPC</w:t>
      </w:r>
    </w:p>
    <w:p w14:paraId="461B0B00" w14:textId="668FB7EC" w:rsidR="00796B10" w:rsidRPr="009809B2" w:rsidRDefault="00B35ED7" w:rsidP="0090209D">
      <w:pPr>
        <w:spacing w:before="240" w:after="240"/>
        <w:jc w:val="center"/>
        <w:rPr>
          <w:rFonts w:cstheme="minorHAnsi"/>
          <w:lang w:val="es-CO"/>
        </w:rPr>
      </w:pPr>
      <w:r w:rsidRPr="009809B2">
        <w:rPr>
          <w:rFonts w:cstheme="minorHAnsi"/>
          <w:noProof/>
          <w:lang w:val="es-CO"/>
        </w:rPr>
        <w:drawing>
          <wp:inline distT="0" distB="0" distL="0" distR="0" wp14:anchorId="182409B8" wp14:editId="12839A0D">
            <wp:extent cx="4822619" cy="3005200"/>
            <wp:effectExtent l="0" t="0" r="0" b="5080"/>
            <wp:docPr id="741469867" name="Imagen 74146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69867" name="Imagen 74146986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4825580" cy="3007045"/>
                    </a:xfrm>
                    <a:prstGeom prst="rect">
                      <a:avLst/>
                    </a:prstGeom>
                  </pic:spPr>
                </pic:pic>
              </a:graphicData>
            </a:graphic>
          </wp:inline>
        </w:drawing>
      </w:r>
    </w:p>
    <w:p w14:paraId="79EC22BB" w14:textId="7BA53F5F" w:rsidR="0090209D" w:rsidRPr="009809B2" w:rsidRDefault="0090209D" w:rsidP="009F71AA">
      <w:pPr>
        <w:keepNext/>
        <w:numPr>
          <w:ilvl w:val="0"/>
          <w:numId w:val="34"/>
        </w:numPr>
        <w:suppressAutoHyphens/>
        <w:spacing w:before="360"/>
        <w:outlineLvl w:val="0"/>
        <w:rPr>
          <w:rFonts w:cstheme="minorHAnsi"/>
          <w:b/>
          <w:spacing w:val="-5"/>
          <w:lang w:val="es-CO"/>
        </w:rPr>
      </w:pPr>
      <w:bookmarkStart w:id="272" w:name="_Toc109156405"/>
      <w:bookmarkStart w:id="273" w:name="_Toc109156406"/>
      <w:bookmarkStart w:id="274" w:name="_Toc172100729"/>
      <w:bookmarkStart w:id="275" w:name="_Toc125389386"/>
      <w:bookmarkEnd w:id="268"/>
      <w:bookmarkEnd w:id="272"/>
      <w:bookmarkEnd w:id="273"/>
      <w:r w:rsidRPr="009809B2">
        <w:rPr>
          <w:rFonts w:cstheme="minorHAnsi"/>
          <w:b/>
          <w:spacing w:val="-5"/>
          <w:lang w:val="es-CO"/>
        </w:rPr>
        <w:t>EXPERIENCIA INTERNACIONAL</w:t>
      </w:r>
      <w:bookmarkEnd w:id="274"/>
      <w:r w:rsidRPr="009809B2">
        <w:rPr>
          <w:rFonts w:cstheme="minorHAnsi"/>
          <w:b/>
          <w:spacing w:val="-5"/>
          <w:lang w:val="es-CO"/>
        </w:rPr>
        <w:t xml:space="preserve"> </w:t>
      </w:r>
    </w:p>
    <w:p w14:paraId="1123D7EC" w14:textId="79F54EC8" w:rsidR="00786CD2" w:rsidRPr="009809B2" w:rsidRDefault="00B83510" w:rsidP="00193995">
      <w:pPr>
        <w:rPr>
          <w:rFonts w:cstheme="minorHAnsi"/>
          <w:lang w:val="es-CO"/>
        </w:rPr>
      </w:pPr>
      <w:r w:rsidRPr="009809B2">
        <w:rPr>
          <w:rFonts w:cstheme="minorHAnsi"/>
          <w:lang w:val="es-CO"/>
        </w:rPr>
        <w:t xml:space="preserve">En la revisión de </w:t>
      </w:r>
      <w:r w:rsidR="003A24D0" w:rsidRPr="009809B2">
        <w:rPr>
          <w:rFonts w:cstheme="minorHAnsi"/>
          <w:lang w:val="es-CO"/>
        </w:rPr>
        <w:t xml:space="preserve">la experiencia internacional, hacemos mención </w:t>
      </w:r>
      <w:proofErr w:type="gramStart"/>
      <w:r w:rsidR="003A24D0" w:rsidRPr="009809B2">
        <w:rPr>
          <w:rFonts w:cstheme="minorHAnsi"/>
          <w:lang w:val="es-CO"/>
        </w:rPr>
        <w:t>a</w:t>
      </w:r>
      <w:proofErr w:type="gramEnd"/>
      <w:r w:rsidR="003A24D0" w:rsidRPr="009809B2">
        <w:rPr>
          <w:rFonts w:cstheme="minorHAnsi"/>
          <w:lang w:val="es-CO"/>
        </w:rPr>
        <w:t xml:space="preserve"> la información enviada por </w:t>
      </w:r>
      <w:r w:rsidR="00F9504C" w:rsidRPr="009809B2">
        <w:rPr>
          <w:rFonts w:cstheme="minorHAnsi"/>
          <w:lang w:val="es-CO"/>
        </w:rPr>
        <w:t xml:space="preserve">la Asociación Colombiana de Distribuidores de Energía </w:t>
      </w:r>
      <w:r w:rsidR="00D56726" w:rsidRPr="009809B2">
        <w:rPr>
          <w:rFonts w:cstheme="minorHAnsi"/>
          <w:lang w:val="es-CO"/>
        </w:rPr>
        <w:t>Eléctrica</w:t>
      </w:r>
      <w:r w:rsidR="004008CD" w:rsidRPr="009809B2">
        <w:rPr>
          <w:rFonts w:cstheme="minorHAnsi"/>
          <w:lang w:val="es-CO"/>
        </w:rPr>
        <w:t xml:space="preserve">, </w:t>
      </w:r>
      <w:proofErr w:type="spellStart"/>
      <w:r w:rsidR="004008CD" w:rsidRPr="009809B2">
        <w:rPr>
          <w:rFonts w:cstheme="minorHAnsi"/>
          <w:lang w:val="es-CO"/>
        </w:rPr>
        <w:t>A</w:t>
      </w:r>
      <w:r w:rsidR="00F9504C" w:rsidRPr="009809B2">
        <w:rPr>
          <w:rFonts w:cstheme="minorHAnsi"/>
          <w:lang w:val="es-CO"/>
        </w:rPr>
        <w:t>socodis</w:t>
      </w:r>
      <w:proofErr w:type="spellEnd"/>
      <w:r w:rsidR="00247D94" w:rsidRPr="009809B2">
        <w:rPr>
          <w:rFonts w:cstheme="minorHAnsi"/>
          <w:lang w:val="es-CO"/>
        </w:rPr>
        <w:t>,</w:t>
      </w:r>
      <w:r w:rsidR="004008CD" w:rsidRPr="009809B2">
        <w:rPr>
          <w:rFonts w:cstheme="minorHAnsi"/>
          <w:lang w:val="es-CO"/>
        </w:rPr>
        <w:t xml:space="preserve"> y por </w:t>
      </w:r>
      <w:r w:rsidR="009F6412" w:rsidRPr="009809B2">
        <w:rPr>
          <w:rFonts w:cstheme="minorHAnsi"/>
          <w:lang w:val="es-CO"/>
        </w:rPr>
        <w:t xml:space="preserve">la </w:t>
      </w:r>
      <w:r w:rsidR="00247D94" w:rsidRPr="009809B2">
        <w:rPr>
          <w:rFonts w:cstheme="minorHAnsi"/>
          <w:lang w:val="es-CO"/>
        </w:rPr>
        <w:t xml:space="preserve">Asociación Colombiana de Generadores de Energía Eléctrica, </w:t>
      </w:r>
      <w:proofErr w:type="spellStart"/>
      <w:r w:rsidR="00247D94" w:rsidRPr="009809B2">
        <w:rPr>
          <w:rFonts w:cstheme="minorHAnsi"/>
          <w:lang w:val="es-CO"/>
        </w:rPr>
        <w:t>Acolgen</w:t>
      </w:r>
      <w:proofErr w:type="spellEnd"/>
      <w:r w:rsidR="00247D94" w:rsidRPr="009809B2">
        <w:rPr>
          <w:rFonts w:cstheme="minorHAnsi"/>
          <w:lang w:val="es-CO"/>
        </w:rPr>
        <w:t xml:space="preserve">, </w:t>
      </w:r>
      <w:r w:rsidR="002724BC" w:rsidRPr="009809B2">
        <w:rPr>
          <w:rFonts w:cstheme="minorHAnsi"/>
          <w:lang w:val="es-CO"/>
        </w:rPr>
        <w:t xml:space="preserve">quienes han enviado a la CREG estudios </w:t>
      </w:r>
      <w:r w:rsidR="00960B55" w:rsidRPr="009809B2">
        <w:rPr>
          <w:rFonts w:cstheme="minorHAnsi"/>
          <w:lang w:val="es-CO"/>
        </w:rPr>
        <w:t xml:space="preserve">relacionados con </w:t>
      </w:r>
      <w:r w:rsidR="007254F0" w:rsidRPr="009809B2">
        <w:rPr>
          <w:rFonts w:cstheme="minorHAnsi"/>
          <w:lang w:val="es-CO"/>
        </w:rPr>
        <w:t xml:space="preserve">el tema y de donde </w:t>
      </w:r>
      <w:r w:rsidR="00C839B1" w:rsidRPr="009809B2">
        <w:rPr>
          <w:rFonts w:cstheme="minorHAnsi"/>
          <w:lang w:val="es-CO"/>
        </w:rPr>
        <w:t>hace</w:t>
      </w:r>
      <w:r w:rsidR="007254F0" w:rsidRPr="009809B2">
        <w:rPr>
          <w:rFonts w:cstheme="minorHAnsi"/>
          <w:lang w:val="es-CO"/>
        </w:rPr>
        <w:t xml:space="preserve">mos </w:t>
      </w:r>
      <w:r w:rsidR="00786CD2" w:rsidRPr="009809B2">
        <w:rPr>
          <w:rFonts w:cstheme="minorHAnsi"/>
          <w:lang w:val="es-CO"/>
        </w:rPr>
        <w:t xml:space="preserve">el resumen que se presenta </w:t>
      </w:r>
      <w:r w:rsidR="003A43F8" w:rsidRPr="009809B2">
        <w:rPr>
          <w:rFonts w:cstheme="minorHAnsi"/>
          <w:lang w:val="es-CO"/>
        </w:rPr>
        <w:t>en este aparte</w:t>
      </w:r>
      <w:r w:rsidR="00786CD2" w:rsidRPr="009809B2">
        <w:rPr>
          <w:rFonts w:cstheme="minorHAnsi"/>
          <w:lang w:val="es-CO"/>
        </w:rPr>
        <w:t>.</w:t>
      </w:r>
    </w:p>
    <w:p w14:paraId="3CBB6046" w14:textId="499608A0" w:rsidR="00B576A2" w:rsidRPr="009809B2" w:rsidRDefault="00D72671" w:rsidP="00193995">
      <w:pPr>
        <w:rPr>
          <w:rFonts w:cstheme="minorHAnsi"/>
          <w:lang w:val="es-CO"/>
        </w:rPr>
      </w:pPr>
      <w:r w:rsidRPr="009809B2">
        <w:rPr>
          <w:rFonts w:cstheme="minorHAnsi"/>
          <w:lang w:val="es-CO"/>
        </w:rPr>
        <w:t xml:space="preserve">En </w:t>
      </w:r>
      <w:r w:rsidR="00960B21" w:rsidRPr="009809B2">
        <w:rPr>
          <w:rFonts w:cstheme="minorHAnsi"/>
          <w:lang w:val="es-CO"/>
        </w:rPr>
        <w:t>el</w:t>
      </w:r>
      <w:r w:rsidR="00954D4C" w:rsidRPr="009809B2">
        <w:rPr>
          <w:rFonts w:cstheme="minorHAnsi"/>
          <w:lang w:val="es-CO"/>
        </w:rPr>
        <w:t xml:space="preserve"> documento </w:t>
      </w:r>
      <w:r w:rsidR="00960B21" w:rsidRPr="009809B2">
        <w:rPr>
          <w:rFonts w:cstheme="minorHAnsi"/>
          <w:lang w:val="es-CO"/>
        </w:rPr>
        <w:t xml:space="preserve">enviado por </w:t>
      </w:r>
      <w:proofErr w:type="spellStart"/>
      <w:r w:rsidR="00960B21" w:rsidRPr="009809B2">
        <w:rPr>
          <w:rFonts w:cstheme="minorHAnsi"/>
          <w:lang w:val="es-CO"/>
        </w:rPr>
        <w:t>Asocodis</w:t>
      </w:r>
      <w:proofErr w:type="spellEnd"/>
      <w:r w:rsidR="00BD3768" w:rsidRPr="009809B2">
        <w:rPr>
          <w:rStyle w:val="Refdenotaalpie"/>
          <w:rFonts w:cstheme="minorHAnsi"/>
          <w:lang w:val="es-CO"/>
        </w:rPr>
        <w:footnoteReference w:id="16"/>
      </w:r>
      <w:r w:rsidR="00BC77E0" w:rsidRPr="009809B2">
        <w:rPr>
          <w:rFonts w:cstheme="minorHAnsi"/>
          <w:lang w:val="es-CO"/>
        </w:rPr>
        <w:t xml:space="preserve"> se consignaron </w:t>
      </w:r>
      <w:r w:rsidR="00B9021E" w:rsidRPr="009809B2">
        <w:rPr>
          <w:rFonts w:cstheme="minorHAnsi"/>
          <w:lang w:val="es-CO"/>
        </w:rPr>
        <w:t xml:space="preserve">las experiencias de </w:t>
      </w:r>
      <w:r w:rsidR="00300732" w:rsidRPr="009809B2">
        <w:rPr>
          <w:rFonts w:cstheme="minorHAnsi"/>
          <w:lang w:val="es-CO"/>
        </w:rPr>
        <w:t xml:space="preserve">Chile, Perú, Panamá, Guatemala, </w:t>
      </w:r>
      <w:r w:rsidR="007174F8" w:rsidRPr="009809B2">
        <w:rPr>
          <w:rFonts w:cstheme="minorHAnsi"/>
          <w:lang w:val="es-CO"/>
        </w:rPr>
        <w:t>E</w:t>
      </w:r>
      <w:r w:rsidR="00300732" w:rsidRPr="009809B2">
        <w:rPr>
          <w:rFonts w:cstheme="minorHAnsi"/>
          <w:lang w:val="es-CO"/>
        </w:rPr>
        <w:t xml:space="preserve">l Salvador, Reino </w:t>
      </w:r>
      <w:r w:rsidR="00147A60" w:rsidRPr="009809B2">
        <w:rPr>
          <w:rFonts w:cstheme="minorHAnsi"/>
          <w:lang w:val="es-CO"/>
        </w:rPr>
        <w:t>U</w:t>
      </w:r>
      <w:r w:rsidR="00300732" w:rsidRPr="009809B2">
        <w:rPr>
          <w:rFonts w:cstheme="minorHAnsi"/>
          <w:lang w:val="es-CO"/>
        </w:rPr>
        <w:t>nido</w:t>
      </w:r>
      <w:r w:rsidR="00BC358E" w:rsidRPr="009809B2">
        <w:rPr>
          <w:rFonts w:cstheme="minorHAnsi"/>
          <w:lang w:val="es-CO"/>
        </w:rPr>
        <w:t>, Europa y México</w:t>
      </w:r>
      <w:r w:rsidR="00960B21" w:rsidRPr="009809B2">
        <w:rPr>
          <w:rFonts w:cstheme="minorHAnsi"/>
          <w:lang w:val="es-CO"/>
        </w:rPr>
        <w:t xml:space="preserve"> </w:t>
      </w:r>
      <w:r w:rsidR="00B576A2" w:rsidRPr="009809B2">
        <w:rPr>
          <w:rFonts w:cstheme="minorHAnsi"/>
          <w:lang w:val="es-CO"/>
        </w:rPr>
        <w:t>donde, de manera general, se utilizan principalmente índices de inflación (similares al IPC</w:t>
      </w:r>
      <w:r w:rsidR="00DE7C52" w:rsidRPr="009809B2">
        <w:rPr>
          <w:rFonts w:cstheme="minorHAnsi"/>
          <w:lang w:val="es-CO"/>
        </w:rPr>
        <w:t xml:space="preserve"> o IPP)</w:t>
      </w:r>
      <w:r w:rsidR="005434C3" w:rsidRPr="009809B2">
        <w:rPr>
          <w:rFonts w:cstheme="minorHAnsi"/>
          <w:lang w:val="es-CO"/>
        </w:rPr>
        <w:t xml:space="preserve">, tasas representativas del mercado (tasa </w:t>
      </w:r>
      <w:r w:rsidR="005434C3" w:rsidRPr="009809B2">
        <w:rPr>
          <w:rFonts w:cstheme="minorHAnsi"/>
          <w:lang w:val="es-CO"/>
        </w:rPr>
        <w:lastRenderedPageBreak/>
        <w:t>de cambio de</w:t>
      </w:r>
      <w:r w:rsidR="005E4B54" w:rsidRPr="009809B2">
        <w:rPr>
          <w:rFonts w:cstheme="minorHAnsi"/>
          <w:lang w:val="es-CO"/>
        </w:rPr>
        <w:t xml:space="preserve"> la moneda local con el dólar de </w:t>
      </w:r>
      <w:r w:rsidR="0096685C" w:rsidRPr="009809B2">
        <w:rPr>
          <w:rFonts w:cstheme="minorHAnsi"/>
          <w:lang w:val="es-CO"/>
        </w:rPr>
        <w:t>E</w:t>
      </w:r>
      <w:r w:rsidR="005E4B54" w:rsidRPr="009809B2">
        <w:rPr>
          <w:rFonts w:cstheme="minorHAnsi"/>
          <w:lang w:val="es-CO"/>
        </w:rPr>
        <w:t xml:space="preserve">stados Unidos) </w:t>
      </w:r>
      <w:r w:rsidR="00DE7C52" w:rsidRPr="009809B2">
        <w:rPr>
          <w:rFonts w:cstheme="minorHAnsi"/>
          <w:lang w:val="es-CO"/>
        </w:rPr>
        <w:t xml:space="preserve">pero también </w:t>
      </w:r>
      <w:r w:rsidR="005434C3" w:rsidRPr="009809B2">
        <w:rPr>
          <w:rFonts w:cstheme="minorHAnsi"/>
          <w:lang w:val="es-CO"/>
        </w:rPr>
        <w:t>se util</w:t>
      </w:r>
      <w:r w:rsidR="005E4B54" w:rsidRPr="009809B2">
        <w:rPr>
          <w:rFonts w:cstheme="minorHAnsi"/>
          <w:lang w:val="es-CO"/>
        </w:rPr>
        <w:t xml:space="preserve">izan combinaciones de </w:t>
      </w:r>
      <w:r w:rsidR="00573A8F" w:rsidRPr="009809B2">
        <w:rPr>
          <w:rFonts w:cstheme="minorHAnsi"/>
          <w:lang w:val="es-CO"/>
        </w:rPr>
        <w:t>estos, así:</w:t>
      </w:r>
      <w:r w:rsidR="00B576A2" w:rsidRPr="009809B2">
        <w:rPr>
          <w:rFonts w:cstheme="minorHAnsi"/>
          <w:lang w:val="es-CO"/>
        </w:rPr>
        <w:t xml:space="preserve"> </w:t>
      </w:r>
    </w:p>
    <w:p w14:paraId="28A98852" w14:textId="31D032AF" w:rsidR="0077534A" w:rsidRPr="009809B2" w:rsidRDefault="0077534A" w:rsidP="0086202A">
      <w:pPr>
        <w:keepNext/>
        <w:rPr>
          <w:rFonts w:cstheme="minorHAnsi"/>
          <w:b/>
          <w:lang w:val="es-CO"/>
        </w:rPr>
      </w:pPr>
      <w:r w:rsidRPr="009809B2">
        <w:rPr>
          <w:rFonts w:cstheme="minorHAnsi"/>
          <w:b/>
          <w:lang w:val="es-CO"/>
        </w:rPr>
        <w:t>Chile</w:t>
      </w:r>
    </w:p>
    <w:p w14:paraId="6296534B" w14:textId="75674FBD" w:rsidR="0077534A" w:rsidRPr="009809B2" w:rsidRDefault="0077534A" w:rsidP="00193995">
      <w:pPr>
        <w:rPr>
          <w:rFonts w:cstheme="minorHAnsi"/>
          <w:lang w:val="es-CO"/>
        </w:rPr>
      </w:pPr>
      <w:r w:rsidRPr="009809B2">
        <w:rPr>
          <w:rFonts w:cstheme="minorHAnsi"/>
          <w:lang w:val="es-CO"/>
        </w:rPr>
        <w:t xml:space="preserve">Son utilizados el </w:t>
      </w:r>
      <w:proofErr w:type="spellStart"/>
      <w:r w:rsidRPr="009809B2">
        <w:rPr>
          <w:rFonts w:cstheme="minorHAnsi"/>
          <w:i/>
          <w:lang w:val="es-CO"/>
        </w:rPr>
        <w:t>Consumer</w:t>
      </w:r>
      <w:proofErr w:type="spellEnd"/>
      <w:r w:rsidRPr="009809B2">
        <w:rPr>
          <w:rFonts w:cstheme="minorHAnsi"/>
          <w:i/>
          <w:lang w:val="es-CO"/>
        </w:rPr>
        <w:t xml:space="preserve"> Price </w:t>
      </w:r>
      <w:proofErr w:type="spellStart"/>
      <w:r w:rsidR="00D219F3" w:rsidRPr="009809B2">
        <w:rPr>
          <w:rFonts w:cstheme="minorHAnsi"/>
          <w:i/>
          <w:lang w:val="es-CO"/>
        </w:rPr>
        <w:t>Index</w:t>
      </w:r>
      <w:proofErr w:type="spellEnd"/>
      <w:r w:rsidR="00D219F3" w:rsidRPr="009809B2">
        <w:rPr>
          <w:rFonts w:cstheme="minorHAnsi"/>
          <w:i/>
          <w:lang w:val="es-CO"/>
        </w:rPr>
        <w:t xml:space="preserve"> (</w:t>
      </w:r>
      <w:proofErr w:type="spellStart"/>
      <w:r w:rsidR="00D219F3" w:rsidRPr="009809B2">
        <w:rPr>
          <w:rFonts w:cstheme="minorHAnsi"/>
          <w:i/>
          <w:lang w:val="es-CO"/>
        </w:rPr>
        <w:t>CPI</w:t>
      </w:r>
      <w:proofErr w:type="spellEnd"/>
      <w:r w:rsidR="00D219F3" w:rsidRPr="009809B2">
        <w:rPr>
          <w:rFonts w:cstheme="minorHAnsi"/>
          <w:i/>
          <w:lang w:val="es-CO"/>
        </w:rPr>
        <w:t>)</w:t>
      </w:r>
      <w:r w:rsidRPr="009809B2">
        <w:rPr>
          <w:rFonts w:cstheme="minorHAnsi"/>
          <w:lang w:val="es-CO"/>
        </w:rPr>
        <w:t>, corregido por el precio del dólar</w:t>
      </w:r>
      <w:r w:rsidR="00EE6C63" w:rsidRPr="009809B2">
        <w:rPr>
          <w:rFonts w:cstheme="minorHAnsi"/>
          <w:lang w:val="es-CO"/>
        </w:rPr>
        <w:t>, para bienes importados</w:t>
      </w:r>
      <w:r w:rsidRPr="009809B2">
        <w:rPr>
          <w:rFonts w:cstheme="minorHAnsi"/>
          <w:lang w:val="es-CO"/>
        </w:rPr>
        <w:t xml:space="preserve"> y el Índice de Precios al Consumidor</w:t>
      </w:r>
      <w:r w:rsidR="00D219F3" w:rsidRPr="009809B2">
        <w:rPr>
          <w:rFonts w:cstheme="minorHAnsi"/>
          <w:lang w:val="es-CO"/>
        </w:rPr>
        <w:t xml:space="preserve"> (IPC)</w:t>
      </w:r>
      <w:r w:rsidR="00EE6C63" w:rsidRPr="009809B2">
        <w:rPr>
          <w:rFonts w:cstheme="minorHAnsi"/>
          <w:lang w:val="es-CO"/>
        </w:rPr>
        <w:t xml:space="preserve"> para insumos </w:t>
      </w:r>
      <w:r w:rsidR="0011045D" w:rsidRPr="009809B2">
        <w:rPr>
          <w:rFonts w:cstheme="minorHAnsi"/>
          <w:lang w:val="es-CO"/>
        </w:rPr>
        <w:t xml:space="preserve">o bienes </w:t>
      </w:r>
      <w:r w:rsidR="00EE6C63" w:rsidRPr="009809B2">
        <w:rPr>
          <w:rFonts w:cstheme="minorHAnsi"/>
          <w:lang w:val="es-CO"/>
        </w:rPr>
        <w:t>nacionales</w:t>
      </w:r>
      <w:r w:rsidR="00B91D73" w:rsidRPr="009809B2">
        <w:rPr>
          <w:rFonts w:cstheme="minorHAnsi"/>
          <w:lang w:val="es-CO"/>
        </w:rPr>
        <w:t xml:space="preserve">, factores </w:t>
      </w:r>
      <w:r w:rsidR="00CC2608" w:rsidRPr="009809B2">
        <w:rPr>
          <w:rFonts w:cstheme="minorHAnsi"/>
          <w:lang w:val="es-CO"/>
        </w:rPr>
        <w:t>que se combinan de manera distinta</w:t>
      </w:r>
      <w:r w:rsidR="00FC3759" w:rsidRPr="009809B2">
        <w:rPr>
          <w:rFonts w:cstheme="minorHAnsi"/>
          <w:lang w:val="es-CO"/>
        </w:rPr>
        <w:t xml:space="preserve">, en una ecuación </w:t>
      </w:r>
      <w:r w:rsidR="00CC2608" w:rsidRPr="009809B2">
        <w:rPr>
          <w:rFonts w:cstheme="minorHAnsi"/>
          <w:lang w:val="es-CO"/>
        </w:rPr>
        <w:t xml:space="preserve">para </w:t>
      </w:r>
      <w:r w:rsidR="00FC3759" w:rsidRPr="009809B2">
        <w:rPr>
          <w:rFonts w:cstheme="minorHAnsi"/>
          <w:lang w:val="es-CO"/>
        </w:rPr>
        <w:t>cada un</w:t>
      </w:r>
      <w:r w:rsidR="00FC3529" w:rsidRPr="009809B2">
        <w:rPr>
          <w:rFonts w:cstheme="minorHAnsi"/>
          <w:lang w:val="es-CO"/>
        </w:rPr>
        <w:t>a</w:t>
      </w:r>
      <w:r w:rsidR="00FC3759" w:rsidRPr="009809B2">
        <w:rPr>
          <w:rFonts w:cstheme="minorHAnsi"/>
          <w:lang w:val="es-CO"/>
        </w:rPr>
        <w:t xml:space="preserve"> de vari</w:t>
      </w:r>
      <w:r w:rsidR="008F681C" w:rsidRPr="009809B2">
        <w:rPr>
          <w:rFonts w:cstheme="minorHAnsi"/>
          <w:lang w:val="es-CO"/>
        </w:rPr>
        <w:t>as</w:t>
      </w:r>
      <w:r w:rsidR="00CC2608" w:rsidRPr="009809B2">
        <w:rPr>
          <w:rFonts w:cstheme="minorHAnsi"/>
          <w:lang w:val="es-CO"/>
        </w:rPr>
        <w:t xml:space="preserve"> </w:t>
      </w:r>
      <w:r w:rsidR="008F681C" w:rsidRPr="009809B2">
        <w:rPr>
          <w:rFonts w:cstheme="minorHAnsi"/>
          <w:lang w:val="es-CO"/>
        </w:rPr>
        <w:t>aplicaciones</w:t>
      </w:r>
      <w:r w:rsidR="00CC2608" w:rsidRPr="009809B2">
        <w:rPr>
          <w:rFonts w:cstheme="minorHAnsi"/>
          <w:lang w:val="es-CO"/>
        </w:rPr>
        <w:t xml:space="preserve"> (cargo fijo, cargos de distribución de media o baja tensión)</w:t>
      </w:r>
    </w:p>
    <w:p w14:paraId="285BFB96" w14:textId="74C68F6B" w:rsidR="0011045D" w:rsidRPr="009809B2" w:rsidRDefault="00EE773F" w:rsidP="00596821">
      <w:pPr>
        <w:keepNext/>
        <w:rPr>
          <w:rFonts w:cstheme="minorHAnsi"/>
          <w:b/>
          <w:lang w:val="es-CO"/>
        </w:rPr>
      </w:pPr>
      <w:r w:rsidRPr="009809B2">
        <w:rPr>
          <w:rFonts w:cstheme="minorHAnsi"/>
          <w:b/>
          <w:lang w:val="es-CO"/>
        </w:rPr>
        <w:t>Perú</w:t>
      </w:r>
    </w:p>
    <w:p w14:paraId="39C7B4F7" w14:textId="0F0424A4" w:rsidR="00EE773F" w:rsidRPr="009809B2" w:rsidRDefault="00446A33" w:rsidP="00193995">
      <w:pPr>
        <w:rPr>
          <w:rFonts w:cstheme="minorHAnsi"/>
          <w:lang w:val="es-CO"/>
        </w:rPr>
      </w:pPr>
      <w:r w:rsidRPr="009809B2">
        <w:rPr>
          <w:rFonts w:cstheme="minorHAnsi"/>
          <w:lang w:val="es-CO"/>
        </w:rPr>
        <w:t>De manera similar a Chile, en Perú se utiliza una fórmula compuesta por varios elementos</w:t>
      </w:r>
      <w:r w:rsidR="000C50A8" w:rsidRPr="009809B2">
        <w:rPr>
          <w:rFonts w:cstheme="minorHAnsi"/>
          <w:lang w:val="es-CO"/>
        </w:rPr>
        <w:t xml:space="preserve">: </w:t>
      </w:r>
      <w:r w:rsidR="000A0F41" w:rsidRPr="009809B2">
        <w:rPr>
          <w:rFonts w:cstheme="minorHAnsi"/>
          <w:lang w:val="es-CO"/>
        </w:rPr>
        <w:t>tasa de cambio</w:t>
      </w:r>
      <w:r w:rsidR="00387065" w:rsidRPr="009809B2">
        <w:rPr>
          <w:rFonts w:cstheme="minorHAnsi"/>
          <w:lang w:val="es-CO"/>
        </w:rPr>
        <w:t xml:space="preserve"> del dólar de USA, índice de precios al por mayor (IPM) </w:t>
      </w:r>
      <w:r w:rsidR="0046102D" w:rsidRPr="009809B2">
        <w:rPr>
          <w:rFonts w:cstheme="minorHAnsi"/>
          <w:lang w:val="es-CO"/>
        </w:rPr>
        <w:t>que afecta los porcentaje</w:t>
      </w:r>
      <w:r w:rsidR="000C50A8" w:rsidRPr="009809B2">
        <w:rPr>
          <w:rFonts w:cstheme="minorHAnsi"/>
          <w:lang w:val="es-CO"/>
        </w:rPr>
        <w:t>s</w:t>
      </w:r>
      <w:r w:rsidR="0046102D" w:rsidRPr="009809B2">
        <w:rPr>
          <w:rFonts w:cstheme="minorHAnsi"/>
          <w:lang w:val="es-CO"/>
        </w:rPr>
        <w:t xml:space="preserve"> de mano de obra</w:t>
      </w:r>
      <w:r w:rsidR="000C50A8" w:rsidRPr="009809B2">
        <w:rPr>
          <w:rFonts w:cstheme="minorHAnsi"/>
          <w:lang w:val="es-CO"/>
        </w:rPr>
        <w:t>,</w:t>
      </w:r>
      <w:r w:rsidR="0046102D" w:rsidRPr="009809B2">
        <w:rPr>
          <w:rFonts w:cstheme="minorHAnsi"/>
          <w:lang w:val="es-CO"/>
        </w:rPr>
        <w:t xml:space="preserve"> </w:t>
      </w:r>
      <w:r w:rsidR="00F51DB7" w:rsidRPr="009809B2">
        <w:rPr>
          <w:rFonts w:cstheme="minorHAnsi"/>
          <w:lang w:val="es-CO"/>
        </w:rPr>
        <w:t>índice de precio del cobre (</w:t>
      </w:r>
      <w:proofErr w:type="spellStart"/>
      <w:r w:rsidR="00F51DB7" w:rsidRPr="009809B2">
        <w:rPr>
          <w:rFonts w:cstheme="minorHAnsi"/>
          <w:lang w:val="es-CO"/>
        </w:rPr>
        <w:t>IP</w:t>
      </w:r>
      <w:r w:rsidR="0046102D" w:rsidRPr="009809B2">
        <w:rPr>
          <w:rFonts w:cstheme="minorHAnsi"/>
          <w:lang w:val="es-CO"/>
        </w:rPr>
        <w:t>Cu</w:t>
      </w:r>
      <w:proofErr w:type="spellEnd"/>
      <w:r w:rsidR="00F51DB7" w:rsidRPr="009809B2">
        <w:rPr>
          <w:rFonts w:cstheme="minorHAnsi"/>
          <w:lang w:val="es-CO"/>
        </w:rPr>
        <w:t>)</w:t>
      </w:r>
      <w:r w:rsidR="000C50A8" w:rsidRPr="009809B2">
        <w:rPr>
          <w:rFonts w:cstheme="minorHAnsi"/>
          <w:lang w:val="es-CO"/>
        </w:rPr>
        <w:t xml:space="preserve"> e</w:t>
      </w:r>
      <w:r w:rsidR="00F51DB7" w:rsidRPr="009809B2">
        <w:rPr>
          <w:rFonts w:cstheme="minorHAnsi"/>
          <w:lang w:val="es-CO"/>
        </w:rPr>
        <w:t xml:space="preserve"> índice de precios del aluminio (IPAI)</w:t>
      </w:r>
      <w:r w:rsidR="000C50A8" w:rsidRPr="009809B2">
        <w:rPr>
          <w:rFonts w:cstheme="minorHAnsi"/>
          <w:lang w:val="es-CO"/>
        </w:rPr>
        <w:t xml:space="preserve"> para la</w:t>
      </w:r>
      <w:r w:rsidR="001866B3" w:rsidRPr="009809B2">
        <w:rPr>
          <w:rFonts w:cstheme="minorHAnsi"/>
          <w:lang w:val="es-CO"/>
        </w:rPr>
        <w:t xml:space="preserve"> </w:t>
      </w:r>
      <w:r w:rsidR="000C50A8" w:rsidRPr="009809B2">
        <w:rPr>
          <w:rFonts w:cstheme="minorHAnsi"/>
          <w:lang w:val="es-CO"/>
        </w:rPr>
        <w:t xml:space="preserve">participación de la inversión </w:t>
      </w:r>
      <w:r w:rsidR="00850916" w:rsidRPr="009809B2">
        <w:rPr>
          <w:rFonts w:cstheme="minorHAnsi"/>
          <w:lang w:val="es-CO"/>
        </w:rPr>
        <w:t xml:space="preserve">asociado, diferenciando coeficientes </w:t>
      </w:r>
      <w:r w:rsidR="00067877" w:rsidRPr="009809B2">
        <w:rPr>
          <w:rFonts w:cstheme="minorHAnsi"/>
          <w:lang w:val="es-CO"/>
        </w:rPr>
        <w:t>para cada aplicación</w:t>
      </w:r>
      <w:r w:rsidR="00FF50DC" w:rsidRPr="009809B2">
        <w:rPr>
          <w:rFonts w:cstheme="minorHAnsi"/>
          <w:lang w:val="es-CO"/>
        </w:rPr>
        <w:t xml:space="preserve"> (media tensión, baja tensión y subestaciones)</w:t>
      </w:r>
      <w:r w:rsidR="00BE2F11" w:rsidRPr="009809B2">
        <w:rPr>
          <w:rFonts w:cstheme="minorHAnsi"/>
          <w:lang w:val="es-CO"/>
        </w:rPr>
        <w:t>.</w:t>
      </w:r>
    </w:p>
    <w:p w14:paraId="0436CA41" w14:textId="77777777" w:rsidR="00E6216E" w:rsidRPr="009809B2" w:rsidRDefault="00BF25BD" w:rsidP="00193995">
      <w:pPr>
        <w:rPr>
          <w:rFonts w:cstheme="minorHAnsi"/>
          <w:b/>
          <w:lang w:val="es-CO"/>
        </w:rPr>
      </w:pPr>
      <w:r w:rsidRPr="009809B2">
        <w:rPr>
          <w:rFonts w:cstheme="minorHAnsi"/>
          <w:b/>
          <w:lang w:val="es-CO"/>
        </w:rPr>
        <w:t>Panamá</w:t>
      </w:r>
    </w:p>
    <w:p w14:paraId="3C680BC3" w14:textId="77777777" w:rsidR="00F815B3" w:rsidRPr="009809B2" w:rsidRDefault="00F41E7A" w:rsidP="00193995">
      <w:pPr>
        <w:rPr>
          <w:rFonts w:cstheme="minorHAnsi"/>
          <w:lang w:val="es-CO"/>
        </w:rPr>
      </w:pPr>
      <w:r w:rsidRPr="009809B2">
        <w:rPr>
          <w:rFonts w:cstheme="minorHAnsi"/>
          <w:lang w:val="es-CO"/>
        </w:rPr>
        <w:t>El costo de distribuci</w:t>
      </w:r>
      <w:r w:rsidR="008E63F8" w:rsidRPr="009809B2">
        <w:rPr>
          <w:rFonts w:cstheme="minorHAnsi"/>
          <w:lang w:val="es-CO"/>
        </w:rPr>
        <w:t>ón se actualiza con una “porción” del IPC</w:t>
      </w:r>
      <w:r w:rsidR="00F815B3" w:rsidRPr="009809B2">
        <w:rPr>
          <w:rFonts w:cstheme="minorHAnsi"/>
          <w:lang w:val="es-CO"/>
        </w:rPr>
        <w:t>, efecto revisado de manera semestral.</w:t>
      </w:r>
    </w:p>
    <w:p w14:paraId="72ADD96F" w14:textId="77777777" w:rsidR="00F815B3" w:rsidRPr="009809B2" w:rsidRDefault="00F815B3" w:rsidP="00193995">
      <w:pPr>
        <w:rPr>
          <w:rFonts w:cstheme="minorHAnsi"/>
          <w:b/>
          <w:lang w:val="es-CO"/>
        </w:rPr>
      </w:pPr>
      <w:r w:rsidRPr="009809B2">
        <w:rPr>
          <w:rFonts w:cstheme="minorHAnsi"/>
          <w:b/>
          <w:lang w:val="es-CO"/>
        </w:rPr>
        <w:t>El Salvador</w:t>
      </w:r>
    </w:p>
    <w:p w14:paraId="6420AF71" w14:textId="7FFD720E" w:rsidR="00930AE8" w:rsidRPr="009809B2" w:rsidRDefault="00F815B3" w:rsidP="00193995">
      <w:pPr>
        <w:rPr>
          <w:rFonts w:cstheme="minorHAnsi"/>
          <w:lang w:val="es-CO"/>
        </w:rPr>
      </w:pPr>
      <w:r w:rsidRPr="009809B2">
        <w:rPr>
          <w:rFonts w:cstheme="minorHAnsi"/>
          <w:lang w:val="es-CO"/>
        </w:rPr>
        <w:t xml:space="preserve">Al igual que en Chile, la actualización </w:t>
      </w:r>
      <w:r w:rsidR="0069665D" w:rsidRPr="009809B2">
        <w:rPr>
          <w:rFonts w:cstheme="minorHAnsi"/>
          <w:lang w:val="es-CO"/>
        </w:rPr>
        <w:t xml:space="preserve">del costo de </w:t>
      </w:r>
      <w:r w:rsidR="00246761" w:rsidRPr="009809B2">
        <w:rPr>
          <w:rFonts w:cstheme="minorHAnsi"/>
          <w:lang w:val="es-CO"/>
        </w:rPr>
        <w:t>distribución se</w:t>
      </w:r>
      <w:r w:rsidRPr="009809B2">
        <w:rPr>
          <w:rFonts w:cstheme="minorHAnsi"/>
          <w:lang w:val="es-CO"/>
        </w:rPr>
        <w:t xml:space="preserve"> efectúa con base en la combinación de </w:t>
      </w:r>
      <w:r w:rsidR="0069665D" w:rsidRPr="009809B2">
        <w:rPr>
          <w:rFonts w:cstheme="minorHAnsi"/>
          <w:lang w:val="es-CO"/>
        </w:rPr>
        <w:t xml:space="preserve">IPC y tasa de cambio, mientras que el costo de comercialización </w:t>
      </w:r>
      <w:r w:rsidR="00930AE8" w:rsidRPr="009809B2">
        <w:rPr>
          <w:rFonts w:cstheme="minorHAnsi"/>
          <w:lang w:val="es-CO"/>
        </w:rPr>
        <w:t>se actualiza, como en el caso colombiano, sólo con el IPC.</w:t>
      </w:r>
    </w:p>
    <w:p w14:paraId="35587447" w14:textId="7056DCF9" w:rsidR="00930AE8" w:rsidRPr="009809B2" w:rsidRDefault="00930AE8" w:rsidP="00193995">
      <w:pPr>
        <w:rPr>
          <w:rFonts w:cstheme="minorHAnsi"/>
          <w:b/>
          <w:lang w:val="es-CO"/>
        </w:rPr>
      </w:pPr>
      <w:r w:rsidRPr="009809B2">
        <w:rPr>
          <w:rFonts w:cstheme="minorHAnsi"/>
          <w:b/>
          <w:lang w:val="es-CO"/>
        </w:rPr>
        <w:t>Guatemala</w:t>
      </w:r>
    </w:p>
    <w:p w14:paraId="341D28D7" w14:textId="441DCE7F" w:rsidR="00BF25BD" w:rsidRPr="009809B2" w:rsidRDefault="006B5CB9" w:rsidP="00193995">
      <w:pPr>
        <w:rPr>
          <w:rFonts w:cstheme="minorHAnsi"/>
          <w:lang w:val="es-CO"/>
        </w:rPr>
      </w:pPr>
      <w:r w:rsidRPr="009809B2">
        <w:rPr>
          <w:rFonts w:cstheme="minorHAnsi"/>
          <w:lang w:val="es-CO"/>
        </w:rPr>
        <w:t xml:space="preserve">De manera similar </w:t>
      </w:r>
      <w:proofErr w:type="gramStart"/>
      <w:r w:rsidRPr="009809B2">
        <w:rPr>
          <w:rFonts w:cstheme="minorHAnsi"/>
          <w:lang w:val="es-CO"/>
        </w:rPr>
        <w:t>que</w:t>
      </w:r>
      <w:proofErr w:type="gramEnd"/>
      <w:r w:rsidRPr="009809B2">
        <w:rPr>
          <w:rFonts w:cstheme="minorHAnsi"/>
          <w:lang w:val="es-CO"/>
        </w:rPr>
        <w:t xml:space="preserve"> en </w:t>
      </w:r>
      <w:r w:rsidR="000D1A30" w:rsidRPr="009809B2">
        <w:rPr>
          <w:rFonts w:cstheme="minorHAnsi"/>
          <w:lang w:val="es-CO"/>
        </w:rPr>
        <w:t>E</w:t>
      </w:r>
      <w:r w:rsidRPr="009809B2">
        <w:rPr>
          <w:rFonts w:cstheme="minorHAnsi"/>
          <w:lang w:val="es-CO"/>
        </w:rPr>
        <w:t xml:space="preserve">l </w:t>
      </w:r>
      <w:r w:rsidR="000D1A30" w:rsidRPr="009809B2">
        <w:rPr>
          <w:rFonts w:cstheme="minorHAnsi"/>
          <w:lang w:val="es-CO"/>
        </w:rPr>
        <w:t>S</w:t>
      </w:r>
      <w:r w:rsidRPr="009809B2">
        <w:rPr>
          <w:rFonts w:cstheme="minorHAnsi"/>
          <w:lang w:val="es-CO"/>
        </w:rPr>
        <w:t xml:space="preserve">alvador, la actualización </w:t>
      </w:r>
      <w:r w:rsidR="00246761" w:rsidRPr="009809B2">
        <w:rPr>
          <w:rFonts w:cstheme="minorHAnsi"/>
          <w:lang w:val="es-CO"/>
        </w:rPr>
        <w:t xml:space="preserve">del costo de distribución </w:t>
      </w:r>
      <w:r w:rsidRPr="009809B2">
        <w:rPr>
          <w:rFonts w:cstheme="minorHAnsi"/>
          <w:lang w:val="es-CO"/>
        </w:rPr>
        <w:t xml:space="preserve">se realiza </w:t>
      </w:r>
      <w:r w:rsidR="000D1A30" w:rsidRPr="009809B2">
        <w:rPr>
          <w:rFonts w:cstheme="minorHAnsi"/>
          <w:lang w:val="es-CO"/>
        </w:rPr>
        <w:t>combinando IPP y tasa de cambio del dólar de USA</w:t>
      </w:r>
      <w:r w:rsidR="00246761" w:rsidRPr="009809B2">
        <w:rPr>
          <w:rFonts w:cstheme="minorHAnsi"/>
          <w:lang w:val="es-CO"/>
        </w:rPr>
        <w:t xml:space="preserve"> y la comercialización con IPC.</w:t>
      </w:r>
    </w:p>
    <w:p w14:paraId="5D98DB49" w14:textId="5623E2F9" w:rsidR="00246761" w:rsidRPr="009809B2" w:rsidRDefault="00DE0BAF" w:rsidP="00193995">
      <w:pPr>
        <w:rPr>
          <w:rFonts w:cstheme="minorHAnsi"/>
          <w:b/>
          <w:lang w:val="es-CO"/>
        </w:rPr>
      </w:pPr>
      <w:r w:rsidRPr="009809B2">
        <w:rPr>
          <w:rFonts w:cstheme="minorHAnsi"/>
          <w:b/>
          <w:lang w:val="es-CO"/>
        </w:rPr>
        <w:t>Reino Unido</w:t>
      </w:r>
    </w:p>
    <w:p w14:paraId="2E123815" w14:textId="4C0612D2" w:rsidR="00DE0BAF" w:rsidRPr="009809B2" w:rsidRDefault="00856F94" w:rsidP="00193995">
      <w:pPr>
        <w:rPr>
          <w:rFonts w:cstheme="minorHAnsi"/>
          <w:lang w:val="es-CO"/>
        </w:rPr>
      </w:pPr>
      <w:r w:rsidRPr="009809B2">
        <w:rPr>
          <w:rFonts w:cstheme="minorHAnsi"/>
          <w:lang w:val="es-CO"/>
        </w:rPr>
        <w:t xml:space="preserve">En el reino unido se utiliza </w:t>
      </w:r>
      <w:r w:rsidR="008413E0" w:rsidRPr="009809B2">
        <w:rPr>
          <w:rFonts w:cstheme="minorHAnsi"/>
          <w:lang w:val="es-CO"/>
        </w:rPr>
        <w:t xml:space="preserve">un solo indexador: </w:t>
      </w:r>
      <w:proofErr w:type="spellStart"/>
      <w:r w:rsidR="008413E0" w:rsidRPr="009809B2">
        <w:rPr>
          <w:rFonts w:cstheme="minorHAnsi"/>
          <w:lang w:val="es-CO"/>
        </w:rPr>
        <w:t>CPI</w:t>
      </w:r>
      <w:proofErr w:type="spellEnd"/>
      <w:r w:rsidR="008413E0" w:rsidRPr="009809B2">
        <w:rPr>
          <w:rFonts w:cstheme="minorHAnsi"/>
          <w:lang w:val="es-CO"/>
        </w:rPr>
        <w:t xml:space="preserve"> (</w:t>
      </w:r>
      <w:proofErr w:type="spellStart"/>
      <w:r w:rsidR="008413E0" w:rsidRPr="009809B2">
        <w:rPr>
          <w:rFonts w:cstheme="minorHAnsi"/>
          <w:i/>
          <w:lang w:val="es-CO"/>
        </w:rPr>
        <w:t>Consumer</w:t>
      </w:r>
      <w:proofErr w:type="spellEnd"/>
      <w:r w:rsidR="008413E0" w:rsidRPr="009809B2">
        <w:rPr>
          <w:rFonts w:cstheme="minorHAnsi"/>
          <w:i/>
          <w:lang w:val="es-CO"/>
        </w:rPr>
        <w:t xml:space="preserve"> Price </w:t>
      </w:r>
      <w:proofErr w:type="spellStart"/>
      <w:r w:rsidR="008413E0" w:rsidRPr="009809B2">
        <w:rPr>
          <w:rFonts w:cstheme="minorHAnsi"/>
          <w:i/>
          <w:lang w:val="es-CO"/>
        </w:rPr>
        <w:t>index</w:t>
      </w:r>
      <w:proofErr w:type="spellEnd"/>
      <w:r w:rsidR="008413E0" w:rsidRPr="009809B2">
        <w:rPr>
          <w:rFonts w:cstheme="minorHAnsi"/>
          <w:lang w:val="es-CO"/>
        </w:rPr>
        <w:t xml:space="preserve">) </w:t>
      </w:r>
      <w:r w:rsidR="00753203" w:rsidRPr="009809B2">
        <w:rPr>
          <w:rFonts w:cstheme="minorHAnsi"/>
          <w:lang w:val="es-CO"/>
        </w:rPr>
        <w:t>de forma anual.</w:t>
      </w:r>
    </w:p>
    <w:p w14:paraId="2723BE25" w14:textId="6EFF9C6B" w:rsidR="00753203" w:rsidRPr="009809B2" w:rsidRDefault="00753203" w:rsidP="00193995">
      <w:pPr>
        <w:rPr>
          <w:rFonts w:cstheme="minorHAnsi"/>
          <w:b/>
          <w:lang w:val="es-CO"/>
        </w:rPr>
      </w:pPr>
      <w:r w:rsidRPr="009809B2">
        <w:rPr>
          <w:rFonts w:cstheme="minorHAnsi"/>
          <w:b/>
          <w:lang w:val="es-CO"/>
        </w:rPr>
        <w:t>Unión Europea</w:t>
      </w:r>
    </w:p>
    <w:p w14:paraId="0564E4EE" w14:textId="15F4D0F7" w:rsidR="00753203" w:rsidRPr="009809B2" w:rsidRDefault="00D611F0" w:rsidP="00193995">
      <w:pPr>
        <w:rPr>
          <w:rFonts w:cstheme="minorHAnsi"/>
          <w:lang w:val="es-CO"/>
        </w:rPr>
      </w:pPr>
      <w:r w:rsidRPr="009809B2">
        <w:rPr>
          <w:rFonts w:cstheme="minorHAnsi"/>
          <w:lang w:val="es-CO"/>
        </w:rPr>
        <w:t>Existen</w:t>
      </w:r>
      <w:r w:rsidR="000D00BD" w:rsidRPr="009809B2">
        <w:rPr>
          <w:rFonts w:cstheme="minorHAnsi"/>
          <w:lang w:val="es-CO"/>
        </w:rPr>
        <w:t xml:space="preserve">, principalmente, </w:t>
      </w:r>
      <w:r w:rsidR="002871A9" w:rsidRPr="009809B2">
        <w:rPr>
          <w:rFonts w:cstheme="minorHAnsi"/>
          <w:lang w:val="es-CO"/>
        </w:rPr>
        <w:t>tres</w:t>
      </w:r>
      <w:r w:rsidR="000D00BD" w:rsidRPr="009809B2">
        <w:rPr>
          <w:rFonts w:cstheme="minorHAnsi"/>
          <w:lang w:val="es-CO"/>
        </w:rPr>
        <w:t xml:space="preserve"> tipos de indexadores. El primero que utiliza solamente </w:t>
      </w:r>
      <w:r w:rsidR="00AF7FAD" w:rsidRPr="009809B2">
        <w:rPr>
          <w:rFonts w:cstheme="minorHAnsi"/>
          <w:lang w:val="es-CO"/>
        </w:rPr>
        <w:t xml:space="preserve">el índice de </w:t>
      </w:r>
      <w:r w:rsidR="000D00BD" w:rsidRPr="009809B2">
        <w:rPr>
          <w:rFonts w:cstheme="minorHAnsi"/>
          <w:lang w:val="es-CO"/>
        </w:rPr>
        <w:t>inflación</w:t>
      </w:r>
      <w:r w:rsidR="002871A9" w:rsidRPr="009809B2">
        <w:rPr>
          <w:rFonts w:cstheme="minorHAnsi"/>
          <w:lang w:val="es-CO"/>
        </w:rPr>
        <w:t>,</w:t>
      </w:r>
      <w:r w:rsidR="00AF7FAD" w:rsidRPr="009809B2">
        <w:rPr>
          <w:rFonts w:cstheme="minorHAnsi"/>
          <w:lang w:val="es-CO"/>
        </w:rPr>
        <w:t xml:space="preserve"> el segundo que le resta la variable X (productividad) al índice de inflación</w:t>
      </w:r>
      <w:r w:rsidR="002871A9" w:rsidRPr="009809B2">
        <w:rPr>
          <w:rFonts w:cstheme="minorHAnsi"/>
          <w:lang w:val="es-CO"/>
        </w:rPr>
        <w:t xml:space="preserve"> y el tercero que utiliza </w:t>
      </w:r>
      <w:r w:rsidR="00FA7B79" w:rsidRPr="009809B2">
        <w:rPr>
          <w:rFonts w:cstheme="minorHAnsi"/>
          <w:lang w:val="es-CO"/>
        </w:rPr>
        <w:t>índices de precios al productor para las bases de activos</w:t>
      </w:r>
      <w:r w:rsidR="00AF7FAD" w:rsidRPr="009809B2">
        <w:rPr>
          <w:rFonts w:cstheme="minorHAnsi"/>
          <w:lang w:val="es-CO"/>
        </w:rPr>
        <w:t>.</w:t>
      </w:r>
    </w:p>
    <w:p w14:paraId="09ECF8B8" w14:textId="77E5ED2A" w:rsidR="00FA7B79" w:rsidRPr="009809B2" w:rsidRDefault="00F57662" w:rsidP="00193995">
      <w:pPr>
        <w:rPr>
          <w:rFonts w:cstheme="minorHAnsi"/>
          <w:b/>
          <w:lang w:val="es-CO"/>
        </w:rPr>
      </w:pPr>
      <w:r w:rsidRPr="009809B2">
        <w:rPr>
          <w:rFonts w:cstheme="minorHAnsi"/>
          <w:b/>
          <w:lang w:val="es-CO"/>
        </w:rPr>
        <w:lastRenderedPageBreak/>
        <w:t>México</w:t>
      </w:r>
    </w:p>
    <w:p w14:paraId="2243F6E0" w14:textId="78691783" w:rsidR="00F57662" w:rsidRPr="009809B2" w:rsidRDefault="00BC1F9E" w:rsidP="00193995">
      <w:pPr>
        <w:rPr>
          <w:rFonts w:cstheme="minorHAnsi"/>
          <w:lang w:val="es-CO"/>
        </w:rPr>
      </w:pPr>
      <w:r w:rsidRPr="009809B2">
        <w:rPr>
          <w:rFonts w:cstheme="minorHAnsi"/>
          <w:lang w:val="es-CO"/>
        </w:rPr>
        <w:t xml:space="preserve">Similar a otros </w:t>
      </w:r>
      <w:r w:rsidR="00FD7137" w:rsidRPr="009809B2">
        <w:rPr>
          <w:rFonts w:cstheme="minorHAnsi"/>
          <w:lang w:val="es-CO"/>
        </w:rPr>
        <w:t>países, s</w:t>
      </w:r>
      <w:r w:rsidRPr="009809B2">
        <w:rPr>
          <w:rFonts w:cstheme="minorHAnsi"/>
          <w:lang w:val="es-CO"/>
        </w:rPr>
        <w:t xml:space="preserve">e utiliza el IPP </w:t>
      </w:r>
      <w:r w:rsidR="00FD7137" w:rsidRPr="009809B2">
        <w:rPr>
          <w:rFonts w:cstheme="minorHAnsi"/>
          <w:lang w:val="es-CO"/>
        </w:rPr>
        <w:t>–</w:t>
      </w:r>
      <w:r w:rsidRPr="009809B2">
        <w:rPr>
          <w:rFonts w:cstheme="minorHAnsi"/>
          <w:lang w:val="es-CO"/>
        </w:rPr>
        <w:t xml:space="preserve"> X</w:t>
      </w:r>
    </w:p>
    <w:p w14:paraId="346C53C4" w14:textId="14F87DC6" w:rsidR="003C0BCE" w:rsidRPr="009809B2" w:rsidRDefault="003C0BCE" w:rsidP="00193995">
      <w:pPr>
        <w:rPr>
          <w:rFonts w:cstheme="minorHAnsi"/>
          <w:lang w:val="es-CO"/>
        </w:rPr>
      </w:pPr>
      <w:r w:rsidRPr="009809B2">
        <w:rPr>
          <w:rFonts w:cstheme="minorHAnsi"/>
          <w:lang w:val="es-CO"/>
        </w:rPr>
        <w:t xml:space="preserve">Por su parte, en el documento enviado por </w:t>
      </w:r>
      <w:proofErr w:type="spellStart"/>
      <w:r w:rsidRPr="009809B2">
        <w:rPr>
          <w:rFonts w:cstheme="minorHAnsi"/>
          <w:lang w:val="es-CO"/>
        </w:rPr>
        <w:t>Acolgen</w:t>
      </w:r>
      <w:proofErr w:type="spellEnd"/>
      <w:r w:rsidRPr="009809B2">
        <w:rPr>
          <w:rStyle w:val="Refdenotaalpie"/>
          <w:rFonts w:cstheme="minorHAnsi"/>
          <w:lang w:val="es-CO"/>
        </w:rPr>
        <w:footnoteReference w:id="17"/>
      </w:r>
      <w:r w:rsidRPr="009809B2">
        <w:rPr>
          <w:rFonts w:cstheme="minorHAnsi"/>
          <w:lang w:val="es-CO"/>
        </w:rPr>
        <w:t xml:space="preserve"> se consignaron las experiencias de </w:t>
      </w:r>
      <w:r w:rsidR="002F628D" w:rsidRPr="009809B2">
        <w:rPr>
          <w:rFonts w:cstheme="minorHAnsi"/>
          <w:lang w:val="es-CO"/>
        </w:rPr>
        <w:t xml:space="preserve">indexadores utilizados para </w:t>
      </w:r>
      <w:r w:rsidR="00182FCB" w:rsidRPr="009809B2">
        <w:rPr>
          <w:rFonts w:cstheme="minorHAnsi"/>
          <w:lang w:val="es-CO"/>
        </w:rPr>
        <w:t xml:space="preserve">la actividad de </w:t>
      </w:r>
      <w:r w:rsidR="002F628D" w:rsidRPr="009809B2">
        <w:rPr>
          <w:rFonts w:cstheme="minorHAnsi"/>
          <w:lang w:val="es-CO"/>
        </w:rPr>
        <w:t>generación de energía</w:t>
      </w:r>
      <w:r w:rsidR="00182FCB" w:rsidRPr="009809B2">
        <w:rPr>
          <w:rFonts w:cstheme="minorHAnsi"/>
          <w:lang w:val="es-CO"/>
        </w:rPr>
        <w:t xml:space="preserve"> en </w:t>
      </w:r>
      <w:r w:rsidR="00F07333" w:rsidRPr="009809B2">
        <w:rPr>
          <w:rFonts w:cstheme="minorHAnsi"/>
          <w:lang w:val="es-CO"/>
        </w:rPr>
        <w:t>Argentina,</w:t>
      </w:r>
      <w:r w:rsidR="00472FB8" w:rsidRPr="009809B2">
        <w:rPr>
          <w:rFonts w:cstheme="minorHAnsi"/>
          <w:lang w:val="es-CO"/>
        </w:rPr>
        <w:t xml:space="preserve"> Brasil, Chile, </w:t>
      </w:r>
      <w:r w:rsidR="00B7136A" w:rsidRPr="009809B2">
        <w:rPr>
          <w:rFonts w:cstheme="minorHAnsi"/>
          <w:lang w:val="es-CO"/>
        </w:rPr>
        <w:t xml:space="preserve">PJM </w:t>
      </w:r>
      <w:r w:rsidR="00472FB8" w:rsidRPr="009809B2">
        <w:rPr>
          <w:rFonts w:cstheme="minorHAnsi"/>
          <w:lang w:val="es-CO"/>
        </w:rPr>
        <w:t>(USA)</w:t>
      </w:r>
      <w:r w:rsidR="00EE5720" w:rsidRPr="009809B2">
        <w:rPr>
          <w:rFonts w:cstheme="minorHAnsi"/>
          <w:lang w:val="es-CO"/>
        </w:rPr>
        <w:t xml:space="preserve"> y Reino Unido;</w:t>
      </w:r>
      <w:r w:rsidRPr="009809B2">
        <w:rPr>
          <w:rFonts w:cstheme="minorHAnsi"/>
          <w:lang w:val="es-CO"/>
        </w:rPr>
        <w:t xml:space="preserve"> donde, de manera general, se utilizan principalmente</w:t>
      </w:r>
      <w:r w:rsidR="00D71462" w:rsidRPr="009809B2">
        <w:rPr>
          <w:rFonts w:cstheme="minorHAnsi"/>
          <w:lang w:val="es-CO"/>
        </w:rPr>
        <w:t>, al igual que en distribución de energía,</w:t>
      </w:r>
      <w:r w:rsidRPr="009809B2">
        <w:rPr>
          <w:rFonts w:cstheme="minorHAnsi"/>
          <w:lang w:val="es-CO"/>
        </w:rPr>
        <w:t xml:space="preserve"> índices de inflación (similares al IPC o IPP), tasas representativas del mercado (tasa de cambio de la moneda local con el dólar de estados Unidos) </w:t>
      </w:r>
      <w:r w:rsidR="00F125F3" w:rsidRPr="009809B2">
        <w:rPr>
          <w:rFonts w:cstheme="minorHAnsi"/>
          <w:lang w:val="es-CO"/>
        </w:rPr>
        <w:t>y</w:t>
      </w:r>
      <w:r w:rsidRPr="009809B2">
        <w:rPr>
          <w:rFonts w:cstheme="minorHAnsi"/>
          <w:lang w:val="es-CO"/>
        </w:rPr>
        <w:t xml:space="preserve"> también s</w:t>
      </w:r>
      <w:r w:rsidR="00F125F3" w:rsidRPr="009809B2">
        <w:rPr>
          <w:rFonts w:cstheme="minorHAnsi"/>
          <w:lang w:val="es-CO"/>
        </w:rPr>
        <w:t>on usadas algunas</w:t>
      </w:r>
      <w:r w:rsidRPr="009809B2">
        <w:rPr>
          <w:rFonts w:cstheme="minorHAnsi"/>
          <w:lang w:val="es-CO"/>
        </w:rPr>
        <w:t xml:space="preserve"> combinaciones, así: </w:t>
      </w:r>
    </w:p>
    <w:p w14:paraId="406D3979" w14:textId="4073D394" w:rsidR="001946DD" w:rsidRPr="009809B2" w:rsidRDefault="00E467BD" w:rsidP="00193995">
      <w:pPr>
        <w:rPr>
          <w:rFonts w:cstheme="minorHAnsi"/>
          <w:b/>
          <w:lang w:val="es-CO"/>
        </w:rPr>
      </w:pPr>
      <w:r w:rsidRPr="009809B2">
        <w:rPr>
          <w:rFonts w:cstheme="minorHAnsi"/>
          <w:b/>
          <w:lang w:val="es-CO"/>
        </w:rPr>
        <w:t>Argentina</w:t>
      </w:r>
    </w:p>
    <w:p w14:paraId="05E10DD5" w14:textId="0504F218" w:rsidR="001946DD" w:rsidRPr="009809B2" w:rsidRDefault="00670E97" w:rsidP="00193995">
      <w:pPr>
        <w:rPr>
          <w:rFonts w:cstheme="minorHAnsi"/>
          <w:lang w:val="es-CO"/>
        </w:rPr>
      </w:pPr>
      <w:r w:rsidRPr="009809B2">
        <w:rPr>
          <w:rFonts w:cstheme="minorHAnsi"/>
          <w:lang w:val="es-CO"/>
        </w:rPr>
        <w:t xml:space="preserve">El precio de </w:t>
      </w:r>
      <w:r w:rsidR="0073317B" w:rsidRPr="009809B2">
        <w:rPr>
          <w:rFonts w:cstheme="minorHAnsi"/>
          <w:lang w:val="es-CO"/>
        </w:rPr>
        <w:t>producción de energía s</w:t>
      </w:r>
      <w:r w:rsidRPr="009809B2">
        <w:rPr>
          <w:rFonts w:cstheme="minorHAnsi"/>
          <w:lang w:val="es-CO"/>
        </w:rPr>
        <w:t xml:space="preserve">e </w:t>
      </w:r>
      <w:r w:rsidR="000B444A" w:rsidRPr="009809B2">
        <w:rPr>
          <w:rFonts w:cstheme="minorHAnsi"/>
          <w:lang w:val="es-CO"/>
        </w:rPr>
        <w:t xml:space="preserve">realiza con base en la tasa de cambio del dólar de USA, (se entiende que los precios se acuerdan en USD). </w:t>
      </w:r>
      <w:r w:rsidR="00F5067D" w:rsidRPr="009809B2">
        <w:rPr>
          <w:rFonts w:cstheme="minorHAnsi"/>
          <w:lang w:val="es-CO"/>
        </w:rPr>
        <w:t xml:space="preserve">Existe una propuesta de cambiar </w:t>
      </w:r>
      <w:r w:rsidR="00236B8F" w:rsidRPr="009809B2">
        <w:rPr>
          <w:rFonts w:cstheme="minorHAnsi"/>
          <w:lang w:val="es-CO"/>
        </w:rPr>
        <w:t xml:space="preserve">a </w:t>
      </w:r>
      <w:r w:rsidR="00347A13" w:rsidRPr="009809B2">
        <w:rPr>
          <w:rFonts w:cstheme="minorHAnsi"/>
          <w:lang w:val="es-CO"/>
        </w:rPr>
        <w:t>una ponderación de IPC (índice de precios al consumidor) e I</w:t>
      </w:r>
      <w:r w:rsidR="001E79EB" w:rsidRPr="009809B2">
        <w:rPr>
          <w:rFonts w:cstheme="minorHAnsi"/>
          <w:lang w:val="es-CO"/>
        </w:rPr>
        <w:t>PIM (</w:t>
      </w:r>
      <w:r w:rsidR="007E0708" w:rsidRPr="009809B2">
        <w:rPr>
          <w:rFonts w:cstheme="minorHAnsi"/>
          <w:lang w:val="es-CO"/>
        </w:rPr>
        <w:t xml:space="preserve">índice de precios </w:t>
      </w:r>
      <w:r w:rsidR="00690EAE" w:rsidRPr="009809B2">
        <w:rPr>
          <w:rFonts w:cstheme="minorHAnsi"/>
          <w:lang w:val="es-CO"/>
        </w:rPr>
        <w:t xml:space="preserve">internos al por mayor) </w:t>
      </w:r>
      <w:r w:rsidR="009A5365" w:rsidRPr="009809B2">
        <w:rPr>
          <w:rFonts w:cstheme="minorHAnsi"/>
          <w:lang w:val="es-CO"/>
        </w:rPr>
        <w:t>en una proporción de 60% - 40% respectivamente.</w:t>
      </w:r>
    </w:p>
    <w:p w14:paraId="101DAA01" w14:textId="4CEF6797" w:rsidR="001946DD" w:rsidRPr="009809B2" w:rsidRDefault="00886E1C" w:rsidP="00193995">
      <w:pPr>
        <w:rPr>
          <w:rFonts w:cstheme="minorHAnsi"/>
          <w:b/>
          <w:lang w:val="es-CO"/>
        </w:rPr>
      </w:pPr>
      <w:r w:rsidRPr="009809B2">
        <w:rPr>
          <w:rFonts w:cstheme="minorHAnsi"/>
          <w:b/>
          <w:lang w:val="es-CO"/>
        </w:rPr>
        <w:t>Brasil</w:t>
      </w:r>
    </w:p>
    <w:p w14:paraId="3D849C02" w14:textId="16FD59FD" w:rsidR="00886E1C" w:rsidRPr="009809B2" w:rsidRDefault="00C705D2" w:rsidP="00193995">
      <w:pPr>
        <w:rPr>
          <w:rFonts w:cstheme="minorHAnsi"/>
          <w:lang w:val="es-CO"/>
        </w:rPr>
      </w:pPr>
      <w:r w:rsidRPr="009809B2">
        <w:rPr>
          <w:rFonts w:cstheme="minorHAnsi"/>
          <w:lang w:val="es-CO"/>
        </w:rPr>
        <w:t xml:space="preserve">Aquí se </w:t>
      </w:r>
      <w:r w:rsidR="0089289E" w:rsidRPr="009809B2">
        <w:rPr>
          <w:rFonts w:cstheme="minorHAnsi"/>
          <w:lang w:val="es-CO"/>
        </w:rPr>
        <w:t xml:space="preserve">utilizan </w:t>
      </w:r>
      <w:r w:rsidR="004E2564" w:rsidRPr="009809B2">
        <w:rPr>
          <w:rFonts w:cstheme="minorHAnsi"/>
          <w:lang w:val="es-CO"/>
        </w:rPr>
        <w:t>el índice de precios al consumidor amplio (IPCA</w:t>
      </w:r>
      <w:r w:rsidR="00616DE7" w:rsidRPr="009809B2">
        <w:rPr>
          <w:rFonts w:cstheme="minorHAnsi"/>
          <w:lang w:val="es-CO"/>
        </w:rPr>
        <w:t xml:space="preserve"> que no es el oficial que mide la inflación)</w:t>
      </w:r>
      <w:r w:rsidR="008567C6" w:rsidRPr="009809B2">
        <w:rPr>
          <w:rFonts w:cstheme="minorHAnsi"/>
          <w:lang w:val="es-CO"/>
        </w:rPr>
        <w:t>, el índice</w:t>
      </w:r>
      <w:r w:rsidR="00616DE7" w:rsidRPr="009809B2">
        <w:rPr>
          <w:rFonts w:cstheme="minorHAnsi"/>
          <w:lang w:val="es-CO"/>
        </w:rPr>
        <w:t xml:space="preserve"> </w:t>
      </w:r>
      <w:r w:rsidR="00B56BC8" w:rsidRPr="009809B2">
        <w:rPr>
          <w:rFonts w:cstheme="minorHAnsi"/>
          <w:lang w:val="es-CO"/>
        </w:rPr>
        <w:t>general de precios de mercado (IGP</w:t>
      </w:r>
      <w:r w:rsidR="006B40BB" w:rsidRPr="009809B2">
        <w:rPr>
          <w:rFonts w:cstheme="minorHAnsi"/>
          <w:lang w:val="es-CO"/>
        </w:rPr>
        <w:t xml:space="preserve">-M) </w:t>
      </w:r>
      <w:r w:rsidR="00BC5880" w:rsidRPr="009809B2">
        <w:rPr>
          <w:rFonts w:cstheme="minorHAnsi"/>
          <w:lang w:val="es-CO"/>
        </w:rPr>
        <w:t>que</w:t>
      </w:r>
      <w:r w:rsidR="000A7001" w:rsidRPr="009809B2">
        <w:rPr>
          <w:rFonts w:cstheme="minorHAnsi"/>
          <w:lang w:val="es-CO"/>
        </w:rPr>
        <w:t>,</w:t>
      </w:r>
      <w:r w:rsidR="00BC5880" w:rsidRPr="009809B2">
        <w:rPr>
          <w:rFonts w:cstheme="minorHAnsi"/>
          <w:lang w:val="es-CO"/>
        </w:rPr>
        <w:t xml:space="preserve"> a su vez, se calcula c</w:t>
      </w:r>
      <w:r w:rsidR="002A18D1" w:rsidRPr="009809B2">
        <w:rPr>
          <w:rFonts w:cstheme="minorHAnsi"/>
          <w:lang w:val="es-CO"/>
        </w:rPr>
        <w:t>o</w:t>
      </w:r>
      <w:r w:rsidR="00BC5880" w:rsidRPr="009809B2">
        <w:rPr>
          <w:rFonts w:cstheme="minorHAnsi"/>
          <w:lang w:val="es-CO"/>
        </w:rPr>
        <w:t xml:space="preserve">n base en el </w:t>
      </w:r>
      <w:r w:rsidR="00624B51" w:rsidRPr="009809B2">
        <w:rPr>
          <w:rFonts w:cstheme="minorHAnsi"/>
          <w:lang w:val="es-CO"/>
        </w:rPr>
        <w:t>índice de precios de productos industriales y agrícolas en el mercado mayorista</w:t>
      </w:r>
      <w:r w:rsidR="004E2564" w:rsidRPr="009809B2">
        <w:rPr>
          <w:rFonts w:cstheme="minorHAnsi"/>
          <w:lang w:val="es-CO"/>
        </w:rPr>
        <w:t xml:space="preserve"> </w:t>
      </w:r>
      <w:r w:rsidR="00550C65" w:rsidRPr="009809B2">
        <w:rPr>
          <w:rFonts w:cstheme="minorHAnsi"/>
          <w:lang w:val="es-CO"/>
        </w:rPr>
        <w:t>(</w:t>
      </w:r>
      <w:r w:rsidR="007A7D32" w:rsidRPr="009809B2">
        <w:rPr>
          <w:rFonts w:cstheme="minorHAnsi"/>
          <w:lang w:val="es-CO"/>
        </w:rPr>
        <w:t xml:space="preserve">60%), </w:t>
      </w:r>
      <w:r w:rsidR="006F7760" w:rsidRPr="009809B2">
        <w:rPr>
          <w:rFonts w:cstheme="minorHAnsi"/>
          <w:lang w:val="es-CO"/>
        </w:rPr>
        <w:t xml:space="preserve">índice de precios del mercado de consumo </w:t>
      </w:r>
      <w:r w:rsidR="00024C92" w:rsidRPr="009809B2">
        <w:rPr>
          <w:rFonts w:cstheme="minorHAnsi"/>
          <w:lang w:val="es-CO"/>
        </w:rPr>
        <w:t xml:space="preserve">(30%) </w:t>
      </w:r>
      <w:r w:rsidR="001D0D90" w:rsidRPr="009809B2">
        <w:rPr>
          <w:rFonts w:cstheme="minorHAnsi"/>
          <w:lang w:val="es-CO"/>
        </w:rPr>
        <w:t xml:space="preserve">y el índice </w:t>
      </w:r>
      <w:r w:rsidR="00EC680D" w:rsidRPr="009809B2">
        <w:rPr>
          <w:rFonts w:cstheme="minorHAnsi"/>
          <w:lang w:val="es-CO"/>
        </w:rPr>
        <w:t>nacional de costo del mercado de la construcción (10%)</w:t>
      </w:r>
      <w:r w:rsidR="004E2564" w:rsidRPr="009809B2">
        <w:rPr>
          <w:rFonts w:cstheme="minorHAnsi"/>
          <w:lang w:val="es-CO"/>
        </w:rPr>
        <w:t xml:space="preserve"> </w:t>
      </w:r>
    </w:p>
    <w:p w14:paraId="397E886D" w14:textId="74E4710A" w:rsidR="001946DD" w:rsidRPr="009809B2" w:rsidRDefault="00CC1066" w:rsidP="00193995">
      <w:pPr>
        <w:rPr>
          <w:rFonts w:cstheme="minorHAnsi"/>
          <w:b/>
          <w:lang w:val="es-CO"/>
        </w:rPr>
      </w:pPr>
      <w:r w:rsidRPr="009809B2">
        <w:rPr>
          <w:rFonts w:cstheme="minorHAnsi"/>
          <w:b/>
          <w:lang w:val="es-CO"/>
        </w:rPr>
        <w:t>PJM</w:t>
      </w:r>
    </w:p>
    <w:p w14:paraId="1B2A7CEF" w14:textId="1699D365" w:rsidR="00CC1066" w:rsidRPr="009809B2" w:rsidRDefault="007D3E21" w:rsidP="00193995">
      <w:pPr>
        <w:rPr>
          <w:rFonts w:cstheme="minorHAnsi"/>
          <w:lang w:val="es-CO"/>
        </w:rPr>
      </w:pPr>
      <w:r w:rsidRPr="009809B2">
        <w:rPr>
          <w:rFonts w:cstheme="minorHAnsi"/>
          <w:lang w:val="es-CO"/>
        </w:rPr>
        <w:t xml:space="preserve">Se utilizan tanto el </w:t>
      </w:r>
      <w:proofErr w:type="spellStart"/>
      <w:r w:rsidR="00EB5D4F" w:rsidRPr="009809B2">
        <w:rPr>
          <w:rFonts w:cstheme="minorHAnsi"/>
          <w:i/>
          <w:lang w:val="es-CO"/>
        </w:rPr>
        <w:t>Product</w:t>
      </w:r>
      <w:proofErr w:type="spellEnd"/>
      <w:r w:rsidR="006F22D2" w:rsidRPr="009809B2">
        <w:rPr>
          <w:rFonts w:cstheme="minorHAnsi"/>
          <w:i/>
          <w:lang w:val="es-CO"/>
        </w:rPr>
        <w:t xml:space="preserve"> Price </w:t>
      </w:r>
      <w:proofErr w:type="spellStart"/>
      <w:r w:rsidR="00EB5D4F" w:rsidRPr="009809B2">
        <w:rPr>
          <w:rFonts w:cstheme="minorHAnsi"/>
          <w:i/>
          <w:lang w:val="es-CO"/>
        </w:rPr>
        <w:t>Index</w:t>
      </w:r>
      <w:proofErr w:type="spellEnd"/>
      <w:r w:rsidR="006F22D2" w:rsidRPr="009809B2">
        <w:rPr>
          <w:rFonts w:cstheme="minorHAnsi"/>
          <w:i/>
          <w:lang w:val="es-CO"/>
        </w:rPr>
        <w:t xml:space="preserve"> </w:t>
      </w:r>
      <w:r w:rsidR="006F22D2" w:rsidRPr="009809B2">
        <w:rPr>
          <w:rFonts w:cstheme="minorHAnsi"/>
          <w:lang w:val="es-CO"/>
        </w:rPr>
        <w:t>(</w:t>
      </w:r>
      <w:proofErr w:type="spellStart"/>
      <w:r w:rsidR="004431E6" w:rsidRPr="009809B2">
        <w:rPr>
          <w:rFonts w:cstheme="minorHAnsi"/>
          <w:lang w:val="es-CO"/>
        </w:rPr>
        <w:t>PPI</w:t>
      </w:r>
      <w:proofErr w:type="spellEnd"/>
      <w:r w:rsidR="006F22D2" w:rsidRPr="009809B2">
        <w:rPr>
          <w:rFonts w:cstheme="minorHAnsi"/>
          <w:lang w:val="es-CO"/>
        </w:rPr>
        <w:t>) y el</w:t>
      </w:r>
      <w:r w:rsidR="004431E6" w:rsidRPr="009809B2">
        <w:rPr>
          <w:rFonts w:cstheme="minorHAnsi"/>
          <w:lang w:val="es-CO"/>
        </w:rPr>
        <w:t xml:space="preserve"> </w:t>
      </w:r>
      <w:proofErr w:type="spellStart"/>
      <w:r w:rsidR="00EB5D4F" w:rsidRPr="009809B2">
        <w:rPr>
          <w:rFonts w:cstheme="minorHAnsi"/>
          <w:i/>
          <w:lang w:val="es-CO"/>
        </w:rPr>
        <w:t>Consumer</w:t>
      </w:r>
      <w:proofErr w:type="spellEnd"/>
      <w:r w:rsidR="00EB5D4F" w:rsidRPr="009809B2">
        <w:rPr>
          <w:rFonts w:cstheme="minorHAnsi"/>
          <w:i/>
          <w:lang w:val="es-CO"/>
        </w:rPr>
        <w:t xml:space="preserve"> Price </w:t>
      </w:r>
      <w:proofErr w:type="spellStart"/>
      <w:r w:rsidR="00EB5D4F" w:rsidRPr="009809B2">
        <w:rPr>
          <w:rFonts w:cstheme="minorHAnsi"/>
          <w:i/>
          <w:lang w:val="es-CO"/>
        </w:rPr>
        <w:t>Index</w:t>
      </w:r>
      <w:proofErr w:type="spellEnd"/>
      <w:r w:rsidR="00EB5D4F" w:rsidRPr="009809B2">
        <w:rPr>
          <w:rFonts w:cstheme="minorHAnsi"/>
          <w:lang w:val="es-CO"/>
        </w:rPr>
        <w:t xml:space="preserve"> (</w:t>
      </w:r>
      <w:proofErr w:type="spellStart"/>
      <w:r w:rsidR="000F77C1" w:rsidRPr="009809B2">
        <w:rPr>
          <w:rFonts w:cstheme="minorHAnsi"/>
          <w:lang w:val="es-CO"/>
        </w:rPr>
        <w:t>CPI</w:t>
      </w:r>
      <w:proofErr w:type="spellEnd"/>
      <w:r w:rsidR="00EB5D4F" w:rsidRPr="009809B2">
        <w:rPr>
          <w:rFonts w:cstheme="minorHAnsi"/>
          <w:lang w:val="es-CO"/>
        </w:rPr>
        <w:t xml:space="preserve">) </w:t>
      </w:r>
      <w:r w:rsidR="003441D2" w:rsidRPr="009809B2">
        <w:rPr>
          <w:rFonts w:cstheme="minorHAnsi"/>
          <w:lang w:val="es-CO"/>
        </w:rPr>
        <w:t xml:space="preserve">para el mecanismo de suficiencia de recursos, mientras que </w:t>
      </w:r>
      <w:r w:rsidR="009C1331" w:rsidRPr="009809B2">
        <w:rPr>
          <w:rFonts w:cstheme="minorHAnsi"/>
          <w:lang w:val="es-CO"/>
        </w:rPr>
        <w:t xml:space="preserve">las prácticas de </w:t>
      </w:r>
      <w:r w:rsidR="0051413F" w:rsidRPr="009809B2">
        <w:rPr>
          <w:rFonts w:cstheme="minorHAnsi"/>
          <w:lang w:val="es-CO"/>
        </w:rPr>
        <w:t>contratación</w:t>
      </w:r>
      <w:r w:rsidR="009C1331" w:rsidRPr="009809B2">
        <w:rPr>
          <w:rFonts w:cstheme="minorHAnsi"/>
          <w:lang w:val="es-CO"/>
        </w:rPr>
        <w:t xml:space="preserve"> bilateral </w:t>
      </w:r>
      <w:r w:rsidR="0051413F" w:rsidRPr="009809B2">
        <w:rPr>
          <w:rFonts w:cstheme="minorHAnsi"/>
          <w:lang w:val="es-CO"/>
        </w:rPr>
        <w:t>(</w:t>
      </w:r>
      <w:proofErr w:type="spellStart"/>
      <w:r w:rsidR="0051413F" w:rsidRPr="009809B2">
        <w:rPr>
          <w:rFonts w:cstheme="minorHAnsi"/>
          <w:i/>
          <w:lang w:val="es-CO"/>
        </w:rPr>
        <w:t>power</w:t>
      </w:r>
      <w:proofErr w:type="spellEnd"/>
      <w:r w:rsidR="0051413F" w:rsidRPr="009809B2">
        <w:rPr>
          <w:rFonts w:cstheme="minorHAnsi"/>
          <w:i/>
          <w:lang w:val="es-CO"/>
        </w:rPr>
        <w:t xml:space="preserve"> </w:t>
      </w:r>
      <w:proofErr w:type="spellStart"/>
      <w:r w:rsidR="0051413F" w:rsidRPr="009809B2">
        <w:rPr>
          <w:rFonts w:cstheme="minorHAnsi"/>
          <w:i/>
          <w:lang w:val="es-CO"/>
        </w:rPr>
        <w:t>purchase</w:t>
      </w:r>
      <w:proofErr w:type="spellEnd"/>
      <w:r w:rsidR="0051413F" w:rsidRPr="009809B2">
        <w:rPr>
          <w:rFonts w:cstheme="minorHAnsi"/>
          <w:i/>
          <w:lang w:val="es-CO"/>
        </w:rPr>
        <w:t xml:space="preserve"> </w:t>
      </w:r>
      <w:proofErr w:type="spellStart"/>
      <w:r w:rsidR="0051413F" w:rsidRPr="009809B2">
        <w:rPr>
          <w:rFonts w:cstheme="minorHAnsi"/>
          <w:i/>
          <w:lang w:val="es-CO"/>
        </w:rPr>
        <w:t>agreement</w:t>
      </w:r>
      <w:proofErr w:type="spellEnd"/>
      <w:r w:rsidR="0051413F" w:rsidRPr="009809B2">
        <w:rPr>
          <w:rFonts w:cstheme="minorHAnsi"/>
          <w:lang w:val="es-CO"/>
        </w:rPr>
        <w:t>)</w:t>
      </w:r>
      <w:r w:rsidR="00C97EB9" w:rsidRPr="009809B2">
        <w:rPr>
          <w:rFonts w:cstheme="minorHAnsi"/>
          <w:lang w:val="es-CO"/>
        </w:rPr>
        <w:t xml:space="preserve"> </w:t>
      </w:r>
      <w:r w:rsidR="009C1331" w:rsidRPr="009809B2">
        <w:rPr>
          <w:rFonts w:cstheme="minorHAnsi"/>
          <w:lang w:val="es-CO"/>
        </w:rPr>
        <w:t>utilizan generalmente</w:t>
      </w:r>
      <w:r w:rsidR="003441D2" w:rsidRPr="009809B2">
        <w:rPr>
          <w:rFonts w:cstheme="minorHAnsi"/>
          <w:lang w:val="es-CO"/>
        </w:rPr>
        <w:t xml:space="preserve"> </w:t>
      </w:r>
      <w:r w:rsidR="000634AA" w:rsidRPr="009809B2">
        <w:rPr>
          <w:rFonts w:cstheme="minorHAnsi"/>
          <w:lang w:val="es-CO"/>
        </w:rPr>
        <w:t>el CPI.</w:t>
      </w:r>
    </w:p>
    <w:p w14:paraId="2C16B919" w14:textId="2FB24EB5" w:rsidR="00256671" w:rsidRPr="009809B2" w:rsidRDefault="00256671" w:rsidP="00193995">
      <w:pPr>
        <w:rPr>
          <w:rFonts w:cstheme="minorHAnsi"/>
          <w:b/>
          <w:lang w:val="es-CO"/>
        </w:rPr>
      </w:pPr>
      <w:r w:rsidRPr="009809B2">
        <w:rPr>
          <w:rFonts w:cstheme="minorHAnsi"/>
          <w:b/>
          <w:lang w:val="es-CO"/>
        </w:rPr>
        <w:t xml:space="preserve">Reino </w:t>
      </w:r>
      <w:r w:rsidR="002F2414" w:rsidRPr="009809B2">
        <w:rPr>
          <w:rFonts w:cstheme="minorHAnsi"/>
          <w:b/>
          <w:bCs/>
          <w:lang w:val="es-CO"/>
        </w:rPr>
        <w:t>U</w:t>
      </w:r>
      <w:r w:rsidRPr="009809B2">
        <w:rPr>
          <w:rFonts w:cstheme="minorHAnsi"/>
          <w:b/>
          <w:bCs/>
          <w:lang w:val="es-CO"/>
        </w:rPr>
        <w:t>nido</w:t>
      </w:r>
    </w:p>
    <w:p w14:paraId="4AA50222" w14:textId="1D0948E1" w:rsidR="00256671" w:rsidRPr="009809B2" w:rsidRDefault="00CB25D7" w:rsidP="00193995">
      <w:pPr>
        <w:rPr>
          <w:rFonts w:cstheme="minorHAnsi"/>
          <w:lang w:val="es-CO"/>
        </w:rPr>
      </w:pPr>
      <w:r w:rsidRPr="009809B2">
        <w:rPr>
          <w:rFonts w:cstheme="minorHAnsi"/>
          <w:lang w:val="es-CO"/>
        </w:rPr>
        <w:t xml:space="preserve">Al igual que en </w:t>
      </w:r>
      <w:r w:rsidR="003F0D5D" w:rsidRPr="009809B2">
        <w:rPr>
          <w:rFonts w:cstheme="minorHAnsi"/>
          <w:lang w:val="es-CO"/>
        </w:rPr>
        <w:t>distribución de energía</w:t>
      </w:r>
      <w:r w:rsidRPr="009809B2">
        <w:rPr>
          <w:rFonts w:cstheme="minorHAnsi"/>
          <w:lang w:val="es-CO"/>
        </w:rPr>
        <w:t xml:space="preserve">, se utilizan </w:t>
      </w:r>
      <w:r w:rsidR="003F0D5D" w:rsidRPr="009809B2">
        <w:rPr>
          <w:rFonts w:cstheme="minorHAnsi"/>
          <w:lang w:val="es-CO"/>
        </w:rPr>
        <w:t>el CPI y RPI</w:t>
      </w:r>
    </w:p>
    <w:p w14:paraId="74088FCC" w14:textId="5CCDFDDE" w:rsidR="00D3782F" w:rsidRPr="009809B2" w:rsidRDefault="00D3782F" w:rsidP="00193995">
      <w:pPr>
        <w:rPr>
          <w:rFonts w:cstheme="minorHAnsi"/>
          <w:b/>
          <w:lang w:val="es-CO"/>
        </w:rPr>
      </w:pPr>
      <w:r w:rsidRPr="009809B2">
        <w:rPr>
          <w:rFonts w:cstheme="minorHAnsi"/>
          <w:b/>
          <w:lang w:val="es-CO"/>
        </w:rPr>
        <w:lastRenderedPageBreak/>
        <w:t>Chile</w:t>
      </w:r>
    </w:p>
    <w:p w14:paraId="2684F0F8" w14:textId="374F6839" w:rsidR="00D3782F" w:rsidRPr="009809B2" w:rsidRDefault="007B7924" w:rsidP="00193995">
      <w:pPr>
        <w:rPr>
          <w:rFonts w:cstheme="minorHAnsi"/>
          <w:lang w:val="es-CO"/>
        </w:rPr>
      </w:pPr>
      <w:r w:rsidRPr="009809B2">
        <w:rPr>
          <w:rFonts w:cstheme="minorHAnsi"/>
          <w:lang w:val="es-CO"/>
        </w:rPr>
        <w:t>Se utiliza</w:t>
      </w:r>
      <w:r w:rsidR="003E6656" w:rsidRPr="009809B2">
        <w:rPr>
          <w:rFonts w:cstheme="minorHAnsi"/>
          <w:lang w:val="es-CO"/>
        </w:rPr>
        <w:t>, principalmente,</w:t>
      </w:r>
      <w:r w:rsidRPr="009809B2">
        <w:rPr>
          <w:rFonts w:cstheme="minorHAnsi"/>
          <w:lang w:val="es-CO"/>
        </w:rPr>
        <w:t xml:space="preserve"> el CPI de Estados </w:t>
      </w:r>
      <w:proofErr w:type="gramStart"/>
      <w:r w:rsidRPr="009809B2">
        <w:rPr>
          <w:rFonts w:cstheme="minorHAnsi"/>
          <w:lang w:val="es-CO"/>
        </w:rPr>
        <w:t>Unidos</w:t>
      </w:r>
      <w:proofErr w:type="gramEnd"/>
      <w:r w:rsidR="00FA36DE" w:rsidRPr="009809B2">
        <w:rPr>
          <w:rFonts w:cstheme="minorHAnsi"/>
          <w:lang w:val="es-CO"/>
        </w:rPr>
        <w:t xml:space="preserve"> </w:t>
      </w:r>
      <w:r w:rsidR="003E6656" w:rsidRPr="009809B2">
        <w:rPr>
          <w:rFonts w:cstheme="minorHAnsi"/>
          <w:lang w:val="es-CO"/>
        </w:rPr>
        <w:t xml:space="preserve">pero también se permiten combinaciones con </w:t>
      </w:r>
      <w:r w:rsidR="00FF7588" w:rsidRPr="009809B2">
        <w:rPr>
          <w:rFonts w:cstheme="minorHAnsi"/>
          <w:lang w:val="es-CO"/>
        </w:rPr>
        <w:t xml:space="preserve">PPI de turbinas elaborado por el </w:t>
      </w:r>
      <w:r w:rsidR="00FF7588" w:rsidRPr="009809B2">
        <w:rPr>
          <w:rFonts w:cstheme="minorHAnsi"/>
          <w:i/>
          <w:lang w:val="es-CO"/>
        </w:rPr>
        <w:t xml:space="preserve">Bureau </w:t>
      </w:r>
      <w:proofErr w:type="spellStart"/>
      <w:r w:rsidR="00FF7588" w:rsidRPr="009809B2">
        <w:rPr>
          <w:rFonts w:cstheme="minorHAnsi"/>
          <w:i/>
          <w:lang w:val="es-CO"/>
        </w:rPr>
        <w:t>of</w:t>
      </w:r>
      <w:proofErr w:type="spellEnd"/>
      <w:r w:rsidR="00FF7588" w:rsidRPr="009809B2">
        <w:rPr>
          <w:rFonts w:cstheme="minorHAnsi"/>
          <w:i/>
          <w:lang w:val="es-CO"/>
        </w:rPr>
        <w:t xml:space="preserve"> Labor </w:t>
      </w:r>
      <w:proofErr w:type="spellStart"/>
      <w:r w:rsidR="00FF7588" w:rsidRPr="009809B2">
        <w:rPr>
          <w:rFonts w:cstheme="minorHAnsi"/>
          <w:i/>
          <w:lang w:val="es-CO"/>
        </w:rPr>
        <w:t>Statistics</w:t>
      </w:r>
      <w:proofErr w:type="spellEnd"/>
      <w:r w:rsidR="002B3730" w:rsidRPr="009809B2">
        <w:rPr>
          <w:rFonts w:cstheme="minorHAnsi"/>
          <w:lang w:val="es-CO"/>
        </w:rPr>
        <w:t>, el PPI general de Estados Unidos y el IPC de Chile.</w:t>
      </w:r>
    </w:p>
    <w:p w14:paraId="32689D46" w14:textId="0EE1FAF1" w:rsidR="00630BAD" w:rsidRPr="009809B2" w:rsidRDefault="00630BAD" w:rsidP="00630BAD">
      <w:pPr>
        <w:keepNext/>
        <w:numPr>
          <w:ilvl w:val="0"/>
          <w:numId w:val="34"/>
        </w:numPr>
        <w:suppressAutoHyphens/>
        <w:spacing w:before="360"/>
        <w:outlineLvl w:val="0"/>
        <w:rPr>
          <w:rFonts w:cstheme="minorHAnsi"/>
          <w:b/>
          <w:spacing w:val="-5"/>
          <w:lang w:val="es-CO"/>
        </w:rPr>
      </w:pPr>
      <w:bookmarkStart w:id="276" w:name="_Toc172100730"/>
      <w:r w:rsidRPr="009809B2">
        <w:rPr>
          <w:rFonts w:cstheme="minorHAnsi"/>
          <w:b/>
          <w:spacing w:val="-5"/>
          <w:lang w:val="es-CO"/>
        </w:rPr>
        <w:t>EXPERIENCIA</w:t>
      </w:r>
      <w:r w:rsidR="00704151" w:rsidRPr="009809B2">
        <w:rPr>
          <w:rFonts w:cstheme="minorHAnsi"/>
          <w:b/>
          <w:spacing w:val="-5"/>
          <w:lang w:val="es-CO"/>
        </w:rPr>
        <w:t xml:space="preserve"> DE </w:t>
      </w:r>
      <w:r w:rsidRPr="009809B2">
        <w:rPr>
          <w:rFonts w:cstheme="minorHAnsi"/>
          <w:b/>
          <w:spacing w:val="-5"/>
          <w:lang w:val="es-CO"/>
        </w:rPr>
        <w:t>OTROS SECTORES DE SERVICIOS PÚBLICOS EN COLOMBIA</w:t>
      </w:r>
      <w:bookmarkEnd w:id="276"/>
    </w:p>
    <w:p w14:paraId="43712CC8" w14:textId="78E16039" w:rsidR="00214DDB" w:rsidRPr="009809B2" w:rsidRDefault="00D36073" w:rsidP="00D36073">
      <w:pPr>
        <w:keepNext/>
        <w:numPr>
          <w:ilvl w:val="1"/>
          <w:numId w:val="34"/>
        </w:numPr>
        <w:suppressAutoHyphens/>
        <w:spacing w:before="360"/>
        <w:ind w:left="0" w:firstLine="0"/>
        <w:outlineLvl w:val="0"/>
        <w:rPr>
          <w:rFonts w:cstheme="minorHAnsi"/>
          <w:b/>
          <w:color w:val="000000" w:themeColor="text1"/>
          <w:lang w:val="es-CO"/>
        </w:rPr>
      </w:pPr>
      <w:bookmarkStart w:id="277" w:name="_Toc172100731"/>
      <w:r w:rsidRPr="009809B2">
        <w:rPr>
          <w:rFonts w:cstheme="minorHAnsi"/>
          <w:b/>
          <w:color w:val="000000" w:themeColor="text1"/>
          <w:lang w:val="es-CO"/>
        </w:rPr>
        <w:t>Sector de telecomunicaciones</w:t>
      </w:r>
      <w:bookmarkEnd w:id="277"/>
      <w:r w:rsidR="00214DDB" w:rsidRPr="009809B2">
        <w:rPr>
          <w:rFonts w:cstheme="minorHAnsi"/>
          <w:b/>
          <w:color w:val="000000" w:themeColor="text1"/>
          <w:lang w:val="es-CO"/>
        </w:rPr>
        <w:t xml:space="preserve"> </w:t>
      </w:r>
    </w:p>
    <w:p w14:paraId="67D27D9A" w14:textId="4C5255CB" w:rsidR="00F76A53" w:rsidRPr="009809B2" w:rsidRDefault="00214DDB" w:rsidP="00214DDB">
      <w:pPr>
        <w:jc w:val="both"/>
        <w:rPr>
          <w:rFonts w:cstheme="minorHAnsi"/>
          <w:lang w:val="es-CO"/>
        </w:rPr>
      </w:pPr>
      <w:r w:rsidRPr="009809B2">
        <w:rPr>
          <w:rFonts w:cstheme="minorHAnsi"/>
          <w:lang w:val="es-CO"/>
        </w:rPr>
        <w:t xml:space="preserve">En el proceso de revisión de índices también se encuentra la Comisión de Regulación de Comunicaciones, </w:t>
      </w:r>
      <w:r w:rsidR="00D876F9" w:rsidRPr="009809B2">
        <w:rPr>
          <w:rFonts w:cstheme="minorHAnsi"/>
          <w:lang w:val="es-CO"/>
        </w:rPr>
        <w:t xml:space="preserve">CRC, </w:t>
      </w:r>
      <w:r w:rsidRPr="009809B2">
        <w:rPr>
          <w:rFonts w:cstheme="minorHAnsi"/>
          <w:lang w:val="es-CO"/>
        </w:rPr>
        <w:t xml:space="preserve">la cual viene adelantando el proyecto regulatorio </w:t>
      </w:r>
      <w:r w:rsidR="00D876F9" w:rsidRPr="009809B2">
        <w:rPr>
          <w:rFonts w:cstheme="minorHAnsi"/>
          <w:lang w:val="es-CO"/>
        </w:rPr>
        <w:t>“</w:t>
      </w:r>
      <w:r w:rsidRPr="009809B2">
        <w:rPr>
          <w:rFonts w:cstheme="minorHAnsi"/>
          <w:lang w:val="es-CO"/>
        </w:rPr>
        <w:t>Revisión de la metodología para la actualización de tarifas reguladas</w:t>
      </w:r>
      <w:r w:rsidR="00D876F9" w:rsidRPr="009809B2">
        <w:rPr>
          <w:rFonts w:cstheme="minorHAnsi"/>
          <w:lang w:val="es-CO"/>
        </w:rPr>
        <w:t>”</w:t>
      </w:r>
      <w:r w:rsidRPr="009809B2">
        <w:rPr>
          <w:rFonts w:cstheme="minorHAnsi"/>
          <w:lang w:val="es-CO"/>
        </w:rPr>
        <w:t xml:space="preserve">, que tiene como propósito definir una metodología de actualización tarifaria para los valores regulados del acceso y uso de las redes de telecomunicaciones, </w:t>
      </w:r>
      <w:r w:rsidR="004C1E19" w:rsidRPr="009809B2">
        <w:rPr>
          <w:rFonts w:cstheme="minorHAnsi"/>
          <w:lang w:val="es-CO"/>
        </w:rPr>
        <w:t>que le</w:t>
      </w:r>
      <w:r w:rsidRPr="009809B2">
        <w:rPr>
          <w:rFonts w:cstheme="minorHAnsi"/>
          <w:lang w:val="es-CO"/>
        </w:rPr>
        <w:t xml:space="preserve"> permita mantener un esquema de remuneración eficiente y que se encuentre acorde con las dinámicas de los servicios minoristas y mayoristas del sector de telecomunicaciones, para </w:t>
      </w:r>
      <w:r w:rsidR="0081256D" w:rsidRPr="009809B2">
        <w:rPr>
          <w:rFonts w:cstheme="minorHAnsi"/>
          <w:lang w:val="es-CO"/>
        </w:rPr>
        <w:t>lo cual</w:t>
      </w:r>
      <w:r w:rsidRPr="009809B2">
        <w:rPr>
          <w:rFonts w:cstheme="minorHAnsi"/>
          <w:lang w:val="es-CO"/>
        </w:rPr>
        <w:t xml:space="preserve"> ha publicado los correspondientes documentos de AIN para comentarios en el que se incluyen el análisis de varias alternativas consideradas. </w:t>
      </w:r>
    </w:p>
    <w:p w14:paraId="27716F7F" w14:textId="3FCE48FA" w:rsidR="00214DDB" w:rsidRPr="009809B2" w:rsidRDefault="00214DDB" w:rsidP="00214DDB">
      <w:pPr>
        <w:jc w:val="both"/>
        <w:rPr>
          <w:rFonts w:cstheme="minorHAnsi"/>
          <w:lang w:val="es-CO"/>
        </w:rPr>
      </w:pPr>
      <w:r w:rsidRPr="009809B2">
        <w:rPr>
          <w:rFonts w:cstheme="minorHAnsi"/>
          <w:lang w:val="es-CO"/>
        </w:rPr>
        <w:t>En este sentido, la CREG ha revisado las alternativas propuestas por dicha entidad con el fin de establecer si los aspectos considerados en ese análisis son replicables para el caso del servicio público domiciliario de energía eléctrica.</w:t>
      </w:r>
    </w:p>
    <w:p w14:paraId="45CF1A60" w14:textId="63C48968" w:rsidR="00214DDB" w:rsidRPr="009809B2" w:rsidRDefault="00214DDB" w:rsidP="00214DDB">
      <w:pPr>
        <w:jc w:val="both"/>
        <w:rPr>
          <w:rFonts w:cstheme="minorHAnsi"/>
          <w:lang w:val="es-CO"/>
        </w:rPr>
      </w:pPr>
      <w:r w:rsidRPr="009809B2">
        <w:rPr>
          <w:rFonts w:cstheme="minorHAnsi"/>
          <w:lang w:val="es-CO"/>
        </w:rPr>
        <w:t xml:space="preserve">En primera instancia es importante considerar que la </w:t>
      </w:r>
      <w:r w:rsidR="00D876F9" w:rsidRPr="009809B2">
        <w:rPr>
          <w:rFonts w:cstheme="minorHAnsi"/>
          <w:lang w:val="es-CO"/>
        </w:rPr>
        <w:t>CRC</w:t>
      </w:r>
      <w:r w:rsidRPr="009809B2">
        <w:rPr>
          <w:rFonts w:cstheme="minorHAnsi"/>
          <w:lang w:val="es-CO"/>
        </w:rPr>
        <w:t xml:space="preserve"> define el denominado Índice de Actualización de Tarifas – IAT que corresponde a una combinación de tres indexadores entre los cuales esta: el IPP, el índice de salarios y la TRM más aranceles, los cuales tienen unos valores de ponderación determinados conforme a la composición de costos del sector y el peso de </w:t>
      </w:r>
      <w:proofErr w:type="gramStart"/>
      <w:r w:rsidRPr="009809B2">
        <w:rPr>
          <w:rFonts w:cstheme="minorHAnsi"/>
          <w:lang w:val="es-CO"/>
        </w:rPr>
        <w:t>los mismos</w:t>
      </w:r>
      <w:proofErr w:type="gramEnd"/>
      <w:r w:rsidRPr="009809B2">
        <w:rPr>
          <w:rFonts w:cstheme="minorHAnsi"/>
          <w:lang w:val="es-CO"/>
        </w:rPr>
        <w:t xml:space="preserve"> obtenido a través de un modelo de empresa eficiente. </w:t>
      </w:r>
    </w:p>
    <w:p w14:paraId="3533BA67" w14:textId="6DC0A9E0" w:rsidR="00214DDB" w:rsidRPr="009809B2" w:rsidRDefault="00214DDB" w:rsidP="00214DDB">
      <w:pPr>
        <w:autoSpaceDE w:val="0"/>
        <w:autoSpaceDN w:val="0"/>
        <w:adjustRightInd w:val="0"/>
        <w:spacing w:after="0" w:line="240" w:lineRule="auto"/>
        <w:jc w:val="both"/>
        <w:rPr>
          <w:rFonts w:cstheme="minorHAnsi"/>
          <w:lang w:val="es-CO"/>
        </w:rPr>
      </w:pPr>
      <w:r w:rsidRPr="009809B2">
        <w:rPr>
          <w:rFonts w:cstheme="minorHAnsi"/>
          <w:lang w:val="es-CO"/>
        </w:rPr>
        <w:t>El IAT se encuentra contenido en el Anexo 4.2. de la Resolución CRC 5050 de 2016. Este anexo tiene dos secciones</w:t>
      </w:r>
      <w:r w:rsidR="00FD0BFB" w:rsidRPr="009809B2">
        <w:rPr>
          <w:rFonts w:cstheme="minorHAnsi"/>
          <w:lang w:val="es-CO"/>
        </w:rPr>
        <w:t>:</w:t>
      </w:r>
      <w:r w:rsidRPr="009809B2">
        <w:rPr>
          <w:rFonts w:cstheme="minorHAnsi"/>
          <w:lang w:val="es-CO"/>
        </w:rPr>
        <w:t xml:space="preserve"> la primera</w:t>
      </w:r>
      <w:r w:rsidR="00FD0BFB" w:rsidRPr="009809B2">
        <w:rPr>
          <w:rFonts w:cstheme="minorHAnsi"/>
          <w:lang w:val="es-CO"/>
        </w:rPr>
        <w:t>,</w:t>
      </w:r>
      <w:r w:rsidRPr="009809B2">
        <w:rPr>
          <w:rFonts w:cstheme="minorHAnsi"/>
          <w:lang w:val="es-CO"/>
        </w:rPr>
        <w:t xml:space="preserve"> que incluye la actualización anual de los cargos de acceso a redes fijas y a redes móviles, de pesos constantes a pesos corrientes</w:t>
      </w:r>
      <w:r w:rsidR="00FD0BFB" w:rsidRPr="009809B2">
        <w:rPr>
          <w:rFonts w:cstheme="minorHAnsi"/>
          <w:lang w:val="es-CO"/>
        </w:rPr>
        <w:t xml:space="preserve"> y</w:t>
      </w:r>
      <w:r w:rsidRPr="009809B2">
        <w:rPr>
          <w:rFonts w:cstheme="minorHAnsi"/>
          <w:lang w:val="es-CO"/>
        </w:rPr>
        <w:t xml:space="preserve"> la segunda</w:t>
      </w:r>
      <w:r w:rsidR="00FD0BFB" w:rsidRPr="009809B2">
        <w:rPr>
          <w:rFonts w:cstheme="minorHAnsi"/>
          <w:lang w:val="es-CO"/>
        </w:rPr>
        <w:t>,</w:t>
      </w:r>
      <w:r w:rsidRPr="009809B2">
        <w:rPr>
          <w:rFonts w:cstheme="minorHAnsi"/>
          <w:lang w:val="es-CO"/>
        </w:rPr>
        <w:t xml:space="preserve"> que refiere al cálculo del índice de actualización tarifaria (IAT).</w:t>
      </w:r>
    </w:p>
    <w:p w14:paraId="1C82DFFB" w14:textId="77777777" w:rsidR="00214DDB" w:rsidRPr="009809B2" w:rsidRDefault="00214DDB" w:rsidP="00214DDB">
      <w:pPr>
        <w:autoSpaceDE w:val="0"/>
        <w:autoSpaceDN w:val="0"/>
        <w:adjustRightInd w:val="0"/>
        <w:spacing w:after="0" w:line="240" w:lineRule="auto"/>
        <w:rPr>
          <w:rFonts w:cstheme="minorHAnsi"/>
          <w:lang w:val="es-CO"/>
        </w:rPr>
      </w:pPr>
    </w:p>
    <w:p w14:paraId="63D75C80" w14:textId="77777777" w:rsidR="00214DDB" w:rsidRPr="009809B2" w:rsidRDefault="00214DDB" w:rsidP="00214DDB">
      <w:pPr>
        <w:autoSpaceDE w:val="0"/>
        <w:autoSpaceDN w:val="0"/>
        <w:adjustRightInd w:val="0"/>
        <w:spacing w:after="0" w:line="240" w:lineRule="auto"/>
        <w:jc w:val="both"/>
        <w:rPr>
          <w:rFonts w:cstheme="minorHAnsi"/>
          <w:lang w:val="es-CO"/>
        </w:rPr>
      </w:pPr>
      <w:r w:rsidRPr="009809B2">
        <w:rPr>
          <w:rFonts w:cstheme="minorHAnsi"/>
          <w:lang w:val="es-CO"/>
        </w:rPr>
        <w:t>El IAT se utiliza para actualizar los valores de cargos de acceso fijos y el tope tarifario fijo-móvil establecidos mediante la Resolución CRC 5826 de 2019; los cargos de acceso móviles, terminación de SMS, valores regulados de RAN y remuneración de los OMV determinados mediante la Resolución CRC 7007 de 2022; y la tarifa de la instalación esencial de facturación distribución y recaudo establecida mediante la Resolución CRC 5198 de 2017. Todos actos administrativos que se encuentran compilados en la Resolución CRC 5050 de 2016.</w:t>
      </w:r>
    </w:p>
    <w:p w14:paraId="58047CCE" w14:textId="77777777" w:rsidR="00214DDB" w:rsidRPr="009809B2" w:rsidRDefault="00214DDB" w:rsidP="00214DDB">
      <w:pPr>
        <w:autoSpaceDE w:val="0"/>
        <w:autoSpaceDN w:val="0"/>
        <w:adjustRightInd w:val="0"/>
        <w:spacing w:after="0" w:line="240" w:lineRule="auto"/>
        <w:jc w:val="both"/>
        <w:rPr>
          <w:rFonts w:cstheme="minorHAnsi"/>
          <w:lang w:val="es-CO"/>
        </w:rPr>
      </w:pPr>
    </w:p>
    <w:p w14:paraId="3F34D0AA" w14:textId="1EE6253F" w:rsidR="00214DDB" w:rsidRPr="009809B2" w:rsidRDefault="00214DDB" w:rsidP="00214DDB">
      <w:pPr>
        <w:autoSpaceDE w:val="0"/>
        <w:autoSpaceDN w:val="0"/>
        <w:adjustRightInd w:val="0"/>
        <w:spacing w:after="0" w:line="240" w:lineRule="auto"/>
        <w:jc w:val="both"/>
        <w:rPr>
          <w:rFonts w:cstheme="minorHAnsi"/>
          <w:lang w:val="es-CO"/>
        </w:rPr>
      </w:pPr>
      <w:r w:rsidRPr="009809B2">
        <w:rPr>
          <w:rFonts w:cstheme="minorHAnsi"/>
          <w:lang w:val="es-CO"/>
        </w:rPr>
        <w:lastRenderedPageBreak/>
        <w:t>Según los documentos en consulta, las metodologías de actualización tarifaria requerían ser revisadas teniendo en consideración que más allá de las tendencias al alza que han presentado los indicadores utilizados en el IAT en el último año, es necesario determinar la pertinencia de mantener el uso del IAT y establecer un indexador que capture de manera más acertada la naturaleza y las dinámicas de los factores que interfieren en la fijación tarifaria y las presiones externas a las que están expuestos dichos factores así como como método mediante el cual se actualizan los valores definidos o fijados en la regulación para la remuneración del acceso y uso de las redes de telecomunicaciones.</w:t>
      </w:r>
    </w:p>
    <w:p w14:paraId="6835DDD3" w14:textId="77777777" w:rsidR="00214DDB" w:rsidRPr="009809B2" w:rsidRDefault="00214DDB" w:rsidP="00214DDB">
      <w:pPr>
        <w:autoSpaceDE w:val="0"/>
        <w:autoSpaceDN w:val="0"/>
        <w:adjustRightInd w:val="0"/>
        <w:spacing w:after="0" w:line="240" w:lineRule="auto"/>
        <w:rPr>
          <w:rFonts w:cstheme="minorHAnsi"/>
          <w:lang w:val="es-CO"/>
        </w:rPr>
      </w:pPr>
    </w:p>
    <w:p w14:paraId="758BE036" w14:textId="77777777" w:rsidR="00214DDB" w:rsidRPr="009809B2" w:rsidRDefault="00214DDB" w:rsidP="00214DDB">
      <w:pPr>
        <w:jc w:val="both"/>
        <w:rPr>
          <w:rFonts w:cstheme="minorHAnsi"/>
          <w:lang w:val="es-CO"/>
        </w:rPr>
      </w:pPr>
      <w:r w:rsidRPr="009809B2">
        <w:rPr>
          <w:rFonts w:cstheme="minorHAnsi"/>
          <w:lang w:val="es-CO"/>
        </w:rPr>
        <w:t>Las alternativas contempladas incluyen aquellas como mantener el índice actual, diseñar un indexador propio del sector hasta realizar la actualización cada cinco años, entre otras. La recomendación planteada es mantener la estructura del índice actual, modificando algunos de los índices que lo conforman con el fin de hacerlos más afines a la composición de costos del sector.</w:t>
      </w:r>
    </w:p>
    <w:p w14:paraId="2D7A8499" w14:textId="22512005" w:rsidR="007A0627" w:rsidRPr="009809B2" w:rsidRDefault="007A0627" w:rsidP="00214DDB">
      <w:pPr>
        <w:rPr>
          <w:rFonts w:cstheme="minorHAnsi"/>
          <w:b/>
          <w:lang w:val="es-CO"/>
        </w:rPr>
      </w:pPr>
      <w:r w:rsidRPr="009809B2">
        <w:rPr>
          <w:rFonts w:cstheme="minorHAnsi"/>
          <w:b/>
          <w:lang w:val="es-CO"/>
        </w:rPr>
        <w:t>Alternativa seleccionada</w:t>
      </w:r>
    </w:p>
    <w:p w14:paraId="0786B502" w14:textId="0C6517EC" w:rsidR="0012009C" w:rsidRPr="009809B2" w:rsidRDefault="0012009C" w:rsidP="0012009C">
      <w:pPr>
        <w:autoSpaceDE w:val="0"/>
        <w:autoSpaceDN w:val="0"/>
        <w:adjustRightInd w:val="0"/>
        <w:rPr>
          <w:rFonts w:cstheme="minorHAnsi"/>
          <w:lang w:val="es-CO"/>
        </w:rPr>
      </w:pPr>
      <w:r w:rsidRPr="009809B2">
        <w:rPr>
          <w:rFonts w:cstheme="minorHAnsi"/>
          <w:lang w:val="es-CO"/>
        </w:rPr>
        <w:t>Ajustar el índice actual, considerando las siguientes variables:</w:t>
      </w:r>
    </w:p>
    <w:p w14:paraId="47B794C3" w14:textId="77777777" w:rsidR="0012009C" w:rsidRPr="009809B2" w:rsidRDefault="0012009C" w:rsidP="004C2194">
      <w:pPr>
        <w:pStyle w:val="Prrafodelista"/>
        <w:numPr>
          <w:ilvl w:val="0"/>
          <w:numId w:val="42"/>
        </w:numPr>
        <w:autoSpaceDE w:val="0"/>
        <w:autoSpaceDN w:val="0"/>
        <w:adjustRightInd w:val="0"/>
        <w:ind w:left="567" w:hanging="333"/>
        <w:rPr>
          <w:rFonts w:cstheme="minorHAnsi"/>
          <w:lang w:val="es-CO"/>
        </w:rPr>
      </w:pPr>
      <w:r w:rsidRPr="009809B2">
        <w:rPr>
          <w:rFonts w:cstheme="minorHAnsi"/>
          <w:lang w:val="es-CO"/>
        </w:rPr>
        <w:t>Costo de capital: índice de costos de construcción de obras civiles “obras para la comunicación de larga distancia y las líneas eléctricas.</w:t>
      </w:r>
    </w:p>
    <w:p w14:paraId="68D2CEF6" w14:textId="77777777" w:rsidR="0012009C" w:rsidRPr="009809B2" w:rsidRDefault="0012009C" w:rsidP="004C2194">
      <w:pPr>
        <w:pStyle w:val="Prrafodelista"/>
        <w:numPr>
          <w:ilvl w:val="0"/>
          <w:numId w:val="42"/>
        </w:numPr>
        <w:autoSpaceDE w:val="0"/>
        <w:autoSpaceDN w:val="0"/>
        <w:adjustRightInd w:val="0"/>
        <w:ind w:left="567" w:hanging="333"/>
        <w:rPr>
          <w:rFonts w:cstheme="minorHAnsi"/>
          <w:lang w:val="es-CO"/>
        </w:rPr>
      </w:pPr>
      <w:r w:rsidRPr="009809B2">
        <w:rPr>
          <w:rFonts w:cstheme="minorHAnsi"/>
          <w:lang w:val="es-CO"/>
        </w:rPr>
        <w:t>Costos de operación:</w:t>
      </w:r>
    </w:p>
    <w:p w14:paraId="7A5A9033" w14:textId="77777777" w:rsidR="0012009C" w:rsidRPr="009809B2" w:rsidRDefault="0012009C" w:rsidP="004C2194">
      <w:pPr>
        <w:pStyle w:val="Prrafodelista"/>
        <w:numPr>
          <w:ilvl w:val="0"/>
          <w:numId w:val="42"/>
        </w:numPr>
        <w:autoSpaceDE w:val="0"/>
        <w:autoSpaceDN w:val="0"/>
        <w:adjustRightInd w:val="0"/>
        <w:ind w:left="567" w:hanging="333"/>
        <w:rPr>
          <w:rFonts w:cstheme="minorHAnsi"/>
          <w:lang w:val="es-CO"/>
        </w:rPr>
      </w:pPr>
      <w:r w:rsidRPr="009809B2">
        <w:rPr>
          <w:rFonts w:cstheme="minorHAnsi"/>
          <w:lang w:val="es-CO"/>
        </w:rPr>
        <w:t>IPC división servicios</w:t>
      </w:r>
    </w:p>
    <w:p w14:paraId="7F5AF6C0" w14:textId="77777777" w:rsidR="0012009C" w:rsidRPr="009809B2" w:rsidRDefault="0012009C" w:rsidP="004C2194">
      <w:pPr>
        <w:pStyle w:val="Prrafodelista"/>
        <w:numPr>
          <w:ilvl w:val="0"/>
          <w:numId w:val="42"/>
        </w:numPr>
        <w:autoSpaceDE w:val="0"/>
        <w:autoSpaceDN w:val="0"/>
        <w:adjustRightInd w:val="0"/>
        <w:ind w:left="567" w:hanging="333"/>
        <w:rPr>
          <w:rFonts w:cstheme="minorHAnsi"/>
          <w:lang w:val="es-CO"/>
        </w:rPr>
      </w:pPr>
      <w:r w:rsidRPr="009809B2">
        <w:rPr>
          <w:rFonts w:cstheme="minorHAnsi"/>
          <w:lang w:val="es-CO"/>
        </w:rPr>
        <w:t xml:space="preserve">IS </w:t>
      </w:r>
      <w:proofErr w:type="spellStart"/>
      <w:r w:rsidRPr="009809B2">
        <w:rPr>
          <w:rFonts w:cstheme="minorHAnsi"/>
          <w:lang w:val="es-CO"/>
        </w:rPr>
        <w:t>telecom</w:t>
      </w:r>
      <w:proofErr w:type="spellEnd"/>
      <w:r w:rsidRPr="009809B2">
        <w:rPr>
          <w:rFonts w:cstheme="minorHAnsi"/>
          <w:lang w:val="es-CO"/>
        </w:rPr>
        <w:t>. índice de salarios de telecomunicaciones calculado GEIH del DANE</w:t>
      </w:r>
    </w:p>
    <w:p w14:paraId="5FB91843" w14:textId="721F76FE" w:rsidR="0012009C" w:rsidRPr="009809B2" w:rsidRDefault="0012009C" w:rsidP="004C2194">
      <w:pPr>
        <w:pStyle w:val="Prrafodelista"/>
        <w:numPr>
          <w:ilvl w:val="0"/>
          <w:numId w:val="42"/>
        </w:numPr>
        <w:autoSpaceDE w:val="0"/>
        <w:autoSpaceDN w:val="0"/>
        <w:adjustRightInd w:val="0"/>
        <w:ind w:left="567" w:hanging="333"/>
        <w:rPr>
          <w:rFonts w:cstheme="minorHAnsi"/>
          <w:lang w:val="es-CO"/>
        </w:rPr>
      </w:pPr>
      <w:proofErr w:type="spellStart"/>
      <w:r w:rsidRPr="009809B2">
        <w:rPr>
          <w:rFonts w:cstheme="minorHAnsi"/>
          <w:lang w:val="es-CO"/>
        </w:rPr>
        <w:t>Indice</w:t>
      </w:r>
      <w:proofErr w:type="spellEnd"/>
      <w:r w:rsidRPr="009809B2">
        <w:rPr>
          <w:rFonts w:cstheme="minorHAnsi"/>
          <w:lang w:val="es-CO"/>
        </w:rPr>
        <w:t xml:space="preserve"> de importados: precio equipos importados a partir del índice de precios de las exportaciones para equipos de </w:t>
      </w:r>
      <w:proofErr w:type="spellStart"/>
      <w:r w:rsidRPr="009809B2">
        <w:rPr>
          <w:rFonts w:cstheme="minorHAnsi"/>
          <w:lang w:val="es-CO"/>
        </w:rPr>
        <w:t>telecom</w:t>
      </w:r>
      <w:proofErr w:type="spellEnd"/>
      <w:r w:rsidRPr="009809B2">
        <w:rPr>
          <w:rFonts w:cstheme="minorHAnsi"/>
          <w:lang w:val="es-CO"/>
        </w:rPr>
        <w:t xml:space="preserve"> (US Bureau </w:t>
      </w:r>
      <w:proofErr w:type="spellStart"/>
      <w:r w:rsidRPr="009809B2">
        <w:rPr>
          <w:rFonts w:cstheme="minorHAnsi"/>
          <w:lang w:val="es-CO"/>
        </w:rPr>
        <w:t>of</w:t>
      </w:r>
      <w:proofErr w:type="spellEnd"/>
      <w:r w:rsidRPr="009809B2">
        <w:rPr>
          <w:rFonts w:cstheme="minorHAnsi"/>
          <w:lang w:val="es-CO"/>
        </w:rPr>
        <w:t xml:space="preserve"> Labor </w:t>
      </w:r>
      <w:proofErr w:type="spellStart"/>
      <w:r w:rsidRPr="009809B2">
        <w:rPr>
          <w:rFonts w:cstheme="minorHAnsi"/>
          <w:lang w:val="es-CO"/>
        </w:rPr>
        <w:t>Statisctics</w:t>
      </w:r>
      <w:proofErr w:type="spellEnd"/>
      <w:r w:rsidRPr="009809B2">
        <w:rPr>
          <w:rFonts w:cstheme="minorHAnsi"/>
          <w:lang w:val="es-CO"/>
        </w:rPr>
        <w:t>)</w:t>
      </w:r>
    </w:p>
    <w:p w14:paraId="5AE4AD90" w14:textId="77777777" w:rsidR="0012009C" w:rsidRPr="009809B2" w:rsidRDefault="0012009C" w:rsidP="004C2194">
      <w:pPr>
        <w:pStyle w:val="Prrafodelista"/>
        <w:numPr>
          <w:ilvl w:val="0"/>
          <w:numId w:val="42"/>
        </w:numPr>
        <w:autoSpaceDE w:val="0"/>
        <w:autoSpaceDN w:val="0"/>
        <w:adjustRightInd w:val="0"/>
        <w:ind w:left="567" w:hanging="333"/>
        <w:rPr>
          <w:rFonts w:cstheme="minorHAnsi"/>
          <w:lang w:val="es-CO"/>
        </w:rPr>
      </w:pPr>
      <w:r w:rsidRPr="009809B2">
        <w:rPr>
          <w:rFonts w:cstheme="minorHAnsi"/>
          <w:lang w:val="es-CO"/>
        </w:rPr>
        <w:t xml:space="preserve">ITC promedio móvil de 12 meses de la </w:t>
      </w:r>
      <w:proofErr w:type="spellStart"/>
      <w:r w:rsidRPr="009809B2">
        <w:rPr>
          <w:rFonts w:cstheme="minorHAnsi"/>
          <w:lang w:val="es-CO"/>
        </w:rPr>
        <w:t>TRM</w:t>
      </w:r>
      <w:proofErr w:type="spellEnd"/>
      <w:r w:rsidRPr="009809B2">
        <w:rPr>
          <w:rFonts w:cstheme="minorHAnsi"/>
          <w:lang w:val="es-CO"/>
        </w:rPr>
        <w:t xml:space="preserve"> </w:t>
      </w:r>
      <w:proofErr w:type="spellStart"/>
      <w:r w:rsidRPr="009809B2">
        <w:rPr>
          <w:rFonts w:cstheme="minorHAnsi"/>
          <w:lang w:val="es-CO"/>
        </w:rPr>
        <w:t>mas</w:t>
      </w:r>
      <w:proofErr w:type="spellEnd"/>
      <w:r w:rsidRPr="009809B2">
        <w:rPr>
          <w:rFonts w:cstheme="minorHAnsi"/>
          <w:lang w:val="es-CO"/>
        </w:rPr>
        <w:t xml:space="preserve"> el arancel nominal promedio.</w:t>
      </w:r>
    </w:p>
    <w:p w14:paraId="11E34462" w14:textId="77777777" w:rsidR="0012009C" w:rsidRPr="009809B2" w:rsidRDefault="0012009C" w:rsidP="0012009C">
      <w:pPr>
        <w:pStyle w:val="Prrafodelista"/>
        <w:autoSpaceDE w:val="0"/>
        <w:autoSpaceDN w:val="0"/>
        <w:adjustRightInd w:val="0"/>
        <w:ind w:left="234"/>
        <w:rPr>
          <w:rFonts w:cstheme="minorHAnsi"/>
          <w:lang w:val="es-CO"/>
        </w:rPr>
      </w:pPr>
    </w:p>
    <w:p w14:paraId="56C319A0" w14:textId="77777777" w:rsidR="0012009C" w:rsidRPr="009809B2" w:rsidRDefault="0012009C" w:rsidP="0012009C">
      <w:pPr>
        <w:pStyle w:val="Prrafodelista"/>
        <w:autoSpaceDE w:val="0"/>
        <w:autoSpaceDN w:val="0"/>
        <w:adjustRightInd w:val="0"/>
        <w:ind w:left="234"/>
        <w:rPr>
          <w:rFonts w:cstheme="minorHAnsi"/>
          <w:lang w:val="es-CO"/>
        </w:rPr>
      </w:pPr>
      <w:r w:rsidRPr="009809B2">
        <w:rPr>
          <w:rFonts w:cstheme="minorHAnsi"/>
          <w:lang w:val="es-CO"/>
        </w:rPr>
        <w:t>Ponderadores a través de identificación del peso que los aspectos buscan capturar en los modelos de costos de empresas eficientes (telefonía fija y móvil)</w:t>
      </w:r>
    </w:p>
    <w:p w14:paraId="3CB342A0" w14:textId="196E0DE5" w:rsidR="00554B7D" w:rsidRPr="009809B2" w:rsidRDefault="00214DDB" w:rsidP="00214DDB">
      <w:pPr>
        <w:autoSpaceDE w:val="0"/>
        <w:autoSpaceDN w:val="0"/>
        <w:adjustRightInd w:val="0"/>
        <w:spacing w:after="0" w:line="240" w:lineRule="auto"/>
        <w:jc w:val="both"/>
        <w:rPr>
          <w:rFonts w:cstheme="minorHAnsi"/>
          <w:lang w:val="es-CO"/>
        </w:rPr>
      </w:pPr>
      <w:r w:rsidRPr="009809B2">
        <w:rPr>
          <w:rFonts w:cstheme="minorHAnsi"/>
          <w:lang w:val="es-CO"/>
        </w:rPr>
        <w:t xml:space="preserve">La primera conclusión del documento y conforme </w:t>
      </w:r>
      <w:r w:rsidR="007D4F31" w:rsidRPr="009809B2">
        <w:rPr>
          <w:rFonts w:cstheme="minorHAnsi"/>
          <w:lang w:val="es-CO"/>
        </w:rPr>
        <w:t>con</w:t>
      </w:r>
      <w:r w:rsidRPr="009809B2">
        <w:rPr>
          <w:rFonts w:cstheme="minorHAnsi"/>
          <w:lang w:val="es-CO"/>
        </w:rPr>
        <w:t xml:space="preserve"> los comentarios recibidos por parte de los agentes de ese sector es la necesidad de mantener el statu quo y en la evaluación de alternativas es parte crucial considerar la no modificación regulatoria. </w:t>
      </w:r>
    </w:p>
    <w:p w14:paraId="10F4867E" w14:textId="77777777" w:rsidR="00214DDB" w:rsidRPr="009809B2" w:rsidRDefault="00214DDB" w:rsidP="00214DDB">
      <w:pPr>
        <w:autoSpaceDE w:val="0"/>
        <w:autoSpaceDN w:val="0"/>
        <w:adjustRightInd w:val="0"/>
        <w:spacing w:after="0" w:line="240" w:lineRule="auto"/>
        <w:jc w:val="both"/>
        <w:rPr>
          <w:rFonts w:cstheme="minorHAnsi"/>
          <w:lang w:val="es-CO"/>
        </w:rPr>
      </w:pPr>
    </w:p>
    <w:p w14:paraId="1695F3F8" w14:textId="111750F0" w:rsidR="00214DDB" w:rsidRPr="009809B2" w:rsidRDefault="00214DDB" w:rsidP="00214DDB">
      <w:pPr>
        <w:autoSpaceDE w:val="0"/>
        <w:autoSpaceDN w:val="0"/>
        <w:adjustRightInd w:val="0"/>
        <w:spacing w:after="0" w:line="240" w:lineRule="auto"/>
        <w:jc w:val="both"/>
        <w:rPr>
          <w:rFonts w:cstheme="minorHAnsi"/>
          <w:lang w:val="es-CO"/>
        </w:rPr>
      </w:pPr>
      <w:r w:rsidRPr="009809B2">
        <w:rPr>
          <w:rFonts w:cstheme="minorHAnsi"/>
          <w:lang w:val="es-CO"/>
        </w:rPr>
        <w:t>Luego de la evaluación de las alternativas a partir de la utilización de una metodología de evaluación de costos (cumplimiento, financieros, indirectos, de oportunidad, macroeconómicos) y de evaluación multicriterio efectividad (criterio de dinámicas del sector (reconocimiento de la variación de los costos en el tiempo y la correspondencia con las dinámicas del sector) y criterio de desempeño</w:t>
      </w:r>
      <w:r w:rsidR="004E2379" w:rsidRPr="009809B2">
        <w:rPr>
          <w:rFonts w:cstheme="minorHAnsi"/>
          <w:lang w:val="es-CO"/>
        </w:rPr>
        <w:t xml:space="preserve"> </w:t>
      </w:r>
      <w:r w:rsidRPr="009809B2">
        <w:rPr>
          <w:rFonts w:cstheme="minorHAnsi"/>
          <w:lang w:val="es-CO"/>
        </w:rPr>
        <w:t>(estabilidad, transparencia e independencia de fuentes externas), se propone escoger la alternativa del índice compuesto.</w:t>
      </w:r>
    </w:p>
    <w:p w14:paraId="11BD411F" w14:textId="77777777" w:rsidR="00214DDB" w:rsidRPr="009809B2" w:rsidRDefault="00214DDB" w:rsidP="00214DDB">
      <w:pPr>
        <w:autoSpaceDE w:val="0"/>
        <w:autoSpaceDN w:val="0"/>
        <w:adjustRightInd w:val="0"/>
        <w:spacing w:after="0" w:line="240" w:lineRule="auto"/>
        <w:jc w:val="both"/>
        <w:rPr>
          <w:rFonts w:cstheme="minorHAnsi"/>
          <w:lang w:val="es-CO"/>
        </w:rPr>
      </w:pPr>
    </w:p>
    <w:p w14:paraId="2477F571" w14:textId="1E502648" w:rsidR="00214DDB" w:rsidRPr="009809B2" w:rsidRDefault="00214DDB" w:rsidP="00214DDB">
      <w:pPr>
        <w:jc w:val="both"/>
        <w:rPr>
          <w:rFonts w:cstheme="minorHAnsi"/>
          <w:lang w:val="es-CO"/>
        </w:rPr>
      </w:pPr>
      <w:r w:rsidRPr="009809B2">
        <w:rPr>
          <w:rFonts w:cstheme="minorHAnsi"/>
          <w:lang w:val="es-CO"/>
        </w:rPr>
        <w:lastRenderedPageBreak/>
        <w:t>En cuanto a los aspectos operativos inherentes a la publicación anual que debe realizar la CRC con el ánimo de dar a conocer a los agentes regulados el índice de actualización tarifaria compuesto que se determinó idóneo, debe destacarse que</w:t>
      </w:r>
      <w:r w:rsidR="004E2379" w:rsidRPr="009809B2">
        <w:rPr>
          <w:rFonts w:cstheme="minorHAnsi"/>
          <w:lang w:val="es-CO"/>
        </w:rPr>
        <w:t>,</w:t>
      </w:r>
      <w:r w:rsidRPr="009809B2">
        <w:rPr>
          <w:rFonts w:cstheme="minorHAnsi"/>
          <w:lang w:val="es-CO"/>
        </w:rPr>
        <w:t xml:space="preserve"> para la construcción de dicho indicador, se requiere contar con las cifras definitivas correspondientes a varios indicadores, a saber:</w:t>
      </w:r>
    </w:p>
    <w:p w14:paraId="290FA5DA" w14:textId="06A01595" w:rsidR="00214DDB" w:rsidRPr="009809B2" w:rsidRDefault="00214DDB" w:rsidP="001C0741">
      <w:pPr>
        <w:ind w:left="426" w:hanging="426"/>
        <w:jc w:val="both"/>
        <w:rPr>
          <w:rFonts w:cstheme="minorHAnsi"/>
          <w:lang w:val="es-CO"/>
        </w:rPr>
      </w:pPr>
      <w:r w:rsidRPr="009809B2">
        <w:rPr>
          <w:rFonts w:cstheme="minorHAnsi"/>
          <w:lang w:val="es-CO"/>
        </w:rPr>
        <w:t xml:space="preserve">(i) </w:t>
      </w:r>
      <w:r w:rsidR="005864F8" w:rsidRPr="009809B2">
        <w:rPr>
          <w:rFonts w:cstheme="minorHAnsi"/>
          <w:lang w:val="es-CO"/>
        </w:rPr>
        <w:tab/>
      </w:r>
      <w:r w:rsidRPr="009809B2">
        <w:rPr>
          <w:rFonts w:cstheme="minorHAnsi"/>
          <w:lang w:val="es-CO"/>
        </w:rPr>
        <w:t>El Índice de Costos de la Construcción de Obras Civiles (ICOCIV). Subclase 53242, expedido por el DANE la última semana del mes siguiente al estudiado.</w:t>
      </w:r>
    </w:p>
    <w:p w14:paraId="585A5FB4" w14:textId="56EE22D5" w:rsidR="00214DDB" w:rsidRPr="009809B2" w:rsidRDefault="00214DDB" w:rsidP="001C0741">
      <w:pPr>
        <w:ind w:left="426" w:hanging="426"/>
        <w:jc w:val="both"/>
        <w:rPr>
          <w:rFonts w:cstheme="minorHAnsi"/>
          <w:lang w:val="es-CO"/>
        </w:rPr>
      </w:pPr>
      <w:r w:rsidRPr="009809B2">
        <w:rPr>
          <w:rFonts w:cstheme="minorHAnsi"/>
          <w:lang w:val="es-CO"/>
        </w:rPr>
        <w:t>(</w:t>
      </w:r>
      <w:proofErr w:type="spellStart"/>
      <w:r w:rsidRPr="009809B2">
        <w:rPr>
          <w:rFonts w:cstheme="minorHAnsi"/>
          <w:lang w:val="es-CO"/>
        </w:rPr>
        <w:t>ii</w:t>
      </w:r>
      <w:proofErr w:type="spellEnd"/>
      <w:r w:rsidRPr="009809B2">
        <w:rPr>
          <w:rFonts w:cstheme="minorHAnsi"/>
          <w:lang w:val="es-CO"/>
        </w:rPr>
        <w:t xml:space="preserve">) </w:t>
      </w:r>
      <w:r w:rsidR="005864F8" w:rsidRPr="009809B2">
        <w:rPr>
          <w:rFonts w:cstheme="minorHAnsi"/>
          <w:lang w:val="es-CO"/>
        </w:rPr>
        <w:tab/>
      </w:r>
      <w:r w:rsidRPr="009809B2">
        <w:rPr>
          <w:rFonts w:cstheme="minorHAnsi"/>
          <w:lang w:val="es-CO"/>
        </w:rPr>
        <w:t>El Índice de Precios al Consumidor, división de Servicios, expedido por el DANE en los primeros diez días del mes siguiente al estudiado.</w:t>
      </w:r>
    </w:p>
    <w:p w14:paraId="1E166F7C" w14:textId="35533E2A" w:rsidR="00214DDB" w:rsidRPr="009809B2" w:rsidRDefault="00214DDB" w:rsidP="001C0741">
      <w:pPr>
        <w:ind w:left="426" w:hanging="426"/>
        <w:jc w:val="both"/>
        <w:rPr>
          <w:rFonts w:cstheme="minorHAnsi"/>
          <w:lang w:val="es-CO"/>
        </w:rPr>
      </w:pPr>
      <w:r w:rsidRPr="009809B2">
        <w:rPr>
          <w:rFonts w:cstheme="minorHAnsi"/>
          <w:lang w:val="es-CO"/>
        </w:rPr>
        <w:t>(</w:t>
      </w:r>
      <w:proofErr w:type="spellStart"/>
      <w:r w:rsidRPr="009809B2">
        <w:rPr>
          <w:rFonts w:cstheme="minorHAnsi"/>
          <w:lang w:val="es-CO"/>
        </w:rPr>
        <w:t>iii</w:t>
      </w:r>
      <w:proofErr w:type="spellEnd"/>
      <w:r w:rsidRPr="009809B2">
        <w:rPr>
          <w:rFonts w:cstheme="minorHAnsi"/>
          <w:lang w:val="es-CO"/>
        </w:rPr>
        <w:t xml:space="preserve">) </w:t>
      </w:r>
      <w:r w:rsidR="005864F8" w:rsidRPr="009809B2">
        <w:rPr>
          <w:rFonts w:cstheme="minorHAnsi"/>
          <w:lang w:val="es-CO"/>
        </w:rPr>
        <w:tab/>
      </w:r>
      <w:r w:rsidRPr="009809B2">
        <w:rPr>
          <w:rFonts w:cstheme="minorHAnsi"/>
          <w:lang w:val="es-CO"/>
        </w:rPr>
        <w:t xml:space="preserve">Los precios de equipos importados a partir del Índice de Precios de las exportaciones para equipos de telecomunicaciones, expedido por el U.S. Bureau </w:t>
      </w:r>
      <w:proofErr w:type="spellStart"/>
      <w:r w:rsidRPr="009809B2">
        <w:rPr>
          <w:rFonts w:cstheme="minorHAnsi"/>
          <w:lang w:val="es-CO"/>
        </w:rPr>
        <w:t>of</w:t>
      </w:r>
      <w:proofErr w:type="spellEnd"/>
      <w:r w:rsidRPr="009809B2">
        <w:rPr>
          <w:rFonts w:cstheme="minorHAnsi"/>
          <w:lang w:val="es-CO"/>
        </w:rPr>
        <w:t xml:space="preserve"> Labor </w:t>
      </w:r>
      <w:proofErr w:type="spellStart"/>
      <w:r w:rsidRPr="009809B2">
        <w:rPr>
          <w:rFonts w:cstheme="minorHAnsi"/>
          <w:lang w:val="es-CO"/>
        </w:rPr>
        <w:t>Statistics</w:t>
      </w:r>
      <w:proofErr w:type="spellEnd"/>
      <w:r w:rsidRPr="009809B2">
        <w:rPr>
          <w:rFonts w:cstheme="minorHAnsi"/>
          <w:lang w:val="es-CO"/>
        </w:rPr>
        <w:t xml:space="preserve"> a mitad del mes siguiente al estudiado.</w:t>
      </w:r>
    </w:p>
    <w:p w14:paraId="5DBF9B85" w14:textId="69702873" w:rsidR="00214DDB" w:rsidRPr="009809B2" w:rsidRDefault="00214DDB" w:rsidP="001C0741">
      <w:pPr>
        <w:ind w:left="426" w:hanging="426"/>
        <w:jc w:val="both"/>
        <w:rPr>
          <w:rFonts w:cstheme="minorHAnsi"/>
          <w:lang w:val="es-CO"/>
        </w:rPr>
      </w:pPr>
      <w:r w:rsidRPr="009809B2">
        <w:rPr>
          <w:rFonts w:cstheme="minorHAnsi"/>
          <w:lang w:val="es-CO"/>
        </w:rPr>
        <w:t>(</w:t>
      </w:r>
      <w:proofErr w:type="spellStart"/>
      <w:r w:rsidRPr="009809B2">
        <w:rPr>
          <w:rFonts w:cstheme="minorHAnsi"/>
          <w:lang w:val="es-CO"/>
        </w:rPr>
        <w:t>iv</w:t>
      </w:r>
      <w:proofErr w:type="spellEnd"/>
      <w:r w:rsidRPr="009809B2">
        <w:rPr>
          <w:rFonts w:cstheme="minorHAnsi"/>
          <w:lang w:val="es-CO"/>
        </w:rPr>
        <w:t xml:space="preserve">) </w:t>
      </w:r>
      <w:r w:rsidR="005864F8" w:rsidRPr="009809B2">
        <w:rPr>
          <w:rFonts w:cstheme="minorHAnsi"/>
          <w:lang w:val="es-CO"/>
        </w:rPr>
        <w:tab/>
      </w:r>
      <w:r w:rsidRPr="009809B2">
        <w:rPr>
          <w:rFonts w:cstheme="minorHAnsi"/>
          <w:lang w:val="es-CO"/>
        </w:rPr>
        <w:t>El Promedio móvil de 12 meses de la Tasa Representativa del Mercado más el arancel nominal promedio, calculado por la DIAN, de disponibilidad inmediata.</w:t>
      </w:r>
    </w:p>
    <w:p w14:paraId="19095810" w14:textId="77777777" w:rsidR="00214DDB" w:rsidRPr="009809B2" w:rsidRDefault="00214DDB" w:rsidP="00214DDB">
      <w:pPr>
        <w:rPr>
          <w:rFonts w:cstheme="minorHAnsi"/>
          <w:lang w:val="es-CO"/>
        </w:rPr>
      </w:pPr>
      <w:r w:rsidRPr="009809B2">
        <w:rPr>
          <w:rFonts w:cstheme="minorHAnsi"/>
          <w:lang w:val="es-CO"/>
        </w:rPr>
        <w:t xml:space="preserve">Así mismo, se está de acuerdo que se pueden buscar indicadores que sean más afines a las actividades que se esperan actualizar en estos dos sectores. </w:t>
      </w:r>
    </w:p>
    <w:p w14:paraId="16841856" w14:textId="24358D89" w:rsidR="00214DDB" w:rsidRPr="009809B2" w:rsidRDefault="00214DDB" w:rsidP="00214DDB">
      <w:pPr>
        <w:rPr>
          <w:rFonts w:cstheme="minorHAnsi"/>
          <w:lang w:val="es-CO"/>
        </w:rPr>
      </w:pPr>
      <w:r w:rsidRPr="009809B2">
        <w:rPr>
          <w:rFonts w:cstheme="minorHAnsi"/>
          <w:lang w:val="es-CO"/>
        </w:rPr>
        <w:t xml:space="preserve">De otro lado, la CRC considera como necesario mantener la estructura del </w:t>
      </w:r>
      <w:r w:rsidR="00CE29E9" w:rsidRPr="009809B2">
        <w:rPr>
          <w:rFonts w:cstheme="minorHAnsi"/>
          <w:lang w:val="es-CO"/>
        </w:rPr>
        <w:t>Índice</w:t>
      </w:r>
      <w:r w:rsidRPr="009809B2">
        <w:rPr>
          <w:rFonts w:cstheme="minorHAnsi"/>
          <w:lang w:val="es-CO"/>
        </w:rPr>
        <w:t xml:space="preserve"> de Actualización de Tarifas - IAT que se viene aplicando actualmente, lo cual permite la fácil adaptación por parte de los agentes y su aplicación de forma inmediata, este fue uno de los aspectos comentados y sugeridos por parte de los agentes de este sector de telecomunicaciones.</w:t>
      </w:r>
    </w:p>
    <w:p w14:paraId="64A64965" w14:textId="5DC1E568" w:rsidR="00214DDB" w:rsidRPr="009809B2" w:rsidRDefault="00214DDB" w:rsidP="00214DDB">
      <w:pPr>
        <w:rPr>
          <w:rFonts w:cstheme="minorHAnsi"/>
          <w:lang w:val="es-CO"/>
        </w:rPr>
      </w:pPr>
      <w:r w:rsidRPr="009809B2">
        <w:rPr>
          <w:rFonts w:cstheme="minorHAnsi"/>
          <w:lang w:val="es-CO"/>
        </w:rPr>
        <w:t>En el siguiente cuadro se evidencian las ventajas y desventajas del IAT propuesto por la CRC en una posible aplicación al servicio de energía</w:t>
      </w:r>
      <w:r w:rsidR="00C57C1B">
        <w:rPr>
          <w:rFonts w:cstheme="minorHAnsi"/>
          <w:lang w:val="es-CO"/>
        </w:rPr>
        <w:t>:</w:t>
      </w:r>
    </w:p>
    <w:tbl>
      <w:tblPr>
        <w:tblStyle w:val="Tablaconcuadrcula"/>
        <w:tblW w:w="0" w:type="auto"/>
        <w:tblLook w:val="04A0" w:firstRow="1" w:lastRow="0" w:firstColumn="1" w:lastColumn="0" w:noHBand="0" w:noVBand="1"/>
      </w:tblPr>
      <w:tblGrid>
        <w:gridCol w:w="4423"/>
        <w:gridCol w:w="4405"/>
      </w:tblGrid>
      <w:tr w:rsidR="00214DDB" w:rsidRPr="00C57C1B" w14:paraId="522ADFB8" w14:textId="77777777" w:rsidTr="005D0333">
        <w:trPr>
          <w:tblHeader/>
        </w:trPr>
        <w:tc>
          <w:tcPr>
            <w:tcW w:w="4423" w:type="dxa"/>
            <w:shd w:val="clear" w:color="auto" w:fill="D9D9D9" w:themeFill="background1" w:themeFillShade="D9"/>
          </w:tcPr>
          <w:p w14:paraId="6246D51B" w14:textId="77777777" w:rsidR="00214DDB" w:rsidRPr="00C57C1B" w:rsidRDefault="00214DDB" w:rsidP="005D0333">
            <w:pPr>
              <w:jc w:val="center"/>
              <w:rPr>
                <w:rFonts w:cstheme="minorHAnsi"/>
                <w:b/>
                <w:bCs/>
                <w:sz w:val="18"/>
                <w:szCs w:val="18"/>
                <w:lang w:val="es-CO"/>
              </w:rPr>
            </w:pPr>
            <w:r w:rsidRPr="00C57C1B">
              <w:rPr>
                <w:rFonts w:cstheme="minorHAnsi"/>
                <w:b/>
                <w:bCs/>
                <w:sz w:val="18"/>
                <w:szCs w:val="18"/>
                <w:lang w:val="es-CO"/>
              </w:rPr>
              <w:t>Ventajas</w:t>
            </w:r>
          </w:p>
        </w:tc>
        <w:tc>
          <w:tcPr>
            <w:tcW w:w="4405" w:type="dxa"/>
            <w:shd w:val="clear" w:color="auto" w:fill="D9D9D9" w:themeFill="background1" w:themeFillShade="D9"/>
          </w:tcPr>
          <w:p w14:paraId="526A46CC" w14:textId="77777777" w:rsidR="00214DDB" w:rsidRPr="00C57C1B" w:rsidRDefault="00214DDB" w:rsidP="005D0333">
            <w:pPr>
              <w:jc w:val="center"/>
              <w:rPr>
                <w:rFonts w:cstheme="minorHAnsi"/>
                <w:b/>
                <w:bCs/>
                <w:sz w:val="18"/>
                <w:szCs w:val="18"/>
                <w:lang w:val="es-CO"/>
              </w:rPr>
            </w:pPr>
            <w:r w:rsidRPr="00C57C1B">
              <w:rPr>
                <w:rFonts w:cstheme="minorHAnsi"/>
                <w:b/>
                <w:bCs/>
                <w:sz w:val="18"/>
                <w:szCs w:val="18"/>
                <w:lang w:val="es-CO"/>
              </w:rPr>
              <w:t>Desventajas</w:t>
            </w:r>
          </w:p>
        </w:tc>
      </w:tr>
      <w:tr w:rsidR="00214DDB" w:rsidRPr="00C57C1B" w14:paraId="708674F5" w14:textId="77777777" w:rsidTr="00D7274C">
        <w:tc>
          <w:tcPr>
            <w:tcW w:w="4423" w:type="dxa"/>
          </w:tcPr>
          <w:p w14:paraId="51D566FE" w14:textId="77777777" w:rsidR="00214DDB" w:rsidRPr="00C57C1B" w:rsidRDefault="00214DDB">
            <w:pPr>
              <w:rPr>
                <w:rFonts w:cstheme="minorHAnsi"/>
                <w:sz w:val="18"/>
                <w:szCs w:val="18"/>
                <w:lang w:val="es-CO"/>
              </w:rPr>
            </w:pPr>
            <w:r w:rsidRPr="00C57C1B">
              <w:rPr>
                <w:rFonts w:cstheme="minorHAnsi"/>
                <w:sz w:val="18"/>
                <w:szCs w:val="18"/>
                <w:lang w:val="es-CO"/>
              </w:rPr>
              <w:t>Se ajusta de manera más precisa a las condiciones del sector de telecomunicaciones</w:t>
            </w:r>
          </w:p>
        </w:tc>
        <w:tc>
          <w:tcPr>
            <w:tcW w:w="4405" w:type="dxa"/>
          </w:tcPr>
          <w:p w14:paraId="02DCED40" w14:textId="77777777" w:rsidR="00214DDB" w:rsidRPr="00C57C1B" w:rsidRDefault="00214DDB">
            <w:pPr>
              <w:rPr>
                <w:rFonts w:cstheme="minorHAnsi"/>
                <w:sz w:val="18"/>
                <w:szCs w:val="18"/>
                <w:lang w:val="es-CO"/>
              </w:rPr>
            </w:pPr>
            <w:r w:rsidRPr="00C57C1B">
              <w:rPr>
                <w:rFonts w:cstheme="minorHAnsi"/>
                <w:sz w:val="18"/>
                <w:szCs w:val="18"/>
                <w:lang w:val="es-CO"/>
              </w:rPr>
              <w:t xml:space="preserve">Resulta de una combinación de indicadores que se relacionan con salarios y con efectos de la tasa representativa del mercado, lo cual puede presentar fluctuaciones importantes. </w:t>
            </w:r>
          </w:p>
        </w:tc>
      </w:tr>
      <w:tr w:rsidR="00214DDB" w:rsidRPr="00C57C1B" w14:paraId="6B09E51C" w14:textId="77777777" w:rsidTr="00D7274C">
        <w:tc>
          <w:tcPr>
            <w:tcW w:w="4423" w:type="dxa"/>
          </w:tcPr>
          <w:p w14:paraId="7141CA7F" w14:textId="77777777" w:rsidR="00214DDB" w:rsidRPr="00C57C1B" w:rsidRDefault="00214DDB">
            <w:pPr>
              <w:rPr>
                <w:rFonts w:cstheme="minorHAnsi"/>
                <w:sz w:val="18"/>
                <w:szCs w:val="18"/>
                <w:lang w:val="es-CO"/>
              </w:rPr>
            </w:pPr>
            <w:r w:rsidRPr="00C57C1B">
              <w:rPr>
                <w:rFonts w:cstheme="minorHAnsi"/>
                <w:sz w:val="18"/>
                <w:szCs w:val="18"/>
                <w:lang w:val="es-CO"/>
              </w:rPr>
              <w:t>Se viene aplicando y se afina con las nuevas series seleccionadas, ya existe una experiencia por parte de los agentes del sector de su funcionamiento y aplicación.</w:t>
            </w:r>
          </w:p>
        </w:tc>
        <w:tc>
          <w:tcPr>
            <w:tcW w:w="4405" w:type="dxa"/>
          </w:tcPr>
          <w:p w14:paraId="040265D9" w14:textId="77777777" w:rsidR="00214DDB" w:rsidRPr="00C57C1B" w:rsidRDefault="00214DDB">
            <w:pPr>
              <w:rPr>
                <w:rFonts w:cstheme="minorHAnsi"/>
                <w:sz w:val="18"/>
                <w:szCs w:val="18"/>
                <w:lang w:val="es-CO"/>
              </w:rPr>
            </w:pPr>
            <w:r w:rsidRPr="00C57C1B">
              <w:rPr>
                <w:rFonts w:cstheme="minorHAnsi"/>
                <w:sz w:val="18"/>
                <w:szCs w:val="18"/>
                <w:lang w:val="es-CO"/>
              </w:rPr>
              <w:t xml:space="preserve">Es un indicador que debe construirse en cada periodo de actualización, lo que puede afectar la disponibilidad </w:t>
            </w:r>
            <w:proofErr w:type="gramStart"/>
            <w:r w:rsidRPr="00C57C1B">
              <w:rPr>
                <w:rFonts w:cstheme="minorHAnsi"/>
                <w:sz w:val="18"/>
                <w:szCs w:val="18"/>
                <w:lang w:val="es-CO"/>
              </w:rPr>
              <w:t>del mismo</w:t>
            </w:r>
            <w:proofErr w:type="gramEnd"/>
            <w:r w:rsidRPr="00C57C1B">
              <w:rPr>
                <w:rFonts w:cstheme="minorHAnsi"/>
                <w:sz w:val="18"/>
                <w:szCs w:val="18"/>
                <w:lang w:val="es-CO"/>
              </w:rPr>
              <w:t xml:space="preserve"> de forma inmediata.</w:t>
            </w:r>
          </w:p>
        </w:tc>
      </w:tr>
      <w:tr w:rsidR="00214DDB" w:rsidRPr="00C57C1B" w14:paraId="7315B69A" w14:textId="77777777" w:rsidTr="00D7274C">
        <w:tc>
          <w:tcPr>
            <w:tcW w:w="4423" w:type="dxa"/>
          </w:tcPr>
          <w:p w14:paraId="75A7549C" w14:textId="77777777" w:rsidR="00214DDB" w:rsidRPr="00C57C1B" w:rsidRDefault="00214DDB">
            <w:pPr>
              <w:rPr>
                <w:rFonts w:cstheme="minorHAnsi"/>
                <w:sz w:val="18"/>
                <w:szCs w:val="18"/>
                <w:lang w:val="es-CO"/>
              </w:rPr>
            </w:pPr>
          </w:p>
        </w:tc>
        <w:tc>
          <w:tcPr>
            <w:tcW w:w="4405" w:type="dxa"/>
          </w:tcPr>
          <w:p w14:paraId="2F65E52D" w14:textId="77777777" w:rsidR="00214DDB" w:rsidRPr="00C57C1B" w:rsidRDefault="00214DDB">
            <w:pPr>
              <w:rPr>
                <w:rFonts w:cstheme="minorHAnsi"/>
                <w:sz w:val="18"/>
                <w:szCs w:val="18"/>
                <w:lang w:val="es-CO"/>
              </w:rPr>
            </w:pPr>
            <w:r w:rsidRPr="00C57C1B">
              <w:rPr>
                <w:rFonts w:cstheme="minorHAnsi"/>
                <w:sz w:val="18"/>
                <w:szCs w:val="18"/>
                <w:lang w:val="es-CO"/>
              </w:rPr>
              <w:t xml:space="preserve">Para su estructuración se requiere el diseño detallado de modelo de empresa eficiente y la selección cuidadosa de los indexadores que conformarían la combinación del índice de actualización, para lo cual es conveniente realizar un estudio especializado sobre este tema. </w:t>
            </w:r>
          </w:p>
        </w:tc>
      </w:tr>
      <w:tr w:rsidR="00214DDB" w:rsidRPr="00C57C1B" w14:paraId="7B6FB6FD" w14:textId="77777777" w:rsidTr="00D7274C">
        <w:tc>
          <w:tcPr>
            <w:tcW w:w="4423" w:type="dxa"/>
          </w:tcPr>
          <w:p w14:paraId="230B282F" w14:textId="77777777" w:rsidR="00214DDB" w:rsidRPr="00C57C1B" w:rsidRDefault="00214DDB">
            <w:pPr>
              <w:rPr>
                <w:rFonts w:cstheme="minorHAnsi"/>
                <w:sz w:val="18"/>
                <w:szCs w:val="18"/>
                <w:lang w:val="es-CO"/>
              </w:rPr>
            </w:pPr>
          </w:p>
        </w:tc>
        <w:tc>
          <w:tcPr>
            <w:tcW w:w="4405" w:type="dxa"/>
          </w:tcPr>
          <w:p w14:paraId="7E115ED3" w14:textId="1AFF76DB" w:rsidR="00214DDB" w:rsidRPr="00C57C1B" w:rsidRDefault="00214DDB">
            <w:pPr>
              <w:rPr>
                <w:rFonts w:cstheme="minorHAnsi"/>
                <w:sz w:val="18"/>
                <w:szCs w:val="18"/>
                <w:lang w:val="es-CO"/>
              </w:rPr>
            </w:pPr>
            <w:r w:rsidRPr="00C57C1B">
              <w:rPr>
                <w:rFonts w:cstheme="minorHAnsi"/>
                <w:sz w:val="18"/>
                <w:szCs w:val="18"/>
                <w:lang w:val="es-CO"/>
              </w:rPr>
              <w:t>La construcción periódica y publicación dependerá de la CREG, la cual deberá crear un procedimiento efectivo para su cálculo y publicación oportuna.</w:t>
            </w:r>
          </w:p>
        </w:tc>
      </w:tr>
    </w:tbl>
    <w:p w14:paraId="70FD6B6C" w14:textId="3EF71BBB" w:rsidR="00D7274C" w:rsidRPr="009809B2" w:rsidRDefault="00D36073" w:rsidP="00D36073">
      <w:pPr>
        <w:keepNext/>
        <w:numPr>
          <w:ilvl w:val="1"/>
          <w:numId w:val="34"/>
        </w:numPr>
        <w:suppressAutoHyphens/>
        <w:spacing w:before="360"/>
        <w:ind w:left="0" w:firstLine="0"/>
        <w:outlineLvl w:val="0"/>
        <w:rPr>
          <w:rFonts w:cstheme="minorHAnsi"/>
          <w:b/>
          <w:color w:val="000000" w:themeColor="text1"/>
          <w:lang w:val="es-CO"/>
        </w:rPr>
      </w:pPr>
      <w:bookmarkStart w:id="278" w:name="_Toc172100732"/>
      <w:r w:rsidRPr="009809B2">
        <w:rPr>
          <w:rFonts w:cstheme="minorHAnsi"/>
          <w:b/>
          <w:color w:val="000000" w:themeColor="text1"/>
          <w:lang w:val="es-CO"/>
        </w:rPr>
        <w:lastRenderedPageBreak/>
        <w:t>Sector de agua y saneamiento básico</w:t>
      </w:r>
      <w:bookmarkEnd w:id="278"/>
    </w:p>
    <w:p w14:paraId="450F140E" w14:textId="77777777" w:rsidR="00D7274C" w:rsidRPr="009809B2" w:rsidRDefault="00D7274C" w:rsidP="00D7274C">
      <w:pPr>
        <w:jc w:val="both"/>
        <w:rPr>
          <w:rFonts w:cstheme="minorHAnsi"/>
          <w:lang w:val="es-CO"/>
        </w:rPr>
      </w:pPr>
      <w:r w:rsidRPr="009809B2">
        <w:rPr>
          <w:rFonts w:cstheme="minorHAnsi"/>
          <w:lang w:val="es-CO"/>
        </w:rPr>
        <w:t>Luego de revisar lo propuesto por el sector de telecomunicaciones, se ha buscado lo que se viene utilizando para el sector de agua y saneamiento básico actualmente.</w:t>
      </w:r>
    </w:p>
    <w:p w14:paraId="6E8146CF" w14:textId="4EBAF136" w:rsidR="00D7274C" w:rsidRPr="009809B2" w:rsidRDefault="00D7274C" w:rsidP="00D7274C">
      <w:pPr>
        <w:jc w:val="both"/>
        <w:rPr>
          <w:rFonts w:cstheme="minorHAnsi"/>
          <w:lang w:val="es-CO"/>
        </w:rPr>
      </w:pPr>
      <w:r w:rsidRPr="009809B2">
        <w:rPr>
          <w:rFonts w:cstheme="minorHAnsi"/>
          <w:lang w:val="es-CO"/>
        </w:rPr>
        <w:t>Al respecto se encuentra que específicamente para el servicio de agua y alcantarillado y según lo señalado en la Resolución CRA 943 de 2021 que integra y unifica, para actualizar los costos de referencia de los servicios públicos domiciliarios de acueducto y alcantarillado se podrá aplicar un factor de </w:t>
      </w:r>
      <w:bookmarkStart w:id="279" w:name="busq5"/>
      <w:r w:rsidRPr="009809B2">
        <w:rPr>
          <w:rFonts w:cstheme="minorHAnsi"/>
          <w:lang w:val="es-CO"/>
        </w:rPr>
        <w:t>actualización</w:t>
      </w:r>
      <w:bookmarkEnd w:id="279"/>
      <w:r w:rsidRPr="009809B2">
        <w:rPr>
          <w:rFonts w:cstheme="minorHAnsi"/>
          <w:lang w:val="es-CO"/>
        </w:rPr>
        <w:t xml:space="preserve"> por IPC cada vez que </w:t>
      </w:r>
      <w:r w:rsidR="002C140E" w:rsidRPr="009809B2">
        <w:rPr>
          <w:rFonts w:cstheme="minorHAnsi"/>
          <w:lang w:val="es-CO"/>
        </w:rPr>
        <w:t>dicho índice</w:t>
      </w:r>
      <w:r w:rsidRPr="009809B2">
        <w:rPr>
          <w:rFonts w:cstheme="minorHAnsi"/>
          <w:lang w:val="es-CO"/>
        </w:rPr>
        <w:t>, reportado por el DANE, acumule una variación de por lo menos tres por ciento (3%).</w:t>
      </w:r>
    </w:p>
    <w:p w14:paraId="7086585A" w14:textId="77777777" w:rsidR="00D7274C" w:rsidRPr="009809B2" w:rsidRDefault="00D7274C" w:rsidP="00D7274C">
      <w:pPr>
        <w:jc w:val="both"/>
        <w:rPr>
          <w:rFonts w:cstheme="minorHAnsi"/>
          <w:lang w:val="es-CO"/>
        </w:rPr>
      </w:pPr>
      <w:r w:rsidRPr="009809B2">
        <w:rPr>
          <w:rFonts w:cstheme="minorHAnsi"/>
          <w:lang w:val="es-CO"/>
        </w:rPr>
        <w:t>Ahora bien, para el caso de aseo mediante la Resolución CRA 962 de 2022 “Por la cual se modifican los artículos 5.3.2.2.8.2 y 5.3.6.7.9.2. de la Resolución CRA 943 de 2021, se corrige el Factor de Actualización de Costos para la actividad de disposición final en el servicio público de aseo”, toda vez que a partir de enero de 2022 se empezará a publicar el nuevo índice de actualización para esta actividad denominado Índice de Obras Ambientales – IOAMB que hace parte de Índice de Costos de la Construcción de Obras Civiles – ICOCIV.”</w:t>
      </w:r>
    </w:p>
    <w:p w14:paraId="6CF856ED" w14:textId="3547449B" w:rsidR="00D7274C" w:rsidRPr="009809B2" w:rsidRDefault="00D7274C" w:rsidP="00D7274C">
      <w:pPr>
        <w:jc w:val="both"/>
        <w:rPr>
          <w:rFonts w:cstheme="minorHAnsi"/>
          <w:lang w:val="es-CO"/>
        </w:rPr>
      </w:pPr>
      <w:r w:rsidRPr="009809B2">
        <w:rPr>
          <w:rFonts w:cstheme="minorHAnsi"/>
          <w:lang w:val="es-CO"/>
        </w:rPr>
        <w:t>En este sector también se considera un Factor de Actualización de Costos por Actividad (</w:t>
      </w:r>
      <w:proofErr w:type="spellStart"/>
      <w:r w:rsidRPr="009809B2">
        <w:rPr>
          <w:rFonts w:cstheme="minorHAnsi"/>
          <w:lang w:val="es-CO"/>
        </w:rPr>
        <w:t>FAc</w:t>
      </w:r>
      <w:proofErr w:type="spellEnd"/>
      <w:r w:rsidRPr="009809B2">
        <w:rPr>
          <w:rFonts w:cstheme="minorHAnsi"/>
          <w:lang w:val="es-CO"/>
        </w:rPr>
        <w:t>), en donde</w:t>
      </w:r>
      <w:r w:rsidR="00280EAF" w:rsidRPr="009809B2">
        <w:rPr>
          <w:rFonts w:cstheme="minorHAnsi"/>
          <w:lang w:val="es-CO"/>
        </w:rPr>
        <w:t>,</w:t>
      </w:r>
      <w:r w:rsidRPr="009809B2">
        <w:rPr>
          <w:rFonts w:cstheme="minorHAnsi"/>
          <w:lang w:val="es-CO"/>
        </w:rPr>
        <w:t xml:space="preserve"> para ajustar los costos de las actividades</w:t>
      </w:r>
      <w:r w:rsidR="00280EAF" w:rsidRPr="009809B2">
        <w:rPr>
          <w:rFonts w:cstheme="minorHAnsi"/>
          <w:lang w:val="es-CO"/>
        </w:rPr>
        <w:t>,</w:t>
      </w:r>
      <w:r w:rsidRPr="009809B2">
        <w:rPr>
          <w:rFonts w:cstheme="minorHAnsi"/>
          <w:lang w:val="es-CO"/>
        </w:rPr>
        <w:t xml:space="preserve"> se utiliza lo siguiente:</w:t>
      </w:r>
    </w:p>
    <w:p w14:paraId="0E2BA109" w14:textId="5976644B" w:rsidR="00D7274C" w:rsidRPr="009809B2" w:rsidRDefault="0025383E" w:rsidP="003B0A52">
      <w:pPr>
        <w:ind w:left="284" w:hanging="284"/>
        <w:jc w:val="both"/>
        <w:rPr>
          <w:rFonts w:cstheme="minorHAnsi"/>
          <w:lang w:val="es-CO"/>
        </w:rPr>
      </w:pPr>
      <w:r w:rsidRPr="009809B2">
        <w:rPr>
          <w:rFonts w:cstheme="minorHAnsi"/>
          <w:lang w:val="es-CO"/>
        </w:rPr>
        <w:t>i)</w:t>
      </w:r>
      <w:r w:rsidR="00D7274C" w:rsidRPr="009809B2">
        <w:rPr>
          <w:rFonts w:cstheme="minorHAnsi"/>
          <w:lang w:val="es-CO"/>
        </w:rPr>
        <w:t xml:space="preserve"> </w:t>
      </w:r>
      <w:r w:rsidR="00AC591C" w:rsidRPr="009809B2">
        <w:rPr>
          <w:rFonts w:cstheme="minorHAnsi"/>
          <w:lang w:val="es-CO"/>
        </w:rPr>
        <w:tab/>
      </w:r>
      <w:r w:rsidR="00D7274C" w:rsidRPr="009809B2">
        <w:rPr>
          <w:rFonts w:cstheme="minorHAnsi"/>
          <w:lang w:val="es-CO"/>
        </w:rPr>
        <w:t>Factor de actualización del Costo de Barrido y Limpieza de Vías y Áreas Públicas por suscriptor (CBLS) y del Costo de Limpieza Urbana por suscriptor (CLUS). Este se establece de acuerdo con el incremento del Salario Mínimo Mensual Legal Vigente adoptado por el Gobierno Nacional.</w:t>
      </w:r>
    </w:p>
    <w:p w14:paraId="3ACD8F24" w14:textId="0212F712" w:rsidR="00D7274C" w:rsidRPr="009809B2" w:rsidRDefault="0025383E" w:rsidP="003B0A52">
      <w:pPr>
        <w:ind w:left="284" w:hanging="284"/>
        <w:jc w:val="both"/>
        <w:rPr>
          <w:rFonts w:cstheme="minorHAnsi"/>
          <w:lang w:val="es-CO"/>
        </w:rPr>
      </w:pPr>
      <w:proofErr w:type="spellStart"/>
      <w:r w:rsidRPr="009809B2">
        <w:rPr>
          <w:rFonts w:cstheme="minorHAnsi"/>
          <w:lang w:val="es-CO"/>
        </w:rPr>
        <w:t>ii</w:t>
      </w:r>
      <w:proofErr w:type="spellEnd"/>
      <w:r w:rsidRPr="009809B2">
        <w:rPr>
          <w:rFonts w:cstheme="minorHAnsi"/>
          <w:lang w:val="es-CO"/>
        </w:rPr>
        <w:t>)</w:t>
      </w:r>
      <w:r w:rsidR="00D7274C" w:rsidRPr="009809B2">
        <w:rPr>
          <w:rFonts w:cstheme="minorHAnsi"/>
          <w:lang w:val="es-CO"/>
        </w:rPr>
        <w:t xml:space="preserve"> </w:t>
      </w:r>
      <w:r w:rsidR="00AC591C" w:rsidRPr="009809B2">
        <w:rPr>
          <w:rFonts w:cstheme="minorHAnsi"/>
          <w:lang w:val="es-CO"/>
        </w:rPr>
        <w:tab/>
      </w:r>
      <w:r w:rsidR="00D7274C" w:rsidRPr="009809B2">
        <w:rPr>
          <w:rFonts w:cstheme="minorHAnsi"/>
          <w:lang w:val="es-CO"/>
        </w:rPr>
        <w:t>Factor de Actualización del Costo de comercialización, del Costo de Tratamiento de Lixiviados y del Costo de Tratamiento: se actualiza de acuerdo con el Índice de Precios al Consumidor (IPC), calculado por el DANE</w:t>
      </w:r>
    </w:p>
    <w:p w14:paraId="7AF92CBE" w14:textId="623D435C" w:rsidR="00D7274C" w:rsidRPr="009809B2" w:rsidRDefault="0025383E" w:rsidP="003B0A52">
      <w:pPr>
        <w:ind w:left="284" w:hanging="284"/>
        <w:jc w:val="both"/>
        <w:rPr>
          <w:rFonts w:cstheme="minorHAnsi"/>
          <w:lang w:val="es-CO"/>
        </w:rPr>
      </w:pPr>
      <w:proofErr w:type="spellStart"/>
      <w:r w:rsidRPr="009809B2">
        <w:rPr>
          <w:rFonts w:cstheme="minorHAnsi"/>
          <w:lang w:val="es-CO"/>
        </w:rPr>
        <w:t>iii</w:t>
      </w:r>
      <w:proofErr w:type="spellEnd"/>
      <w:r w:rsidRPr="009809B2">
        <w:rPr>
          <w:rFonts w:cstheme="minorHAnsi"/>
          <w:lang w:val="es-CO"/>
        </w:rPr>
        <w:t>)</w:t>
      </w:r>
      <w:r w:rsidR="00D7274C" w:rsidRPr="009809B2">
        <w:rPr>
          <w:rFonts w:cstheme="minorHAnsi"/>
          <w:lang w:val="es-CO"/>
        </w:rPr>
        <w:t xml:space="preserve"> Factor de Actualización del Costo de recolección y transporte en un 89% de acuerdo con la evolución del IPC, y en un 11% de acuerdo con la evolución del rubro de Combustible Fuel </w:t>
      </w:r>
      <w:proofErr w:type="spellStart"/>
      <w:r w:rsidR="00D7274C" w:rsidRPr="009809B2">
        <w:rPr>
          <w:rFonts w:cstheme="minorHAnsi"/>
          <w:lang w:val="es-CO"/>
        </w:rPr>
        <w:t>Oil</w:t>
      </w:r>
      <w:proofErr w:type="spellEnd"/>
      <w:r w:rsidR="00D7274C" w:rsidRPr="009809B2">
        <w:rPr>
          <w:rFonts w:cstheme="minorHAnsi"/>
          <w:lang w:val="es-CO"/>
        </w:rPr>
        <w:t xml:space="preserve"> y Diesel </w:t>
      </w:r>
      <w:proofErr w:type="spellStart"/>
      <w:r w:rsidR="00D7274C" w:rsidRPr="009809B2">
        <w:rPr>
          <w:rFonts w:cstheme="minorHAnsi"/>
          <w:lang w:val="es-CO"/>
        </w:rPr>
        <w:t>Oil</w:t>
      </w:r>
      <w:proofErr w:type="spellEnd"/>
      <w:r w:rsidR="00D7274C" w:rsidRPr="009809B2">
        <w:rPr>
          <w:rFonts w:cstheme="minorHAnsi"/>
          <w:lang w:val="es-CO"/>
        </w:rPr>
        <w:t xml:space="preserve"> ACPM (ICFO) que hace parte del IPP.</w:t>
      </w:r>
    </w:p>
    <w:p w14:paraId="44367EF7" w14:textId="7EA2223E" w:rsidR="00D7274C" w:rsidRPr="009809B2" w:rsidRDefault="00AC591C" w:rsidP="003B0A52">
      <w:pPr>
        <w:ind w:left="284" w:hanging="284"/>
        <w:rPr>
          <w:lang w:val="es-CO"/>
        </w:rPr>
      </w:pPr>
      <w:proofErr w:type="spellStart"/>
      <w:r w:rsidRPr="009809B2">
        <w:rPr>
          <w:lang w:val="es-CO"/>
        </w:rPr>
        <w:t>iv</w:t>
      </w:r>
      <w:proofErr w:type="spellEnd"/>
      <w:r w:rsidRPr="009809B2">
        <w:rPr>
          <w:lang w:val="es-CO"/>
        </w:rPr>
        <w:t>)</w:t>
      </w:r>
      <w:r w:rsidR="00D7274C" w:rsidRPr="009809B2">
        <w:rPr>
          <w:lang w:val="es-CO"/>
        </w:rPr>
        <w:t xml:space="preserve"> </w:t>
      </w:r>
      <w:r w:rsidRPr="009809B2">
        <w:rPr>
          <w:lang w:val="es-CO"/>
        </w:rPr>
        <w:tab/>
      </w:r>
      <w:r w:rsidR="00D7274C" w:rsidRPr="009809B2">
        <w:rPr>
          <w:lang w:val="es-CO"/>
        </w:rPr>
        <w:t>Factor de Actualización del Costo de disposición final: se actualizará de acuerdo con la evolución del índice de la tipología de obra 522</w:t>
      </w:r>
      <w:hyperlink r:id="rId36" w:anchor="NF5" w:history="1">
        <w:r w:rsidR="00D7274C" w:rsidRPr="009809B2">
          <w:rPr>
            <w:lang w:val="es-CO"/>
          </w:rPr>
          <w:t>[5]</w:t>
        </w:r>
      </w:hyperlink>
      <w:r w:rsidR="00D7274C" w:rsidRPr="009809B2">
        <w:rPr>
          <w:lang w:val="es-CO"/>
        </w:rPr>
        <w:t> Obras Ambientales </w:t>
      </w:r>
      <w:r w:rsidR="00D7274C" w:rsidRPr="009809B2">
        <w:rPr>
          <w:noProof/>
          <w:lang w:val="es-CO"/>
        </w:rPr>
        <w:drawing>
          <wp:inline distT="0" distB="0" distL="0" distR="0" wp14:anchorId="312D0F12" wp14:editId="28A7F9FC">
            <wp:extent cx="628650" cy="171450"/>
            <wp:effectExtent l="0" t="0" r="0" b="0"/>
            <wp:docPr id="338721913" name="Imagen 3387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00D7274C" w:rsidRPr="009809B2">
        <w:rPr>
          <w:lang w:val="es-CO"/>
        </w:rPr>
        <w:t>, que hace parte del Índice de Costos de Construcción de Obras Civiles (ICOCIV) elaborado por el DANE.</w:t>
      </w:r>
    </w:p>
    <w:p w14:paraId="57ECB956" w14:textId="79B1B300" w:rsidR="00214DDB" w:rsidRPr="009809B2" w:rsidRDefault="00D7274C" w:rsidP="003B0A52">
      <w:pPr>
        <w:rPr>
          <w:spacing w:val="-5"/>
          <w:lang w:val="es-CO"/>
        </w:rPr>
      </w:pPr>
      <w:r w:rsidRPr="009809B2">
        <w:rPr>
          <w:lang w:val="es-CO"/>
        </w:rPr>
        <w:t xml:space="preserve">La misma resolución dispone que para efectos de la primera actualización del costo de disposición final en el año 2022, se deberán tener en cuenta la variación acumulada con ambos índices de forma agregada, es decir, la variación acumulada con el índice </w:t>
      </w:r>
      <w:proofErr w:type="spellStart"/>
      <w:r w:rsidRPr="009809B2">
        <w:rPr>
          <w:lang w:val="es-CO"/>
        </w:rPr>
        <w:t>IOExp</w:t>
      </w:r>
      <w:proofErr w:type="spellEnd"/>
      <w:r w:rsidRPr="009809B2">
        <w:rPr>
          <w:lang w:val="es-CO"/>
        </w:rPr>
        <w:t xml:space="preserve">, desde la última actualización realizada hasta el 31 de diciembre de 2021, y la variación acumulada con el índice IOAMB, desde el </w:t>
      </w:r>
      <w:r w:rsidRPr="009809B2">
        <w:rPr>
          <w:lang w:val="es-CO"/>
        </w:rPr>
        <w:lastRenderedPageBreak/>
        <w:t>1 de enero de 2022 hasta que se alcance una acumulación mínima agregada del 3%. Para las siguientes actualizaciones, se debe tener en cuenta únicamente la variación mensual acumulada con el índice IOAMB.”</w:t>
      </w:r>
    </w:p>
    <w:p w14:paraId="52E0C66E" w14:textId="291633EF" w:rsidR="0086202A" w:rsidRPr="009809B2" w:rsidRDefault="71E601B4">
      <w:pPr>
        <w:rPr>
          <w:lang w:val="es-CO"/>
        </w:rPr>
      </w:pPr>
      <w:r w:rsidRPr="009809B2">
        <w:rPr>
          <w:lang w:val="es-CO"/>
        </w:rPr>
        <w:t xml:space="preserve">Es de indicar que la CRA también viene revisando el </w:t>
      </w:r>
      <w:r w:rsidR="009B76C8" w:rsidRPr="009809B2">
        <w:rPr>
          <w:lang w:val="es-CO"/>
        </w:rPr>
        <w:t>índice</w:t>
      </w:r>
      <w:r w:rsidRPr="009809B2">
        <w:rPr>
          <w:lang w:val="es-CO"/>
        </w:rPr>
        <w:t xml:space="preserve"> de actualización para el servicio de aseo y en ese contexto se han sostenido reuniones de las dos comisiones para plantear los </w:t>
      </w:r>
      <w:r w:rsidR="173FD6A8" w:rsidRPr="009809B2">
        <w:rPr>
          <w:lang w:val="es-CO"/>
        </w:rPr>
        <w:t>análisis</w:t>
      </w:r>
      <w:r w:rsidRPr="009809B2">
        <w:rPr>
          <w:lang w:val="es-CO"/>
        </w:rPr>
        <w:t xml:space="preserve"> realizados en cada sec</w:t>
      </w:r>
      <w:r w:rsidR="49122776" w:rsidRPr="009809B2">
        <w:rPr>
          <w:lang w:val="es-CO"/>
        </w:rPr>
        <w:t>tor</w:t>
      </w:r>
      <w:r w:rsidR="047EC3C3" w:rsidRPr="009809B2">
        <w:rPr>
          <w:lang w:val="es-CO"/>
        </w:rPr>
        <w:t>, en estos se ha considerado la necesidad de mantener la estructura de actualización empleado</w:t>
      </w:r>
      <w:r w:rsidR="00550CF9" w:rsidRPr="009809B2">
        <w:rPr>
          <w:lang w:val="es-CO"/>
        </w:rPr>
        <w:t>,</w:t>
      </w:r>
      <w:r w:rsidR="047EC3C3" w:rsidRPr="009809B2">
        <w:rPr>
          <w:lang w:val="es-CO"/>
        </w:rPr>
        <w:t xml:space="preserve"> haciendo ajustes a los indicadores utilizados</w:t>
      </w:r>
      <w:r w:rsidR="001379D0" w:rsidRPr="009809B2">
        <w:rPr>
          <w:lang w:val="es-CO"/>
        </w:rPr>
        <w:t>.</w:t>
      </w:r>
    </w:p>
    <w:p w14:paraId="4AE10CE9" w14:textId="6C8733DD" w:rsidR="00F346B2" w:rsidRPr="009809B2" w:rsidRDefault="00F346B2" w:rsidP="009F71AA">
      <w:pPr>
        <w:keepNext/>
        <w:numPr>
          <w:ilvl w:val="0"/>
          <w:numId w:val="34"/>
        </w:numPr>
        <w:suppressAutoHyphens/>
        <w:spacing w:before="360"/>
        <w:outlineLvl w:val="0"/>
        <w:rPr>
          <w:rFonts w:cstheme="minorHAnsi"/>
          <w:b/>
          <w:spacing w:val="-5"/>
          <w:lang w:val="es-CO"/>
        </w:rPr>
      </w:pPr>
      <w:bookmarkStart w:id="280" w:name="_Toc172100733"/>
      <w:r w:rsidRPr="009809B2">
        <w:rPr>
          <w:rFonts w:cstheme="minorHAnsi"/>
          <w:b/>
          <w:spacing w:val="-5"/>
          <w:lang w:val="es-CO"/>
        </w:rPr>
        <w:t>A</w:t>
      </w:r>
      <w:r w:rsidR="00CD7401" w:rsidRPr="009809B2">
        <w:rPr>
          <w:rFonts w:cstheme="minorHAnsi"/>
          <w:b/>
          <w:spacing w:val="-5"/>
          <w:lang w:val="es-CO"/>
        </w:rPr>
        <w:t>NÁLISIS DE A</w:t>
      </w:r>
      <w:r w:rsidR="00933654" w:rsidRPr="009809B2">
        <w:rPr>
          <w:rFonts w:cstheme="minorHAnsi"/>
          <w:b/>
          <w:spacing w:val="-5"/>
          <w:lang w:val="es-CO"/>
        </w:rPr>
        <w:t>LTERNATIVAS</w:t>
      </w:r>
      <w:bookmarkEnd w:id="275"/>
      <w:bookmarkEnd w:id="280"/>
    </w:p>
    <w:p w14:paraId="789C4CC4" w14:textId="0AA4DBEE" w:rsidR="0090209D" w:rsidRPr="009809B2" w:rsidRDefault="0090209D" w:rsidP="003B0A52">
      <w:pPr>
        <w:rPr>
          <w:szCs w:val="18"/>
          <w:lang w:val="es-CO"/>
        </w:rPr>
      </w:pPr>
      <w:r w:rsidRPr="009809B2">
        <w:rPr>
          <w:szCs w:val="18"/>
          <w:lang w:val="es-CO"/>
        </w:rPr>
        <w:t>Según se mencionó anteriormente, en los periodos de análisis utilizados para expedir las metodologías de remuneración vigentes, el IPP de la oferta interna reflejaba las condiciones necesarias para actualizar los cargos, no obstante, ante los cambios de las condiciones internas y externas en los últimos años, hizo necesario revisar el uso de este indicador en el nuevo contexto.</w:t>
      </w:r>
    </w:p>
    <w:p w14:paraId="57052FF1" w14:textId="18F90BDC" w:rsidR="0090209D" w:rsidRPr="009809B2" w:rsidRDefault="0090209D" w:rsidP="009E2E74">
      <w:pPr>
        <w:spacing w:before="220"/>
        <w:rPr>
          <w:rFonts w:cstheme="minorHAnsi"/>
          <w:szCs w:val="18"/>
          <w:lang w:val="es-CO"/>
        </w:rPr>
      </w:pPr>
      <w:r w:rsidRPr="009809B2">
        <w:rPr>
          <w:rFonts w:cstheme="minorHAnsi"/>
          <w:szCs w:val="18"/>
          <w:lang w:val="es-CO"/>
        </w:rPr>
        <w:t xml:space="preserve">Como una medida </w:t>
      </w:r>
      <w:r w:rsidR="00DB7A1B" w:rsidRPr="009809B2">
        <w:rPr>
          <w:rFonts w:cstheme="minorHAnsi"/>
          <w:szCs w:val="18"/>
          <w:lang w:val="es-CO"/>
        </w:rPr>
        <w:t>dirigida a lograr una</w:t>
      </w:r>
      <w:r w:rsidRPr="009809B2">
        <w:rPr>
          <w:rFonts w:cstheme="minorHAnsi"/>
          <w:szCs w:val="18"/>
          <w:lang w:val="es-CO"/>
        </w:rPr>
        <w:t xml:space="preserve"> reducción de tarifas y </w:t>
      </w:r>
      <w:r w:rsidR="00DB7A1B" w:rsidRPr="009809B2">
        <w:rPr>
          <w:rFonts w:cstheme="minorHAnsi"/>
          <w:szCs w:val="18"/>
          <w:lang w:val="es-CO"/>
        </w:rPr>
        <w:t>contar con una</w:t>
      </w:r>
      <w:r w:rsidRPr="009809B2">
        <w:rPr>
          <w:rFonts w:cstheme="minorHAnsi"/>
          <w:szCs w:val="18"/>
          <w:lang w:val="es-CO"/>
        </w:rPr>
        <w:t xml:space="preserve"> aplicación inmediata, la Comisión expidió las resoluciones CREG 101 027 de 2022, 101 028 de 2022 y 101 031 de 2022 mediante las cuales se permitió la posibilidad de acogerse a una indexación transitoria (un año), cambiando el IPP oferta interna por el IPP industria, lo que permitió una reducción de las tarifas, en algunos mercados, en los últimos meses del año 2022.</w:t>
      </w:r>
    </w:p>
    <w:p w14:paraId="6F7966DB" w14:textId="2E368F55" w:rsidR="00CD7401" w:rsidRPr="009809B2" w:rsidRDefault="0004497F" w:rsidP="009E2E74">
      <w:pPr>
        <w:spacing w:before="220"/>
        <w:rPr>
          <w:rFonts w:cstheme="minorHAnsi"/>
          <w:szCs w:val="18"/>
          <w:lang w:val="es-CO"/>
        </w:rPr>
      </w:pPr>
      <w:r w:rsidRPr="009809B2">
        <w:rPr>
          <w:rFonts w:cstheme="minorHAnsi"/>
          <w:szCs w:val="18"/>
          <w:lang w:val="es-CO"/>
        </w:rPr>
        <w:t xml:space="preserve">Acorde con </w:t>
      </w:r>
      <w:r w:rsidR="00CF6D1B" w:rsidRPr="009809B2">
        <w:rPr>
          <w:rFonts w:cstheme="minorHAnsi"/>
          <w:szCs w:val="18"/>
          <w:lang w:val="es-CO"/>
        </w:rPr>
        <w:t xml:space="preserve">los parámetros de un </w:t>
      </w:r>
      <w:r w:rsidRPr="009809B2">
        <w:rPr>
          <w:rFonts w:cstheme="minorHAnsi"/>
          <w:szCs w:val="18"/>
          <w:lang w:val="es-CO"/>
        </w:rPr>
        <w:t>análisis de impacto normativo</w:t>
      </w:r>
      <w:r w:rsidR="00CF6D1B" w:rsidRPr="009809B2">
        <w:rPr>
          <w:rFonts w:cstheme="minorHAnsi"/>
          <w:szCs w:val="18"/>
          <w:lang w:val="es-CO"/>
        </w:rPr>
        <w:t xml:space="preserve">, </w:t>
      </w:r>
      <w:r w:rsidR="0090209D" w:rsidRPr="009809B2">
        <w:rPr>
          <w:rFonts w:cstheme="minorHAnsi"/>
          <w:szCs w:val="18"/>
          <w:lang w:val="es-CO"/>
        </w:rPr>
        <w:t>adicional</w:t>
      </w:r>
      <w:r w:rsidR="00CF6D1B" w:rsidRPr="009809B2">
        <w:rPr>
          <w:rFonts w:cstheme="minorHAnsi"/>
          <w:szCs w:val="18"/>
          <w:lang w:val="es-CO"/>
        </w:rPr>
        <w:t xml:space="preserve"> </w:t>
      </w:r>
      <w:r w:rsidR="009435F8" w:rsidRPr="009809B2">
        <w:rPr>
          <w:rFonts w:cstheme="minorHAnsi"/>
          <w:szCs w:val="18"/>
          <w:lang w:val="es-CO"/>
        </w:rPr>
        <w:t xml:space="preserve">a la </w:t>
      </w:r>
      <w:r w:rsidR="003C57ED" w:rsidRPr="009809B2">
        <w:rPr>
          <w:rFonts w:cstheme="minorHAnsi"/>
          <w:szCs w:val="18"/>
          <w:lang w:val="es-CO"/>
        </w:rPr>
        <w:t xml:space="preserve">alternativa </w:t>
      </w:r>
      <w:r w:rsidR="009435F8" w:rsidRPr="009809B2">
        <w:rPr>
          <w:rFonts w:cstheme="minorHAnsi"/>
          <w:szCs w:val="18"/>
          <w:lang w:val="es-CO"/>
        </w:rPr>
        <w:t>de mantener la regulación vigente y sin modificaciones</w:t>
      </w:r>
      <w:r w:rsidR="00ED327E" w:rsidRPr="009809B2">
        <w:rPr>
          <w:rFonts w:cstheme="minorHAnsi"/>
          <w:szCs w:val="18"/>
          <w:lang w:val="es-CO"/>
        </w:rPr>
        <w:t xml:space="preserve">, </w:t>
      </w:r>
      <w:r w:rsidR="00CF6D1B" w:rsidRPr="009809B2">
        <w:rPr>
          <w:rFonts w:cstheme="minorHAnsi"/>
          <w:szCs w:val="18"/>
          <w:lang w:val="es-CO"/>
        </w:rPr>
        <w:t xml:space="preserve">se </w:t>
      </w:r>
      <w:r w:rsidR="0090209D" w:rsidRPr="009809B2">
        <w:rPr>
          <w:rFonts w:cstheme="minorHAnsi"/>
          <w:szCs w:val="18"/>
          <w:lang w:val="es-CO"/>
        </w:rPr>
        <w:t xml:space="preserve">identificaron dos cuyos </w:t>
      </w:r>
      <w:r w:rsidR="00766B8A" w:rsidRPr="009809B2">
        <w:rPr>
          <w:rFonts w:cstheme="minorHAnsi"/>
          <w:szCs w:val="18"/>
          <w:lang w:val="es-CO"/>
        </w:rPr>
        <w:t xml:space="preserve">análisis </w:t>
      </w:r>
      <w:r w:rsidR="0090209D" w:rsidRPr="009809B2">
        <w:rPr>
          <w:rFonts w:cstheme="minorHAnsi"/>
          <w:szCs w:val="18"/>
          <w:lang w:val="es-CO"/>
        </w:rPr>
        <w:t xml:space="preserve">se presentan en este documento, </w:t>
      </w:r>
      <w:r w:rsidR="00ED327E" w:rsidRPr="009809B2">
        <w:rPr>
          <w:rFonts w:cstheme="minorHAnsi"/>
          <w:szCs w:val="18"/>
          <w:lang w:val="es-CO"/>
        </w:rPr>
        <w:t xml:space="preserve">asociadas con </w:t>
      </w:r>
      <w:r w:rsidR="00A8705A" w:rsidRPr="009809B2">
        <w:rPr>
          <w:rFonts w:cstheme="minorHAnsi"/>
          <w:szCs w:val="18"/>
          <w:lang w:val="es-CO"/>
        </w:rPr>
        <w:t xml:space="preserve">el diseño de nuevos índices y con la revisión del comportamiento de </w:t>
      </w:r>
      <w:r w:rsidR="00A32735" w:rsidRPr="009809B2">
        <w:rPr>
          <w:rFonts w:cstheme="minorHAnsi"/>
          <w:szCs w:val="18"/>
          <w:lang w:val="es-CO"/>
        </w:rPr>
        <w:t>índices actualmente</w:t>
      </w:r>
      <w:r w:rsidR="00A8705A" w:rsidRPr="009809B2">
        <w:rPr>
          <w:rFonts w:cstheme="minorHAnsi"/>
          <w:szCs w:val="18"/>
          <w:lang w:val="es-CO"/>
        </w:rPr>
        <w:t xml:space="preserve"> calculados por el DANE</w:t>
      </w:r>
      <w:r w:rsidR="00A32735" w:rsidRPr="009809B2">
        <w:rPr>
          <w:rFonts w:cstheme="minorHAnsi"/>
          <w:szCs w:val="18"/>
          <w:lang w:val="es-CO"/>
        </w:rPr>
        <w:t>.</w:t>
      </w:r>
    </w:p>
    <w:p w14:paraId="1C285F08" w14:textId="6CFC4A36" w:rsidR="000E1C62" w:rsidRPr="009809B2" w:rsidRDefault="00933654" w:rsidP="009F71AA">
      <w:pPr>
        <w:keepNext/>
        <w:numPr>
          <w:ilvl w:val="1"/>
          <w:numId w:val="34"/>
        </w:numPr>
        <w:suppressAutoHyphens/>
        <w:spacing w:before="360"/>
        <w:ind w:left="0" w:firstLine="0"/>
        <w:outlineLvl w:val="0"/>
        <w:rPr>
          <w:rFonts w:cstheme="minorHAnsi"/>
          <w:b/>
          <w:color w:val="000000" w:themeColor="text1"/>
          <w:lang w:val="es-CO"/>
        </w:rPr>
      </w:pPr>
      <w:bookmarkStart w:id="281" w:name="_Toc125389387"/>
      <w:bookmarkStart w:id="282" w:name="_Toc172100734"/>
      <w:r w:rsidRPr="009809B2">
        <w:rPr>
          <w:rFonts w:cstheme="minorHAnsi"/>
          <w:b/>
          <w:color w:val="000000" w:themeColor="text1"/>
          <w:lang w:val="es-CO"/>
        </w:rPr>
        <w:t xml:space="preserve">Mantener </w:t>
      </w:r>
      <w:r w:rsidR="002A42B3" w:rsidRPr="009809B2">
        <w:rPr>
          <w:rFonts w:cstheme="minorHAnsi"/>
          <w:b/>
          <w:color w:val="000000" w:themeColor="text1"/>
          <w:lang w:val="es-CO"/>
        </w:rPr>
        <w:t xml:space="preserve">los </w:t>
      </w:r>
      <w:r w:rsidR="001A3C1A" w:rsidRPr="009809B2">
        <w:rPr>
          <w:rFonts w:cstheme="minorHAnsi"/>
          <w:b/>
          <w:color w:val="000000" w:themeColor="text1"/>
          <w:lang w:val="es-CO"/>
        </w:rPr>
        <w:t>índices</w:t>
      </w:r>
      <w:r w:rsidR="002A42B3" w:rsidRPr="009809B2">
        <w:rPr>
          <w:rFonts w:cstheme="minorHAnsi"/>
          <w:b/>
          <w:color w:val="000000" w:themeColor="text1"/>
          <w:lang w:val="es-CO"/>
        </w:rPr>
        <w:t xml:space="preserve"> vigentes</w:t>
      </w:r>
      <w:bookmarkEnd w:id="281"/>
      <w:bookmarkEnd w:id="282"/>
    </w:p>
    <w:p w14:paraId="2EC17255" w14:textId="72D51612" w:rsidR="0020158F" w:rsidRPr="009809B2" w:rsidRDefault="007921A9" w:rsidP="007656AF">
      <w:pPr>
        <w:spacing w:before="220"/>
        <w:rPr>
          <w:rFonts w:cstheme="minorHAnsi"/>
          <w:szCs w:val="18"/>
          <w:lang w:val="es-CO"/>
        </w:rPr>
      </w:pPr>
      <w:r w:rsidRPr="009809B2">
        <w:rPr>
          <w:rFonts w:cstheme="minorHAnsi"/>
          <w:szCs w:val="18"/>
          <w:lang w:val="es-CO"/>
        </w:rPr>
        <w:t>Esta alternativa consiste en m</w:t>
      </w:r>
      <w:r w:rsidR="002A42B3" w:rsidRPr="009809B2">
        <w:rPr>
          <w:rFonts w:cstheme="minorHAnsi"/>
          <w:szCs w:val="18"/>
          <w:lang w:val="es-CO"/>
        </w:rPr>
        <w:t>antener el IPP</w:t>
      </w:r>
      <w:r w:rsidR="006007EE" w:rsidRPr="009809B2">
        <w:rPr>
          <w:rFonts w:cstheme="minorHAnsi"/>
          <w:szCs w:val="18"/>
          <w:lang w:val="es-CO"/>
        </w:rPr>
        <w:t>,</w:t>
      </w:r>
      <w:r w:rsidR="002A42B3" w:rsidRPr="009809B2">
        <w:rPr>
          <w:rFonts w:cstheme="minorHAnsi"/>
          <w:szCs w:val="18"/>
          <w:lang w:val="es-CO"/>
        </w:rPr>
        <w:t xml:space="preserve"> </w:t>
      </w:r>
      <w:r w:rsidR="006007EE" w:rsidRPr="009809B2">
        <w:rPr>
          <w:rFonts w:cstheme="minorHAnsi"/>
          <w:szCs w:val="18"/>
          <w:lang w:val="es-CO"/>
        </w:rPr>
        <w:t>oferta</w:t>
      </w:r>
      <w:r w:rsidR="00361C6D" w:rsidRPr="009809B2">
        <w:rPr>
          <w:rFonts w:cstheme="minorHAnsi"/>
          <w:szCs w:val="18"/>
          <w:lang w:val="es-CO"/>
        </w:rPr>
        <w:t xml:space="preserve"> intern</w:t>
      </w:r>
      <w:r w:rsidR="006007EE" w:rsidRPr="009809B2">
        <w:rPr>
          <w:rFonts w:cstheme="minorHAnsi"/>
          <w:szCs w:val="18"/>
          <w:lang w:val="es-CO"/>
        </w:rPr>
        <w:t>a,</w:t>
      </w:r>
      <w:r w:rsidR="00361C6D" w:rsidRPr="009809B2">
        <w:rPr>
          <w:rFonts w:cstheme="minorHAnsi"/>
          <w:szCs w:val="18"/>
          <w:lang w:val="es-CO"/>
        </w:rPr>
        <w:t xml:space="preserve"> para </w:t>
      </w:r>
      <w:r w:rsidR="00507DDA" w:rsidRPr="009809B2">
        <w:rPr>
          <w:rFonts w:cstheme="minorHAnsi"/>
          <w:szCs w:val="18"/>
          <w:lang w:val="es-CO"/>
        </w:rPr>
        <w:t>las actividades de transmisión y distribución de energía eléctrica</w:t>
      </w:r>
      <w:r w:rsidRPr="009809B2">
        <w:rPr>
          <w:rFonts w:cstheme="minorHAnsi"/>
          <w:szCs w:val="18"/>
          <w:lang w:val="es-CO"/>
        </w:rPr>
        <w:t>, el IPC p</w:t>
      </w:r>
      <w:r w:rsidR="00507DDA" w:rsidRPr="009809B2">
        <w:rPr>
          <w:rFonts w:cstheme="minorHAnsi"/>
          <w:szCs w:val="18"/>
          <w:lang w:val="es-CO"/>
        </w:rPr>
        <w:t>ara</w:t>
      </w:r>
      <w:r w:rsidR="00361C6D" w:rsidRPr="009809B2">
        <w:rPr>
          <w:rFonts w:cstheme="minorHAnsi"/>
          <w:szCs w:val="18"/>
          <w:lang w:val="es-CO"/>
        </w:rPr>
        <w:t xml:space="preserve"> la </w:t>
      </w:r>
      <w:r w:rsidR="00507DDA" w:rsidRPr="009809B2">
        <w:rPr>
          <w:rFonts w:cstheme="minorHAnsi"/>
          <w:szCs w:val="18"/>
          <w:lang w:val="es-CO"/>
        </w:rPr>
        <w:t xml:space="preserve">actividad de </w:t>
      </w:r>
      <w:r w:rsidR="00361C6D" w:rsidRPr="009809B2">
        <w:rPr>
          <w:rFonts w:cstheme="minorHAnsi"/>
          <w:szCs w:val="18"/>
          <w:lang w:val="es-CO"/>
        </w:rPr>
        <w:t>comercialización</w:t>
      </w:r>
      <w:r w:rsidRPr="009809B2">
        <w:rPr>
          <w:rFonts w:cstheme="minorHAnsi"/>
          <w:szCs w:val="18"/>
          <w:lang w:val="es-CO"/>
        </w:rPr>
        <w:t xml:space="preserve"> y</w:t>
      </w:r>
      <w:r w:rsidR="00507DDA" w:rsidRPr="009809B2">
        <w:rPr>
          <w:rFonts w:cstheme="minorHAnsi"/>
          <w:szCs w:val="18"/>
          <w:lang w:val="es-CO"/>
        </w:rPr>
        <w:t xml:space="preserve"> continuar con la aplicación del </w:t>
      </w:r>
      <w:r w:rsidR="00361C6D" w:rsidRPr="009809B2">
        <w:rPr>
          <w:rFonts w:cstheme="minorHAnsi"/>
          <w:szCs w:val="18"/>
          <w:lang w:val="es-CO"/>
        </w:rPr>
        <w:t>IPC</w:t>
      </w:r>
      <w:r w:rsidRPr="009809B2">
        <w:rPr>
          <w:rFonts w:cstheme="minorHAnsi"/>
          <w:szCs w:val="18"/>
          <w:lang w:val="es-CO"/>
        </w:rPr>
        <w:t xml:space="preserve"> o IPP </w:t>
      </w:r>
      <w:r w:rsidR="00CA77CE" w:rsidRPr="009809B2">
        <w:rPr>
          <w:rFonts w:cstheme="minorHAnsi"/>
          <w:szCs w:val="18"/>
          <w:lang w:val="es-CO"/>
        </w:rPr>
        <w:t>para la actividad de generación.</w:t>
      </w:r>
    </w:p>
    <w:p w14:paraId="71DC1660" w14:textId="1859DE44" w:rsidR="0090209D" w:rsidRPr="009809B2" w:rsidRDefault="006328E3" w:rsidP="007656AF">
      <w:pPr>
        <w:spacing w:before="220"/>
        <w:rPr>
          <w:rFonts w:cstheme="minorHAnsi"/>
          <w:szCs w:val="18"/>
          <w:lang w:val="es-CO"/>
        </w:rPr>
      </w:pPr>
      <w:r w:rsidRPr="009809B2">
        <w:rPr>
          <w:rFonts w:cstheme="minorHAnsi"/>
          <w:szCs w:val="18"/>
          <w:lang w:val="es-CO"/>
        </w:rPr>
        <w:t>E</w:t>
      </w:r>
      <w:r w:rsidR="0090209D" w:rsidRPr="009809B2">
        <w:rPr>
          <w:rFonts w:cstheme="minorHAnsi"/>
          <w:szCs w:val="18"/>
          <w:lang w:val="es-CO"/>
        </w:rPr>
        <w:t xml:space="preserve">l </w:t>
      </w:r>
      <w:r w:rsidR="00CD7401" w:rsidRPr="009809B2">
        <w:rPr>
          <w:rFonts w:cstheme="minorHAnsi"/>
          <w:szCs w:val="18"/>
          <w:lang w:val="es-CO"/>
        </w:rPr>
        <w:t xml:space="preserve">índice de precios </w:t>
      </w:r>
      <w:r w:rsidR="00E10907" w:rsidRPr="009809B2">
        <w:rPr>
          <w:rFonts w:cstheme="minorHAnsi"/>
          <w:szCs w:val="18"/>
          <w:lang w:val="es-CO"/>
        </w:rPr>
        <w:t>del</w:t>
      </w:r>
      <w:r w:rsidR="00CD7401" w:rsidRPr="009809B2">
        <w:rPr>
          <w:rFonts w:cstheme="minorHAnsi"/>
          <w:szCs w:val="18"/>
          <w:lang w:val="es-CO"/>
        </w:rPr>
        <w:t xml:space="preserve"> productor considera</w:t>
      </w:r>
      <w:r w:rsidR="00E369B3" w:rsidRPr="009809B2">
        <w:rPr>
          <w:rFonts w:cstheme="minorHAnsi"/>
          <w:szCs w:val="18"/>
          <w:lang w:val="es-CO"/>
        </w:rPr>
        <w:t>,</w:t>
      </w:r>
      <w:r w:rsidR="00CD7401" w:rsidRPr="009809B2">
        <w:rPr>
          <w:rFonts w:cstheme="minorHAnsi"/>
          <w:szCs w:val="18"/>
          <w:lang w:val="es-CO"/>
        </w:rPr>
        <w:t xml:space="preserve"> en su construcción</w:t>
      </w:r>
      <w:r w:rsidR="00E369B3" w:rsidRPr="009809B2">
        <w:rPr>
          <w:rFonts w:cstheme="minorHAnsi"/>
          <w:szCs w:val="18"/>
          <w:lang w:val="es-CO"/>
        </w:rPr>
        <w:t>,</w:t>
      </w:r>
      <w:r w:rsidR="00CD7401" w:rsidRPr="009809B2">
        <w:rPr>
          <w:rFonts w:cstheme="minorHAnsi"/>
          <w:szCs w:val="18"/>
          <w:lang w:val="es-CO"/>
        </w:rPr>
        <w:t xml:space="preserve"> los precios asociados a la producción agropecuaria, la producción minera y la producción de la industria manufacturera. En este sentido, al escoger esta alternativa como posible solución a la problemática planteada, se mantendría la exposición directa de la actualización de la remuneración de los costos y gastos vía tarifa a choques </w:t>
      </w:r>
      <w:r w:rsidR="0090209D" w:rsidRPr="009809B2">
        <w:rPr>
          <w:rFonts w:cstheme="minorHAnsi"/>
          <w:szCs w:val="18"/>
          <w:lang w:val="es-CO"/>
        </w:rPr>
        <w:t xml:space="preserve">propios de la producción de otros sectores y que son </w:t>
      </w:r>
      <w:r w:rsidR="00CD7401" w:rsidRPr="009809B2">
        <w:rPr>
          <w:rFonts w:cstheme="minorHAnsi"/>
          <w:szCs w:val="18"/>
          <w:lang w:val="es-CO"/>
        </w:rPr>
        <w:t xml:space="preserve">exógenos </w:t>
      </w:r>
      <w:r w:rsidR="0090209D" w:rsidRPr="009809B2">
        <w:rPr>
          <w:rFonts w:cstheme="minorHAnsi"/>
          <w:szCs w:val="18"/>
          <w:lang w:val="es-CO"/>
        </w:rPr>
        <w:t xml:space="preserve">a la cadena de prestación del servicio eléctrico. </w:t>
      </w:r>
    </w:p>
    <w:p w14:paraId="66FFC31C" w14:textId="6420F506" w:rsidR="00A26A5C" w:rsidRPr="009809B2" w:rsidRDefault="006328E3" w:rsidP="00A26A5C">
      <w:pPr>
        <w:rPr>
          <w:rFonts w:cstheme="minorHAnsi"/>
          <w:szCs w:val="18"/>
          <w:lang w:val="es-CO"/>
        </w:rPr>
      </w:pPr>
      <w:r w:rsidRPr="009809B2">
        <w:rPr>
          <w:rFonts w:cstheme="minorHAnsi"/>
          <w:szCs w:val="18"/>
          <w:lang w:val="es-CO"/>
        </w:rPr>
        <w:lastRenderedPageBreak/>
        <w:t>Por su parte, el IPC incluye</w:t>
      </w:r>
      <w:r w:rsidR="00A26A5C" w:rsidRPr="009809B2">
        <w:rPr>
          <w:rFonts w:cstheme="minorHAnsi"/>
          <w:szCs w:val="18"/>
          <w:lang w:val="es-CO"/>
        </w:rPr>
        <w:t xml:space="preserve"> la canasta de bienes y servicios, organizados en doce divisiones de gasto</w:t>
      </w:r>
      <w:r w:rsidR="005D478E" w:rsidRPr="009809B2">
        <w:rPr>
          <w:rFonts w:cstheme="minorHAnsi"/>
          <w:szCs w:val="18"/>
          <w:lang w:val="es-CO"/>
        </w:rPr>
        <w:t xml:space="preserve">s entre los que se incluyen </w:t>
      </w:r>
      <w:r w:rsidR="00200C6B" w:rsidRPr="009809B2">
        <w:rPr>
          <w:rFonts w:cstheme="minorHAnsi"/>
          <w:szCs w:val="18"/>
          <w:lang w:val="es-CO"/>
        </w:rPr>
        <w:t>a</w:t>
      </w:r>
      <w:r w:rsidR="005D478E" w:rsidRPr="009809B2">
        <w:rPr>
          <w:rFonts w:cstheme="minorHAnsi"/>
          <w:szCs w:val="18"/>
          <w:lang w:val="es-CO"/>
        </w:rPr>
        <w:t>limentos y bebidas no alcohólicas</w:t>
      </w:r>
      <w:r w:rsidR="00200C6B" w:rsidRPr="009809B2">
        <w:rPr>
          <w:rFonts w:cstheme="minorHAnsi"/>
          <w:szCs w:val="18"/>
          <w:lang w:val="es-CO"/>
        </w:rPr>
        <w:t xml:space="preserve"> y </w:t>
      </w:r>
      <w:r w:rsidR="00692199" w:rsidRPr="009809B2">
        <w:rPr>
          <w:rFonts w:cstheme="minorHAnsi"/>
          <w:szCs w:val="18"/>
          <w:lang w:val="es-CO"/>
        </w:rPr>
        <w:t>electricidad, gas y otros combustibles</w:t>
      </w:r>
      <w:r w:rsidR="00C35759" w:rsidRPr="009809B2">
        <w:rPr>
          <w:rFonts w:cstheme="minorHAnsi"/>
          <w:szCs w:val="18"/>
          <w:lang w:val="es-CO"/>
        </w:rPr>
        <w:t xml:space="preserve">. </w:t>
      </w:r>
    </w:p>
    <w:p w14:paraId="72C1E00B" w14:textId="717FA0BF" w:rsidR="00495FC1" w:rsidRPr="009809B2" w:rsidRDefault="00CD7401" w:rsidP="007656AF">
      <w:pPr>
        <w:spacing w:before="220"/>
        <w:rPr>
          <w:rFonts w:cstheme="minorHAnsi"/>
          <w:szCs w:val="18"/>
          <w:lang w:val="es-CO"/>
        </w:rPr>
      </w:pPr>
      <w:r w:rsidRPr="009809B2">
        <w:rPr>
          <w:rFonts w:cstheme="minorHAnsi"/>
          <w:szCs w:val="18"/>
          <w:lang w:val="es-CO"/>
        </w:rPr>
        <w:t>Un posible escenario que resulta de esta alternativa es la posibilidad de volver a enfrentar fenómenos como el presentado a partir de 2020 (i.e., incrementos en los precios de los alimentos y variaciones de precios en los hidrocarburos), que llevan a variaciones significativas en las tarifas del servicio</w:t>
      </w:r>
      <w:r w:rsidR="00BD142D" w:rsidRPr="009809B2">
        <w:rPr>
          <w:rFonts w:cstheme="minorHAnsi"/>
          <w:szCs w:val="18"/>
          <w:lang w:val="es-CO"/>
        </w:rPr>
        <w:t xml:space="preserve">, </w:t>
      </w:r>
      <w:r w:rsidR="000B3EFC" w:rsidRPr="009809B2">
        <w:rPr>
          <w:rFonts w:cstheme="minorHAnsi"/>
          <w:szCs w:val="18"/>
          <w:lang w:val="es-CO"/>
        </w:rPr>
        <w:t>razones por las cuales</w:t>
      </w:r>
      <w:r w:rsidR="00B568AE" w:rsidRPr="009809B2">
        <w:rPr>
          <w:rFonts w:cstheme="minorHAnsi"/>
          <w:szCs w:val="18"/>
          <w:lang w:val="es-CO"/>
        </w:rPr>
        <w:t xml:space="preserve"> </w:t>
      </w:r>
      <w:r w:rsidR="00717BC2" w:rsidRPr="009809B2">
        <w:rPr>
          <w:rFonts w:cstheme="minorHAnsi"/>
          <w:szCs w:val="18"/>
          <w:lang w:val="es-CO"/>
        </w:rPr>
        <w:t>esta alternativa no se</w:t>
      </w:r>
      <w:r w:rsidR="00B568AE" w:rsidRPr="009809B2">
        <w:rPr>
          <w:rFonts w:cstheme="minorHAnsi"/>
          <w:szCs w:val="18"/>
          <w:lang w:val="es-CO"/>
        </w:rPr>
        <w:t xml:space="preserve"> considera viable.</w:t>
      </w:r>
    </w:p>
    <w:p w14:paraId="082529FE" w14:textId="1D43D283" w:rsidR="00717BC2" w:rsidRPr="009809B2" w:rsidRDefault="00717BC2" w:rsidP="009F71AA">
      <w:pPr>
        <w:keepNext/>
        <w:numPr>
          <w:ilvl w:val="1"/>
          <w:numId w:val="34"/>
        </w:numPr>
        <w:suppressAutoHyphens/>
        <w:spacing w:before="360"/>
        <w:ind w:left="0" w:firstLine="0"/>
        <w:outlineLvl w:val="0"/>
        <w:rPr>
          <w:rFonts w:cstheme="minorHAnsi"/>
          <w:b/>
          <w:color w:val="000000" w:themeColor="text1"/>
          <w:lang w:val="es-CO"/>
        </w:rPr>
      </w:pPr>
      <w:bookmarkStart w:id="283" w:name="_Toc172100735"/>
      <w:bookmarkStart w:id="284" w:name="_Toc125389388"/>
      <w:r w:rsidRPr="009809B2">
        <w:rPr>
          <w:rFonts w:cstheme="minorHAnsi"/>
          <w:b/>
          <w:color w:val="000000" w:themeColor="text1"/>
          <w:lang w:val="es-CO"/>
        </w:rPr>
        <w:t>Nuevos índices</w:t>
      </w:r>
      <w:bookmarkEnd w:id="283"/>
    </w:p>
    <w:p w14:paraId="7C7BDB6B" w14:textId="6DDC89BE" w:rsidR="00EE4E86" w:rsidRPr="009809B2" w:rsidRDefault="00BA1E96" w:rsidP="00D61537">
      <w:pPr>
        <w:spacing w:before="220"/>
        <w:rPr>
          <w:rFonts w:cstheme="minorHAnsi"/>
          <w:szCs w:val="18"/>
          <w:lang w:val="es-CO"/>
        </w:rPr>
      </w:pPr>
      <w:bookmarkStart w:id="285" w:name="_Toc145508515"/>
      <w:bookmarkStart w:id="286" w:name="_Toc145508538"/>
      <w:bookmarkStart w:id="287" w:name="_Toc145508967"/>
      <w:bookmarkEnd w:id="284"/>
      <w:bookmarkEnd w:id="285"/>
      <w:bookmarkEnd w:id="286"/>
      <w:bookmarkEnd w:id="287"/>
      <w:r w:rsidRPr="009809B2">
        <w:rPr>
          <w:rFonts w:cstheme="minorHAnsi"/>
          <w:szCs w:val="18"/>
          <w:lang w:val="es-CO"/>
        </w:rPr>
        <w:t>S</w:t>
      </w:r>
      <w:r w:rsidR="00EE4E86" w:rsidRPr="009809B2">
        <w:rPr>
          <w:rFonts w:cstheme="minorHAnsi"/>
          <w:szCs w:val="18"/>
          <w:lang w:val="es-CO"/>
        </w:rPr>
        <w:t>e procedió a</w:t>
      </w:r>
      <w:r w:rsidR="0090410B" w:rsidRPr="009809B2">
        <w:rPr>
          <w:rFonts w:cstheme="minorHAnsi"/>
          <w:szCs w:val="18"/>
          <w:lang w:val="es-CO"/>
        </w:rPr>
        <w:t xml:space="preserve">l </w:t>
      </w:r>
      <w:r w:rsidR="00211692" w:rsidRPr="009809B2">
        <w:rPr>
          <w:rFonts w:cstheme="minorHAnsi"/>
          <w:szCs w:val="18"/>
          <w:lang w:val="es-CO"/>
        </w:rPr>
        <w:t>diseñ</w:t>
      </w:r>
      <w:r w:rsidR="0090410B" w:rsidRPr="009809B2">
        <w:rPr>
          <w:rFonts w:cstheme="minorHAnsi"/>
          <w:szCs w:val="18"/>
          <w:lang w:val="es-CO"/>
        </w:rPr>
        <w:t>o</w:t>
      </w:r>
      <w:r w:rsidR="00EE4E86" w:rsidRPr="009809B2">
        <w:rPr>
          <w:rFonts w:cstheme="minorHAnsi"/>
          <w:szCs w:val="18"/>
          <w:lang w:val="es-CO"/>
        </w:rPr>
        <w:t xml:space="preserve"> de índices, considerando </w:t>
      </w:r>
      <w:r w:rsidR="0009557B" w:rsidRPr="009809B2">
        <w:rPr>
          <w:rFonts w:cstheme="minorHAnsi"/>
          <w:szCs w:val="18"/>
          <w:lang w:val="es-CO"/>
        </w:rPr>
        <w:t xml:space="preserve">las series de variación de precios de </w:t>
      </w:r>
      <w:r w:rsidR="00EE4E86" w:rsidRPr="009809B2">
        <w:rPr>
          <w:rFonts w:cstheme="minorHAnsi"/>
          <w:szCs w:val="18"/>
          <w:lang w:val="es-CO"/>
        </w:rPr>
        <w:t>aquellos bienes que guardan relación con las actividades de la cadena de prestación del servicio público domiciliario de energía eléctrica y eliminando las demás.</w:t>
      </w:r>
    </w:p>
    <w:p w14:paraId="0ABAD2DF" w14:textId="24CD93B3" w:rsidR="00D61537" w:rsidRPr="009809B2" w:rsidRDefault="00EE4E86" w:rsidP="00D61537">
      <w:pPr>
        <w:spacing w:before="220"/>
        <w:rPr>
          <w:rFonts w:cstheme="minorHAnsi"/>
          <w:lang w:val="es-CO"/>
        </w:rPr>
      </w:pPr>
      <w:r w:rsidRPr="009809B2">
        <w:rPr>
          <w:rFonts w:cstheme="minorHAnsi"/>
          <w:lang w:val="es-CO"/>
        </w:rPr>
        <w:t xml:space="preserve">Para su construcción se tomó como referencia la información que produce el DANE respecto a diferentes precios de la economía. </w:t>
      </w:r>
      <w:r w:rsidR="00D61537" w:rsidRPr="009809B2">
        <w:rPr>
          <w:rFonts w:cstheme="minorHAnsi"/>
          <w:lang w:val="es-CO"/>
        </w:rPr>
        <w:t>En su página oficial</w:t>
      </w:r>
      <w:r w:rsidR="00D61537" w:rsidRPr="009809B2">
        <w:rPr>
          <w:rStyle w:val="Refdenotaalpie"/>
          <w:rFonts w:cstheme="minorHAnsi"/>
          <w:lang w:val="es-CO"/>
        </w:rPr>
        <w:footnoteReference w:id="18"/>
      </w:r>
      <w:r w:rsidR="00D61537" w:rsidRPr="009809B2">
        <w:rPr>
          <w:rFonts w:cstheme="minorHAnsi"/>
          <w:lang w:val="es-CO"/>
        </w:rPr>
        <w:t xml:space="preserve">, este instituto de estadística publica índices de precios </w:t>
      </w:r>
      <w:r w:rsidR="00682A9E" w:rsidRPr="009809B2">
        <w:rPr>
          <w:rFonts w:cstheme="minorHAnsi"/>
          <w:lang w:val="es-CO"/>
        </w:rPr>
        <w:t>de</w:t>
      </w:r>
      <w:r w:rsidR="00D61537" w:rsidRPr="009809B2">
        <w:rPr>
          <w:rFonts w:cstheme="minorHAnsi"/>
          <w:lang w:val="es-CO"/>
        </w:rPr>
        <w:t>l productor según su procedencia</w:t>
      </w:r>
      <w:r w:rsidR="00D61537" w:rsidRPr="009809B2">
        <w:rPr>
          <w:rStyle w:val="Refdenotaalpie"/>
          <w:rFonts w:cstheme="minorHAnsi"/>
          <w:lang w:val="es-CO"/>
        </w:rPr>
        <w:footnoteReference w:id="19"/>
      </w:r>
      <w:r w:rsidR="00D61537" w:rsidRPr="009809B2">
        <w:rPr>
          <w:rFonts w:cstheme="minorHAnsi"/>
          <w:lang w:val="es-CO"/>
        </w:rPr>
        <w:t xml:space="preserve"> y destino económico</w:t>
      </w:r>
      <w:r w:rsidR="00D61537" w:rsidRPr="009809B2">
        <w:rPr>
          <w:rStyle w:val="Refdenotaalpie"/>
          <w:rFonts w:cstheme="minorHAnsi"/>
          <w:lang w:val="es-CO"/>
        </w:rPr>
        <w:footnoteReference w:id="20"/>
      </w:r>
      <w:r w:rsidR="00D61537" w:rsidRPr="009809B2">
        <w:rPr>
          <w:rFonts w:cstheme="minorHAnsi"/>
          <w:lang w:val="es-CO"/>
        </w:rPr>
        <w:t>. De igual manera, publica información acerca de la ponderación de estos índices para la producción de índices de precios agregados, los que se utilizan en la actualización mensual de los cargos que hacen parte de las tarifas.</w:t>
      </w:r>
    </w:p>
    <w:p w14:paraId="3A557A42" w14:textId="6D68B42E" w:rsidR="00717BC2" w:rsidRPr="009809B2" w:rsidRDefault="00D61537" w:rsidP="00717BC2">
      <w:pPr>
        <w:spacing w:before="220"/>
        <w:rPr>
          <w:rFonts w:cstheme="minorHAnsi"/>
          <w:lang w:val="es-CO"/>
        </w:rPr>
      </w:pPr>
      <w:r w:rsidRPr="009809B2">
        <w:rPr>
          <w:rFonts w:cstheme="minorHAnsi"/>
          <w:lang w:val="es-CO"/>
        </w:rPr>
        <w:t xml:space="preserve">En lo que </w:t>
      </w:r>
      <w:r w:rsidR="001A6769" w:rsidRPr="009809B2">
        <w:rPr>
          <w:rFonts w:cstheme="minorHAnsi"/>
          <w:lang w:val="es-CO"/>
        </w:rPr>
        <w:t xml:space="preserve">se refiere </w:t>
      </w:r>
      <w:r w:rsidRPr="009809B2">
        <w:rPr>
          <w:rFonts w:cstheme="minorHAnsi"/>
          <w:lang w:val="es-CO"/>
        </w:rPr>
        <w:t xml:space="preserve">a la información de los costos y gastos del sector eléctrico, el DANE produce y publica anualmente dicha información a nivel agregado en los cuadros de oferta y utilización que hacen parte de la contabilidad de las cuentas nacionales. </w:t>
      </w:r>
      <w:r w:rsidR="00982B5A" w:rsidRPr="009809B2">
        <w:rPr>
          <w:rFonts w:cstheme="minorHAnsi"/>
          <w:lang w:val="es-CO"/>
        </w:rPr>
        <w:t>L</w:t>
      </w:r>
      <w:r w:rsidR="00717BC2" w:rsidRPr="009809B2">
        <w:rPr>
          <w:rFonts w:cstheme="minorHAnsi"/>
          <w:lang w:val="es-CO"/>
        </w:rPr>
        <w:t xml:space="preserve">a información de las actividades de generación, transmisión y distribución de energía eléctrica se encuentran agregadas. Los gastos y costos asociados a estas actividades se encuentran clasificados según la CIIU, a 52 bienes disponibles en la economía.  </w:t>
      </w:r>
    </w:p>
    <w:p w14:paraId="0DAEFF42" w14:textId="182DDF0B" w:rsidR="00936393" w:rsidRPr="009809B2" w:rsidRDefault="00936393" w:rsidP="00D61537">
      <w:pPr>
        <w:spacing w:before="220"/>
        <w:rPr>
          <w:rFonts w:cstheme="minorHAnsi"/>
          <w:lang w:val="es-CO"/>
        </w:rPr>
      </w:pPr>
      <w:r w:rsidRPr="009809B2">
        <w:rPr>
          <w:rFonts w:cstheme="minorHAnsi"/>
          <w:lang w:val="es-CO"/>
        </w:rPr>
        <w:t xml:space="preserve">El detalle de los cálculos realizados se </w:t>
      </w:r>
      <w:r w:rsidR="00E4106C" w:rsidRPr="009809B2">
        <w:rPr>
          <w:rFonts w:cstheme="minorHAnsi"/>
          <w:lang w:val="es-CO"/>
        </w:rPr>
        <w:t>expone</w:t>
      </w:r>
      <w:r w:rsidRPr="009809B2">
        <w:rPr>
          <w:rFonts w:cstheme="minorHAnsi"/>
          <w:lang w:val="es-CO"/>
        </w:rPr>
        <w:t xml:space="preserve"> a continuación:</w:t>
      </w:r>
    </w:p>
    <w:p w14:paraId="5DBF2565" w14:textId="77777777" w:rsidR="002C056E" w:rsidRPr="009809B2" w:rsidRDefault="00D61537" w:rsidP="00D61537">
      <w:pPr>
        <w:pStyle w:val="Prrafodelista"/>
        <w:numPr>
          <w:ilvl w:val="0"/>
          <w:numId w:val="28"/>
        </w:numPr>
        <w:spacing w:before="200"/>
        <w:ind w:left="284" w:hanging="284"/>
        <w:contextualSpacing w:val="0"/>
        <w:rPr>
          <w:rFonts w:cstheme="minorHAnsi"/>
          <w:lang w:val="es-CO"/>
        </w:rPr>
      </w:pPr>
      <w:r w:rsidRPr="009809B2">
        <w:rPr>
          <w:rFonts w:cstheme="minorHAnsi"/>
          <w:lang w:val="es-CO"/>
        </w:rPr>
        <w:lastRenderedPageBreak/>
        <w:t xml:space="preserve">Del </w:t>
      </w:r>
      <w:r w:rsidR="007F3EBC" w:rsidRPr="009809B2">
        <w:rPr>
          <w:rFonts w:cstheme="minorHAnsi"/>
          <w:lang w:val="es-CO"/>
        </w:rPr>
        <w:t>C</w:t>
      </w:r>
      <w:r w:rsidRPr="009809B2">
        <w:rPr>
          <w:rFonts w:cstheme="minorHAnsi"/>
          <w:lang w:val="es-CO"/>
        </w:rPr>
        <w:t xml:space="preserve">uadro de </w:t>
      </w:r>
      <w:r w:rsidR="007F3EBC" w:rsidRPr="009809B2">
        <w:rPr>
          <w:rFonts w:cstheme="minorHAnsi"/>
          <w:lang w:val="es-CO"/>
        </w:rPr>
        <w:t>U</w:t>
      </w:r>
      <w:r w:rsidRPr="009809B2">
        <w:rPr>
          <w:rFonts w:cstheme="minorHAnsi"/>
          <w:lang w:val="es-CO"/>
        </w:rPr>
        <w:t>tilización, se tomó la información del consumo intermedio de las actividades de generación, transmisión, distribución y comercialización de energía eléctrica, cuyos valores se presentan de manera agregada</w:t>
      </w:r>
      <w:r w:rsidR="0017780B" w:rsidRPr="009809B2">
        <w:rPr>
          <w:rFonts w:cstheme="minorHAnsi"/>
          <w:lang w:val="es-CO"/>
        </w:rPr>
        <w:t xml:space="preserve"> en una sola columna</w:t>
      </w:r>
      <w:r w:rsidRPr="009809B2">
        <w:rPr>
          <w:rFonts w:cstheme="minorHAnsi"/>
          <w:lang w:val="es-CO"/>
        </w:rPr>
        <w:t xml:space="preserve">. </w:t>
      </w:r>
    </w:p>
    <w:p w14:paraId="417096BF" w14:textId="0E0B2CB7" w:rsidR="00D61537" w:rsidRPr="009809B2" w:rsidRDefault="00D61537" w:rsidP="002C056E">
      <w:pPr>
        <w:spacing w:before="200"/>
        <w:ind w:left="284"/>
        <w:rPr>
          <w:rFonts w:cstheme="minorHAnsi"/>
          <w:lang w:val="es-CO"/>
        </w:rPr>
      </w:pPr>
      <w:r w:rsidRPr="009809B2">
        <w:rPr>
          <w:rFonts w:cstheme="minorHAnsi"/>
          <w:lang w:val="es-CO"/>
        </w:rPr>
        <w:t xml:space="preserve">Con el objeto de </w:t>
      </w:r>
      <w:r w:rsidR="004A22C7" w:rsidRPr="009809B2">
        <w:rPr>
          <w:rFonts w:cstheme="minorHAnsi"/>
          <w:lang w:val="es-CO"/>
        </w:rPr>
        <w:t>utilizar</w:t>
      </w:r>
      <w:r w:rsidR="00F96219" w:rsidRPr="009809B2">
        <w:rPr>
          <w:rFonts w:cstheme="minorHAnsi"/>
          <w:lang w:val="es-CO"/>
        </w:rPr>
        <w:t xml:space="preserve"> </w:t>
      </w:r>
      <w:r w:rsidRPr="009809B2">
        <w:rPr>
          <w:rFonts w:cstheme="minorHAnsi"/>
          <w:lang w:val="es-CO"/>
        </w:rPr>
        <w:t xml:space="preserve">los rubros de gastos comunes a las actividades mencionadas, se excluyeron </w:t>
      </w:r>
      <w:r w:rsidR="00B96C5C" w:rsidRPr="009809B2">
        <w:rPr>
          <w:rFonts w:cstheme="minorHAnsi"/>
          <w:lang w:val="es-CO"/>
        </w:rPr>
        <w:t xml:space="preserve">aquellos </w:t>
      </w:r>
      <w:r w:rsidRPr="009809B2">
        <w:rPr>
          <w:rFonts w:cstheme="minorHAnsi"/>
          <w:lang w:val="es-CO"/>
        </w:rPr>
        <w:t>asociados a combustibles e hidrocarburos, los cuales son específicos a la generación termoeléctrica. Adicionalmente, se excluyen los rubros asociados a servicios, dado que</w:t>
      </w:r>
      <w:r w:rsidR="00DD4956" w:rsidRPr="009809B2">
        <w:rPr>
          <w:rFonts w:cstheme="minorHAnsi"/>
          <w:lang w:val="es-CO"/>
        </w:rPr>
        <w:t>, como se mencionó,</w:t>
      </w:r>
      <w:r w:rsidRPr="009809B2">
        <w:rPr>
          <w:rFonts w:cstheme="minorHAnsi"/>
          <w:lang w:val="es-CO"/>
        </w:rPr>
        <w:t xml:space="preserve"> el DANE no produce índice</w:t>
      </w:r>
      <w:r w:rsidR="00DD4956" w:rsidRPr="009809B2">
        <w:rPr>
          <w:rFonts w:cstheme="minorHAnsi"/>
          <w:lang w:val="es-CO"/>
        </w:rPr>
        <w:t>s</w:t>
      </w:r>
      <w:r w:rsidRPr="009809B2">
        <w:rPr>
          <w:rFonts w:cstheme="minorHAnsi"/>
          <w:lang w:val="es-CO"/>
        </w:rPr>
        <w:t xml:space="preserve"> de precios para </w:t>
      </w:r>
      <w:r w:rsidR="001D632A" w:rsidRPr="009809B2">
        <w:rPr>
          <w:rFonts w:cstheme="minorHAnsi"/>
          <w:lang w:val="es-CO"/>
        </w:rPr>
        <w:t>los mismos</w:t>
      </w:r>
      <w:r w:rsidRPr="009809B2">
        <w:rPr>
          <w:rFonts w:cstheme="minorHAnsi"/>
          <w:lang w:val="es-CO"/>
        </w:rPr>
        <w:t xml:space="preserve">. </w:t>
      </w:r>
      <w:r w:rsidR="009908A1" w:rsidRPr="009809B2">
        <w:rPr>
          <w:rFonts w:cstheme="minorHAnsi"/>
          <w:lang w:val="es-CO"/>
        </w:rPr>
        <w:t>El listado se detalla en el anexo</w:t>
      </w:r>
      <w:r w:rsidRPr="009809B2">
        <w:rPr>
          <w:rFonts w:cstheme="minorHAnsi"/>
          <w:lang w:val="es-CO"/>
        </w:rPr>
        <w:t>.</w:t>
      </w:r>
    </w:p>
    <w:p w14:paraId="22A2A1CA" w14:textId="61139FF4" w:rsidR="00D21226" w:rsidRPr="009809B2" w:rsidRDefault="00D61537">
      <w:pPr>
        <w:pStyle w:val="Prrafodelista"/>
        <w:numPr>
          <w:ilvl w:val="0"/>
          <w:numId w:val="28"/>
        </w:numPr>
        <w:spacing w:before="200"/>
        <w:ind w:left="284" w:hanging="284"/>
        <w:contextualSpacing w:val="0"/>
        <w:rPr>
          <w:rFonts w:cstheme="minorHAnsi"/>
          <w:lang w:val="es-CO"/>
        </w:rPr>
      </w:pPr>
      <w:r w:rsidRPr="009809B2">
        <w:rPr>
          <w:rFonts w:cstheme="minorHAnsi"/>
          <w:lang w:val="es-CO"/>
        </w:rPr>
        <w:t xml:space="preserve">Con base en el listado de los productos seleccionados del </w:t>
      </w:r>
      <w:r w:rsidR="004019A9" w:rsidRPr="009809B2">
        <w:rPr>
          <w:rFonts w:cstheme="minorHAnsi"/>
          <w:lang w:val="es-CO"/>
        </w:rPr>
        <w:t>C</w:t>
      </w:r>
      <w:r w:rsidRPr="009809B2">
        <w:rPr>
          <w:rFonts w:cstheme="minorHAnsi"/>
          <w:lang w:val="es-CO"/>
        </w:rPr>
        <w:t xml:space="preserve">uadro de </w:t>
      </w:r>
      <w:r w:rsidR="004019A9" w:rsidRPr="009809B2">
        <w:rPr>
          <w:rFonts w:cstheme="minorHAnsi"/>
          <w:lang w:val="es-CO"/>
        </w:rPr>
        <w:t>U</w:t>
      </w:r>
      <w:r w:rsidRPr="009809B2">
        <w:rPr>
          <w:rFonts w:cstheme="minorHAnsi"/>
          <w:lang w:val="es-CO"/>
        </w:rPr>
        <w:t xml:space="preserve">tilización se </w:t>
      </w:r>
      <w:r w:rsidR="004019A9" w:rsidRPr="009809B2">
        <w:rPr>
          <w:rFonts w:cstheme="minorHAnsi"/>
          <w:lang w:val="es-CO"/>
        </w:rPr>
        <w:t>elaboró</w:t>
      </w:r>
      <w:r w:rsidRPr="009809B2">
        <w:rPr>
          <w:rFonts w:cstheme="minorHAnsi"/>
          <w:lang w:val="es-CO"/>
        </w:rPr>
        <w:t xml:space="preserve"> una ponderación </w:t>
      </w:r>
      <w:r w:rsidR="008856F9" w:rsidRPr="009809B2">
        <w:rPr>
          <w:rFonts w:cstheme="minorHAnsi"/>
          <w:lang w:val="es-CO"/>
        </w:rPr>
        <w:t>para</w:t>
      </w:r>
      <w:r w:rsidRPr="009809B2">
        <w:rPr>
          <w:rFonts w:cstheme="minorHAnsi"/>
          <w:lang w:val="es-CO"/>
        </w:rPr>
        <w:t xml:space="preserve"> los índices de precios disponibles</w:t>
      </w:r>
      <w:r w:rsidR="008856F9" w:rsidRPr="009809B2">
        <w:rPr>
          <w:rFonts w:cstheme="minorHAnsi"/>
          <w:lang w:val="es-CO"/>
        </w:rPr>
        <w:t>, utilizando las participaciones del consumo intermedio de cada uno de esos bienes dentro del costo total</w:t>
      </w:r>
      <w:r w:rsidR="004A22C7" w:rsidRPr="009809B2">
        <w:rPr>
          <w:rFonts w:cstheme="minorHAnsi"/>
          <w:lang w:val="es-CO"/>
        </w:rPr>
        <w:t xml:space="preserve"> de los mismos</w:t>
      </w:r>
      <w:r w:rsidR="00D21226" w:rsidRPr="009809B2">
        <w:rPr>
          <w:rFonts w:cstheme="minorHAnsi"/>
          <w:lang w:val="es-CO"/>
        </w:rPr>
        <w:t>. Dichas participaciones</w:t>
      </w:r>
      <w:r w:rsidRPr="009809B2">
        <w:rPr>
          <w:rFonts w:cstheme="minorHAnsi"/>
          <w:lang w:val="es-CO"/>
        </w:rPr>
        <w:t xml:space="preserve"> </w:t>
      </w:r>
      <w:r w:rsidR="00D21226" w:rsidRPr="009809B2">
        <w:rPr>
          <w:rFonts w:cstheme="minorHAnsi"/>
          <w:lang w:val="es-CO"/>
        </w:rPr>
        <w:t>se utilizaron para</w:t>
      </w:r>
      <w:r w:rsidRPr="009809B2">
        <w:rPr>
          <w:rFonts w:cstheme="minorHAnsi"/>
          <w:lang w:val="es-CO"/>
        </w:rPr>
        <w:t xml:space="preserve"> elaborar un índice agregado de precios para el servicio de energía eléctrica. </w:t>
      </w:r>
    </w:p>
    <w:p w14:paraId="598CF5EC" w14:textId="443B76FA" w:rsidR="00D61537" w:rsidRPr="009809B2" w:rsidRDefault="00D21226" w:rsidP="00D61537">
      <w:pPr>
        <w:pStyle w:val="Prrafodelista"/>
        <w:numPr>
          <w:ilvl w:val="0"/>
          <w:numId w:val="28"/>
        </w:numPr>
        <w:spacing w:before="200"/>
        <w:ind w:left="284" w:hanging="284"/>
        <w:contextualSpacing w:val="0"/>
        <w:rPr>
          <w:rFonts w:cstheme="minorHAnsi"/>
          <w:lang w:val="es-CO"/>
        </w:rPr>
      </w:pPr>
      <w:r w:rsidRPr="009809B2">
        <w:rPr>
          <w:rFonts w:cstheme="minorHAnsi"/>
          <w:lang w:val="es-CO"/>
        </w:rPr>
        <w:t xml:space="preserve">De </w:t>
      </w:r>
      <w:r w:rsidR="00352D7D" w:rsidRPr="009809B2">
        <w:rPr>
          <w:rFonts w:cstheme="minorHAnsi"/>
          <w:lang w:val="es-CO"/>
        </w:rPr>
        <w:t>manera complementaria</w:t>
      </w:r>
      <w:r w:rsidR="00D61537" w:rsidRPr="009809B2">
        <w:rPr>
          <w:rFonts w:cstheme="minorHAnsi"/>
          <w:lang w:val="es-CO"/>
        </w:rPr>
        <w:t xml:space="preserve">, se </w:t>
      </w:r>
      <w:r w:rsidR="00CC0ACC" w:rsidRPr="009809B2">
        <w:rPr>
          <w:rFonts w:cstheme="minorHAnsi"/>
          <w:lang w:val="es-CO"/>
        </w:rPr>
        <w:t xml:space="preserve">elaboró otro índice </w:t>
      </w:r>
      <w:r w:rsidR="002478E0" w:rsidRPr="009809B2">
        <w:rPr>
          <w:rFonts w:cstheme="minorHAnsi"/>
          <w:lang w:val="es-CO"/>
        </w:rPr>
        <w:t>a partir del listado de productos seleccionados, utilizando</w:t>
      </w:r>
      <w:r w:rsidR="00D61537" w:rsidRPr="009809B2">
        <w:rPr>
          <w:rFonts w:cstheme="minorHAnsi"/>
          <w:lang w:val="es-CO"/>
        </w:rPr>
        <w:t xml:space="preserve"> </w:t>
      </w:r>
      <w:r w:rsidR="00E35A91" w:rsidRPr="009809B2">
        <w:rPr>
          <w:rFonts w:cstheme="minorHAnsi"/>
          <w:lang w:val="es-CO"/>
        </w:rPr>
        <w:t xml:space="preserve">los </w:t>
      </w:r>
      <w:r w:rsidR="00D61537" w:rsidRPr="009809B2">
        <w:rPr>
          <w:rFonts w:cstheme="minorHAnsi"/>
          <w:lang w:val="es-CO"/>
        </w:rPr>
        <w:t>ponderadores publicados por el DANE</w:t>
      </w:r>
      <w:r w:rsidR="006F08D5" w:rsidRPr="009809B2">
        <w:rPr>
          <w:rFonts w:cstheme="minorHAnsi"/>
          <w:lang w:val="es-CO"/>
        </w:rPr>
        <w:t xml:space="preserve">, esto </w:t>
      </w:r>
      <w:r w:rsidR="003710A5" w:rsidRPr="009809B2">
        <w:rPr>
          <w:rFonts w:cstheme="minorHAnsi"/>
          <w:lang w:val="es-CO"/>
        </w:rPr>
        <w:t>con el mismo fin de elaborar un índice agregado de precios.</w:t>
      </w:r>
    </w:p>
    <w:p w14:paraId="0FC35653" w14:textId="2171DA1D" w:rsidR="00D61537" w:rsidRPr="009809B2" w:rsidRDefault="00D61537" w:rsidP="00D61537">
      <w:pPr>
        <w:spacing w:before="220"/>
        <w:rPr>
          <w:rFonts w:cstheme="minorHAnsi"/>
          <w:lang w:val="es-CO"/>
        </w:rPr>
      </w:pPr>
      <w:r w:rsidRPr="009809B2">
        <w:rPr>
          <w:rFonts w:cstheme="minorHAnsi"/>
          <w:lang w:val="es-CO"/>
        </w:rPr>
        <w:t xml:space="preserve">De los resultados de la aplicación de estos procedimientos (i.e., de la información disponible, excluyendo factores que no estén relacionados con la prestación del servicio y agregando los </w:t>
      </w:r>
      <w:r w:rsidR="0063362E" w:rsidRPr="009809B2">
        <w:rPr>
          <w:rFonts w:cstheme="minorHAnsi"/>
          <w:lang w:val="es-CO"/>
        </w:rPr>
        <w:t xml:space="preserve">índices de precios </w:t>
      </w:r>
      <w:r w:rsidRPr="009809B2">
        <w:rPr>
          <w:rFonts w:cstheme="minorHAnsi"/>
          <w:lang w:val="es-CO"/>
        </w:rPr>
        <w:t xml:space="preserve">a nivel de producto), se calcularon </w:t>
      </w:r>
      <w:r w:rsidR="0063362E" w:rsidRPr="009809B2">
        <w:rPr>
          <w:rFonts w:cstheme="minorHAnsi"/>
          <w:lang w:val="es-CO"/>
        </w:rPr>
        <w:t xml:space="preserve">propuestas de </w:t>
      </w:r>
      <w:r w:rsidRPr="009809B2">
        <w:rPr>
          <w:rFonts w:cstheme="minorHAnsi"/>
          <w:lang w:val="es-CO"/>
        </w:rPr>
        <w:t xml:space="preserve">índices agregados de precios que se adecuan a las necesidades del sector, esto es, </w:t>
      </w:r>
      <w:r w:rsidR="00D25849" w:rsidRPr="009809B2">
        <w:rPr>
          <w:rFonts w:cstheme="minorHAnsi"/>
          <w:lang w:val="es-CO"/>
        </w:rPr>
        <w:t>aproximaciones</w:t>
      </w:r>
      <w:r w:rsidRPr="009809B2">
        <w:rPr>
          <w:rFonts w:cstheme="minorHAnsi"/>
          <w:lang w:val="es-CO"/>
        </w:rPr>
        <w:t xml:space="preserve"> de las variaciones de los costos y gastos de las actividades de la cadena del servicio.</w:t>
      </w:r>
    </w:p>
    <w:p w14:paraId="582E4FCD" w14:textId="23DC4D9A" w:rsidR="00564250" w:rsidRPr="009809B2" w:rsidRDefault="00E1032E" w:rsidP="00564250">
      <w:pPr>
        <w:spacing w:before="220"/>
        <w:rPr>
          <w:rFonts w:cstheme="minorHAnsi"/>
          <w:lang w:val="es-CO"/>
        </w:rPr>
      </w:pPr>
      <w:r w:rsidRPr="009809B2">
        <w:rPr>
          <w:rFonts w:cstheme="minorHAnsi"/>
          <w:lang w:val="es-CO"/>
        </w:rPr>
        <w:t>Como se mencionó, l</w:t>
      </w:r>
      <w:r w:rsidR="006316B3" w:rsidRPr="009809B2">
        <w:rPr>
          <w:rFonts w:cstheme="minorHAnsi"/>
          <w:lang w:val="es-CO"/>
        </w:rPr>
        <w:t xml:space="preserve">os índices agregados </w:t>
      </w:r>
      <w:r w:rsidRPr="009809B2">
        <w:rPr>
          <w:rFonts w:cstheme="minorHAnsi"/>
          <w:lang w:val="es-CO"/>
        </w:rPr>
        <w:t xml:space="preserve">propuestos </w:t>
      </w:r>
      <w:r w:rsidR="006316B3" w:rsidRPr="009809B2">
        <w:rPr>
          <w:rFonts w:cstheme="minorHAnsi"/>
          <w:lang w:val="es-CO"/>
        </w:rPr>
        <w:t xml:space="preserve">se crean a partir de las </w:t>
      </w:r>
      <w:r w:rsidR="00564250" w:rsidRPr="009809B2">
        <w:rPr>
          <w:rFonts w:cstheme="minorHAnsi"/>
          <w:lang w:val="es-CO"/>
        </w:rPr>
        <w:t xml:space="preserve">series publicadas por el DANE, </w:t>
      </w:r>
      <w:r w:rsidR="006316B3" w:rsidRPr="009809B2">
        <w:rPr>
          <w:rFonts w:cstheme="minorHAnsi"/>
          <w:lang w:val="es-CO"/>
        </w:rPr>
        <w:t>en el archivo “anexo_ipp_</w:t>
      </w:r>
      <w:r w:rsidR="00FB4B03" w:rsidRPr="009809B2">
        <w:rPr>
          <w:rFonts w:cstheme="minorHAnsi"/>
          <w:lang w:val="es-CO"/>
        </w:rPr>
        <w:t>may24</w:t>
      </w:r>
      <w:r w:rsidR="006316B3" w:rsidRPr="009809B2">
        <w:rPr>
          <w:rFonts w:cstheme="minorHAnsi"/>
          <w:lang w:val="es-CO"/>
        </w:rPr>
        <w:t xml:space="preserve">.xlsx”, </w:t>
      </w:r>
      <w:r w:rsidR="00564250" w:rsidRPr="009809B2">
        <w:rPr>
          <w:rFonts w:cstheme="minorHAnsi"/>
          <w:lang w:val="es-CO"/>
        </w:rPr>
        <w:t xml:space="preserve">para las “Subclases CPC”, incluidas en el cálculo de la serie “Índice de precios de la Oferta interna”. </w:t>
      </w:r>
      <w:r w:rsidR="006316B3" w:rsidRPr="009809B2">
        <w:rPr>
          <w:rFonts w:cstheme="minorHAnsi"/>
          <w:lang w:val="es-CO"/>
        </w:rPr>
        <w:t>La serie de la subclase CPC, relacionada con</w:t>
      </w:r>
      <w:r w:rsidR="00926744" w:rsidRPr="009809B2">
        <w:rPr>
          <w:rFonts w:cstheme="minorHAnsi"/>
          <w:lang w:val="es-CO"/>
        </w:rPr>
        <w:t xml:space="preserve"> </w:t>
      </w:r>
      <w:r w:rsidR="006316B3" w:rsidRPr="009809B2">
        <w:rPr>
          <w:rFonts w:cstheme="minorHAnsi"/>
          <w:lang w:val="es-CO"/>
        </w:rPr>
        <w:t>cada uno de los productos seleccionados se pondera con los factores obtenidos como se mencionó arriba.</w:t>
      </w:r>
    </w:p>
    <w:p w14:paraId="7ACAFE1C" w14:textId="701F7AF6" w:rsidR="006316B3" w:rsidRPr="009809B2" w:rsidRDefault="006316B3" w:rsidP="006316B3">
      <w:pPr>
        <w:spacing w:before="220"/>
        <w:rPr>
          <w:rFonts w:cstheme="minorHAnsi"/>
          <w:lang w:val="es-CO"/>
        </w:rPr>
      </w:pPr>
      <w:r w:rsidRPr="009809B2">
        <w:rPr>
          <w:rFonts w:cstheme="minorHAnsi"/>
          <w:lang w:val="es-CO"/>
        </w:rPr>
        <w:t>En el ejercicio se crearon tres propuestas para hacer la comparación, tomando los valores de</w:t>
      </w:r>
      <w:r w:rsidR="00CA7742" w:rsidRPr="009809B2">
        <w:rPr>
          <w:rFonts w:cstheme="minorHAnsi"/>
          <w:lang w:val="es-CO"/>
        </w:rPr>
        <w:t>:</w:t>
      </w:r>
    </w:p>
    <w:p w14:paraId="58837F44" w14:textId="77777777" w:rsidR="006316B3" w:rsidRPr="009809B2" w:rsidRDefault="006316B3" w:rsidP="006316B3">
      <w:pPr>
        <w:pStyle w:val="Prrafodelista"/>
        <w:numPr>
          <w:ilvl w:val="0"/>
          <w:numId w:val="29"/>
        </w:numPr>
        <w:spacing w:before="120"/>
        <w:ind w:left="714" w:hanging="357"/>
        <w:contextualSpacing w:val="0"/>
        <w:rPr>
          <w:rFonts w:cstheme="minorHAnsi"/>
          <w:lang w:val="es-CO"/>
        </w:rPr>
      </w:pPr>
      <w:proofErr w:type="spellStart"/>
      <w:r w:rsidRPr="009809B2">
        <w:rPr>
          <w:rFonts w:cstheme="minorHAnsi"/>
          <w:b/>
          <w:lang w:val="es-CO"/>
        </w:rPr>
        <w:t>Prop_GTD</w:t>
      </w:r>
      <w:proofErr w:type="spellEnd"/>
      <w:r w:rsidRPr="009809B2">
        <w:rPr>
          <w:rFonts w:cstheme="minorHAnsi"/>
          <w:lang w:val="es-CO"/>
        </w:rPr>
        <w:t>. Con los resultados obtenidos de los archivos “oferta-utilización” y la ponderación descrita arriba, se crea un índice sumando los valores de las series de las “Subclases CPC”, relacionadas con los productos seleccionados.</w:t>
      </w:r>
    </w:p>
    <w:p w14:paraId="47B640B9" w14:textId="77777777" w:rsidR="006316B3" w:rsidRPr="009809B2" w:rsidRDefault="006316B3" w:rsidP="006316B3">
      <w:pPr>
        <w:pStyle w:val="Prrafodelista"/>
        <w:numPr>
          <w:ilvl w:val="0"/>
          <w:numId w:val="29"/>
        </w:numPr>
        <w:spacing w:before="120"/>
        <w:ind w:left="714" w:hanging="357"/>
        <w:contextualSpacing w:val="0"/>
        <w:rPr>
          <w:rFonts w:cstheme="minorHAnsi"/>
          <w:lang w:val="es-CO"/>
        </w:rPr>
      </w:pPr>
      <w:r w:rsidRPr="009809B2">
        <w:rPr>
          <w:rFonts w:cstheme="minorHAnsi"/>
          <w:b/>
          <w:lang w:val="es-CO"/>
        </w:rPr>
        <w:lastRenderedPageBreak/>
        <w:t>Prop_GTD_3C</w:t>
      </w:r>
      <w:r w:rsidRPr="009809B2">
        <w:rPr>
          <w:rFonts w:cstheme="minorHAnsi"/>
          <w:lang w:val="es-CO"/>
        </w:rPr>
        <w:t>. De los productos seleccionados identificados para construir la propuesta anterior se excluyen tres relacionados con combustibles, que son utilizados, principalmente, en la actividad de generación.</w:t>
      </w:r>
    </w:p>
    <w:p w14:paraId="35DDDE10" w14:textId="77777777" w:rsidR="006316B3" w:rsidRPr="009809B2" w:rsidRDefault="006316B3" w:rsidP="006316B3">
      <w:pPr>
        <w:pStyle w:val="Prrafodelista"/>
        <w:numPr>
          <w:ilvl w:val="0"/>
          <w:numId w:val="29"/>
        </w:numPr>
        <w:spacing w:before="120"/>
        <w:ind w:left="714" w:hanging="357"/>
        <w:contextualSpacing w:val="0"/>
        <w:rPr>
          <w:rFonts w:cstheme="minorHAnsi"/>
          <w:lang w:val="es-CO"/>
        </w:rPr>
      </w:pPr>
      <w:proofErr w:type="spellStart"/>
      <w:r w:rsidRPr="009809B2">
        <w:rPr>
          <w:rFonts w:cstheme="minorHAnsi"/>
          <w:b/>
          <w:lang w:val="es-CO"/>
        </w:rPr>
        <w:t>Prop_D_OI</w:t>
      </w:r>
      <w:proofErr w:type="spellEnd"/>
      <w:r w:rsidRPr="009809B2">
        <w:rPr>
          <w:rFonts w:cstheme="minorHAnsi"/>
          <w:b/>
          <w:lang w:val="es-CO"/>
        </w:rPr>
        <w:t>.</w:t>
      </w:r>
      <w:r w:rsidRPr="009809B2">
        <w:rPr>
          <w:rFonts w:cstheme="minorHAnsi"/>
          <w:lang w:val="es-CO"/>
        </w:rPr>
        <w:t xml:space="preserve"> Se mantienen las subclases CPC utilizadas en la anterior propuesta, pero la ponderación se hace con base en los pesos que utiliza el DANE para crear la serie de oferta interna. </w:t>
      </w:r>
    </w:p>
    <w:p w14:paraId="70B421B4" w14:textId="30331ABD" w:rsidR="00564250" w:rsidRPr="009809B2" w:rsidRDefault="00564250" w:rsidP="00564250">
      <w:pPr>
        <w:spacing w:before="220"/>
        <w:rPr>
          <w:rFonts w:cstheme="minorHAnsi"/>
          <w:lang w:val="es-CO"/>
        </w:rPr>
      </w:pPr>
      <w:r w:rsidRPr="009809B2">
        <w:rPr>
          <w:rFonts w:cstheme="minorHAnsi"/>
          <w:lang w:val="es-CO"/>
        </w:rPr>
        <w:t>Las series se adecuaron para que todas fueran iguales a uno en la fecha escogida de referencia. Los porcentajes entre paréntesis muestran la variación del último dato frente al dato de la fecha de referencia. Para las gráficas mostradas en este documento se escogió como referencia el mes de diciembre de 2020.</w:t>
      </w:r>
    </w:p>
    <w:p w14:paraId="0C1CBB20" w14:textId="110A15E5" w:rsidR="006316B3" w:rsidRPr="009809B2" w:rsidRDefault="006316B3" w:rsidP="006316B3">
      <w:pPr>
        <w:spacing w:before="220"/>
        <w:rPr>
          <w:rFonts w:cstheme="minorHAnsi"/>
          <w:lang w:val="es-CO"/>
        </w:rPr>
      </w:pPr>
      <w:r w:rsidRPr="009809B2">
        <w:rPr>
          <w:rFonts w:cstheme="minorHAnsi"/>
          <w:lang w:val="es-CO"/>
        </w:rPr>
        <w:t xml:space="preserve">En la </w:t>
      </w:r>
      <w:r w:rsidRPr="009809B2">
        <w:rPr>
          <w:rFonts w:cstheme="minorHAnsi"/>
          <w:lang w:val="es-CO"/>
        </w:rPr>
        <w:fldChar w:fldCharType="begin"/>
      </w:r>
      <w:r w:rsidRPr="009809B2">
        <w:rPr>
          <w:rFonts w:cstheme="minorHAnsi"/>
          <w:lang w:val="es-CO"/>
        </w:rPr>
        <w:instrText xml:space="preserve"> REF _Ref125553443 \h  \* MERGEFORMAT </w:instrText>
      </w:r>
      <w:r w:rsidRPr="009809B2">
        <w:rPr>
          <w:rFonts w:cstheme="minorHAnsi"/>
          <w:lang w:val="es-CO"/>
        </w:rPr>
      </w:r>
      <w:r w:rsidRPr="009809B2">
        <w:rPr>
          <w:rFonts w:cstheme="minorHAnsi"/>
          <w:lang w:val="es-CO"/>
        </w:rPr>
        <w:fldChar w:fldCharType="separate"/>
      </w:r>
      <w:r w:rsidR="00B40B80" w:rsidRPr="00B40B80">
        <w:rPr>
          <w:color w:val="000000" w:themeColor="text1"/>
          <w:lang w:val="es-CO"/>
        </w:rPr>
        <w:t>Gráfica 6</w:t>
      </w:r>
      <w:r w:rsidRPr="009809B2">
        <w:rPr>
          <w:rFonts w:cstheme="minorHAnsi"/>
          <w:lang w:val="es-CO"/>
        </w:rPr>
        <w:fldChar w:fldCharType="end"/>
      </w:r>
      <w:r w:rsidRPr="009809B2">
        <w:rPr>
          <w:rFonts w:cstheme="minorHAnsi"/>
          <w:lang w:val="es-CO"/>
        </w:rPr>
        <w:t xml:space="preserve"> se muestran los resultados obtenidos para estas tres propuestas y se compara</w:t>
      </w:r>
      <w:r w:rsidR="00F06DA3" w:rsidRPr="009809B2">
        <w:rPr>
          <w:rFonts w:cstheme="minorHAnsi"/>
          <w:lang w:val="es-CO"/>
        </w:rPr>
        <w:t>n</w:t>
      </w:r>
      <w:r w:rsidRPr="009809B2">
        <w:rPr>
          <w:rFonts w:cstheme="minorHAnsi"/>
          <w:lang w:val="es-CO"/>
        </w:rPr>
        <w:t xml:space="preserve"> con la publicada por el DANE para la serie oferta interna (O_I). </w:t>
      </w:r>
    </w:p>
    <w:p w14:paraId="53D35DBB" w14:textId="605D60C2" w:rsidR="00D61537" w:rsidRPr="009809B2" w:rsidRDefault="00671865" w:rsidP="00D61537">
      <w:pPr>
        <w:pStyle w:val="Descripcin"/>
        <w:keepNext/>
        <w:spacing w:before="240"/>
        <w:jc w:val="center"/>
        <w:rPr>
          <w:rFonts w:cstheme="minorHAnsi"/>
          <w:color w:val="000000" w:themeColor="text1"/>
          <w:sz w:val="20"/>
          <w:szCs w:val="20"/>
          <w:lang w:val="es-CO"/>
        </w:rPr>
      </w:pPr>
      <w:bookmarkStart w:id="288" w:name="_Ref125553443"/>
      <w:r w:rsidRPr="009809B2">
        <w:rPr>
          <w:rFonts w:cstheme="minorHAnsi"/>
          <w:color w:val="000000" w:themeColor="text1"/>
          <w:sz w:val="20"/>
          <w:szCs w:val="20"/>
          <w:lang w:val="es-CO"/>
        </w:rPr>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6</w:t>
      </w:r>
      <w:r w:rsidRPr="009809B2">
        <w:rPr>
          <w:rFonts w:cstheme="minorHAnsi"/>
          <w:color w:val="000000" w:themeColor="text1"/>
          <w:sz w:val="20"/>
          <w:szCs w:val="20"/>
          <w:lang w:val="es-CO"/>
        </w:rPr>
        <w:fldChar w:fldCharType="end"/>
      </w:r>
      <w:bookmarkEnd w:id="288"/>
      <w:r w:rsidR="00AA77AE" w:rsidRPr="009809B2">
        <w:rPr>
          <w:rFonts w:cstheme="minorHAnsi"/>
          <w:color w:val="000000" w:themeColor="text1"/>
          <w:sz w:val="20"/>
          <w:szCs w:val="20"/>
          <w:lang w:val="es-CO"/>
        </w:rPr>
        <w:t>.</w:t>
      </w:r>
      <w:r w:rsidRPr="009809B2">
        <w:rPr>
          <w:rFonts w:cstheme="minorHAnsi"/>
          <w:color w:val="000000" w:themeColor="text1"/>
          <w:sz w:val="20"/>
          <w:szCs w:val="20"/>
          <w:lang w:val="es-CO"/>
        </w:rPr>
        <w:t xml:space="preserve"> </w:t>
      </w:r>
      <w:r w:rsidR="00D61537" w:rsidRPr="009809B2">
        <w:rPr>
          <w:rFonts w:cstheme="minorHAnsi"/>
          <w:color w:val="000000" w:themeColor="text1"/>
          <w:sz w:val="20"/>
          <w:szCs w:val="20"/>
          <w:lang w:val="es-CO"/>
        </w:rPr>
        <w:t>Propuestas relacionadas con la serie “Oferta Interna”</w:t>
      </w:r>
    </w:p>
    <w:p w14:paraId="6EBFB5E2" w14:textId="77777777" w:rsidR="00D61537" w:rsidRPr="009809B2" w:rsidRDefault="00D61537" w:rsidP="00D61537">
      <w:pPr>
        <w:spacing w:before="220"/>
        <w:jc w:val="center"/>
        <w:rPr>
          <w:rFonts w:cstheme="minorHAnsi"/>
          <w:lang w:val="es-CO"/>
        </w:rPr>
      </w:pPr>
      <w:r w:rsidRPr="009809B2">
        <w:rPr>
          <w:rFonts w:cstheme="minorHAnsi"/>
          <w:noProof/>
          <w:lang w:val="es-CO"/>
        </w:rPr>
        <w:drawing>
          <wp:inline distT="0" distB="0" distL="0" distR="0" wp14:anchorId="7C958E79" wp14:editId="083E886D">
            <wp:extent cx="4538749" cy="3293209"/>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4538749" cy="3293209"/>
                    </a:xfrm>
                    <a:prstGeom prst="rect">
                      <a:avLst/>
                    </a:prstGeom>
                  </pic:spPr>
                </pic:pic>
              </a:graphicData>
            </a:graphic>
          </wp:inline>
        </w:drawing>
      </w:r>
    </w:p>
    <w:p w14:paraId="545BDB3C" w14:textId="77777777" w:rsidR="00020C5F" w:rsidRPr="009809B2" w:rsidRDefault="00020C5F" w:rsidP="00020C5F">
      <w:pPr>
        <w:spacing w:before="220"/>
        <w:ind w:firstLine="720"/>
        <w:contextualSpacing/>
        <w:rPr>
          <w:rFonts w:cstheme="minorHAnsi"/>
          <w:lang w:val="es-CO"/>
        </w:rPr>
      </w:pPr>
      <w:r w:rsidRPr="009809B2">
        <w:rPr>
          <w:sz w:val="16"/>
          <w:szCs w:val="16"/>
          <w:lang w:val="es-CO"/>
        </w:rPr>
        <w:t>Fuente: DANE. Cálculos CREG.</w:t>
      </w:r>
    </w:p>
    <w:p w14:paraId="565995FB" w14:textId="285E15BA" w:rsidR="00D61537" w:rsidRPr="009809B2" w:rsidRDefault="00D61537" w:rsidP="00D61537">
      <w:pPr>
        <w:spacing w:before="220"/>
        <w:rPr>
          <w:rFonts w:cstheme="minorHAnsi"/>
          <w:lang w:val="es-CO"/>
        </w:rPr>
      </w:pPr>
      <w:r w:rsidRPr="009809B2">
        <w:rPr>
          <w:rFonts w:cstheme="minorHAnsi"/>
          <w:lang w:val="es-CO"/>
        </w:rPr>
        <w:t>Como se observa en la gráfica, las diferentes propuestas muestran un comportamiento muy similar.</w:t>
      </w:r>
    </w:p>
    <w:p w14:paraId="5C27E9F0" w14:textId="77777777" w:rsidR="00F06DA3" w:rsidRPr="009809B2" w:rsidRDefault="00D61537" w:rsidP="00D61537">
      <w:pPr>
        <w:spacing w:before="220"/>
        <w:rPr>
          <w:rFonts w:cstheme="minorHAnsi"/>
          <w:lang w:val="es-CO"/>
        </w:rPr>
      </w:pPr>
      <w:r w:rsidRPr="009809B2">
        <w:rPr>
          <w:rFonts w:cstheme="minorHAnsi"/>
          <w:lang w:val="es-CO"/>
        </w:rPr>
        <w:lastRenderedPageBreak/>
        <w:t>Un ejercicio similar se hace para las series incluidas en la hoja que contiene los datos para “11.1 Índices de Precios de los Bienes de Capital (BK)”, tomando solo los correspondientes a la sección C: “Industrias manufactureras”, con el propósito de no tener en cuenta las secciones “Agricultura, ganadería, caza, silvicultura y pesca” y “Explotación de minas y canteras”.</w:t>
      </w:r>
      <w:r w:rsidR="00F06DA3" w:rsidRPr="009809B2">
        <w:rPr>
          <w:rFonts w:cstheme="minorHAnsi"/>
          <w:lang w:val="es-CO"/>
        </w:rPr>
        <w:t xml:space="preserve"> </w:t>
      </w:r>
    </w:p>
    <w:p w14:paraId="45DB9819" w14:textId="737F873E" w:rsidR="00D61537" w:rsidRPr="009809B2" w:rsidRDefault="00F06DA3" w:rsidP="00D61537">
      <w:pPr>
        <w:spacing w:before="220"/>
        <w:rPr>
          <w:rFonts w:cstheme="minorHAnsi"/>
          <w:lang w:val="es-CO"/>
        </w:rPr>
      </w:pPr>
      <w:r w:rsidRPr="009809B2">
        <w:rPr>
          <w:rFonts w:cstheme="minorHAnsi"/>
          <w:lang w:val="es-CO"/>
        </w:rPr>
        <w:t xml:space="preserve">Los resultados se muestran en la </w:t>
      </w:r>
      <w:r w:rsidRPr="009809B2">
        <w:rPr>
          <w:rFonts w:cstheme="minorHAnsi"/>
          <w:lang w:val="es-CO"/>
        </w:rPr>
        <w:fldChar w:fldCharType="begin"/>
      </w:r>
      <w:r w:rsidRPr="009809B2">
        <w:rPr>
          <w:rFonts w:cstheme="minorHAnsi"/>
          <w:lang w:val="es-CO"/>
        </w:rPr>
        <w:instrText xml:space="preserve"> REF _Ref125551270 \h  \* MERGEFORMAT </w:instrText>
      </w:r>
      <w:r w:rsidRPr="009809B2">
        <w:rPr>
          <w:rFonts w:cstheme="minorHAnsi"/>
          <w:lang w:val="es-CO"/>
        </w:rPr>
      </w:r>
      <w:r w:rsidRPr="009809B2">
        <w:rPr>
          <w:rFonts w:cstheme="minorHAnsi"/>
          <w:lang w:val="es-CO"/>
        </w:rPr>
        <w:fldChar w:fldCharType="separate"/>
      </w:r>
      <w:r w:rsidR="00B40B80" w:rsidRPr="00B40B80">
        <w:rPr>
          <w:rFonts w:cstheme="minorHAnsi"/>
          <w:lang w:val="es-CO"/>
        </w:rPr>
        <w:t>Gráfica 7</w:t>
      </w:r>
      <w:r w:rsidRPr="009809B2">
        <w:rPr>
          <w:rFonts w:cstheme="minorHAnsi"/>
          <w:lang w:val="es-CO"/>
        </w:rPr>
        <w:fldChar w:fldCharType="end"/>
      </w:r>
      <w:r w:rsidRPr="009809B2">
        <w:rPr>
          <w:rFonts w:cstheme="minorHAnsi"/>
          <w:lang w:val="es-CO"/>
        </w:rPr>
        <w:t xml:space="preserve">, donde se compara la serie publicada por el DANE para los bienes de capital con cada una de las propuestas descritas arriba, las cuales se crean con las series de </w:t>
      </w:r>
      <w:r w:rsidR="002D4FCB" w:rsidRPr="009809B2">
        <w:rPr>
          <w:rFonts w:cstheme="minorHAnsi"/>
          <w:lang w:val="es-CO"/>
        </w:rPr>
        <w:t>las subclases</w:t>
      </w:r>
      <w:r w:rsidRPr="009809B2">
        <w:rPr>
          <w:rFonts w:cstheme="minorHAnsi"/>
          <w:lang w:val="es-CO"/>
        </w:rPr>
        <w:t xml:space="preserve"> CPC que se encuentran en la hoja “11.1 Índices de Precios de los Bienes de Capital (BK)”</w:t>
      </w:r>
      <w:r w:rsidR="008D1E61" w:rsidRPr="009809B2">
        <w:rPr>
          <w:rFonts w:cstheme="minorHAnsi"/>
          <w:lang w:val="es-CO"/>
        </w:rPr>
        <w:t xml:space="preserve"> y con la ponderación obtenida a partir de la matriz oferta-utilización, también publicada por el DANE.</w:t>
      </w:r>
    </w:p>
    <w:p w14:paraId="65895A45" w14:textId="39F77C48" w:rsidR="009F71AA" w:rsidRPr="009809B2" w:rsidRDefault="00671865" w:rsidP="009F71AA">
      <w:pPr>
        <w:pStyle w:val="Descripcin"/>
        <w:keepNext/>
        <w:spacing w:before="240"/>
        <w:jc w:val="center"/>
        <w:rPr>
          <w:rFonts w:cstheme="minorHAnsi"/>
          <w:color w:val="000000" w:themeColor="text1"/>
          <w:sz w:val="20"/>
          <w:szCs w:val="20"/>
          <w:lang w:val="es-CO"/>
        </w:rPr>
      </w:pPr>
      <w:bookmarkStart w:id="289" w:name="_Ref125551270"/>
      <w:r w:rsidRPr="009809B2">
        <w:rPr>
          <w:rFonts w:cstheme="minorHAnsi"/>
          <w:color w:val="000000" w:themeColor="text1"/>
          <w:sz w:val="20"/>
          <w:szCs w:val="20"/>
          <w:lang w:val="es-CO"/>
        </w:rPr>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7</w:t>
      </w:r>
      <w:r w:rsidRPr="009809B2">
        <w:rPr>
          <w:rFonts w:cstheme="minorHAnsi"/>
          <w:color w:val="000000" w:themeColor="text1"/>
          <w:sz w:val="20"/>
          <w:szCs w:val="20"/>
          <w:lang w:val="es-CO"/>
        </w:rPr>
        <w:fldChar w:fldCharType="end"/>
      </w:r>
      <w:bookmarkEnd w:id="289"/>
      <w:r w:rsidR="009F71AA" w:rsidRPr="009809B2">
        <w:rPr>
          <w:rFonts w:cstheme="minorHAnsi"/>
          <w:color w:val="000000" w:themeColor="text1"/>
          <w:sz w:val="20"/>
          <w:szCs w:val="20"/>
          <w:lang w:val="es-CO"/>
        </w:rPr>
        <w:t>. Propuestas relacionadas con la serie “</w:t>
      </w:r>
      <w:r w:rsidR="00F06DA3" w:rsidRPr="009809B2">
        <w:rPr>
          <w:rFonts w:cstheme="minorHAnsi"/>
          <w:color w:val="000000" w:themeColor="text1"/>
          <w:sz w:val="20"/>
          <w:szCs w:val="20"/>
          <w:lang w:val="es-CO"/>
        </w:rPr>
        <w:t>Precios de los Bienes de Capital</w:t>
      </w:r>
      <w:r w:rsidR="009F71AA" w:rsidRPr="009809B2">
        <w:rPr>
          <w:rFonts w:cstheme="minorHAnsi"/>
          <w:color w:val="000000" w:themeColor="text1"/>
          <w:sz w:val="20"/>
          <w:szCs w:val="20"/>
          <w:lang w:val="es-CO"/>
        </w:rPr>
        <w:t>”</w:t>
      </w:r>
    </w:p>
    <w:p w14:paraId="473BC17A" w14:textId="77777777" w:rsidR="00D61537" w:rsidRPr="009809B2" w:rsidRDefault="00D61537" w:rsidP="00D61537">
      <w:pPr>
        <w:spacing w:before="220"/>
        <w:jc w:val="center"/>
        <w:rPr>
          <w:rFonts w:cstheme="minorHAnsi"/>
          <w:lang w:val="es-CO"/>
        </w:rPr>
      </w:pPr>
      <w:r w:rsidRPr="009809B2">
        <w:rPr>
          <w:rFonts w:cstheme="minorHAnsi"/>
          <w:noProof/>
          <w:lang w:val="es-CO"/>
        </w:rPr>
        <w:drawing>
          <wp:inline distT="0" distB="0" distL="0" distR="0" wp14:anchorId="42156A31" wp14:editId="3BBCC683">
            <wp:extent cx="5169492" cy="32791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5175211" cy="3282767"/>
                    </a:xfrm>
                    <a:prstGeom prst="rect">
                      <a:avLst/>
                    </a:prstGeom>
                  </pic:spPr>
                </pic:pic>
              </a:graphicData>
            </a:graphic>
          </wp:inline>
        </w:drawing>
      </w:r>
    </w:p>
    <w:p w14:paraId="13E6CB66" w14:textId="77777777" w:rsidR="00020C5F" w:rsidRPr="009809B2" w:rsidRDefault="00020C5F" w:rsidP="00020C5F">
      <w:pPr>
        <w:widowControl w:val="0"/>
        <w:ind w:firstLine="720"/>
        <w:contextualSpacing/>
        <w:rPr>
          <w:rFonts w:cstheme="minorHAnsi"/>
          <w:lang w:val="es-CO"/>
        </w:rPr>
      </w:pPr>
      <w:r w:rsidRPr="009809B2">
        <w:rPr>
          <w:sz w:val="16"/>
          <w:szCs w:val="16"/>
          <w:lang w:val="es-CO"/>
        </w:rPr>
        <w:t>Fuente: DANE. Cálculos CREG.</w:t>
      </w:r>
    </w:p>
    <w:p w14:paraId="756E6D8B" w14:textId="6F86D2EB" w:rsidR="00F97F2C" w:rsidRPr="009809B2" w:rsidRDefault="00D61537" w:rsidP="00D61537">
      <w:pPr>
        <w:spacing w:before="220"/>
        <w:rPr>
          <w:rFonts w:cstheme="minorHAnsi"/>
          <w:lang w:val="es-CO"/>
        </w:rPr>
      </w:pPr>
      <w:r w:rsidRPr="009809B2">
        <w:rPr>
          <w:rFonts w:cstheme="minorHAnsi"/>
          <w:lang w:val="es-CO"/>
        </w:rPr>
        <w:t xml:space="preserve">También, para las tres propuestas </w:t>
      </w:r>
      <w:r w:rsidR="006316B3" w:rsidRPr="009809B2">
        <w:rPr>
          <w:rFonts w:cstheme="minorHAnsi"/>
          <w:lang w:val="es-CO"/>
        </w:rPr>
        <w:t>descritas</w:t>
      </w:r>
      <w:r w:rsidRPr="009809B2">
        <w:rPr>
          <w:rFonts w:cstheme="minorHAnsi"/>
          <w:lang w:val="es-CO"/>
        </w:rPr>
        <w:t xml:space="preserve"> en el ejercicio anterior se presentan comportamientos similares a la serie de bienes de capital publicada por el DANE.</w:t>
      </w:r>
    </w:p>
    <w:p w14:paraId="46EBDEBB" w14:textId="562CBCB5" w:rsidR="0063173D" w:rsidRPr="009809B2" w:rsidRDefault="0063173D" w:rsidP="00D61537">
      <w:pPr>
        <w:spacing w:before="220"/>
        <w:rPr>
          <w:rFonts w:cstheme="minorHAnsi"/>
          <w:b/>
          <w:lang w:val="es-CO"/>
        </w:rPr>
      </w:pPr>
      <w:r w:rsidRPr="009809B2">
        <w:rPr>
          <w:rFonts w:cstheme="minorHAnsi"/>
          <w:b/>
          <w:lang w:val="es-CO"/>
        </w:rPr>
        <w:t xml:space="preserve">Consideraciones de las alternativas </w:t>
      </w:r>
    </w:p>
    <w:p w14:paraId="707F4651" w14:textId="130828CE" w:rsidR="001473B4" w:rsidRPr="009809B2" w:rsidRDefault="001473B4" w:rsidP="00D61537">
      <w:pPr>
        <w:spacing w:before="220"/>
        <w:rPr>
          <w:rFonts w:cstheme="minorHAnsi"/>
          <w:lang w:val="es-CO"/>
        </w:rPr>
      </w:pPr>
      <w:r w:rsidRPr="009809B2">
        <w:rPr>
          <w:rFonts w:cstheme="minorHAnsi"/>
          <w:lang w:val="es-CO"/>
        </w:rPr>
        <w:t>Las alternativas de índices planteados requiere</w:t>
      </w:r>
      <w:r w:rsidR="005C5987" w:rsidRPr="009809B2">
        <w:rPr>
          <w:rFonts w:cstheme="minorHAnsi"/>
          <w:lang w:val="es-CO"/>
        </w:rPr>
        <w:t>n</w:t>
      </w:r>
      <w:r w:rsidRPr="009809B2">
        <w:rPr>
          <w:rFonts w:cstheme="minorHAnsi"/>
          <w:lang w:val="es-CO"/>
        </w:rPr>
        <w:t xml:space="preserve"> que</w:t>
      </w:r>
      <w:r w:rsidR="005C5987" w:rsidRPr="009809B2">
        <w:rPr>
          <w:rFonts w:cstheme="minorHAnsi"/>
          <w:lang w:val="es-CO"/>
        </w:rPr>
        <w:t>,</w:t>
      </w:r>
      <w:r w:rsidRPr="009809B2">
        <w:rPr>
          <w:rFonts w:cstheme="minorHAnsi"/>
          <w:lang w:val="es-CO"/>
        </w:rPr>
        <w:t xml:space="preserve"> bien sea la Comisión o el DANE</w:t>
      </w:r>
      <w:r w:rsidR="005C5987" w:rsidRPr="009809B2">
        <w:rPr>
          <w:rFonts w:cstheme="minorHAnsi"/>
          <w:lang w:val="es-CO"/>
        </w:rPr>
        <w:t>,</w:t>
      </w:r>
      <w:r w:rsidRPr="009809B2">
        <w:rPr>
          <w:rFonts w:cstheme="minorHAnsi"/>
          <w:lang w:val="es-CO"/>
        </w:rPr>
        <w:t xml:space="preserve"> sean </w:t>
      </w:r>
      <w:r w:rsidR="00AA0DD2" w:rsidRPr="009809B2">
        <w:rPr>
          <w:rFonts w:cstheme="minorHAnsi"/>
          <w:lang w:val="es-CO"/>
        </w:rPr>
        <w:t>quienes</w:t>
      </w:r>
      <w:r w:rsidRPr="009809B2">
        <w:rPr>
          <w:rFonts w:cstheme="minorHAnsi"/>
          <w:lang w:val="es-CO"/>
        </w:rPr>
        <w:t xml:space="preserve"> </w:t>
      </w:r>
      <w:r w:rsidR="009B6BA0" w:rsidRPr="009809B2">
        <w:rPr>
          <w:rFonts w:cstheme="minorHAnsi"/>
          <w:lang w:val="es-CO"/>
        </w:rPr>
        <w:t>desarrollen formalmente</w:t>
      </w:r>
      <w:r w:rsidRPr="009809B2">
        <w:rPr>
          <w:rFonts w:cstheme="minorHAnsi"/>
          <w:lang w:val="es-CO"/>
        </w:rPr>
        <w:t xml:space="preserve"> </w:t>
      </w:r>
      <w:r w:rsidR="009B6BA0" w:rsidRPr="009809B2">
        <w:rPr>
          <w:rFonts w:cstheme="minorHAnsi"/>
          <w:lang w:val="es-CO"/>
        </w:rPr>
        <w:t>las series</w:t>
      </w:r>
      <w:r w:rsidRPr="009809B2">
        <w:rPr>
          <w:rFonts w:cstheme="minorHAnsi"/>
          <w:lang w:val="es-CO"/>
        </w:rPr>
        <w:t xml:space="preserve"> de índices de precios. </w:t>
      </w:r>
    </w:p>
    <w:p w14:paraId="3475ED53" w14:textId="77777777" w:rsidR="00B16859" w:rsidRPr="009809B2" w:rsidRDefault="001473B4" w:rsidP="00D61537">
      <w:pPr>
        <w:spacing w:before="220"/>
        <w:rPr>
          <w:rFonts w:cstheme="minorHAnsi"/>
          <w:lang w:val="es-CO"/>
        </w:rPr>
      </w:pPr>
      <w:r w:rsidRPr="009809B2">
        <w:rPr>
          <w:rFonts w:cstheme="minorHAnsi"/>
          <w:lang w:val="es-CO"/>
        </w:rPr>
        <w:lastRenderedPageBreak/>
        <w:t xml:space="preserve">Para la implementación del índice que resulte de la escogencia de esta alternativa se requiere adoptar una serie de </w:t>
      </w:r>
      <w:r w:rsidR="00D61537" w:rsidRPr="009809B2">
        <w:rPr>
          <w:rFonts w:cstheme="minorHAnsi"/>
          <w:lang w:val="es-CO"/>
        </w:rPr>
        <w:t>prácticas estandarizadas conforme a lineamientos internacionales que Colombia tradicionalmente acoge y participa en su diseño</w:t>
      </w:r>
      <w:r w:rsidR="00B16859" w:rsidRPr="009809B2">
        <w:rPr>
          <w:rFonts w:cstheme="minorHAnsi"/>
          <w:lang w:val="es-CO"/>
        </w:rPr>
        <w:t>. Esto</w:t>
      </w:r>
      <w:r w:rsidR="00D61537" w:rsidRPr="009809B2">
        <w:rPr>
          <w:rFonts w:cstheme="minorHAnsi"/>
          <w:lang w:val="es-CO"/>
        </w:rPr>
        <w:t xml:space="preserve"> implica el desarrollo de etapas y procedimientos para la producción, publicación y continuidad de la publicación</w:t>
      </w:r>
      <w:r w:rsidRPr="009809B2">
        <w:rPr>
          <w:rStyle w:val="Refdenotaalpie"/>
          <w:rFonts w:cstheme="minorHAnsi"/>
          <w:lang w:val="es-CO"/>
        </w:rPr>
        <w:footnoteReference w:id="21"/>
      </w:r>
      <w:r w:rsidR="00B16859" w:rsidRPr="009809B2">
        <w:rPr>
          <w:rFonts w:cstheme="minorHAnsi"/>
          <w:lang w:val="es-CO"/>
        </w:rPr>
        <w:t>.</w:t>
      </w:r>
    </w:p>
    <w:p w14:paraId="1D26ACF8" w14:textId="2D374F30" w:rsidR="00D61537" w:rsidRPr="009809B2" w:rsidRDefault="00B16859" w:rsidP="00D61537">
      <w:pPr>
        <w:spacing w:before="220"/>
        <w:rPr>
          <w:rFonts w:cstheme="minorHAnsi"/>
          <w:lang w:val="es-CO"/>
        </w:rPr>
      </w:pPr>
      <w:r w:rsidRPr="009809B2">
        <w:rPr>
          <w:rFonts w:cstheme="minorHAnsi"/>
          <w:lang w:val="es-CO"/>
        </w:rPr>
        <w:t>E</w:t>
      </w:r>
      <w:r w:rsidR="001473B4" w:rsidRPr="009809B2">
        <w:rPr>
          <w:rFonts w:cstheme="minorHAnsi"/>
          <w:lang w:val="es-CO"/>
        </w:rPr>
        <w:t>n el caso de la Comisión, ésta no es una entidad de producción estadística</w:t>
      </w:r>
      <w:r w:rsidR="009B6BA0" w:rsidRPr="009809B2">
        <w:rPr>
          <w:rFonts w:cstheme="minorHAnsi"/>
          <w:lang w:val="es-CO"/>
        </w:rPr>
        <w:t xml:space="preserve"> y el DANE, que tiene estas funciones</w:t>
      </w:r>
      <w:r w:rsidRPr="009809B2">
        <w:rPr>
          <w:rFonts w:cstheme="minorHAnsi"/>
          <w:lang w:val="es-CO"/>
        </w:rPr>
        <w:t>,</w:t>
      </w:r>
      <w:r w:rsidR="009B6BA0" w:rsidRPr="009809B2">
        <w:rPr>
          <w:rFonts w:cstheme="minorHAnsi"/>
          <w:lang w:val="es-CO"/>
        </w:rPr>
        <w:t xml:space="preserve"> al consultar sobre el particular</w:t>
      </w:r>
      <w:r w:rsidRPr="009809B2">
        <w:rPr>
          <w:rFonts w:cstheme="minorHAnsi"/>
          <w:lang w:val="es-CO"/>
        </w:rPr>
        <w:t>,</w:t>
      </w:r>
      <w:r w:rsidR="009B6BA0" w:rsidRPr="009809B2">
        <w:rPr>
          <w:rFonts w:cstheme="minorHAnsi"/>
          <w:lang w:val="es-CO"/>
        </w:rPr>
        <w:t xml:space="preserve"> indicó que</w:t>
      </w:r>
      <w:r w:rsidR="00D61537" w:rsidRPr="009809B2">
        <w:rPr>
          <w:rFonts w:cstheme="minorHAnsi"/>
          <w:lang w:val="es-CO"/>
        </w:rPr>
        <w:t xml:space="preserve"> la producción y publicación de un índice técnicamente robusto, con las características requeridas para el servicio de energía eléctrica, requiere de dos a tres años. </w:t>
      </w:r>
    </w:p>
    <w:p w14:paraId="5D24EE9B" w14:textId="63C68D44" w:rsidR="00E14380" w:rsidRPr="009809B2" w:rsidRDefault="00E14380" w:rsidP="00E14380">
      <w:pPr>
        <w:spacing w:before="220"/>
        <w:rPr>
          <w:rFonts w:cstheme="minorHAnsi"/>
          <w:lang w:val="es-CO"/>
        </w:rPr>
      </w:pPr>
      <w:r w:rsidRPr="009809B2">
        <w:rPr>
          <w:rFonts w:cstheme="minorHAnsi"/>
          <w:lang w:val="es-CO"/>
        </w:rPr>
        <w:t>Dado que los índices planteados presentan comportamientos similares a la serie de bienes de capital publicada por el DANE y que</w:t>
      </w:r>
      <w:r w:rsidR="00B502FE" w:rsidRPr="009809B2">
        <w:rPr>
          <w:rFonts w:cstheme="minorHAnsi"/>
          <w:lang w:val="es-CO"/>
        </w:rPr>
        <w:t>,</w:t>
      </w:r>
      <w:r w:rsidRPr="009809B2">
        <w:rPr>
          <w:rFonts w:cstheme="minorHAnsi"/>
          <w:lang w:val="es-CO"/>
        </w:rPr>
        <w:t xml:space="preserve"> adicionalmente, implica la producción de estadística nueva que requiere un periodo de calibración conforme con estándares internacionales</w:t>
      </w:r>
      <w:r w:rsidR="00B502FE" w:rsidRPr="009809B2">
        <w:rPr>
          <w:rFonts w:cstheme="minorHAnsi"/>
          <w:lang w:val="es-CO"/>
        </w:rPr>
        <w:t xml:space="preserve">: se estima que </w:t>
      </w:r>
      <w:r w:rsidR="00D106E5" w:rsidRPr="009809B2">
        <w:rPr>
          <w:rFonts w:cstheme="minorHAnsi"/>
          <w:lang w:val="es-CO"/>
        </w:rPr>
        <w:t xml:space="preserve">esta alternativa no </w:t>
      </w:r>
      <w:r w:rsidR="00864C47" w:rsidRPr="009809B2">
        <w:rPr>
          <w:rFonts w:cstheme="minorHAnsi"/>
          <w:lang w:val="es-CO"/>
        </w:rPr>
        <w:t xml:space="preserve">es </w:t>
      </w:r>
      <w:r w:rsidR="00D106E5" w:rsidRPr="009809B2">
        <w:rPr>
          <w:rFonts w:cstheme="minorHAnsi"/>
          <w:lang w:val="es-CO"/>
        </w:rPr>
        <w:t>recomendable</w:t>
      </w:r>
      <w:r w:rsidR="00B765AA" w:rsidRPr="009809B2">
        <w:rPr>
          <w:rFonts w:cstheme="minorHAnsi"/>
          <w:lang w:val="es-CO"/>
        </w:rPr>
        <w:t>,</w:t>
      </w:r>
      <w:r w:rsidR="00D106E5" w:rsidRPr="009809B2">
        <w:rPr>
          <w:rFonts w:cstheme="minorHAnsi"/>
          <w:lang w:val="es-CO"/>
        </w:rPr>
        <w:t xml:space="preserve"> </w:t>
      </w:r>
      <w:r w:rsidR="00C82C9D" w:rsidRPr="009809B2">
        <w:rPr>
          <w:rFonts w:cstheme="minorHAnsi"/>
          <w:lang w:val="es-CO"/>
        </w:rPr>
        <w:t xml:space="preserve">considerando </w:t>
      </w:r>
      <w:r w:rsidR="00B765AA" w:rsidRPr="009809B2">
        <w:rPr>
          <w:rFonts w:cstheme="minorHAnsi"/>
          <w:lang w:val="es-CO"/>
        </w:rPr>
        <w:t xml:space="preserve">además </w:t>
      </w:r>
      <w:r w:rsidR="00D106E5" w:rsidRPr="009809B2">
        <w:rPr>
          <w:rFonts w:cstheme="minorHAnsi"/>
          <w:lang w:val="es-CO"/>
        </w:rPr>
        <w:t>la oportunidad</w:t>
      </w:r>
      <w:r w:rsidR="00864C47" w:rsidRPr="009809B2">
        <w:rPr>
          <w:rFonts w:cstheme="minorHAnsi"/>
          <w:lang w:val="es-CO"/>
        </w:rPr>
        <w:t xml:space="preserve"> con </w:t>
      </w:r>
      <w:r w:rsidR="00D106E5" w:rsidRPr="009809B2">
        <w:rPr>
          <w:rFonts w:cstheme="minorHAnsi"/>
          <w:lang w:val="es-CO"/>
        </w:rPr>
        <w:t>la que se requiere cambiar los</w:t>
      </w:r>
      <w:r w:rsidR="00864C47" w:rsidRPr="009809B2">
        <w:rPr>
          <w:rFonts w:cstheme="minorHAnsi"/>
          <w:lang w:val="es-CO"/>
        </w:rPr>
        <w:t xml:space="preserve"> índice</w:t>
      </w:r>
      <w:r w:rsidR="00D106E5" w:rsidRPr="009809B2">
        <w:rPr>
          <w:rFonts w:cstheme="minorHAnsi"/>
          <w:lang w:val="es-CO"/>
        </w:rPr>
        <w:t>s</w:t>
      </w:r>
      <w:r w:rsidR="00864C47" w:rsidRPr="009809B2">
        <w:rPr>
          <w:rFonts w:cstheme="minorHAnsi"/>
          <w:lang w:val="es-CO"/>
        </w:rPr>
        <w:t xml:space="preserve"> de actualización</w:t>
      </w:r>
      <w:r w:rsidRPr="009809B2">
        <w:rPr>
          <w:rFonts w:cstheme="minorHAnsi"/>
          <w:lang w:val="es-CO"/>
        </w:rPr>
        <w:t xml:space="preserve">. </w:t>
      </w:r>
    </w:p>
    <w:p w14:paraId="5819E045" w14:textId="2D4DF334" w:rsidR="006755B7" w:rsidRPr="009809B2" w:rsidRDefault="006E445D" w:rsidP="009F71AA">
      <w:pPr>
        <w:keepNext/>
        <w:numPr>
          <w:ilvl w:val="1"/>
          <w:numId w:val="34"/>
        </w:numPr>
        <w:suppressAutoHyphens/>
        <w:spacing w:before="360"/>
        <w:ind w:left="0" w:firstLine="0"/>
        <w:outlineLvl w:val="0"/>
        <w:rPr>
          <w:rFonts w:cstheme="minorHAnsi"/>
          <w:b/>
          <w:color w:val="000000" w:themeColor="text1"/>
          <w:lang w:val="es-CO"/>
        </w:rPr>
      </w:pPr>
      <w:bookmarkStart w:id="290" w:name="_Toc125389389"/>
      <w:bookmarkStart w:id="291" w:name="_Toc172100736"/>
      <w:bookmarkStart w:id="292" w:name="_Hlk125542700"/>
      <w:r w:rsidRPr="009809B2">
        <w:rPr>
          <w:rFonts w:cstheme="minorHAnsi"/>
          <w:b/>
          <w:color w:val="000000" w:themeColor="text1"/>
          <w:lang w:val="es-CO"/>
        </w:rPr>
        <w:t>Tomar</w:t>
      </w:r>
      <w:r w:rsidR="006755B7" w:rsidRPr="009809B2">
        <w:rPr>
          <w:rFonts w:cstheme="minorHAnsi"/>
          <w:b/>
          <w:color w:val="000000" w:themeColor="text1"/>
          <w:lang w:val="es-CO"/>
        </w:rPr>
        <w:t xml:space="preserve"> un índice </w:t>
      </w:r>
      <w:r w:rsidR="004005CA" w:rsidRPr="009809B2">
        <w:rPr>
          <w:rFonts w:cstheme="minorHAnsi"/>
          <w:b/>
          <w:color w:val="000000" w:themeColor="text1"/>
          <w:lang w:val="es-CO"/>
        </w:rPr>
        <w:t>producido por el DANE</w:t>
      </w:r>
      <w:bookmarkEnd w:id="290"/>
      <w:bookmarkEnd w:id="291"/>
      <w:r w:rsidR="004005CA" w:rsidRPr="009809B2">
        <w:rPr>
          <w:rFonts w:cstheme="minorHAnsi"/>
          <w:b/>
          <w:color w:val="000000" w:themeColor="text1"/>
          <w:lang w:val="es-CO"/>
        </w:rPr>
        <w:t xml:space="preserve"> </w:t>
      </w:r>
      <w:r w:rsidR="006755B7" w:rsidRPr="009809B2">
        <w:rPr>
          <w:rFonts w:cstheme="minorHAnsi"/>
          <w:b/>
          <w:color w:val="000000" w:themeColor="text1"/>
          <w:lang w:val="es-CO"/>
        </w:rPr>
        <w:t xml:space="preserve"> </w:t>
      </w:r>
    </w:p>
    <w:p w14:paraId="55ADA23C" w14:textId="5B5F3DF9" w:rsidR="00494103" w:rsidRPr="009809B2" w:rsidRDefault="00494103" w:rsidP="007656AF">
      <w:pPr>
        <w:spacing w:before="220"/>
        <w:rPr>
          <w:rFonts w:cstheme="minorHAnsi"/>
          <w:szCs w:val="18"/>
          <w:lang w:val="es-CO"/>
        </w:rPr>
      </w:pPr>
      <w:r w:rsidRPr="009809B2">
        <w:rPr>
          <w:rFonts w:cstheme="minorHAnsi"/>
          <w:szCs w:val="18"/>
          <w:lang w:val="es-CO"/>
        </w:rPr>
        <w:t xml:space="preserve">A partir de los índices de precios que </w:t>
      </w:r>
      <w:r w:rsidR="00E87771" w:rsidRPr="009809B2">
        <w:rPr>
          <w:rFonts w:cstheme="minorHAnsi"/>
          <w:szCs w:val="18"/>
          <w:lang w:val="es-CO"/>
        </w:rPr>
        <w:t xml:space="preserve">produce y publica el DANE, </w:t>
      </w:r>
      <w:r w:rsidR="00E161C5" w:rsidRPr="009809B2">
        <w:rPr>
          <w:rFonts w:cstheme="minorHAnsi"/>
          <w:szCs w:val="18"/>
          <w:lang w:val="es-CO"/>
        </w:rPr>
        <w:t xml:space="preserve">en esta alternativa se revisa la posibilidad de </w:t>
      </w:r>
      <w:r w:rsidR="00CD4D9B" w:rsidRPr="009809B2">
        <w:rPr>
          <w:rFonts w:cstheme="minorHAnsi"/>
          <w:szCs w:val="18"/>
          <w:lang w:val="es-CO"/>
        </w:rPr>
        <w:t>determinar aquel</w:t>
      </w:r>
      <w:r w:rsidR="00E161C5" w:rsidRPr="009809B2">
        <w:rPr>
          <w:rFonts w:cstheme="minorHAnsi"/>
          <w:szCs w:val="18"/>
          <w:lang w:val="es-CO"/>
        </w:rPr>
        <w:t xml:space="preserve"> índice</w:t>
      </w:r>
      <w:r w:rsidR="00CD4D9B" w:rsidRPr="009809B2">
        <w:rPr>
          <w:rFonts w:cstheme="minorHAnsi"/>
          <w:szCs w:val="18"/>
          <w:lang w:val="es-CO"/>
        </w:rPr>
        <w:t xml:space="preserve"> que capture </w:t>
      </w:r>
      <w:r w:rsidR="008F074B" w:rsidRPr="009809B2">
        <w:rPr>
          <w:rFonts w:cstheme="minorHAnsi"/>
          <w:szCs w:val="18"/>
          <w:lang w:val="es-CO"/>
        </w:rPr>
        <w:t xml:space="preserve">adecuadamente </w:t>
      </w:r>
      <w:r w:rsidR="00CD4D9B" w:rsidRPr="009809B2">
        <w:rPr>
          <w:rFonts w:cstheme="minorHAnsi"/>
          <w:szCs w:val="18"/>
          <w:lang w:val="es-CO"/>
        </w:rPr>
        <w:t>los costos y gastos de las actividades que hacen parte de la cadena de prestación del servicio público domiciliario de energía eléctrica</w:t>
      </w:r>
      <w:r w:rsidR="00846D22" w:rsidRPr="009809B2">
        <w:rPr>
          <w:rFonts w:cstheme="minorHAnsi"/>
          <w:szCs w:val="18"/>
          <w:lang w:val="es-CO"/>
        </w:rPr>
        <w:t>.</w:t>
      </w:r>
    </w:p>
    <w:bookmarkEnd w:id="292"/>
    <w:p w14:paraId="09939189" w14:textId="3544D847" w:rsidR="00133178" w:rsidRPr="009809B2" w:rsidRDefault="00133178" w:rsidP="00133178">
      <w:pPr>
        <w:spacing w:before="220"/>
        <w:rPr>
          <w:rFonts w:cstheme="minorHAnsi"/>
          <w:lang w:val="es-CO"/>
        </w:rPr>
      </w:pPr>
      <w:r w:rsidRPr="009809B2">
        <w:rPr>
          <w:rFonts w:cstheme="minorHAnsi"/>
          <w:lang w:val="es-CO"/>
        </w:rPr>
        <w:t xml:space="preserve">Como se ha mencionado, el DANE produce diversos índices de precios del productor. En primer lugar, los de mayor nivel de agregación que corresponden a la producción nacional y </w:t>
      </w:r>
      <w:r w:rsidR="00EF07EF" w:rsidRPr="009809B2">
        <w:rPr>
          <w:rFonts w:cstheme="minorHAnsi"/>
          <w:lang w:val="es-CO"/>
        </w:rPr>
        <w:t xml:space="preserve">a </w:t>
      </w:r>
      <w:r w:rsidRPr="009809B2">
        <w:rPr>
          <w:rFonts w:cstheme="minorHAnsi"/>
          <w:lang w:val="es-CO"/>
        </w:rPr>
        <w:t xml:space="preserve">oferta interna, por actividad económica (i.e., sector agropecuario, minero e industria manufacturera). </w:t>
      </w:r>
    </w:p>
    <w:p w14:paraId="00822AA3" w14:textId="77777777" w:rsidR="00B40B80" w:rsidRDefault="00133178" w:rsidP="00C57C1B">
      <w:pPr>
        <w:spacing w:before="220"/>
        <w:rPr>
          <w:rFonts w:cstheme="minorHAnsi"/>
          <w:lang w:val="es-CO"/>
        </w:rPr>
      </w:pPr>
      <w:r w:rsidRPr="009809B2">
        <w:rPr>
          <w:rFonts w:cstheme="minorHAnsi"/>
          <w:lang w:val="es-CO"/>
        </w:rPr>
        <w:t xml:space="preserve">La </w:t>
      </w:r>
      <w:r w:rsidR="00A85547" w:rsidRPr="009809B2">
        <w:rPr>
          <w:rFonts w:cstheme="minorHAnsi"/>
          <w:lang w:val="es-CO"/>
        </w:rPr>
        <w:fldChar w:fldCharType="begin"/>
      </w:r>
      <w:r w:rsidR="00A85547" w:rsidRPr="009809B2">
        <w:rPr>
          <w:rFonts w:cstheme="minorHAnsi"/>
          <w:lang w:val="es-CO"/>
        </w:rPr>
        <w:instrText xml:space="preserve"> REF _Ref125551411 \h  \* MERGEFORMAT </w:instrText>
      </w:r>
      <w:r w:rsidR="00A85547" w:rsidRPr="009809B2">
        <w:rPr>
          <w:rFonts w:cstheme="minorHAnsi"/>
          <w:lang w:val="es-CO"/>
        </w:rPr>
      </w:r>
      <w:r w:rsidR="00A85547" w:rsidRPr="009809B2">
        <w:rPr>
          <w:rFonts w:cstheme="minorHAnsi"/>
          <w:lang w:val="es-CO"/>
        </w:rPr>
        <w:fldChar w:fldCharType="separate"/>
      </w:r>
    </w:p>
    <w:p w14:paraId="1CAA4DB7" w14:textId="77777777" w:rsidR="00B40B80" w:rsidRDefault="00B40B80" w:rsidP="00B40B80">
      <w:pPr>
        <w:spacing w:before="220"/>
        <w:rPr>
          <w:rFonts w:cstheme="minorHAnsi"/>
          <w:lang w:val="es-CO"/>
        </w:rPr>
      </w:pPr>
      <w:r w:rsidRPr="00B40B80">
        <w:rPr>
          <w:rFonts w:cstheme="minorHAnsi"/>
          <w:lang w:val="es-CO"/>
        </w:rPr>
        <w:t xml:space="preserve">Gráfica </w:t>
      </w:r>
      <w:r>
        <w:rPr>
          <w:rFonts w:cstheme="minorHAnsi"/>
          <w:noProof/>
          <w:color w:val="000000" w:themeColor="text1"/>
          <w:sz w:val="20"/>
          <w:szCs w:val="20"/>
          <w:lang w:val="es-CO"/>
        </w:rPr>
        <w:t>8</w:t>
      </w:r>
      <w:r w:rsidRPr="009809B2">
        <w:rPr>
          <w:rFonts w:cstheme="minorHAnsi"/>
          <w:noProof/>
          <w:color w:val="000000" w:themeColor="text1"/>
          <w:sz w:val="20"/>
          <w:szCs w:val="20"/>
          <w:lang w:val="es-CO"/>
        </w:rPr>
        <w:t>.</w:t>
      </w:r>
      <w:r w:rsidRPr="009809B2">
        <w:rPr>
          <w:rFonts w:cstheme="minorHAnsi"/>
          <w:color w:val="000000" w:themeColor="text1"/>
          <w:sz w:val="20"/>
          <w:szCs w:val="20"/>
          <w:lang w:val="es-CO"/>
        </w:rPr>
        <w:t xml:space="preserve"> Serie Oferta Inte</w:t>
      </w:r>
      <w:r>
        <w:rPr>
          <w:rFonts w:cstheme="minorHAnsi"/>
          <w:color w:val="000000" w:themeColor="text1"/>
          <w:sz w:val="20"/>
          <w:szCs w:val="20"/>
          <w:lang w:val="es-CO"/>
        </w:rPr>
        <w:t>rna</w:t>
      </w:r>
    </w:p>
    <w:p w14:paraId="345BC60F" w14:textId="7A375332" w:rsidR="00C57C1B" w:rsidRDefault="00A85547" w:rsidP="00C57C1B">
      <w:pPr>
        <w:spacing w:before="220"/>
        <w:rPr>
          <w:rFonts w:cstheme="minorHAnsi"/>
          <w:lang w:val="es-CO"/>
        </w:rPr>
      </w:pPr>
      <w:r w:rsidRPr="009809B2">
        <w:rPr>
          <w:rFonts w:cstheme="minorHAnsi"/>
          <w:lang w:val="es-CO"/>
        </w:rPr>
        <w:fldChar w:fldCharType="end"/>
      </w:r>
      <w:r w:rsidR="00A456B4" w:rsidRPr="009809B2">
        <w:rPr>
          <w:rFonts w:cstheme="minorHAnsi"/>
          <w:lang w:val="es-CO"/>
        </w:rPr>
        <w:t xml:space="preserve"> </w:t>
      </w:r>
      <w:r w:rsidR="00133178" w:rsidRPr="009809B2">
        <w:rPr>
          <w:rFonts w:cstheme="minorHAnsi"/>
          <w:lang w:val="es-CO"/>
        </w:rPr>
        <w:t>muestra la serie Oferta Interna, publicada por el DANE y las tres secciones que la conforman: A: Agricultura, ganadería, caza, silvicultura y pesca (OI_AGP); B. Explotación de minas y canteras (</w:t>
      </w:r>
      <w:proofErr w:type="spellStart"/>
      <w:r w:rsidR="00133178" w:rsidRPr="009809B2">
        <w:rPr>
          <w:rFonts w:cstheme="minorHAnsi"/>
          <w:lang w:val="es-CO"/>
        </w:rPr>
        <w:t>OI_MyC</w:t>
      </w:r>
      <w:proofErr w:type="spellEnd"/>
      <w:r w:rsidR="00133178" w:rsidRPr="009809B2">
        <w:rPr>
          <w:rFonts w:cstheme="minorHAnsi"/>
          <w:lang w:val="es-CO"/>
        </w:rPr>
        <w:t>); y C. Industrias manufactureras (OI_IM).</w:t>
      </w:r>
      <w:bookmarkStart w:id="293" w:name="_Ref125551411"/>
    </w:p>
    <w:p w14:paraId="22FA4F1D" w14:textId="79C8E15D" w:rsidR="00780C85" w:rsidRDefault="00780C85" w:rsidP="00720E20">
      <w:pPr>
        <w:spacing w:before="220" w:after="0" w:line="240" w:lineRule="auto"/>
        <w:jc w:val="center"/>
        <w:rPr>
          <w:rFonts w:cstheme="minorHAnsi"/>
          <w:lang w:val="es-CO"/>
        </w:rPr>
      </w:pPr>
      <w:r w:rsidRPr="009809B2">
        <w:rPr>
          <w:rFonts w:cstheme="minorHAnsi"/>
          <w:color w:val="000000" w:themeColor="text1"/>
          <w:sz w:val="20"/>
          <w:szCs w:val="20"/>
          <w:lang w:val="es-CO"/>
        </w:rPr>
        <w:lastRenderedPageBreak/>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8</w:t>
      </w:r>
      <w:r w:rsidRPr="009809B2">
        <w:rPr>
          <w:rFonts w:cstheme="minorHAnsi"/>
          <w:color w:val="000000" w:themeColor="text1"/>
          <w:sz w:val="20"/>
          <w:szCs w:val="20"/>
          <w:lang w:val="es-CO"/>
        </w:rPr>
        <w:fldChar w:fldCharType="end"/>
      </w:r>
      <w:r w:rsidRPr="009809B2">
        <w:rPr>
          <w:rFonts w:cstheme="minorHAnsi"/>
          <w:color w:val="000000" w:themeColor="text1"/>
          <w:sz w:val="20"/>
          <w:szCs w:val="20"/>
          <w:lang w:val="es-CO"/>
        </w:rPr>
        <w:t>. Serie Oferta Inte</w:t>
      </w:r>
      <w:r w:rsidR="00720E20">
        <w:rPr>
          <w:rFonts w:cstheme="minorHAnsi"/>
          <w:color w:val="000000" w:themeColor="text1"/>
          <w:sz w:val="20"/>
          <w:szCs w:val="20"/>
          <w:lang w:val="es-CO"/>
        </w:rPr>
        <w:t>rna</w:t>
      </w:r>
    </w:p>
    <w:bookmarkEnd w:id="293"/>
    <w:p w14:paraId="5A08CEF7" w14:textId="436EC423" w:rsidR="00780C85" w:rsidRDefault="0003660B" w:rsidP="00780C85">
      <w:pPr>
        <w:spacing w:before="220"/>
        <w:jc w:val="center"/>
        <w:rPr>
          <w:rFonts w:cstheme="minorHAnsi"/>
          <w:color w:val="000000" w:themeColor="text1"/>
          <w:sz w:val="20"/>
          <w:szCs w:val="20"/>
          <w:lang w:val="es-CO"/>
        </w:rPr>
      </w:pPr>
      <w:r w:rsidRPr="009809B2">
        <w:rPr>
          <w:rFonts w:cstheme="minorHAnsi"/>
          <w:noProof/>
          <w:lang w:val="es-CO"/>
        </w:rPr>
        <w:drawing>
          <wp:inline distT="0" distB="0" distL="0" distR="0" wp14:anchorId="4BA7859D" wp14:editId="7C482D73">
            <wp:extent cx="3820049" cy="2492816"/>
            <wp:effectExtent l="0" t="0" r="0" b="3175"/>
            <wp:docPr id="244167166" name="Imagen 24416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67166" name="Imagen 244167166"/>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824848" cy="2495948"/>
                    </a:xfrm>
                    <a:prstGeom prst="rect">
                      <a:avLst/>
                    </a:prstGeom>
                  </pic:spPr>
                </pic:pic>
              </a:graphicData>
            </a:graphic>
          </wp:inline>
        </w:drawing>
      </w:r>
    </w:p>
    <w:p w14:paraId="0C42E4E3" w14:textId="7BC54584" w:rsidR="0006677F" w:rsidRPr="009809B2" w:rsidRDefault="0006677F" w:rsidP="00780C85">
      <w:pPr>
        <w:spacing w:before="220"/>
        <w:jc w:val="center"/>
        <w:rPr>
          <w:rFonts w:cstheme="minorHAnsi"/>
          <w:lang w:val="es-CO"/>
        </w:rPr>
      </w:pPr>
      <w:r w:rsidRPr="009809B2">
        <w:rPr>
          <w:sz w:val="16"/>
          <w:szCs w:val="16"/>
          <w:lang w:val="es-CO"/>
        </w:rPr>
        <w:t>Fuente: DANE. Cálculos CREG.</w:t>
      </w:r>
    </w:p>
    <w:p w14:paraId="3F28805C" w14:textId="780493C7" w:rsidR="00EF07EF" w:rsidRPr="009809B2" w:rsidRDefault="00EF07EF" w:rsidP="009064C8">
      <w:pPr>
        <w:spacing w:before="240"/>
        <w:rPr>
          <w:rFonts w:cstheme="minorHAnsi"/>
          <w:lang w:val="es-CO"/>
        </w:rPr>
      </w:pPr>
      <w:r w:rsidRPr="009809B2">
        <w:rPr>
          <w:rFonts w:cstheme="minorHAnsi"/>
          <w:lang w:val="es-CO"/>
        </w:rPr>
        <w:t>En general, se observa la gran variación que tienen las series relacionadas con la agricultura y con la miner</w:t>
      </w:r>
      <w:r w:rsidR="009064C8" w:rsidRPr="009809B2">
        <w:rPr>
          <w:rFonts w:cstheme="minorHAnsi"/>
          <w:lang w:val="es-CO"/>
        </w:rPr>
        <w:t>í</w:t>
      </w:r>
      <w:r w:rsidRPr="009809B2">
        <w:rPr>
          <w:rFonts w:cstheme="minorHAnsi"/>
          <w:lang w:val="es-CO"/>
        </w:rPr>
        <w:t>a, variación que se hace más notoria a par</w:t>
      </w:r>
      <w:r w:rsidR="00720E20">
        <w:rPr>
          <w:rFonts w:cstheme="minorHAnsi"/>
          <w:lang w:val="es-CO"/>
        </w:rPr>
        <w:t>t</w:t>
      </w:r>
      <w:r w:rsidRPr="009809B2">
        <w:rPr>
          <w:rFonts w:cstheme="minorHAnsi"/>
          <w:lang w:val="es-CO"/>
        </w:rPr>
        <w:t>ir de diciembre de 2020.</w:t>
      </w:r>
    </w:p>
    <w:p w14:paraId="56EAF591" w14:textId="3F372ED4" w:rsidR="00133178" w:rsidRPr="009809B2" w:rsidRDefault="00133178" w:rsidP="00133178">
      <w:pPr>
        <w:spacing w:before="220"/>
        <w:rPr>
          <w:rFonts w:cstheme="minorHAnsi"/>
          <w:lang w:val="es-CO"/>
        </w:rPr>
      </w:pPr>
      <w:r w:rsidRPr="009809B2">
        <w:rPr>
          <w:rFonts w:cstheme="minorHAnsi"/>
          <w:lang w:val="es-CO"/>
        </w:rPr>
        <w:t xml:space="preserve">En segundo lugar, el DANE produce estos índices según la clasificación del uso o destino económico (CUODE): bienes de capital, consumo final, consumo intermedio, y materiales de construcción. </w:t>
      </w:r>
    </w:p>
    <w:p w14:paraId="430C4B44" w14:textId="1BDA2031" w:rsidR="00EF07EF" w:rsidRPr="009809B2" w:rsidRDefault="00EF07EF" w:rsidP="00133178">
      <w:pPr>
        <w:spacing w:before="220"/>
        <w:rPr>
          <w:rFonts w:cstheme="minorHAnsi"/>
          <w:lang w:val="es-CO"/>
        </w:rPr>
      </w:pPr>
      <w:r w:rsidRPr="009809B2">
        <w:rPr>
          <w:rFonts w:cstheme="minorHAnsi"/>
          <w:lang w:val="es-CO"/>
        </w:rPr>
        <w:t xml:space="preserve">La </w:t>
      </w:r>
      <w:r w:rsidRPr="009809B2">
        <w:rPr>
          <w:rFonts w:cstheme="minorHAnsi"/>
          <w:lang w:val="es-CO"/>
        </w:rPr>
        <w:fldChar w:fldCharType="begin"/>
      </w:r>
      <w:r w:rsidRPr="009809B2">
        <w:rPr>
          <w:rFonts w:cstheme="minorHAnsi"/>
          <w:lang w:val="es-CO"/>
        </w:rPr>
        <w:instrText xml:space="preserve"> REF _Ref125551445 \h  \* MERGEFORMAT </w:instrText>
      </w:r>
      <w:r w:rsidRPr="009809B2">
        <w:rPr>
          <w:rFonts w:cstheme="minorHAnsi"/>
          <w:lang w:val="es-CO"/>
        </w:rPr>
      </w:r>
      <w:r w:rsidRPr="009809B2">
        <w:rPr>
          <w:rFonts w:cstheme="minorHAnsi"/>
          <w:lang w:val="es-CO"/>
        </w:rPr>
        <w:fldChar w:fldCharType="separate"/>
      </w:r>
      <w:r w:rsidR="00B40B80" w:rsidRPr="00B40B80">
        <w:rPr>
          <w:rFonts w:cstheme="minorHAnsi"/>
          <w:lang w:val="es-CO"/>
        </w:rPr>
        <w:t>Gráfica 9</w:t>
      </w:r>
      <w:r w:rsidRPr="009809B2">
        <w:rPr>
          <w:rFonts w:cstheme="minorHAnsi"/>
          <w:lang w:val="es-CO"/>
        </w:rPr>
        <w:fldChar w:fldCharType="end"/>
      </w:r>
      <w:r w:rsidRPr="009809B2">
        <w:rPr>
          <w:rFonts w:cstheme="minorHAnsi"/>
          <w:lang w:val="es-CO"/>
        </w:rPr>
        <w:t xml:space="preserve"> muestra la serie de oferta interna para las industrias manufactureras y las series de los componentes: bienes de capital (B_K), bienes de consumo final (B_CF), bienes de consumo intermedio (B_CI) y materiales de construcciones (M_C). </w:t>
      </w:r>
    </w:p>
    <w:p w14:paraId="0EDB8EED" w14:textId="1AB600E3" w:rsidR="00133178" w:rsidRPr="009809B2" w:rsidRDefault="00133178" w:rsidP="009F71AA">
      <w:pPr>
        <w:pStyle w:val="Descripcin"/>
        <w:keepNext/>
        <w:spacing w:before="240"/>
        <w:jc w:val="center"/>
        <w:rPr>
          <w:rFonts w:cstheme="minorHAnsi"/>
          <w:color w:val="000000" w:themeColor="text1"/>
          <w:sz w:val="20"/>
          <w:szCs w:val="20"/>
          <w:lang w:val="es-CO"/>
        </w:rPr>
      </w:pPr>
      <w:bookmarkStart w:id="294" w:name="_Ref125551445"/>
      <w:r w:rsidRPr="009809B2">
        <w:rPr>
          <w:rFonts w:cstheme="minorHAnsi"/>
          <w:color w:val="000000" w:themeColor="text1"/>
          <w:sz w:val="20"/>
          <w:szCs w:val="20"/>
          <w:lang w:val="es-CO"/>
        </w:rPr>
        <w:lastRenderedPageBreak/>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9</w:t>
      </w:r>
      <w:r w:rsidRPr="009809B2">
        <w:rPr>
          <w:rFonts w:cstheme="minorHAnsi"/>
          <w:color w:val="000000" w:themeColor="text1"/>
          <w:sz w:val="20"/>
          <w:szCs w:val="20"/>
          <w:lang w:val="es-CO"/>
        </w:rPr>
        <w:fldChar w:fldCharType="end"/>
      </w:r>
      <w:bookmarkEnd w:id="294"/>
      <w:r w:rsidRPr="009809B2">
        <w:rPr>
          <w:rFonts w:cstheme="minorHAnsi"/>
          <w:color w:val="000000" w:themeColor="text1"/>
          <w:sz w:val="20"/>
          <w:szCs w:val="20"/>
          <w:lang w:val="es-CO"/>
        </w:rPr>
        <w:t>. Serie Oferta Interna para Industrias manufactureras</w:t>
      </w:r>
    </w:p>
    <w:p w14:paraId="53337C2F" w14:textId="06AD0BDC" w:rsidR="00850C1D" w:rsidRPr="009809B2" w:rsidRDefault="00850C1D" w:rsidP="00133178">
      <w:pPr>
        <w:spacing w:before="220"/>
        <w:contextualSpacing/>
        <w:jc w:val="center"/>
        <w:rPr>
          <w:rFonts w:cstheme="minorHAnsi"/>
          <w:lang w:val="es-CO"/>
        </w:rPr>
      </w:pPr>
      <w:r w:rsidRPr="009809B2">
        <w:rPr>
          <w:rFonts w:cstheme="minorHAnsi"/>
          <w:noProof/>
          <w:lang w:val="es-CO"/>
        </w:rPr>
        <w:drawing>
          <wp:inline distT="0" distB="0" distL="0" distR="0" wp14:anchorId="460D27BB" wp14:editId="00A0F263">
            <wp:extent cx="5009321" cy="3189605"/>
            <wp:effectExtent l="0" t="0" r="1270" b="0"/>
            <wp:docPr id="1160912641" name="Imagen 11609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2641" name="Imagen 1160912641"/>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5015257" cy="3193384"/>
                    </a:xfrm>
                    <a:prstGeom prst="rect">
                      <a:avLst/>
                    </a:prstGeom>
                  </pic:spPr>
                </pic:pic>
              </a:graphicData>
            </a:graphic>
          </wp:inline>
        </w:drawing>
      </w:r>
    </w:p>
    <w:p w14:paraId="1970C578" w14:textId="3F2DA554" w:rsidR="0006677F" w:rsidRPr="009809B2" w:rsidRDefault="0006677F" w:rsidP="009236EA">
      <w:pPr>
        <w:spacing w:before="220"/>
        <w:ind w:firstLine="720"/>
        <w:jc w:val="both"/>
        <w:rPr>
          <w:sz w:val="16"/>
          <w:szCs w:val="16"/>
          <w:lang w:val="es-CO"/>
        </w:rPr>
      </w:pPr>
      <w:r w:rsidRPr="009809B2">
        <w:rPr>
          <w:sz w:val="16"/>
          <w:szCs w:val="16"/>
          <w:lang w:val="es-CO"/>
        </w:rPr>
        <w:t>Fuente: DANE. Cálculos CREG.</w:t>
      </w:r>
    </w:p>
    <w:p w14:paraId="76D6B555" w14:textId="3FE37520" w:rsidR="00133178" w:rsidRPr="009809B2" w:rsidRDefault="00133178" w:rsidP="00133178">
      <w:pPr>
        <w:spacing w:before="220"/>
        <w:rPr>
          <w:rFonts w:cstheme="minorHAnsi"/>
          <w:lang w:val="es-CO"/>
        </w:rPr>
      </w:pPr>
      <w:r w:rsidRPr="009809B2">
        <w:rPr>
          <w:rFonts w:cstheme="minorHAnsi"/>
          <w:lang w:val="es-CO"/>
        </w:rPr>
        <w:t>Las actividades de transmisión y distribución de energía eléctrica, al igual que la actividad de generación, son intensivas en capital</w:t>
      </w:r>
      <w:r w:rsidR="002719FF" w:rsidRPr="009809B2">
        <w:rPr>
          <w:rFonts w:cstheme="minorHAnsi"/>
          <w:lang w:val="es-CO"/>
        </w:rPr>
        <w:t>, por lo que se considera que la naturaleza del</w:t>
      </w:r>
      <w:r w:rsidRPr="009809B2">
        <w:rPr>
          <w:rFonts w:cstheme="minorHAnsi"/>
          <w:lang w:val="es-CO"/>
        </w:rPr>
        <w:t xml:space="preserve"> IPP específico para bienes de capital cumple con </w:t>
      </w:r>
      <w:r w:rsidR="002719FF" w:rsidRPr="009809B2">
        <w:rPr>
          <w:rFonts w:cstheme="minorHAnsi"/>
          <w:lang w:val="es-CO"/>
        </w:rPr>
        <w:t>el</w:t>
      </w:r>
      <w:r w:rsidRPr="009809B2">
        <w:rPr>
          <w:rFonts w:cstheme="minorHAnsi"/>
          <w:lang w:val="es-CO"/>
        </w:rPr>
        <w:t xml:space="preserve"> propósito</w:t>
      </w:r>
      <w:r w:rsidR="002719FF" w:rsidRPr="009809B2">
        <w:rPr>
          <w:rFonts w:cstheme="minorHAnsi"/>
          <w:lang w:val="es-CO"/>
        </w:rPr>
        <w:t xml:space="preserve"> adecuado para </w:t>
      </w:r>
      <w:r w:rsidR="004A5683" w:rsidRPr="009809B2">
        <w:rPr>
          <w:rFonts w:cstheme="minorHAnsi"/>
          <w:lang w:val="es-CO"/>
        </w:rPr>
        <w:t>la</w:t>
      </w:r>
      <w:r w:rsidR="002719FF" w:rsidRPr="009809B2">
        <w:rPr>
          <w:rFonts w:cstheme="minorHAnsi"/>
          <w:lang w:val="es-CO"/>
        </w:rPr>
        <w:t xml:space="preserve"> actualización</w:t>
      </w:r>
      <w:r w:rsidR="004A5683" w:rsidRPr="009809B2">
        <w:rPr>
          <w:rFonts w:cstheme="minorHAnsi"/>
          <w:lang w:val="es-CO"/>
        </w:rPr>
        <w:t xml:space="preserve"> de esos costos</w:t>
      </w:r>
      <w:r w:rsidRPr="009809B2">
        <w:rPr>
          <w:rFonts w:cstheme="minorHAnsi"/>
          <w:lang w:val="es-CO"/>
        </w:rPr>
        <w:t xml:space="preserve">. </w:t>
      </w:r>
      <w:r w:rsidR="0006254B" w:rsidRPr="009809B2">
        <w:rPr>
          <w:rFonts w:cstheme="minorHAnsi"/>
          <w:lang w:val="es-CO"/>
        </w:rPr>
        <w:t xml:space="preserve"> </w:t>
      </w:r>
    </w:p>
    <w:p w14:paraId="21035085" w14:textId="77777777" w:rsidR="00133178" w:rsidRPr="009809B2" w:rsidRDefault="00133178" w:rsidP="00133178">
      <w:pPr>
        <w:rPr>
          <w:rFonts w:cstheme="minorHAnsi"/>
          <w:szCs w:val="18"/>
          <w:lang w:val="es-CO"/>
        </w:rPr>
      </w:pPr>
      <w:r w:rsidRPr="009809B2">
        <w:rPr>
          <w:rFonts w:cstheme="minorHAnsi"/>
          <w:szCs w:val="18"/>
          <w:lang w:val="es-CO"/>
        </w:rPr>
        <w:t>Ahora bien, nótese que los índices elaborados para la alternativa anterior comparten similitudes (i.e., en comportamiento y variación) con estos índices ya producidos y publicados por el DANE. Esto es relevante en la medida que, para implementar medidas oportunas para el sector, se requiere celeridad, robustez estadística en su producción y frecuencia en su publicación para conocimiento de todos los agentes.</w:t>
      </w:r>
    </w:p>
    <w:p w14:paraId="6697B8F8" w14:textId="4BFC732B" w:rsidR="006E7457" w:rsidRPr="009809B2" w:rsidRDefault="006E7457" w:rsidP="00133178">
      <w:pPr>
        <w:rPr>
          <w:rFonts w:cstheme="minorHAnsi"/>
          <w:szCs w:val="18"/>
          <w:lang w:val="es-CO"/>
        </w:rPr>
      </w:pPr>
      <w:r w:rsidRPr="009809B2">
        <w:rPr>
          <w:rFonts w:cstheme="minorHAnsi"/>
          <w:szCs w:val="18"/>
          <w:lang w:val="es-CO"/>
        </w:rPr>
        <w:t xml:space="preserve">De esta sección se </w:t>
      </w:r>
      <w:r w:rsidR="00A06F53" w:rsidRPr="009809B2">
        <w:rPr>
          <w:rFonts w:cstheme="minorHAnsi"/>
          <w:szCs w:val="18"/>
          <w:lang w:val="es-CO"/>
        </w:rPr>
        <w:t>concluye que e</w:t>
      </w:r>
      <w:r w:rsidR="00E30DF7" w:rsidRPr="009809B2">
        <w:rPr>
          <w:rFonts w:cstheme="minorHAnsi"/>
          <w:szCs w:val="18"/>
          <w:lang w:val="es-CO"/>
        </w:rPr>
        <w:t xml:space="preserve">l </w:t>
      </w:r>
      <w:r w:rsidR="00CF7C62" w:rsidRPr="009809B2">
        <w:rPr>
          <w:rFonts w:cstheme="minorHAnsi"/>
          <w:szCs w:val="18"/>
          <w:lang w:val="es-CO"/>
        </w:rPr>
        <w:t xml:space="preserve">IPP específico para bienes de capital presentado, además de cumplir con el objetivo principal también cumple con el específico en el sentido de que es producido por el DANE, con la solidez </w:t>
      </w:r>
      <w:r w:rsidRPr="009809B2">
        <w:rPr>
          <w:rFonts w:cstheme="minorHAnsi"/>
          <w:szCs w:val="18"/>
          <w:lang w:val="es-CO"/>
        </w:rPr>
        <w:t>de cálculo y actualización requerida para considerarlo como el mejor índice aplicable a las actividades de transmisión y distribución de energía eléctrica.</w:t>
      </w:r>
    </w:p>
    <w:p w14:paraId="6D5D5885" w14:textId="06F84154" w:rsidR="00717BC2" w:rsidRPr="009809B2" w:rsidRDefault="00FA6FAF" w:rsidP="00133178">
      <w:pPr>
        <w:rPr>
          <w:rFonts w:cstheme="minorHAnsi"/>
          <w:szCs w:val="18"/>
          <w:lang w:val="es-CO"/>
        </w:rPr>
      </w:pPr>
      <w:r w:rsidRPr="009809B2">
        <w:rPr>
          <w:rFonts w:cstheme="minorHAnsi"/>
          <w:szCs w:val="18"/>
          <w:lang w:val="es-CO"/>
        </w:rPr>
        <w:t xml:space="preserve">Por otra parte, </w:t>
      </w:r>
      <w:r w:rsidR="00476698" w:rsidRPr="009809B2">
        <w:rPr>
          <w:rFonts w:cstheme="minorHAnsi"/>
          <w:szCs w:val="18"/>
          <w:lang w:val="es-CO"/>
        </w:rPr>
        <w:t xml:space="preserve">la actualización periódica de la remuneración correspondiente a gastos de administración, operación y mantenimiento (AOM), por ser de carácter corriente, </w:t>
      </w:r>
      <w:r w:rsidR="005B4C8B" w:rsidRPr="009809B2">
        <w:rPr>
          <w:rFonts w:cstheme="minorHAnsi"/>
          <w:szCs w:val="18"/>
          <w:lang w:val="es-CO"/>
        </w:rPr>
        <w:t xml:space="preserve">es requerida </w:t>
      </w:r>
      <w:r w:rsidR="00000A89" w:rsidRPr="009809B2">
        <w:rPr>
          <w:rFonts w:cstheme="minorHAnsi"/>
          <w:szCs w:val="18"/>
          <w:lang w:val="es-CO"/>
        </w:rPr>
        <w:t xml:space="preserve">por parte de </w:t>
      </w:r>
      <w:r w:rsidR="00476698" w:rsidRPr="009809B2">
        <w:rPr>
          <w:rFonts w:cstheme="minorHAnsi"/>
          <w:szCs w:val="18"/>
          <w:lang w:val="es-CO"/>
        </w:rPr>
        <w:t>las empresas</w:t>
      </w:r>
      <w:r w:rsidR="0084363F" w:rsidRPr="009809B2">
        <w:rPr>
          <w:rFonts w:cstheme="minorHAnsi"/>
          <w:szCs w:val="18"/>
          <w:lang w:val="es-CO"/>
        </w:rPr>
        <w:t>,</w:t>
      </w:r>
      <w:r w:rsidR="00476698" w:rsidRPr="009809B2">
        <w:rPr>
          <w:rFonts w:cstheme="minorHAnsi"/>
          <w:szCs w:val="18"/>
          <w:lang w:val="es-CO"/>
        </w:rPr>
        <w:t xml:space="preserve"> como consumidores de bienes y servicios necesarios para la prestación del servicio</w:t>
      </w:r>
      <w:r w:rsidR="0084363F" w:rsidRPr="009809B2">
        <w:rPr>
          <w:rFonts w:cstheme="minorHAnsi"/>
          <w:szCs w:val="18"/>
          <w:lang w:val="es-CO"/>
        </w:rPr>
        <w:t>,</w:t>
      </w:r>
      <w:r w:rsidR="00000A89" w:rsidRPr="009809B2">
        <w:rPr>
          <w:rFonts w:cstheme="minorHAnsi"/>
          <w:szCs w:val="18"/>
          <w:lang w:val="es-CO"/>
        </w:rPr>
        <w:t xml:space="preserve"> </w:t>
      </w:r>
      <w:r w:rsidR="005B4C8B" w:rsidRPr="009809B2">
        <w:rPr>
          <w:rFonts w:cstheme="minorHAnsi"/>
          <w:szCs w:val="18"/>
          <w:lang w:val="es-CO"/>
        </w:rPr>
        <w:t xml:space="preserve">para </w:t>
      </w:r>
      <w:r w:rsidR="00476698" w:rsidRPr="009809B2">
        <w:rPr>
          <w:rFonts w:cstheme="minorHAnsi"/>
          <w:szCs w:val="18"/>
          <w:lang w:val="es-CO"/>
        </w:rPr>
        <w:t>enfrenta</w:t>
      </w:r>
      <w:r w:rsidR="005B4C8B" w:rsidRPr="009809B2">
        <w:rPr>
          <w:rFonts w:cstheme="minorHAnsi"/>
          <w:szCs w:val="18"/>
          <w:lang w:val="es-CO"/>
        </w:rPr>
        <w:t>r los costos</w:t>
      </w:r>
      <w:r w:rsidR="00476698" w:rsidRPr="009809B2">
        <w:rPr>
          <w:rFonts w:cstheme="minorHAnsi"/>
          <w:szCs w:val="18"/>
          <w:lang w:val="es-CO"/>
        </w:rPr>
        <w:t xml:space="preserve">. </w:t>
      </w:r>
    </w:p>
    <w:p w14:paraId="350E17B3" w14:textId="01A21532" w:rsidR="00476698" w:rsidRPr="009809B2" w:rsidRDefault="00476698" w:rsidP="00133178">
      <w:pPr>
        <w:rPr>
          <w:rFonts w:cstheme="minorHAnsi"/>
          <w:szCs w:val="18"/>
          <w:lang w:val="es-CO"/>
        </w:rPr>
      </w:pPr>
      <w:r w:rsidRPr="009809B2">
        <w:rPr>
          <w:rFonts w:cstheme="minorHAnsi"/>
          <w:szCs w:val="18"/>
          <w:lang w:val="es-CO"/>
        </w:rPr>
        <w:lastRenderedPageBreak/>
        <w:t>En este sentido,</w:t>
      </w:r>
      <w:r w:rsidR="00096C90" w:rsidRPr="009809B2">
        <w:rPr>
          <w:rFonts w:cstheme="minorHAnsi"/>
          <w:szCs w:val="18"/>
          <w:lang w:val="es-CO"/>
        </w:rPr>
        <w:t xml:space="preserve"> se considera que</w:t>
      </w:r>
      <w:r w:rsidRPr="009809B2">
        <w:rPr>
          <w:rFonts w:cstheme="minorHAnsi"/>
          <w:szCs w:val="18"/>
          <w:lang w:val="es-CO"/>
        </w:rPr>
        <w:t xml:space="preserve"> el índice de precios al consumidor (IPC) resulta ser un índice adecuado para captura</w:t>
      </w:r>
      <w:r w:rsidR="00080A4F" w:rsidRPr="009809B2">
        <w:rPr>
          <w:rFonts w:cstheme="minorHAnsi"/>
          <w:szCs w:val="18"/>
          <w:lang w:val="es-CO"/>
        </w:rPr>
        <w:t>r</w:t>
      </w:r>
      <w:r w:rsidRPr="009809B2">
        <w:rPr>
          <w:rFonts w:cstheme="minorHAnsi"/>
          <w:szCs w:val="18"/>
          <w:lang w:val="es-CO"/>
        </w:rPr>
        <w:t xml:space="preserve"> </w:t>
      </w:r>
      <w:r w:rsidR="00080A4F" w:rsidRPr="009809B2">
        <w:rPr>
          <w:rFonts w:cstheme="minorHAnsi"/>
          <w:szCs w:val="18"/>
          <w:lang w:val="es-CO"/>
        </w:rPr>
        <w:t>las variaciones en el nivel de precios de los costos y gastos en los que incurre el prestador de la actividad de comercialización</w:t>
      </w:r>
      <w:r w:rsidRPr="009809B2">
        <w:rPr>
          <w:rFonts w:cstheme="minorHAnsi"/>
          <w:szCs w:val="18"/>
          <w:lang w:val="es-CO"/>
        </w:rPr>
        <w:t>.</w:t>
      </w:r>
    </w:p>
    <w:p w14:paraId="106683FF" w14:textId="0A13E9EF" w:rsidR="000E6508" w:rsidRPr="009809B2" w:rsidRDefault="000E6508" w:rsidP="000E6508">
      <w:pPr>
        <w:rPr>
          <w:rFonts w:cstheme="minorHAnsi"/>
          <w:szCs w:val="18"/>
          <w:lang w:val="es-CO"/>
        </w:rPr>
      </w:pPr>
      <w:r w:rsidRPr="009809B2">
        <w:rPr>
          <w:rFonts w:cstheme="minorHAnsi"/>
          <w:szCs w:val="18"/>
          <w:lang w:val="es-CO"/>
        </w:rPr>
        <w:t xml:space="preserve">Sin embargo, es necesario considerar que el IPC involucra productos que no son significativos en los rubros de egresos corrientes de las empresas prestadoras, por ejemplo: alimentos y </w:t>
      </w:r>
      <w:r w:rsidR="00C35CB2" w:rsidRPr="009809B2">
        <w:rPr>
          <w:rFonts w:cstheme="minorHAnsi"/>
          <w:szCs w:val="18"/>
          <w:lang w:val="es-CO"/>
        </w:rPr>
        <w:t>energéticos (gas y energía para consumo en el hogar y combustibles para vehículo)</w:t>
      </w:r>
      <w:r w:rsidRPr="009809B2">
        <w:rPr>
          <w:rFonts w:cstheme="minorHAnsi"/>
          <w:szCs w:val="18"/>
          <w:lang w:val="es-CO"/>
        </w:rPr>
        <w:t xml:space="preserve">. En consecuencia, el índice de precios que se utilice para actualizar la remuneración de los gastos de AOM vía tarifa, no debe considerar los precios de dichos productos. El IPC, sin alimentos y sin </w:t>
      </w:r>
      <w:r w:rsidR="00C35CB2" w:rsidRPr="009809B2">
        <w:rPr>
          <w:rFonts w:cstheme="minorHAnsi"/>
          <w:szCs w:val="18"/>
          <w:lang w:val="es-CO"/>
        </w:rPr>
        <w:t>energéticos</w:t>
      </w:r>
      <w:r w:rsidRPr="009809B2">
        <w:rPr>
          <w:rFonts w:cstheme="minorHAnsi"/>
          <w:szCs w:val="18"/>
          <w:lang w:val="es-CO"/>
        </w:rPr>
        <w:t>, es un índice adecuado para el fin indicado.</w:t>
      </w:r>
    </w:p>
    <w:p w14:paraId="48D53974" w14:textId="52E91FC1" w:rsidR="002463AC" w:rsidRPr="009809B2" w:rsidRDefault="009C452B" w:rsidP="009C452B">
      <w:pPr>
        <w:rPr>
          <w:rFonts w:cstheme="minorHAnsi"/>
          <w:szCs w:val="18"/>
          <w:lang w:val="es-CO"/>
        </w:rPr>
      </w:pPr>
      <w:r w:rsidRPr="009809B2">
        <w:rPr>
          <w:rFonts w:cstheme="minorHAnsi"/>
          <w:szCs w:val="18"/>
          <w:lang w:val="es-CO"/>
        </w:rPr>
        <w:t>Ahora bien, considerando que el artículo 313 de</w:t>
      </w:r>
      <w:r w:rsidR="0032101C" w:rsidRPr="009809B2">
        <w:rPr>
          <w:rFonts w:cstheme="minorHAnsi"/>
          <w:szCs w:val="18"/>
          <w:lang w:val="es-CO"/>
        </w:rPr>
        <w:t xml:space="preserve"> la </w:t>
      </w:r>
      <w:r w:rsidRPr="009809B2">
        <w:rPr>
          <w:rFonts w:cstheme="minorHAnsi"/>
          <w:szCs w:val="18"/>
          <w:lang w:val="es-CO"/>
        </w:rPr>
        <w:t>Ley 2294 de 2023</w:t>
      </w:r>
      <w:r w:rsidR="0032101C" w:rsidRPr="009809B2">
        <w:rPr>
          <w:rFonts w:cstheme="minorHAnsi"/>
          <w:szCs w:val="18"/>
          <w:lang w:val="es-CO"/>
        </w:rPr>
        <w:t xml:space="preserve">, Plan Nacional de Desarrollo, establece que el DANE deberá certificar </w:t>
      </w:r>
      <w:r w:rsidR="005062ED" w:rsidRPr="009809B2">
        <w:rPr>
          <w:rFonts w:cstheme="minorHAnsi"/>
          <w:szCs w:val="18"/>
          <w:lang w:val="es-CO"/>
        </w:rPr>
        <w:t xml:space="preserve">un índice de Precios al Consumidor sin alimentos ni regulados </w:t>
      </w:r>
      <w:r w:rsidR="002463AC" w:rsidRPr="009809B2">
        <w:rPr>
          <w:rFonts w:cstheme="minorHAnsi"/>
          <w:szCs w:val="18"/>
          <w:lang w:val="es-CO"/>
        </w:rPr>
        <w:t xml:space="preserve">es oportuno revisar la posibilidad de </w:t>
      </w:r>
      <w:r w:rsidR="005A45D8" w:rsidRPr="009809B2">
        <w:rPr>
          <w:rFonts w:cstheme="minorHAnsi"/>
          <w:szCs w:val="18"/>
          <w:lang w:val="es-CO"/>
        </w:rPr>
        <w:t>utilizar este índice, en la medida que el DANE lo certifique de forma mensual, según la necesidad de aplicación de dicho índice en las tarifas.</w:t>
      </w:r>
    </w:p>
    <w:p w14:paraId="71996659" w14:textId="77777777" w:rsidR="00720E20" w:rsidRDefault="002962AF" w:rsidP="00720E20">
      <w:pPr>
        <w:rPr>
          <w:rFonts w:cstheme="minorHAnsi"/>
          <w:szCs w:val="18"/>
          <w:lang w:val="es-CO"/>
        </w:rPr>
      </w:pPr>
      <w:r w:rsidRPr="009809B2">
        <w:rPr>
          <w:rFonts w:cstheme="minorHAnsi"/>
          <w:szCs w:val="18"/>
          <w:lang w:val="es-CO"/>
        </w:rPr>
        <w:t>En la siguiente gráfica se muestra</w:t>
      </w:r>
      <w:r w:rsidR="003163FB" w:rsidRPr="009809B2">
        <w:rPr>
          <w:rFonts w:cstheme="minorHAnsi"/>
          <w:szCs w:val="18"/>
          <w:lang w:val="es-CO"/>
        </w:rPr>
        <w:t xml:space="preserve">n las variaciones </w:t>
      </w:r>
      <w:r w:rsidR="00910176" w:rsidRPr="009809B2">
        <w:rPr>
          <w:rFonts w:cstheme="minorHAnsi"/>
          <w:szCs w:val="18"/>
          <w:lang w:val="es-CO"/>
        </w:rPr>
        <w:t>mensuales</w:t>
      </w:r>
      <w:r w:rsidR="003163FB" w:rsidRPr="009809B2">
        <w:rPr>
          <w:rFonts w:cstheme="minorHAnsi"/>
          <w:szCs w:val="18"/>
          <w:lang w:val="es-CO"/>
        </w:rPr>
        <w:t xml:space="preserve"> de la serie del IPC sin alimentos y sin energéticos, comparada con la serie del IPC sin alimentos y sin regulados</w:t>
      </w:r>
      <w:r w:rsidR="00910176" w:rsidRPr="009809B2">
        <w:rPr>
          <w:rFonts w:cstheme="minorHAnsi"/>
          <w:szCs w:val="18"/>
          <w:lang w:val="es-CO"/>
        </w:rPr>
        <w:t>:</w:t>
      </w:r>
    </w:p>
    <w:p w14:paraId="43FA2D5A" w14:textId="66628885" w:rsidR="003163FB" w:rsidRPr="009809B2" w:rsidRDefault="001109A2" w:rsidP="00910176">
      <w:pPr>
        <w:jc w:val="center"/>
        <w:rPr>
          <w:rFonts w:cstheme="minorHAnsi"/>
          <w:szCs w:val="18"/>
          <w:lang w:val="es-CO"/>
        </w:rPr>
      </w:pPr>
      <w:r w:rsidRPr="009809B2">
        <w:rPr>
          <w:color w:val="000000" w:themeColor="text1"/>
          <w:sz w:val="20"/>
          <w:szCs w:val="20"/>
          <w:lang w:val="es-CO"/>
        </w:rPr>
        <w:t xml:space="preserve">Gráfica </w:t>
      </w:r>
      <w:r w:rsidRPr="009809B2">
        <w:rPr>
          <w:b/>
          <w:color w:val="000000" w:themeColor="text1"/>
          <w:sz w:val="20"/>
          <w:szCs w:val="20"/>
          <w:lang w:val="es-CO"/>
        </w:rPr>
        <w:fldChar w:fldCharType="begin"/>
      </w:r>
      <w:r w:rsidRPr="009809B2">
        <w:rPr>
          <w:color w:val="000000" w:themeColor="text1"/>
          <w:sz w:val="20"/>
          <w:szCs w:val="20"/>
          <w:lang w:val="es-CO"/>
        </w:rPr>
        <w:instrText xml:space="preserve"> SEQ Gráfica \* ARABIC </w:instrText>
      </w:r>
      <w:r w:rsidRPr="009809B2">
        <w:rPr>
          <w:b/>
          <w:color w:val="000000" w:themeColor="text1"/>
          <w:sz w:val="20"/>
          <w:szCs w:val="20"/>
          <w:lang w:val="es-CO"/>
        </w:rPr>
        <w:fldChar w:fldCharType="separate"/>
      </w:r>
      <w:r w:rsidR="00B40B80">
        <w:rPr>
          <w:noProof/>
          <w:color w:val="000000" w:themeColor="text1"/>
          <w:sz w:val="20"/>
          <w:szCs w:val="20"/>
          <w:lang w:val="es-CO"/>
        </w:rPr>
        <w:t>10</w:t>
      </w:r>
      <w:r w:rsidRPr="009809B2">
        <w:rPr>
          <w:b/>
          <w:color w:val="000000" w:themeColor="text1"/>
          <w:sz w:val="20"/>
          <w:szCs w:val="20"/>
          <w:lang w:val="es-CO"/>
        </w:rPr>
        <w:fldChar w:fldCharType="end"/>
      </w:r>
      <w:r w:rsidRPr="009809B2">
        <w:rPr>
          <w:color w:val="000000" w:themeColor="text1"/>
          <w:sz w:val="20"/>
          <w:szCs w:val="20"/>
          <w:lang w:val="es-CO"/>
        </w:rPr>
        <w:t xml:space="preserve">. </w:t>
      </w:r>
      <w:r w:rsidR="007247BB" w:rsidRPr="009809B2">
        <w:rPr>
          <w:color w:val="000000" w:themeColor="text1"/>
          <w:sz w:val="20"/>
          <w:szCs w:val="20"/>
          <w:lang w:val="es-CO"/>
        </w:rPr>
        <w:t>Variaciones mensuales</w:t>
      </w:r>
      <w:r w:rsidRPr="009809B2">
        <w:rPr>
          <w:color w:val="000000" w:themeColor="text1"/>
          <w:sz w:val="20"/>
          <w:szCs w:val="20"/>
          <w:lang w:val="es-CO"/>
        </w:rPr>
        <w:t xml:space="preserve"> de las series de IPC</w:t>
      </w:r>
      <w:r w:rsidR="00CD63FC" w:rsidRPr="009809B2">
        <w:rPr>
          <w:noProof/>
          <w:lang w:val="es-CO"/>
        </w:rPr>
        <w:drawing>
          <wp:inline distT="0" distB="0" distL="0" distR="0" wp14:anchorId="58542914" wp14:editId="0B793D21">
            <wp:extent cx="3434113" cy="2491710"/>
            <wp:effectExtent l="0" t="0" r="0" b="4445"/>
            <wp:docPr id="12060086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8613" name="Imagen 4"/>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3445133" cy="2499706"/>
                    </a:xfrm>
                    <a:prstGeom prst="rect">
                      <a:avLst/>
                    </a:prstGeom>
                  </pic:spPr>
                </pic:pic>
              </a:graphicData>
            </a:graphic>
          </wp:inline>
        </w:drawing>
      </w:r>
    </w:p>
    <w:p w14:paraId="4B73BBF2" w14:textId="2D1A6028" w:rsidR="00CC36FE" w:rsidRPr="009809B2" w:rsidRDefault="00860E18" w:rsidP="00B75828">
      <w:pPr>
        <w:rPr>
          <w:rFonts w:cstheme="minorHAnsi"/>
          <w:szCs w:val="18"/>
          <w:lang w:val="es-CO"/>
        </w:rPr>
      </w:pPr>
      <w:r w:rsidRPr="009809B2">
        <w:rPr>
          <w:rFonts w:cstheme="minorHAnsi"/>
          <w:szCs w:val="18"/>
          <w:lang w:val="es-CO"/>
        </w:rPr>
        <w:t>Inicialmente</w:t>
      </w:r>
      <w:r w:rsidR="00614B03" w:rsidRPr="009809B2">
        <w:rPr>
          <w:rFonts w:cstheme="minorHAnsi"/>
          <w:szCs w:val="18"/>
          <w:lang w:val="es-CO"/>
        </w:rPr>
        <w:t xml:space="preserve">, respecto del reemplazo del IPC para la actualización de los precios de los costos y gastos en los que incurre el prestador de la actividad de comercialización o para la actualización de los costos de administración, operación y mantenimiento en las actividades que así lo </w:t>
      </w:r>
      <w:r w:rsidR="001B645E" w:rsidRPr="009809B2">
        <w:rPr>
          <w:rFonts w:cstheme="minorHAnsi"/>
          <w:szCs w:val="18"/>
          <w:lang w:val="es-CO"/>
        </w:rPr>
        <w:t>requieran</w:t>
      </w:r>
      <w:r w:rsidR="00614B03" w:rsidRPr="009809B2">
        <w:rPr>
          <w:rFonts w:cstheme="minorHAnsi"/>
          <w:szCs w:val="18"/>
          <w:lang w:val="es-CO"/>
        </w:rPr>
        <w:t>; se consider</w:t>
      </w:r>
      <w:r w:rsidR="008F1752" w:rsidRPr="009809B2">
        <w:rPr>
          <w:rFonts w:cstheme="minorHAnsi"/>
          <w:szCs w:val="18"/>
          <w:lang w:val="es-CO"/>
        </w:rPr>
        <w:t>ó</w:t>
      </w:r>
      <w:r w:rsidR="00614B03" w:rsidRPr="009809B2">
        <w:rPr>
          <w:rFonts w:cstheme="minorHAnsi"/>
          <w:szCs w:val="18"/>
          <w:lang w:val="es-CO"/>
        </w:rPr>
        <w:t xml:space="preserve"> adecuada la propuesta de </w:t>
      </w:r>
      <w:r w:rsidR="00CC36FE" w:rsidRPr="009809B2">
        <w:rPr>
          <w:rFonts w:cstheme="minorHAnsi"/>
          <w:szCs w:val="18"/>
          <w:lang w:val="es-CO"/>
        </w:rPr>
        <w:t xml:space="preserve">aplicar el IPC sin alimentos ni energéticos </w:t>
      </w:r>
      <w:r w:rsidR="00CD63FC" w:rsidRPr="009809B2">
        <w:rPr>
          <w:rFonts w:cstheme="minorHAnsi"/>
          <w:szCs w:val="18"/>
          <w:lang w:val="es-CO"/>
        </w:rPr>
        <w:t>debido a</w:t>
      </w:r>
      <w:r w:rsidR="00CC36FE" w:rsidRPr="009809B2">
        <w:rPr>
          <w:rFonts w:cstheme="minorHAnsi"/>
          <w:szCs w:val="18"/>
          <w:lang w:val="es-CO"/>
        </w:rPr>
        <w:t xml:space="preserve"> la existencia de </w:t>
      </w:r>
      <w:r w:rsidR="001B645E" w:rsidRPr="009809B2">
        <w:rPr>
          <w:rFonts w:cstheme="minorHAnsi"/>
          <w:szCs w:val="18"/>
          <w:lang w:val="es-CO"/>
        </w:rPr>
        <w:t>esta</w:t>
      </w:r>
      <w:r w:rsidR="00CC36FE" w:rsidRPr="009809B2">
        <w:rPr>
          <w:rFonts w:cstheme="minorHAnsi"/>
          <w:szCs w:val="18"/>
          <w:lang w:val="es-CO"/>
        </w:rPr>
        <w:t xml:space="preserve"> serie </w:t>
      </w:r>
      <w:r w:rsidR="001B645E" w:rsidRPr="009809B2">
        <w:rPr>
          <w:rFonts w:cstheme="minorHAnsi"/>
          <w:szCs w:val="18"/>
          <w:lang w:val="es-CO"/>
        </w:rPr>
        <w:t xml:space="preserve">de datos </w:t>
      </w:r>
      <w:r w:rsidR="00CC36FE" w:rsidRPr="009809B2">
        <w:rPr>
          <w:rFonts w:cstheme="minorHAnsi"/>
          <w:szCs w:val="18"/>
          <w:lang w:val="es-CO"/>
        </w:rPr>
        <w:t>en las bases de datos públicas</w:t>
      </w:r>
      <w:r w:rsidR="001B645E" w:rsidRPr="009809B2">
        <w:rPr>
          <w:rFonts w:cstheme="minorHAnsi"/>
          <w:szCs w:val="18"/>
          <w:lang w:val="es-CO"/>
        </w:rPr>
        <w:t xml:space="preserve"> del DANE</w:t>
      </w:r>
      <w:r w:rsidR="00CC36FE" w:rsidRPr="009809B2">
        <w:rPr>
          <w:rFonts w:cstheme="minorHAnsi"/>
          <w:szCs w:val="18"/>
          <w:lang w:val="es-CO"/>
        </w:rPr>
        <w:t>.</w:t>
      </w:r>
    </w:p>
    <w:p w14:paraId="550CC03C" w14:textId="023B418A" w:rsidR="00CC36FE" w:rsidRPr="009809B2" w:rsidRDefault="00CC36FE" w:rsidP="00B75828">
      <w:pPr>
        <w:rPr>
          <w:rFonts w:cstheme="minorHAnsi"/>
          <w:szCs w:val="18"/>
          <w:lang w:val="es-CO"/>
        </w:rPr>
      </w:pPr>
      <w:r w:rsidRPr="009809B2">
        <w:rPr>
          <w:rFonts w:cstheme="minorHAnsi"/>
          <w:szCs w:val="18"/>
          <w:lang w:val="es-CO"/>
        </w:rPr>
        <w:lastRenderedPageBreak/>
        <w:t xml:space="preserve">No obstante, </w:t>
      </w:r>
      <w:r w:rsidR="00060A0A" w:rsidRPr="009809B2">
        <w:rPr>
          <w:rFonts w:cstheme="minorHAnsi"/>
          <w:szCs w:val="18"/>
          <w:lang w:val="es-CO"/>
        </w:rPr>
        <w:t>como</w:t>
      </w:r>
      <w:r w:rsidR="008F1752" w:rsidRPr="009809B2">
        <w:rPr>
          <w:rFonts w:cstheme="minorHAnsi"/>
          <w:szCs w:val="18"/>
          <w:lang w:val="es-CO"/>
        </w:rPr>
        <w:t xml:space="preserve"> el DANE comenzó a publicar la serie </w:t>
      </w:r>
      <w:r w:rsidRPr="009809B2">
        <w:rPr>
          <w:rFonts w:cstheme="minorHAnsi"/>
          <w:szCs w:val="18"/>
          <w:lang w:val="es-CO"/>
        </w:rPr>
        <w:t xml:space="preserve">de IPC sin alimentos ni regulados </w:t>
      </w:r>
      <w:r w:rsidR="008F1752" w:rsidRPr="009809B2">
        <w:rPr>
          <w:rFonts w:cstheme="minorHAnsi"/>
          <w:szCs w:val="18"/>
          <w:lang w:val="es-CO"/>
        </w:rPr>
        <w:t xml:space="preserve">certificada </w:t>
      </w:r>
      <w:r w:rsidRPr="009809B2">
        <w:rPr>
          <w:rFonts w:cstheme="minorHAnsi"/>
          <w:szCs w:val="18"/>
          <w:lang w:val="es-CO"/>
        </w:rPr>
        <w:t xml:space="preserve">de manera mensual, </w:t>
      </w:r>
      <w:r w:rsidR="001303F4" w:rsidRPr="009809B2">
        <w:rPr>
          <w:rFonts w:cstheme="minorHAnsi"/>
          <w:szCs w:val="18"/>
          <w:lang w:val="es-CO"/>
        </w:rPr>
        <w:t>se entiende que, al no existir diferencias apreciables, es posible adoptar este último índice</w:t>
      </w:r>
      <w:r w:rsidR="007327E0" w:rsidRPr="009809B2">
        <w:rPr>
          <w:rFonts w:cstheme="minorHAnsi"/>
          <w:szCs w:val="18"/>
          <w:lang w:val="es-CO"/>
        </w:rPr>
        <w:t xml:space="preserve"> en reemplazo del actual IPC. </w:t>
      </w:r>
      <w:r w:rsidRPr="009809B2">
        <w:rPr>
          <w:rFonts w:cstheme="minorHAnsi"/>
          <w:szCs w:val="18"/>
          <w:lang w:val="es-CO"/>
        </w:rPr>
        <w:t xml:space="preserve"> </w:t>
      </w:r>
    </w:p>
    <w:p w14:paraId="4C337D1C" w14:textId="6CC63926" w:rsidR="00A06F53" w:rsidRPr="009809B2" w:rsidRDefault="007C28D5" w:rsidP="009F71AA">
      <w:pPr>
        <w:keepNext/>
        <w:numPr>
          <w:ilvl w:val="1"/>
          <w:numId w:val="34"/>
        </w:numPr>
        <w:suppressAutoHyphens/>
        <w:spacing w:before="360"/>
        <w:ind w:left="0" w:firstLine="0"/>
        <w:outlineLvl w:val="0"/>
        <w:rPr>
          <w:rFonts w:cstheme="minorHAnsi"/>
          <w:b/>
          <w:color w:val="000000" w:themeColor="text1"/>
          <w:lang w:val="es-CO"/>
        </w:rPr>
      </w:pPr>
      <w:bookmarkStart w:id="295" w:name="_Ref126845987"/>
      <w:bookmarkStart w:id="296" w:name="_Toc172100737"/>
      <w:r w:rsidRPr="009809B2">
        <w:rPr>
          <w:rFonts w:cstheme="minorHAnsi"/>
          <w:b/>
          <w:color w:val="000000" w:themeColor="text1"/>
          <w:lang w:val="es-CO"/>
        </w:rPr>
        <w:t>Análisis de las variaciones de los índices propuestos</w:t>
      </w:r>
      <w:bookmarkEnd w:id="295"/>
      <w:bookmarkEnd w:id="296"/>
      <w:r w:rsidR="00A06F53" w:rsidRPr="009809B2">
        <w:rPr>
          <w:rFonts w:cstheme="minorHAnsi"/>
          <w:b/>
          <w:color w:val="000000" w:themeColor="text1"/>
          <w:lang w:val="es-CO"/>
        </w:rPr>
        <w:t xml:space="preserve">  </w:t>
      </w:r>
    </w:p>
    <w:p w14:paraId="67F3EEA6" w14:textId="78116CFB" w:rsidR="0058647F" w:rsidRPr="009809B2" w:rsidRDefault="002B5B6E" w:rsidP="00B34A3A">
      <w:pPr>
        <w:spacing w:before="220"/>
        <w:rPr>
          <w:lang w:val="es-CO"/>
        </w:rPr>
      </w:pPr>
      <w:r w:rsidRPr="009809B2">
        <w:rPr>
          <w:lang w:val="es-CO"/>
        </w:rPr>
        <w:t xml:space="preserve">Una de las alternativas </w:t>
      </w:r>
      <w:r w:rsidR="008D406C" w:rsidRPr="009809B2">
        <w:rPr>
          <w:lang w:val="es-CO"/>
        </w:rPr>
        <w:t>discutidas</w:t>
      </w:r>
      <w:r w:rsidRPr="009809B2">
        <w:rPr>
          <w:lang w:val="es-CO"/>
        </w:rPr>
        <w:t xml:space="preserve"> en las reuniones interinstitucionales de revisión de </w:t>
      </w:r>
      <w:r w:rsidR="008D406C" w:rsidRPr="009809B2">
        <w:rPr>
          <w:lang w:val="es-CO"/>
        </w:rPr>
        <w:t xml:space="preserve">indexadores para </w:t>
      </w:r>
      <w:r w:rsidR="008E1EE5" w:rsidRPr="009809B2">
        <w:rPr>
          <w:lang w:val="es-CO"/>
        </w:rPr>
        <w:t>tarifas</w:t>
      </w:r>
      <w:r w:rsidR="008D406C" w:rsidRPr="009809B2">
        <w:rPr>
          <w:lang w:val="es-CO"/>
        </w:rPr>
        <w:t xml:space="preserve"> del servicio de energía eléctrica </w:t>
      </w:r>
      <w:r w:rsidR="006F106C" w:rsidRPr="009809B2">
        <w:rPr>
          <w:lang w:val="es-CO"/>
        </w:rPr>
        <w:t>fue</w:t>
      </w:r>
      <w:r w:rsidR="00774E41" w:rsidRPr="009809B2">
        <w:rPr>
          <w:lang w:val="es-CO"/>
        </w:rPr>
        <w:t xml:space="preserve"> </w:t>
      </w:r>
      <w:r w:rsidR="0058647F" w:rsidRPr="009809B2">
        <w:rPr>
          <w:lang w:val="es-CO"/>
        </w:rPr>
        <w:t>la posibilidad</w:t>
      </w:r>
      <w:r w:rsidR="003E5CC0" w:rsidRPr="009809B2">
        <w:rPr>
          <w:lang w:val="es-CO"/>
        </w:rPr>
        <w:t xml:space="preserve">, </w:t>
      </w:r>
      <w:r w:rsidR="00537C97" w:rsidRPr="009809B2">
        <w:rPr>
          <w:lang w:val="es-CO"/>
        </w:rPr>
        <w:t>p</w:t>
      </w:r>
      <w:r w:rsidR="003E5CC0" w:rsidRPr="009809B2">
        <w:rPr>
          <w:lang w:val="es-CO"/>
        </w:rPr>
        <w:t>ropuesta por el Banco de la República de Colombia</w:t>
      </w:r>
      <w:r w:rsidR="00537C97" w:rsidRPr="009809B2">
        <w:rPr>
          <w:lang w:val="es-CO"/>
        </w:rPr>
        <w:t>,</w:t>
      </w:r>
      <w:r w:rsidR="0058647F" w:rsidRPr="009809B2">
        <w:rPr>
          <w:lang w:val="es-CO"/>
        </w:rPr>
        <w:t xml:space="preserve"> de tratar de reducir la volatilidad que </w:t>
      </w:r>
      <w:r w:rsidR="00123986" w:rsidRPr="009809B2">
        <w:rPr>
          <w:lang w:val="es-CO"/>
        </w:rPr>
        <w:t>presentan los diferentes índices producidos por el DANE mensualmente</w:t>
      </w:r>
      <w:r w:rsidR="00537C97" w:rsidRPr="009809B2">
        <w:rPr>
          <w:lang w:val="es-CO"/>
        </w:rPr>
        <w:t xml:space="preserve"> mediante el uso de un promedio móvil de 12 meses</w:t>
      </w:r>
      <w:r w:rsidR="00123986" w:rsidRPr="009809B2">
        <w:rPr>
          <w:lang w:val="es-CO"/>
        </w:rPr>
        <w:t>.</w:t>
      </w:r>
    </w:p>
    <w:p w14:paraId="683E9008" w14:textId="5E24BB75" w:rsidR="00B34A3A" w:rsidRPr="009809B2" w:rsidRDefault="00B34A3A" w:rsidP="00B34A3A">
      <w:pPr>
        <w:spacing w:before="220"/>
        <w:rPr>
          <w:lang w:val="es-CO"/>
        </w:rPr>
      </w:pPr>
      <w:r w:rsidRPr="009809B2">
        <w:rPr>
          <w:lang w:val="es-CO"/>
        </w:rPr>
        <w:t xml:space="preserve">Con el propósito de analizar esta alternativa, en este numeral se presenta un ejercicio en donde se muestran dos formas de obtener el promedio móvil de </w:t>
      </w:r>
      <w:r w:rsidR="0013289F" w:rsidRPr="009809B2">
        <w:rPr>
          <w:lang w:val="es-CO"/>
        </w:rPr>
        <w:t xml:space="preserve">una </w:t>
      </w:r>
      <w:r w:rsidR="00F30793" w:rsidRPr="009809B2">
        <w:rPr>
          <w:lang w:val="es-CO"/>
        </w:rPr>
        <w:t xml:space="preserve">de las </w:t>
      </w:r>
      <w:r w:rsidRPr="009809B2">
        <w:rPr>
          <w:lang w:val="es-CO"/>
        </w:rPr>
        <w:t>serie</w:t>
      </w:r>
      <w:r w:rsidR="00F30793" w:rsidRPr="009809B2">
        <w:rPr>
          <w:lang w:val="es-CO"/>
        </w:rPr>
        <w:t>s</w:t>
      </w:r>
      <w:r w:rsidRPr="009809B2">
        <w:rPr>
          <w:lang w:val="es-CO"/>
        </w:rPr>
        <w:t xml:space="preserve"> propuesta</w:t>
      </w:r>
      <w:r w:rsidR="00F30793" w:rsidRPr="009809B2">
        <w:rPr>
          <w:lang w:val="es-CO"/>
        </w:rPr>
        <w:t>s</w:t>
      </w:r>
      <w:r w:rsidRPr="009809B2">
        <w:rPr>
          <w:lang w:val="es-CO"/>
        </w:rPr>
        <w:t xml:space="preserve"> para la actualización de las inversiones en las actividades de transmisión y distribución, que corresponde a la serie de la sección C “Industrias manufactureras” que se encuentra en la hoja que contiene el “Índices de Precios de los Bienes de Capital (BK)”, contenida en el anexo que publica mensualmente el DANE, relacionado con las series del Índice de Precios del Productor, IPP. Los datos mostrados en este ejercicio corresponden a los publicados por el DANE en el archivo “anexo_ipp_</w:t>
      </w:r>
      <w:r w:rsidR="00D33B0E" w:rsidRPr="009809B2">
        <w:rPr>
          <w:lang w:val="es-CO"/>
        </w:rPr>
        <w:t>may24</w:t>
      </w:r>
      <w:r w:rsidRPr="009809B2">
        <w:rPr>
          <w:lang w:val="es-CO"/>
        </w:rPr>
        <w:t>.xlsx”.</w:t>
      </w:r>
    </w:p>
    <w:p w14:paraId="43287A1E" w14:textId="77777777" w:rsidR="00B34A3A" w:rsidRPr="009809B2" w:rsidRDefault="00B34A3A" w:rsidP="00B34A3A">
      <w:pPr>
        <w:spacing w:before="220"/>
        <w:rPr>
          <w:lang w:val="es-CO"/>
        </w:rPr>
      </w:pPr>
      <w:r w:rsidRPr="009809B2">
        <w:rPr>
          <w:lang w:val="es-CO"/>
        </w:rPr>
        <w:t>A partir de la serie mencionada (índice de referencia) se proponen dos formas de obtener un nuevo índice que muestre un promedio móvil de 12 meses:</w:t>
      </w:r>
    </w:p>
    <w:p w14:paraId="02E1AA5E" w14:textId="55E3D5EB" w:rsidR="00B34A3A" w:rsidRPr="009809B2" w:rsidRDefault="00B34A3A" w:rsidP="00903CBA">
      <w:pPr>
        <w:pStyle w:val="Prrafodelista"/>
        <w:numPr>
          <w:ilvl w:val="0"/>
          <w:numId w:val="36"/>
        </w:numPr>
        <w:spacing w:before="220" w:after="0"/>
        <w:ind w:left="714" w:hanging="357"/>
        <w:contextualSpacing w:val="0"/>
        <w:jc w:val="both"/>
        <w:rPr>
          <w:lang w:val="es-CO"/>
        </w:rPr>
      </w:pPr>
      <w:r w:rsidRPr="009809B2">
        <w:rPr>
          <w:lang w:val="es-CO"/>
        </w:rPr>
        <w:t xml:space="preserve">Con variación del año anterior </w:t>
      </w:r>
      <w:r w:rsidR="0005252E" w:rsidRPr="009809B2">
        <w:rPr>
          <w:lang w:val="es-CO"/>
        </w:rPr>
        <w:t xml:space="preserve">(enero – diciembre del año anterior). </w:t>
      </w:r>
      <w:r w:rsidRPr="009809B2">
        <w:rPr>
          <w:lang w:val="es-CO"/>
        </w:rPr>
        <w:t>El nuevo índice de cada mes del año t se obtiene multiplicando el nuevo índice del mes anterior por la raíz 12 del factor que resulta de dividir el índice de referencia de diciembre del año t-1 entre el índice de referencia de diciembre del año t-2. Esto hace que las variaciones del nuevo índice sean iguales durante los 12 meses de un año.</w:t>
      </w:r>
    </w:p>
    <w:p w14:paraId="265186FB" w14:textId="25C9A3AD" w:rsidR="00B34A3A" w:rsidRPr="009809B2" w:rsidRDefault="00B34A3A" w:rsidP="00903CBA">
      <w:pPr>
        <w:pStyle w:val="Prrafodelista"/>
        <w:numPr>
          <w:ilvl w:val="0"/>
          <w:numId w:val="36"/>
        </w:numPr>
        <w:spacing w:before="220" w:after="0"/>
        <w:ind w:left="714" w:hanging="357"/>
        <w:contextualSpacing w:val="0"/>
        <w:jc w:val="both"/>
        <w:rPr>
          <w:lang w:val="es-CO"/>
        </w:rPr>
      </w:pPr>
      <w:r w:rsidRPr="009809B2">
        <w:rPr>
          <w:lang w:val="es-CO"/>
        </w:rPr>
        <w:t xml:space="preserve">Con variación de 12 meses </w:t>
      </w:r>
      <w:r w:rsidR="0005252E" w:rsidRPr="009809B2">
        <w:rPr>
          <w:lang w:val="es-CO"/>
        </w:rPr>
        <w:t xml:space="preserve">(ventana móvil de 12 meses). </w:t>
      </w:r>
      <w:r w:rsidRPr="009809B2">
        <w:rPr>
          <w:lang w:val="es-CO"/>
        </w:rPr>
        <w:t>El nuevo índice de cada mes m se obtiene multiplicando el nuevo índice del mes anterior por la raíz 12 del factor que resulta de dividir el índice de referencia del mes m entre el índice de referencia del mes m</w:t>
      </w:r>
      <w:r w:rsidRPr="009809B2">
        <w:rPr>
          <w:lang w:val="es-CO"/>
        </w:rPr>
        <w:noBreakHyphen/>
        <w:t>12.</w:t>
      </w:r>
    </w:p>
    <w:p w14:paraId="20B412D2" w14:textId="4AC5D07A" w:rsidR="00B34A3A" w:rsidRPr="009809B2" w:rsidRDefault="00B34A3A" w:rsidP="00B34A3A">
      <w:pPr>
        <w:spacing w:before="220"/>
        <w:rPr>
          <w:lang w:val="es-CO"/>
        </w:rPr>
      </w:pPr>
      <w:r w:rsidRPr="009809B2">
        <w:rPr>
          <w:lang w:val="es-CO"/>
        </w:rPr>
        <w:t xml:space="preserve">En la </w:t>
      </w:r>
      <w:r w:rsidRPr="009809B2">
        <w:rPr>
          <w:lang w:val="es-CO"/>
        </w:rPr>
        <w:fldChar w:fldCharType="begin"/>
      </w:r>
      <w:r w:rsidRPr="009809B2">
        <w:rPr>
          <w:noProof/>
          <w:lang w:val="es-CO"/>
        </w:rPr>
        <w:instrText xml:space="preserve"> REF _Ref126767639 \h  \* MERGEFORMAT </w:instrText>
      </w:r>
      <w:r w:rsidRPr="009809B2">
        <w:rPr>
          <w:lang w:val="es-CO"/>
        </w:rPr>
      </w:r>
      <w:r w:rsidRPr="009809B2">
        <w:rPr>
          <w:lang w:val="es-CO"/>
        </w:rPr>
        <w:fldChar w:fldCharType="separate"/>
      </w:r>
      <w:r w:rsidR="00B40B80" w:rsidRPr="00B40B80">
        <w:rPr>
          <w:color w:val="000000" w:themeColor="text1"/>
          <w:lang w:val="es-CO"/>
        </w:rPr>
        <w:t>Gráfica 11</w:t>
      </w:r>
      <w:r w:rsidRPr="009809B2">
        <w:rPr>
          <w:lang w:val="es-CO"/>
        </w:rPr>
        <w:fldChar w:fldCharType="end"/>
      </w:r>
      <w:r w:rsidRPr="009809B2">
        <w:rPr>
          <w:lang w:val="es-CO"/>
        </w:rPr>
        <w:t xml:space="preserve"> se muestra el índice de referencia (BK_IM) y se compara con los índices con </w:t>
      </w:r>
      <w:r w:rsidR="007B05B7" w:rsidRPr="009809B2">
        <w:rPr>
          <w:lang w:val="es-CO"/>
        </w:rPr>
        <w:t xml:space="preserve">la </w:t>
      </w:r>
      <w:r w:rsidRPr="009809B2">
        <w:rPr>
          <w:lang w:val="es-CO"/>
        </w:rPr>
        <w:t xml:space="preserve">variación del </w:t>
      </w:r>
      <w:r w:rsidR="0095752C" w:rsidRPr="009809B2">
        <w:rPr>
          <w:lang w:val="es-CO"/>
        </w:rPr>
        <w:t>año anterior</w:t>
      </w:r>
      <w:r w:rsidRPr="009809B2">
        <w:rPr>
          <w:lang w:val="es-CO"/>
        </w:rPr>
        <w:t xml:space="preserve"> (BK_IM </w:t>
      </w:r>
      <w:r w:rsidR="00CB4154" w:rsidRPr="009809B2">
        <w:rPr>
          <w:lang w:val="es-CO"/>
        </w:rPr>
        <w:t>fijo 12 meses</w:t>
      </w:r>
      <w:r w:rsidRPr="009809B2">
        <w:rPr>
          <w:lang w:val="es-CO"/>
        </w:rPr>
        <w:t>) y con la variación de 12 meses</w:t>
      </w:r>
      <w:r w:rsidR="00B12BB7" w:rsidRPr="009809B2">
        <w:rPr>
          <w:lang w:val="es-CO"/>
        </w:rPr>
        <w:t xml:space="preserve"> </w:t>
      </w:r>
      <w:r w:rsidRPr="009809B2">
        <w:rPr>
          <w:lang w:val="es-CO"/>
        </w:rPr>
        <w:t>(BK_IM</w:t>
      </w:r>
      <w:r w:rsidR="0023660B" w:rsidRPr="009809B2">
        <w:rPr>
          <w:lang w:val="es-CO"/>
        </w:rPr>
        <w:t xml:space="preserve"> media</w:t>
      </w:r>
      <w:r w:rsidRPr="009809B2">
        <w:rPr>
          <w:lang w:val="es-CO"/>
        </w:rPr>
        <w:t xml:space="preserve"> 12 meses). Para facilitar la comparación, como se ha hecho en el resto del documento, las series se hacen iguales a 1 en una fecha de referencia.</w:t>
      </w:r>
    </w:p>
    <w:p w14:paraId="3742BF48" w14:textId="3F70592D" w:rsidR="00B34A3A" w:rsidRPr="009809B2" w:rsidRDefault="00B34A3A" w:rsidP="00720E20">
      <w:pPr>
        <w:pStyle w:val="Descripcin"/>
        <w:keepNext/>
        <w:spacing w:before="240" w:after="0"/>
        <w:jc w:val="center"/>
        <w:rPr>
          <w:b w:val="0"/>
          <w:color w:val="000000" w:themeColor="text1"/>
          <w:sz w:val="20"/>
          <w:szCs w:val="20"/>
          <w:lang w:val="es-CO"/>
        </w:rPr>
      </w:pPr>
      <w:bookmarkStart w:id="297" w:name="_Ref126767639"/>
      <w:r w:rsidRPr="009809B2">
        <w:rPr>
          <w:color w:val="000000" w:themeColor="text1"/>
          <w:sz w:val="20"/>
          <w:szCs w:val="20"/>
          <w:lang w:val="es-CO"/>
        </w:rPr>
        <w:lastRenderedPageBreak/>
        <w:t xml:space="preserve">Gráfica </w:t>
      </w:r>
      <w:r w:rsidRPr="009809B2">
        <w:rPr>
          <w:b w:val="0"/>
          <w:color w:val="000000" w:themeColor="text1"/>
          <w:sz w:val="20"/>
          <w:szCs w:val="20"/>
          <w:lang w:val="es-CO"/>
        </w:rPr>
        <w:fldChar w:fldCharType="begin"/>
      </w:r>
      <w:r w:rsidRPr="009809B2">
        <w:rPr>
          <w:noProof/>
          <w:color w:val="000000" w:themeColor="text1"/>
          <w:sz w:val="20"/>
          <w:szCs w:val="20"/>
          <w:lang w:val="es-CO"/>
        </w:rPr>
        <w:instrText xml:space="preserve"> SEQ Gráfica \* ARABIC </w:instrText>
      </w:r>
      <w:r w:rsidRPr="009809B2">
        <w:rPr>
          <w:b w:val="0"/>
          <w:color w:val="000000" w:themeColor="text1"/>
          <w:sz w:val="20"/>
          <w:szCs w:val="20"/>
          <w:lang w:val="es-CO"/>
        </w:rPr>
        <w:fldChar w:fldCharType="separate"/>
      </w:r>
      <w:r w:rsidR="00B40B80">
        <w:rPr>
          <w:noProof/>
          <w:color w:val="000000" w:themeColor="text1"/>
          <w:sz w:val="20"/>
          <w:szCs w:val="20"/>
          <w:lang w:val="es-CO"/>
        </w:rPr>
        <w:t>11</w:t>
      </w:r>
      <w:r w:rsidRPr="009809B2">
        <w:rPr>
          <w:b w:val="0"/>
          <w:color w:val="000000" w:themeColor="text1"/>
          <w:sz w:val="20"/>
          <w:szCs w:val="20"/>
          <w:lang w:val="es-CO"/>
        </w:rPr>
        <w:fldChar w:fldCharType="end"/>
      </w:r>
      <w:bookmarkEnd w:id="297"/>
      <w:r w:rsidRPr="009809B2">
        <w:rPr>
          <w:color w:val="000000" w:themeColor="text1"/>
          <w:sz w:val="20"/>
          <w:szCs w:val="20"/>
          <w:lang w:val="es-CO"/>
        </w:rPr>
        <w:t xml:space="preserve">. Comparación de las series con promedios </w:t>
      </w:r>
      <w:r w:rsidR="003A2DE3" w:rsidRPr="009809B2">
        <w:rPr>
          <w:color w:val="000000" w:themeColor="text1"/>
          <w:sz w:val="20"/>
          <w:szCs w:val="20"/>
          <w:lang w:val="es-CO"/>
        </w:rPr>
        <w:t xml:space="preserve">de </w:t>
      </w:r>
      <w:r w:rsidR="00A95CDC" w:rsidRPr="009809B2">
        <w:rPr>
          <w:color w:val="000000" w:themeColor="text1"/>
          <w:sz w:val="20"/>
          <w:szCs w:val="20"/>
          <w:lang w:val="es-CO"/>
        </w:rPr>
        <w:t>12 meses</w:t>
      </w:r>
    </w:p>
    <w:p w14:paraId="4E2A3F2A" w14:textId="5FDAD102" w:rsidR="00C34243" w:rsidRPr="009809B2" w:rsidRDefault="003D48C6" w:rsidP="00B34A3A">
      <w:pPr>
        <w:spacing w:before="220"/>
        <w:jc w:val="center"/>
        <w:rPr>
          <w:lang w:val="es-CO"/>
        </w:rPr>
      </w:pPr>
      <w:r w:rsidRPr="009809B2">
        <w:rPr>
          <w:noProof/>
          <w:lang w:val="es-CO"/>
        </w:rPr>
        <w:drawing>
          <wp:inline distT="0" distB="0" distL="0" distR="0" wp14:anchorId="3FD7A459" wp14:editId="336D3FB9">
            <wp:extent cx="3925793" cy="2718535"/>
            <wp:effectExtent l="0" t="0" r="0" b="5715"/>
            <wp:docPr id="1525168382" name="Imagen 152516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68382" name="Imagen 1525168382"/>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3931585" cy="2722546"/>
                    </a:xfrm>
                    <a:prstGeom prst="rect">
                      <a:avLst/>
                    </a:prstGeom>
                  </pic:spPr>
                </pic:pic>
              </a:graphicData>
            </a:graphic>
          </wp:inline>
        </w:drawing>
      </w:r>
    </w:p>
    <w:p w14:paraId="1F917FE2" w14:textId="7E3F25A2" w:rsidR="00B34A3A" w:rsidRPr="009809B2" w:rsidRDefault="00B34A3A" w:rsidP="00B34A3A">
      <w:pPr>
        <w:spacing w:before="220"/>
        <w:rPr>
          <w:lang w:val="es-CO"/>
        </w:rPr>
      </w:pPr>
      <w:r w:rsidRPr="009809B2">
        <w:rPr>
          <w:lang w:val="es-CO"/>
        </w:rPr>
        <w:t xml:space="preserve">Se observa que, a partir de la fecha de referencia, las series obtenidas con los promedios </w:t>
      </w:r>
      <w:r w:rsidR="00BC4E06" w:rsidRPr="009809B2">
        <w:rPr>
          <w:lang w:val="es-CO"/>
        </w:rPr>
        <w:t>tienen diferentes comportamientos</w:t>
      </w:r>
      <w:r w:rsidR="00DE16FC" w:rsidRPr="009809B2">
        <w:rPr>
          <w:lang w:val="es-CO"/>
        </w:rPr>
        <w:t>. I</w:t>
      </w:r>
      <w:r w:rsidR="00501D63" w:rsidRPr="009809B2">
        <w:rPr>
          <w:lang w:val="es-CO"/>
        </w:rPr>
        <w:t>nicialmente</w:t>
      </w:r>
      <w:r w:rsidR="00DD2E80" w:rsidRPr="009809B2">
        <w:rPr>
          <w:lang w:val="es-CO"/>
        </w:rPr>
        <w:t xml:space="preserve"> los </w:t>
      </w:r>
      <w:r w:rsidR="001478E8" w:rsidRPr="009809B2">
        <w:rPr>
          <w:lang w:val="es-CO"/>
        </w:rPr>
        <w:t>índices calculados con</w:t>
      </w:r>
      <w:r w:rsidR="00D55A52" w:rsidRPr="009809B2">
        <w:rPr>
          <w:lang w:val="es-CO"/>
        </w:rPr>
        <w:t xml:space="preserve"> </w:t>
      </w:r>
      <w:r w:rsidR="001478E8" w:rsidRPr="009809B2">
        <w:rPr>
          <w:lang w:val="es-CO"/>
        </w:rPr>
        <w:t>los pr</w:t>
      </w:r>
      <w:r w:rsidR="00D55A52" w:rsidRPr="009809B2">
        <w:rPr>
          <w:lang w:val="es-CO"/>
        </w:rPr>
        <w:t>o</w:t>
      </w:r>
      <w:r w:rsidR="001478E8" w:rsidRPr="009809B2">
        <w:rPr>
          <w:lang w:val="es-CO"/>
        </w:rPr>
        <w:t xml:space="preserve">medios </w:t>
      </w:r>
      <w:r w:rsidRPr="009809B2">
        <w:rPr>
          <w:lang w:val="es-CO"/>
        </w:rPr>
        <w:t xml:space="preserve">están por debajo </w:t>
      </w:r>
      <w:r w:rsidR="008C1316" w:rsidRPr="009809B2">
        <w:rPr>
          <w:lang w:val="es-CO"/>
        </w:rPr>
        <w:t xml:space="preserve">y luego </w:t>
      </w:r>
      <w:r w:rsidR="007B7382" w:rsidRPr="009809B2">
        <w:rPr>
          <w:lang w:val="es-CO"/>
        </w:rPr>
        <w:t>el índice</w:t>
      </w:r>
      <w:r w:rsidR="00BC4E06" w:rsidRPr="009809B2">
        <w:rPr>
          <w:lang w:val="es-CO"/>
        </w:rPr>
        <w:t xml:space="preserve"> estimad</w:t>
      </w:r>
      <w:r w:rsidR="003F31AF" w:rsidRPr="009809B2">
        <w:rPr>
          <w:lang w:val="es-CO"/>
        </w:rPr>
        <w:t>o</w:t>
      </w:r>
      <w:r w:rsidR="00BC4E06" w:rsidRPr="009809B2">
        <w:rPr>
          <w:lang w:val="es-CO"/>
        </w:rPr>
        <w:t xml:space="preserve"> con </w:t>
      </w:r>
      <w:r w:rsidR="00EB3D53" w:rsidRPr="009809B2">
        <w:rPr>
          <w:lang w:val="es-CO"/>
        </w:rPr>
        <w:t xml:space="preserve">el promedio fijo </w:t>
      </w:r>
      <w:r w:rsidRPr="009809B2">
        <w:rPr>
          <w:lang w:val="es-CO"/>
        </w:rPr>
        <w:t xml:space="preserve">de </w:t>
      </w:r>
      <w:r w:rsidR="00EB3D53" w:rsidRPr="009809B2">
        <w:rPr>
          <w:lang w:val="es-CO"/>
        </w:rPr>
        <w:t xml:space="preserve">los 12 meses del año anterior </w:t>
      </w:r>
      <w:r w:rsidR="00EE43D7" w:rsidRPr="009809B2">
        <w:rPr>
          <w:lang w:val="es-CO"/>
        </w:rPr>
        <w:t xml:space="preserve">supera </w:t>
      </w:r>
      <w:r w:rsidRPr="009809B2">
        <w:rPr>
          <w:lang w:val="es-CO"/>
        </w:rPr>
        <w:t xml:space="preserve">la serie de referencia, </w:t>
      </w:r>
      <w:r w:rsidR="00EB3D53" w:rsidRPr="009809B2">
        <w:rPr>
          <w:lang w:val="es-CO"/>
        </w:rPr>
        <w:t>alcanza</w:t>
      </w:r>
      <w:r w:rsidR="004B3FA5" w:rsidRPr="009809B2">
        <w:rPr>
          <w:lang w:val="es-CO"/>
        </w:rPr>
        <w:t>ndo</w:t>
      </w:r>
      <w:r w:rsidR="00EB3D53" w:rsidRPr="009809B2">
        <w:rPr>
          <w:lang w:val="es-CO"/>
        </w:rPr>
        <w:t xml:space="preserve"> una variación </w:t>
      </w:r>
      <w:r w:rsidR="00415A51" w:rsidRPr="009809B2">
        <w:rPr>
          <w:lang w:val="es-CO"/>
        </w:rPr>
        <w:t>del 23%</w:t>
      </w:r>
      <w:r w:rsidR="00AC160C" w:rsidRPr="009809B2">
        <w:rPr>
          <w:lang w:val="es-CO"/>
        </w:rPr>
        <w:t>,</w:t>
      </w:r>
      <w:r w:rsidRPr="009809B2">
        <w:rPr>
          <w:lang w:val="es-CO"/>
        </w:rPr>
        <w:t xml:space="preserve"> </w:t>
      </w:r>
      <w:r w:rsidR="007B7382" w:rsidRPr="009809B2">
        <w:rPr>
          <w:lang w:val="es-CO"/>
        </w:rPr>
        <w:t>mientras</w:t>
      </w:r>
      <w:r w:rsidRPr="009809B2">
        <w:rPr>
          <w:lang w:val="es-CO"/>
        </w:rPr>
        <w:t xml:space="preserve"> la variación de las </w:t>
      </w:r>
      <w:r w:rsidR="002878A2" w:rsidRPr="009809B2">
        <w:rPr>
          <w:lang w:val="es-CO"/>
        </w:rPr>
        <w:t xml:space="preserve">otras dos </w:t>
      </w:r>
      <w:r w:rsidRPr="009809B2">
        <w:rPr>
          <w:lang w:val="es-CO"/>
        </w:rPr>
        <w:t xml:space="preserve">series </w:t>
      </w:r>
      <w:r w:rsidR="00E10D1F" w:rsidRPr="009809B2">
        <w:rPr>
          <w:lang w:val="es-CO"/>
        </w:rPr>
        <w:t xml:space="preserve">resulta </w:t>
      </w:r>
      <w:r w:rsidR="00D266CA" w:rsidRPr="009809B2">
        <w:rPr>
          <w:lang w:val="es-CO"/>
        </w:rPr>
        <w:t xml:space="preserve">en </w:t>
      </w:r>
      <w:r w:rsidR="006950FB" w:rsidRPr="009809B2">
        <w:rPr>
          <w:lang w:val="es-CO"/>
        </w:rPr>
        <w:t xml:space="preserve">un </w:t>
      </w:r>
      <w:r w:rsidR="00D266CA" w:rsidRPr="009809B2">
        <w:rPr>
          <w:lang w:val="es-CO"/>
        </w:rPr>
        <w:t xml:space="preserve">valor </w:t>
      </w:r>
      <w:r w:rsidR="00E10D1F" w:rsidRPr="009809B2">
        <w:rPr>
          <w:lang w:val="es-CO"/>
        </w:rPr>
        <w:t>similar</w:t>
      </w:r>
      <w:r w:rsidRPr="009809B2">
        <w:rPr>
          <w:lang w:val="es-CO"/>
        </w:rPr>
        <w:t xml:space="preserve"> </w:t>
      </w:r>
      <w:r w:rsidR="00805BC4" w:rsidRPr="009809B2">
        <w:rPr>
          <w:lang w:val="es-CO"/>
        </w:rPr>
        <w:t xml:space="preserve">del </w:t>
      </w:r>
      <w:r w:rsidR="00E10D1F" w:rsidRPr="009809B2">
        <w:rPr>
          <w:lang w:val="es-CO"/>
        </w:rPr>
        <w:t>1</w:t>
      </w:r>
      <w:r w:rsidR="002878A2" w:rsidRPr="009809B2">
        <w:rPr>
          <w:lang w:val="es-CO"/>
        </w:rPr>
        <w:t>8</w:t>
      </w:r>
      <w:r w:rsidRPr="009809B2">
        <w:rPr>
          <w:lang w:val="es-CO"/>
        </w:rPr>
        <w:t>%.</w:t>
      </w:r>
    </w:p>
    <w:p w14:paraId="2BE3B22E" w14:textId="233D2E07" w:rsidR="00B34A3A" w:rsidRPr="009809B2" w:rsidRDefault="00B34A3A" w:rsidP="00B34A3A">
      <w:pPr>
        <w:spacing w:before="220"/>
        <w:rPr>
          <w:lang w:val="es-CO"/>
        </w:rPr>
      </w:pPr>
      <w:r w:rsidRPr="009809B2">
        <w:rPr>
          <w:lang w:val="es-CO"/>
        </w:rPr>
        <w:t xml:space="preserve">En la </w:t>
      </w:r>
      <w:r w:rsidRPr="009809B2">
        <w:rPr>
          <w:lang w:val="es-CO"/>
        </w:rPr>
        <w:fldChar w:fldCharType="begin"/>
      </w:r>
      <w:r w:rsidRPr="009809B2">
        <w:rPr>
          <w:noProof/>
          <w:lang w:val="es-CO"/>
        </w:rPr>
        <w:instrText xml:space="preserve"> REF _Ref126768974 \h  \* MERGEFORMAT </w:instrText>
      </w:r>
      <w:r w:rsidRPr="009809B2">
        <w:rPr>
          <w:lang w:val="es-CO"/>
        </w:rPr>
      </w:r>
      <w:r w:rsidRPr="009809B2">
        <w:rPr>
          <w:lang w:val="es-CO"/>
        </w:rPr>
        <w:fldChar w:fldCharType="separate"/>
      </w:r>
      <w:r w:rsidR="00B40B80" w:rsidRPr="00B40B80">
        <w:rPr>
          <w:color w:val="000000" w:themeColor="text1"/>
          <w:lang w:val="es-CO"/>
        </w:rPr>
        <w:t>Gráfica 12</w:t>
      </w:r>
      <w:r w:rsidRPr="009809B2">
        <w:rPr>
          <w:lang w:val="es-CO"/>
        </w:rPr>
        <w:fldChar w:fldCharType="end"/>
      </w:r>
      <w:r w:rsidRPr="009809B2">
        <w:rPr>
          <w:lang w:val="es-CO"/>
        </w:rPr>
        <w:t xml:space="preserve"> se muestra el porcentaje de variación mensual de cada una de las series mostradas en la gráfica anterior.</w:t>
      </w:r>
    </w:p>
    <w:p w14:paraId="59376793" w14:textId="6CDCD1D1" w:rsidR="00B34A3A" w:rsidRPr="009809B2" w:rsidRDefault="00B34A3A" w:rsidP="00720E20">
      <w:pPr>
        <w:pStyle w:val="Descripcin"/>
        <w:keepNext/>
        <w:spacing w:before="240" w:after="0"/>
        <w:jc w:val="center"/>
        <w:rPr>
          <w:b w:val="0"/>
          <w:color w:val="000000" w:themeColor="text1"/>
          <w:sz w:val="20"/>
          <w:szCs w:val="20"/>
          <w:lang w:val="es-CO"/>
        </w:rPr>
      </w:pPr>
      <w:bookmarkStart w:id="298" w:name="_Ref126768974"/>
      <w:r w:rsidRPr="009809B2">
        <w:rPr>
          <w:color w:val="000000" w:themeColor="text1"/>
          <w:sz w:val="20"/>
          <w:szCs w:val="20"/>
          <w:lang w:val="es-CO"/>
        </w:rPr>
        <w:t xml:space="preserve">Gráfica </w:t>
      </w:r>
      <w:r w:rsidRPr="009809B2">
        <w:rPr>
          <w:b w:val="0"/>
          <w:color w:val="000000" w:themeColor="text1"/>
          <w:sz w:val="20"/>
          <w:szCs w:val="20"/>
          <w:lang w:val="es-CO"/>
        </w:rPr>
        <w:fldChar w:fldCharType="begin"/>
      </w:r>
      <w:r w:rsidRPr="009809B2">
        <w:rPr>
          <w:noProof/>
          <w:color w:val="000000" w:themeColor="text1"/>
          <w:sz w:val="20"/>
          <w:szCs w:val="20"/>
          <w:lang w:val="es-CO"/>
        </w:rPr>
        <w:instrText xml:space="preserve"> SEQ Gráfica \* ARABIC </w:instrText>
      </w:r>
      <w:r w:rsidRPr="009809B2">
        <w:rPr>
          <w:b w:val="0"/>
          <w:color w:val="000000" w:themeColor="text1"/>
          <w:sz w:val="20"/>
          <w:szCs w:val="20"/>
          <w:lang w:val="es-CO"/>
        </w:rPr>
        <w:fldChar w:fldCharType="separate"/>
      </w:r>
      <w:r w:rsidR="00B40B80">
        <w:rPr>
          <w:noProof/>
          <w:color w:val="000000" w:themeColor="text1"/>
          <w:sz w:val="20"/>
          <w:szCs w:val="20"/>
          <w:lang w:val="es-CO"/>
        </w:rPr>
        <w:t>12</w:t>
      </w:r>
      <w:r w:rsidRPr="009809B2">
        <w:rPr>
          <w:b w:val="0"/>
          <w:color w:val="000000" w:themeColor="text1"/>
          <w:sz w:val="20"/>
          <w:szCs w:val="20"/>
          <w:lang w:val="es-CO"/>
        </w:rPr>
        <w:fldChar w:fldCharType="end"/>
      </w:r>
      <w:bookmarkEnd w:id="298"/>
      <w:r w:rsidRPr="009809B2">
        <w:rPr>
          <w:color w:val="000000" w:themeColor="text1"/>
          <w:sz w:val="20"/>
          <w:szCs w:val="20"/>
          <w:lang w:val="es-CO"/>
        </w:rPr>
        <w:t>. Variaciones mensuales de los índices analizados</w:t>
      </w:r>
      <w:r w:rsidR="003A2DE3" w:rsidRPr="009809B2">
        <w:rPr>
          <w:color w:val="000000" w:themeColor="text1"/>
          <w:sz w:val="20"/>
          <w:szCs w:val="20"/>
          <w:lang w:val="es-CO"/>
        </w:rPr>
        <w:t xml:space="preserve"> </w:t>
      </w:r>
      <w:r w:rsidR="000709B5" w:rsidRPr="009809B2">
        <w:rPr>
          <w:color w:val="000000" w:themeColor="text1"/>
          <w:sz w:val="20"/>
          <w:szCs w:val="20"/>
          <w:lang w:val="es-CO"/>
        </w:rPr>
        <w:t xml:space="preserve">con promedios </w:t>
      </w:r>
      <w:r w:rsidR="003A2DE3" w:rsidRPr="009809B2">
        <w:rPr>
          <w:color w:val="000000" w:themeColor="text1"/>
          <w:sz w:val="20"/>
          <w:szCs w:val="20"/>
          <w:lang w:val="es-CO"/>
        </w:rPr>
        <w:t>12 meses</w:t>
      </w:r>
    </w:p>
    <w:p w14:paraId="318AB268" w14:textId="22D3A535" w:rsidR="007C5204" w:rsidRPr="009809B2" w:rsidRDefault="007C5204" w:rsidP="00B34A3A">
      <w:pPr>
        <w:spacing w:before="220"/>
        <w:jc w:val="center"/>
        <w:rPr>
          <w:lang w:val="es-CO"/>
        </w:rPr>
      </w:pPr>
      <w:r w:rsidRPr="009809B2">
        <w:rPr>
          <w:noProof/>
          <w:lang w:val="es-CO"/>
        </w:rPr>
        <w:drawing>
          <wp:inline distT="0" distB="0" distL="0" distR="0" wp14:anchorId="2C759B93" wp14:editId="3D17A3F1">
            <wp:extent cx="3263627" cy="2251125"/>
            <wp:effectExtent l="0" t="0" r="0" b="0"/>
            <wp:docPr id="12" name="Imagen 12">
              <a:extLst xmlns:a="http://schemas.openxmlformats.org/drawingml/2006/main">
                <a:ext uri="{FF2B5EF4-FFF2-40B4-BE49-F238E27FC236}">
                  <a16:creationId xmlns:a16="http://schemas.microsoft.com/office/drawing/2014/main" id="{A9CC18F7-1D59-06C5-92F5-73A97F24F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FF2B5EF4-FFF2-40B4-BE49-F238E27FC236}">
                          <a16:creationId xmlns:a16="http://schemas.microsoft.com/office/drawing/2014/main" id="{A9CC18F7-1D59-06C5-92F5-73A97F24FE82}"/>
                        </a:ext>
                      </a:extLst>
                    </pic:cNvPr>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3263627" cy="2251125"/>
                    </a:xfrm>
                    <a:prstGeom prst="rect">
                      <a:avLst/>
                    </a:prstGeom>
                  </pic:spPr>
                </pic:pic>
              </a:graphicData>
            </a:graphic>
          </wp:inline>
        </w:drawing>
      </w:r>
    </w:p>
    <w:p w14:paraId="73255C00" w14:textId="137D8AFC" w:rsidR="00B34A3A" w:rsidRPr="009809B2" w:rsidRDefault="00B34A3A" w:rsidP="00B34A3A">
      <w:pPr>
        <w:spacing w:before="220"/>
        <w:rPr>
          <w:lang w:val="es-CO"/>
        </w:rPr>
      </w:pPr>
      <w:r w:rsidRPr="009809B2">
        <w:rPr>
          <w:lang w:val="es-CO"/>
        </w:rPr>
        <w:lastRenderedPageBreak/>
        <w:t xml:space="preserve">Como era de esperarse, el valor de las variaciones de la serie en la que se utiliza la variación del último año (BK_IM </w:t>
      </w:r>
      <w:r w:rsidR="007A1883" w:rsidRPr="009809B2">
        <w:rPr>
          <w:lang w:val="es-CO"/>
        </w:rPr>
        <w:t>fijo 12 meses</w:t>
      </w:r>
      <w:r w:rsidRPr="009809B2">
        <w:rPr>
          <w:lang w:val="es-CO"/>
        </w:rPr>
        <w:t xml:space="preserve">) permanece constante durante los 12 meses del año siguiente, mientras que el promedio móvil que considera la variación de los últimos 12 meses (BK_IM </w:t>
      </w:r>
      <w:r w:rsidR="007A1883" w:rsidRPr="009809B2">
        <w:rPr>
          <w:lang w:val="es-CO"/>
        </w:rPr>
        <w:t xml:space="preserve">media </w:t>
      </w:r>
      <w:r w:rsidR="00345B20" w:rsidRPr="009809B2">
        <w:rPr>
          <w:lang w:val="es-CO"/>
        </w:rPr>
        <w:t xml:space="preserve">12 </w:t>
      </w:r>
      <w:r w:rsidRPr="009809B2">
        <w:rPr>
          <w:lang w:val="es-CO"/>
        </w:rPr>
        <w:t>meses) no muestra un valor constante.</w:t>
      </w:r>
    </w:p>
    <w:p w14:paraId="7B475BB7" w14:textId="43721B00" w:rsidR="00B34A3A" w:rsidRPr="009809B2" w:rsidRDefault="00431416" w:rsidP="00B34A3A">
      <w:pPr>
        <w:spacing w:before="220"/>
        <w:rPr>
          <w:lang w:val="es-CO"/>
        </w:rPr>
      </w:pPr>
      <w:r w:rsidRPr="009809B2">
        <w:rPr>
          <w:lang w:val="es-CO"/>
        </w:rPr>
        <w:t>U</w:t>
      </w:r>
      <w:r w:rsidR="00B34A3A" w:rsidRPr="009809B2">
        <w:rPr>
          <w:lang w:val="es-CO"/>
        </w:rPr>
        <w:t xml:space="preserve">no de los inconvenientes de los promedios móviles es que conserva la historia de los cambios ocurridos dentro del periodo considerado para el promedio y puede ocasionar que el resultado del promedio móvil sea superior a las variaciones que se estén presentando corrientemente si las variaciones del </w:t>
      </w:r>
      <w:r w:rsidR="00316B77" w:rsidRPr="009809B2">
        <w:rPr>
          <w:lang w:val="es-CO"/>
        </w:rPr>
        <w:t>periodo</w:t>
      </w:r>
      <w:r w:rsidR="00B34A3A" w:rsidRPr="009809B2">
        <w:rPr>
          <w:lang w:val="es-CO"/>
        </w:rPr>
        <w:t xml:space="preserve"> anterior presentaron valores altos.</w:t>
      </w:r>
    </w:p>
    <w:p w14:paraId="7B967516" w14:textId="72E93673" w:rsidR="00B34A3A" w:rsidRPr="009809B2" w:rsidRDefault="00B34A3A" w:rsidP="00B34A3A">
      <w:pPr>
        <w:spacing w:before="220"/>
        <w:rPr>
          <w:lang w:val="es-CO"/>
        </w:rPr>
      </w:pPr>
      <w:r w:rsidRPr="009809B2">
        <w:rPr>
          <w:lang w:val="es-CO"/>
        </w:rPr>
        <w:t xml:space="preserve">En la </w:t>
      </w:r>
      <w:r w:rsidRPr="009809B2">
        <w:rPr>
          <w:lang w:val="es-CO"/>
        </w:rPr>
        <w:fldChar w:fldCharType="begin"/>
      </w:r>
      <w:r w:rsidRPr="009809B2">
        <w:rPr>
          <w:noProof/>
          <w:lang w:val="es-CO"/>
        </w:rPr>
        <w:instrText xml:space="preserve"> REF _Ref126770299 \h  \* MERGEFORMAT </w:instrText>
      </w:r>
      <w:r w:rsidRPr="009809B2">
        <w:rPr>
          <w:lang w:val="es-CO"/>
        </w:rPr>
      </w:r>
      <w:r w:rsidRPr="009809B2">
        <w:rPr>
          <w:lang w:val="es-CO"/>
        </w:rPr>
        <w:fldChar w:fldCharType="separate"/>
      </w:r>
      <w:r w:rsidR="00B40B80" w:rsidRPr="00B40B80">
        <w:rPr>
          <w:color w:val="000000" w:themeColor="text1"/>
          <w:lang w:val="es-CO"/>
        </w:rPr>
        <w:t>Gráfica 13</w:t>
      </w:r>
      <w:r w:rsidRPr="009809B2">
        <w:rPr>
          <w:lang w:val="es-CO"/>
        </w:rPr>
        <w:fldChar w:fldCharType="end"/>
      </w:r>
      <w:r w:rsidRPr="009809B2">
        <w:rPr>
          <w:lang w:val="es-CO"/>
        </w:rPr>
        <w:t xml:space="preserve"> se muestran las mismas series de la </w:t>
      </w:r>
      <w:r w:rsidRPr="009809B2">
        <w:rPr>
          <w:lang w:val="es-CO"/>
        </w:rPr>
        <w:fldChar w:fldCharType="begin"/>
      </w:r>
      <w:r w:rsidRPr="009809B2">
        <w:rPr>
          <w:noProof/>
          <w:lang w:val="es-CO"/>
        </w:rPr>
        <w:instrText xml:space="preserve"> REF _Ref126767639 \h  \* MERGEFORMAT </w:instrText>
      </w:r>
      <w:r w:rsidRPr="009809B2">
        <w:rPr>
          <w:lang w:val="es-CO"/>
        </w:rPr>
      </w:r>
      <w:r w:rsidRPr="009809B2">
        <w:rPr>
          <w:lang w:val="es-CO"/>
        </w:rPr>
        <w:fldChar w:fldCharType="separate"/>
      </w:r>
      <w:r w:rsidR="00B40B80" w:rsidRPr="00B40B80">
        <w:rPr>
          <w:color w:val="000000" w:themeColor="text1"/>
          <w:lang w:val="es-CO"/>
        </w:rPr>
        <w:t>Gráfica 11</w:t>
      </w:r>
      <w:r w:rsidRPr="009809B2">
        <w:rPr>
          <w:lang w:val="es-CO"/>
        </w:rPr>
        <w:fldChar w:fldCharType="end"/>
      </w:r>
      <w:r w:rsidRPr="009809B2">
        <w:rPr>
          <w:lang w:val="es-CO"/>
        </w:rPr>
        <w:t>, pero cambiando la fecha de referencia a diciembre de 2015.</w:t>
      </w:r>
    </w:p>
    <w:p w14:paraId="5616C5B3" w14:textId="23B2F720" w:rsidR="00B34A3A" w:rsidRPr="009809B2" w:rsidRDefault="00B34A3A" w:rsidP="00B34A3A">
      <w:pPr>
        <w:pStyle w:val="Descripcin"/>
        <w:keepNext/>
        <w:spacing w:before="240"/>
        <w:jc w:val="center"/>
        <w:rPr>
          <w:b w:val="0"/>
          <w:color w:val="000000" w:themeColor="text1"/>
          <w:sz w:val="20"/>
          <w:szCs w:val="20"/>
          <w:lang w:val="es-CO"/>
        </w:rPr>
      </w:pPr>
      <w:bookmarkStart w:id="299" w:name="_Ref126770299"/>
      <w:r w:rsidRPr="009809B2">
        <w:rPr>
          <w:color w:val="000000" w:themeColor="text1"/>
          <w:sz w:val="20"/>
          <w:szCs w:val="20"/>
          <w:lang w:val="es-CO"/>
        </w:rPr>
        <w:t xml:space="preserve">Gráfica </w:t>
      </w:r>
      <w:r w:rsidRPr="009809B2">
        <w:rPr>
          <w:b w:val="0"/>
          <w:color w:val="000000" w:themeColor="text1"/>
          <w:sz w:val="20"/>
          <w:szCs w:val="20"/>
          <w:lang w:val="es-CO"/>
        </w:rPr>
        <w:fldChar w:fldCharType="begin"/>
      </w:r>
      <w:r w:rsidRPr="009809B2">
        <w:rPr>
          <w:noProof/>
          <w:color w:val="000000" w:themeColor="text1"/>
          <w:sz w:val="20"/>
          <w:szCs w:val="20"/>
          <w:lang w:val="es-CO"/>
        </w:rPr>
        <w:instrText xml:space="preserve"> SEQ Gráfica \* ARABIC </w:instrText>
      </w:r>
      <w:r w:rsidRPr="009809B2">
        <w:rPr>
          <w:b w:val="0"/>
          <w:color w:val="000000" w:themeColor="text1"/>
          <w:sz w:val="20"/>
          <w:szCs w:val="20"/>
          <w:lang w:val="es-CO"/>
        </w:rPr>
        <w:fldChar w:fldCharType="separate"/>
      </w:r>
      <w:r w:rsidR="00B40B80">
        <w:rPr>
          <w:noProof/>
          <w:color w:val="000000" w:themeColor="text1"/>
          <w:sz w:val="20"/>
          <w:szCs w:val="20"/>
          <w:lang w:val="es-CO"/>
        </w:rPr>
        <w:t>13</w:t>
      </w:r>
      <w:r w:rsidRPr="009809B2">
        <w:rPr>
          <w:b w:val="0"/>
          <w:color w:val="000000" w:themeColor="text1"/>
          <w:sz w:val="20"/>
          <w:szCs w:val="20"/>
          <w:lang w:val="es-CO"/>
        </w:rPr>
        <w:fldChar w:fldCharType="end"/>
      </w:r>
      <w:bookmarkEnd w:id="299"/>
      <w:r w:rsidRPr="009809B2">
        <w:rPr>
          <w:color w:val="000000" w:themeColor="text1"/>
          <w:sz w:val="20"/>
          <w:szCs w:val="20"/>
          <w:lang w:val="es-CO"/>
        </w:rPr>
        <w:t>. Cambio en fecha de referencia</w:t>
      </w:r>
      <w:r w:rsidR="000709B5" w:rsidRPr="009809B2">
        <w:rPr>
          <w:color w:val="000000" w:themeColor="text1"/>
          <w:sz w:val="20"/>
          <w:szCs w:val="20"/>
          <w:lang w:val="es-CO"/>
        </w:rPr>
        <w:t xml:space="preserve"> con promedios 12 meses</w:t>
      </w:r>
    </w:p>
    <w:p w14:paraId="42AB55D8" w14:textId="55765B95" w:rsidR="00B34A3A" w:rsidRPr="009809B2" w:rsidRDefault="00594427" w:rsidP="00B34A3A">
      <w:pPr>
        <w:spacing w:before="220"/>
        <w:jc w:val="center"/>
        <w:rPr>
          <w:lang w:val="es-CO"/>
        </w:rPr>
      </w:pPr>
      <w:r w:rsidRPr="009809B2">
        <w:rPr>
          <w:noProof/>
          <w:lang w:val="es-CO"/>
        </w:rPr>
        <w:drawing>
          <wp:inline distT="0" distB="0" distL="0" distR="0" wp14:anchorId="38A43E51" wp14:editId="2F0388B5">
            <wp:extent cx="4543200" cy="329643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4543200" cy="3296438"/>
                    </a:xfrm>
                    <a:prstGeom prst="rect">
                      <a:avLst/>
                    </a:prstGeom>
                  </pic:spPr>
                </pic:pic>
              </a:graphicData>
            </a:graphic>
          </wp:inline>
        </w:drawing>
      </w:r>
    </w:p>
    <w:p w14:paraId="420915F0" w14:textId="1C0C0DE1" w:rsidR="00B34A3A" w:rsidRPr="009809B2" w:rsidRDefault="00B34A3A" w:rsidP="00B34A3A">
      <w:pPr>
        <w:spacing w:before="220"/>
        <w:rPr>
          <w:lang w:val="es-CO"/>
        </w:rPr>
      </w:pPr>
      <w:r w:rsidRPr="009809B2">
        <w:rPr>
          <w:lang w:val="es-CO"/>
        </w:rPr>
        <w:t>Dado que la variación de la serie de referencia (BK_IM) durante el año 201</w:t>
      </w:r>
      <w:r w:rsidR="002154EF" w:rsidRPr="009809B2">
        <w:rPr>
          <w:lang w:val="es-CO"/>
        </w:rPr>
        <w:t>5</w:t>
      </w:r>
      <w:r w:rsidRPr="009809B2">
        <w:rPr>
          <w:lang w:val="es-CO"/>
        </w:rPr>
        <w:t xml:space="preserve"> fue cercana al 19%, el efecto de esa variación aparece en el año 2016 y permanece durante todo el periodo mostrado en la gráfica, tanto así que ninguna de las dos nuevas series con los promedios móviles se logra acercar a la serie de referencia. </w:t>
      </w:r>
      <w:r w:rsidR="00B3701A" w:rsidRPr="009809B2">
        <w:rPr>
          <w:lang w:val="es-CO"/>
        </w:rPr>
        <w:t>El efecto se increment</w:t>
      </w:r>
      <w:r w:rsidR="00C24596" w:rsidRPr="009809B2">
        <w:rPr>
          <w:lang w:val="es-CO"/>
        </w:rPr>
        <w:t>a con la variaci</w:t>
      </w:r>
      <w:r w:rsidR="00A617D5" w:rsidRPr="009809B2">
        <w:rPr>
          <w:lang w:val="es-CO"/>
        </w:rPr>
        <w:t>ón</w:t>
      </w:r>
      <w:r w:rsidR="00C24596" w:rsidRPr="009809B2">
        <w:rPr>
          <w:lang w:val="es-CO"/>
        </w:rPr>
        <w:t xml:space="preserve"> del año </w:t>
      </w:r>
      <w:r w:rsidR="00B31FE3" w:rsidRPr="009809B2">
        <w:rPr>
          <w:lang w:val="es-CO"/>
        </w:rPr>
        <w:t>2022.</w:t>
      </w:r>
    </w:p>
    <w:p w14:paraId="719B6330" w14:textId="4A212AA4" w:rsidR="00B34A3A" w:rsidRPr="009809B2" w:rsidRDefault="00B34A3A" w:rsidP="00B34A3A">
      <w:pPr>
        <w:spacing w:before="220"/>
        <w:rPr>
          <w:lang w:val="es-CO"/>
        </w:rPr>
      </w:pPr>
      <w:r w:rsidRPr="009809B2">
        <w:rPr>
          <w:lang w:val="es-CO"/>
        </w:rPr>
        <w:lastRenderedPageBreak/>
        <w:t xml:space="preserve">La diferencia </w:t>
      </w:r>
      <w:r w:rsidR="00BC317B" w:rsidRPr="009809B2">
        <w:rPr>
          <w:lang w:val="es-CO"/>
        </w:rPr>
        <w:t xml:space="preserve">con la serie de referencia </w:t>
      </w:r>
      <w:r w:rsidRPr="009809B2">
        <w:rPr>
          <w:lang w:val="es-CO"/>
        </w:rPr>
        <w:t xml:space="preserve">es mayor en la serie calculada con base en la variación del año anterior. La otra serie, aunque se acerca un poco más, no alcanza a disminuir para acercarse a la serie de referencia. </w:t>
      </w:r>
    </w:p>
    <w:p w14:paraId="713921D2" w14:textId="5BCC8D74" w:rsidR="00B34A3A" w:rsidRPr="009809B2" w:rsidRDefault="00B34A3A" w:rsidP="00B34A3A">
      <w:pPr>
        <w:spacing w:before="220"/>
        <w:rPr>
          <w:lang w:val="es-CO"/>
        </w:rPr>
      </w:pPr>
      <w:r w:rsidRPr="009809B2">
        <w:rPr>
          <w:lang w:val="es-CO"/>
        </w:rPr>
        <w:t>Esto quiere decir que, si esta propuesta de promedios ponderados se empieza a aplicar después de un periodo anterior de 12 meses donde se presentaron altas variaciones, el resultado de la opción de suavizar las variaciones puede conducir a que se obtengan variaciones superiores a las que se presentarían sin suavizar la serie. A</w:t>
      </w:r>
      <w:r w:rsidR="00F32D7B" w:rsidRPr="009809B2">
        <w:rPr>
          <w:lang w:val="es-CO"/>
        </w:rPr>
        <w:t>quí</w:t>
      </w:r>
      <w:r w:rsidRPr="009809B2">
        <w:rPr>
          <w:lang w:val="es-CO"/>
        </w:rPr>
        <w:t xml:space="preserve"> cabe llamar la atención sobre el valor de la variación del índice de referencia que para el año 2022 fue del 12,4%.</w:t>
      </w:r>
    </w:p>
    <w:p w14:paraId="02FB982F" w14:textId="2627BCBC" w:rsidR="007112D9" w:rsidRPr="009809B2" w:rsidRDefault="00B74D33" w:rsidP="00B34A3A">
      <w:pPr>
        <w:spacing w:before="220"/>
        <w:rPr>
          <w:lang w:val="es-CO"/>
        </w:rPr>
      </w:pPr>
      <w:r w:rsidRPr="009809B2">
        <w:rPr>
          <w:lang w:val="es-CO"/>
        </w:rPr>
        <w:t xml:space="preserve">A manera de ejercicio, a </w:t>
      </w:r>
      <w:proofErr w:type="gramStart"/>
      <w:r w:rsidRPr="009809B2">
        <w:rPr>
          <w:lang w:val="es-CO"/>
        </w:rPr>
        <w:t>continuación</w:t>
      </w:r>
      <w:proofErr w:type="gramEnd"/>
      <w:r w:rsidRPr="009809B2">
        <w:rPr>
          <w:lang w:val="es-CO"/>
        </w:rPr>
        <w:t xml:space="preserve"> se presentan las mismas gráficas, reduciendo a 3 meses el periodo de </w:t>
      </w:r>
      <w:r w:rsidR="00B66B28" w:rsidRPr="009809B2">
        <w:rPr>
          <w:lang w:val="es-CO"/>
        </w:rPr>
        <w:t>“suavización” de la serie</w:t>
      </w:r>
      <w:r w:rsidR="00AB64AA" w:rsidRPr="009809B2">
        <w:rPr>
          <w:lang w:val="es-CO"/>
        </w:rPr>
        <w:t>.</w:t>
      </w:r>
      <w:r w:rsidR="00B66B28" w:rsidRPr="009809B2">
        <w:rPr>
          <w:lang w:val="es-CO"/>
        </w:rPr>
        <w:t xml:space="preserve"> </w:t>
      </w:r>
    </w:p>
    <w:p w14:paraId="110773F7" w14:textId="714A9F05" w:rsidR="00A95CDC" w:rsidRPr="009809B2" w:rsidRDefault="00A95CDC" w:rsidP="00A95CDC">
      <w:pPr>
        <w:pStyle w:val="Descripcin"/>
        <w:keepNext/>
        <w:spacing w:before="240"/>
        <w:jc w:val="center"/>
        <w:rPr>
          <w:b w:val="0"/>
          <w:color w:val="000000" w:themeColor="text1"/>
          <w:sz w:val="20"/>
          <w:szCs w:val="20"/>
          <w:lang w:val="es-CO"/>
        </w:rPr>
      </w:pPr>
      <w:r w:rsidRPr="009809B2">
        <w:rPr>
          <w:color w:val="000000" w:themeColor="text1"/>
          <w:sz w:val="20"/>
          <w:szCs w:val="20"/>
          <w:lang w:val="es-CO"/>
        </w:rPr>
        <w:t xml:space="preserve">Gráfica </w:t>
      </w:r>
      <w:r w:rsidRPr="009809B2">
        <w:rPr>
          <w:b w:val="0"/>
          <w:color w:val="000000" w:themeColor="text1"/>
          <w:sz w:val="20"/>
          <w:szCs w:val="20"/>
          <w:lang w:val="es-CO"/>
        </w:rPr>
        <w:fldChar w:fldCharType="begin"/>
      </w:r>
      <w:r w:rsidRPr="009809B2">
        <w:rPr>
          <w:noProof/>
          <w:color w:val="000000" w:themeColor="text1"/>
          <w:sz w:val="20"/>
          <w:szCs w:val="20"/>
          <w:lang w:val="es-CO"/>
        </w:rPr>
        <w:instrText xml:space="preserve"> SEQ Gráfica \* ARABIC </w:instrText>
      </w:r>
      <w:r w:rsidRPr="009809B2">
        <w:rPr>
          <w:b w:val="0"/>
          <w:color w:val="000000" w:themeColor="text1"/>
          <w:sz w:val="20"/>
          <w:szCs w:val="20"/>
          <w:lang w:val="es-CO"/>
        </w:rPr>
        <w:fldChar w:fldCharType="separate"/>
      </w:r>
      <w:r w:rsidR="00B40B80">
        <w:rPr>
          <w:noProof/>
          <w:color w:val="000000" w:themeColor="text1"/>
          <w:sz w:val="20"/>
          <w:szCs w:val="20"/>
          <w:lang w:val="es-CO"/>
        </w:rPr>
        <w:t>14</w:t>
      </w:r>
      <w:r w:rsidRPr="009809B2">
        <w:rPr>
          <w:b w:val="0"/>
          <w:color w:val="000000" w:themeColor="text1"/>
          <w:sz w:val="20"/>
          <w:szCs w:val="20"/>
          <w:lang w:val="es-CO"/>
        </w:rPr>
        <w:fldChar w:fldCharType="end"/>
      </w:r>
      <w:r w:rsidRPr="009809B2">
        <w:rPr>
          <w:color w:val="000000" w:themeColor="text1"/>
          <w:sz w:val="20"/>
          <w:szCs w:val="20"/>
          <w:lang w:val="es-CO"/>
        </w:rPr>
        <w:t xml:space="preserve">. Comparación de las series con promedios </w:t>
      </w:r>
      <w:r w:rsidR="003A2DE3" w:rsidRPr="009809B2">
        <w:rPr>
          <w:color w:val="000000" w:themeColor="text1"/>
          <w:sz w:val="20"/>
          <w:szCs w:val="20"/>
          <w:lang w:val="es-CO"/>
        </w:rPr>
        <w:t>de</w:t>
      </w:r>
      <w:r w:rsidRPr="009809B2">
        <w:rPr>
          <w:color w:val="000000" w:themeColor="text1"/>
          <w:sz w:val="20"/>
          <w:szCs w:val="20"/>
          <w:lang w:val="es-CO"/>
        </w:rPr>
        <w:t xml:space="preserve"> </w:t>
      </w:r>
      <w:r w:rsidR="003A2DE3" w:rsidRPr="009809B2">
        <w:rPr>
          <w:color w:val="000000" w:themeColor="text1"/>
          <w:sz w:val="20"/>
          <w:szCs w:val="20"/>
          <w:lang w:val="es-CO"/>
        </w:rPr>
        <w:t>3</w:t>
      </w:r>
      <w:r w:rsidRPr="009809B2">
        <w:rPr>
          <w:color w:val="000000" w:themeColor="text1"/>
          <w:sz w:val="20"/>
          <w:szCs w:val="20"/>
          <w:lang w:val="es-CO"/>
        </w:rPr>
        <w:t xml:space="preserve"> meses</w:t>
      </w:r>
    </w:p>
    <w:p w14:paraId="283EF10C" w14:textId="09DDDC08" w:rsidR="007112D9" w:rsidRPr="009809B2" w:rsidRDefault="00662F09" w:rsidP="00850491">
      <w:pPr>
        <w:spacing w:before="220"/>
        <w:jc w:val="center"/>
        <w:rPr>
          <w:lang w:val="es-CO"/>
        </w:rPr>
      </w:pPr>
      <w:r w:rsidRPr="009809B2">
        <w:rPr>
          <w:noProof/>
          <w:lang w:val="es-CO"/>
        </w:rPr>
        <w:drawing>
          <wp:inline distT="0" distB="0" distL="0" distR="0" wp14:anchorId="1F4EE292" wp14:editId="47904290">
            <wp:extent cx="4016160" cy="2662587"/>
            <wp:effectExtent l="0" t="0" r="381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54">
                      <a:extLst>
                        <a:ext uri="{96DAC541-7B7A-43D3-8B79-37D633B846F1}">
                          <asvg:svgBlip xmlns:asvg="http://schemas.microsoft.com/office/drawing/2016/SVG/main" r:embed="rId55"/>
                        </a:ext>
                      </a:extLst>
                    </a:blip>
                    <a:stretch>
                      <a:fillRect/>
                    </a:stretch>
                  </pic:blipFill>
                  <pic:spPr bwMode="auto">
                    <a:xfrm>
                      <a:off x="0" y="0"/>
                      <a:ext cx="4032376" cy="2673337"/>
                    </a:xfrm>
                    <a:prstGeom prst="rect">
                      <a:avLst/>
                    </a:prstGeom>
                  </pic:spPr>
                </pic:pic>
              </a:graphicData>
            </a:graphic>
          </wp:inline>
        </w:drawing>
      </w:r>
    </w:p>
    <w:p w14:paraId="1573C3D8" w14:textId="27E1BB25" w:rsidR="000709B5" w:rsidRPr="009809B2" w:rsidRDefault="000709B5" w:rsidP="000709B5">
      <w:pPr>
        <w:pStyle w:val="Descripcin"/>
        <w:keepNext/>
        <w:spacing w:before="240"/>
        <w:jc w:val="center"/>
        <w:rPr>
          <w:b w:val="0"/>
          <w:color w:val="000000" w:themeColor="text1"/>
          <w:sz w:val="20"/>
          <w:szCs w:val="20"/>
          <w:lang w:val="es-CO"/>
        </w:rPr>
      </w:pPr>
      <w:r w:rsidRPr="009809B2">
        <w:rPr>
          <w:color w:val="000000" w:themeColor="text1"/>
          <w:sz w:val="20"/>
          <w:szCs w:val="20"/>
          <w:lang w:val="es-CO"/>
        </w:rPr>
        <w:lastRenderedPageBreak/>
        <w:t xml:space="preserve">Gráfica </w:t>
      </w:r>
      <w:r w:rsidRPr="009809B2">
        <w:rPr>
          <w:b w:val="0"/>
          <w:color w:val="000000" w:themeColor="text1"/>
          <w:sz w:val="20"/>
          <w:szCs w:val="20"/>
          <w:lang w:val="es-CO"/>
        </w:rPr>
        <w:fldChar w:fldCharType="begin"/>
      </w:r>
      <w:r w:rsidRPr="009809B2">
        <w:rPr>
          <w:noProof/>
          <w:color w:val="000000" w:themeColor="text1"/>
          <w:sz w:val="20"/>
          <w:szCs w:val="20"/>
          <w:lang w:val="es-CO"/>
        </w:rPr>
        <w:instrText xml:space="preserve"> SEQ Gráfica \* ARABIC </w:instrText>
      </w:r>
      <w:r w:rsidRPr="009809B2">
        <w:rPr>
          <w:b w:val="0"/>
          <w:color w:val="000000" w:themeColor="text1"/>
          <w:sz w:val="20"/>
          <w:szCs w:val="20"/>
          <w:lang w:val="es-CO"/>
        </w:rPr>
        <w:fldChar w:fldCharType="separate"/>
      </w:r>
      <w:r w:rsidR="00B40B80">
        <w:rPr>
          <w:noProof/>
          <w:color w:val="000000" w:themeColor="text1"/>
          <w:sz w:val="20"/>
          <w:szCs w:val="20"/>
          <w:lang w:val="es-CO"/>
        </w:rPr>
        <w:t>15</w:t>
      </w:r>
      <w:r w:rsidRPr="009809B2">
        <w:rPr>
          <w:b w:val="0"/>
          <w:color w:val="000000" w:themeColor="text1"/>
          <w:sz w:val="20"/>
          <w:szCs w:val="20"/>
          <w:lang w:val="es-CO"/>
        </w:rPr>
        <w:fldChar w:fldCharType="end"/>
      </w:r>
      <w:r w:rsidRPr="009809B2">
        <w:rPr>
          <w:color w:val="000000" w:themeColor="text1"/>
          <w:sz w:val="20"/>
          <w:szCs w:val="20"/>
          <w:lang w:val="es-CO"/>
        </w:rPr>
        <w:t>. Variaciones mensuales de los índices analizados con promedios 3 meses</w:t>
      </w:r>
    </w:p>
    <w:p w14:paraId="2CC2BF1F" w14:textId="36793E50" w:rsidR="000709B5" w:rsidRPr="009809B2" w:rsidRDefault="00FE48FC" w:rsidP="00FE48FC">
      <w:pPr>
        <w:spacing w:before="220"/>
        <w:jc w:val="center"/>
        <w:rPr>
          <w:lang w:val="es-CO"/>
        </w:rPr>
      </w:pPr>
      <w:r w:rsidRPr="009809B2">
        <w:rPr>
          <w:noProof/>
          <w:lang w:val="es-CO"/>
        </w:rPr>
        <w:drawing>
          <wp:inline distT="0" distB="0" distL="0" distR="0" wp14:anchorId="64585CE6" wp14:editId="770ACA10">
            <wp:extent cx="4174558" cy="2755900"/>
            <wp:effectExtent l="0" t="0" r="0" b="6350"/>
            <wp:docPr id="372842117" name="Imagen 372842117">
              <a:extLst xmlns:a="http://schemas.openxmlformats.org/drawingml/2006/main">
                <a:ext uri="{FF2B5EF4-FFF2-40B4-BE49-F238E27FC236}">
                  <a16:creationId xmlns:a16="http://schemas.microsoft.com/office/drawing/2014/main" id="{A9CC18F7-1D59-06C5-92F5-73A97F24F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42117" name="Imagen 372842117">
                      <a:extLst>
                        <a:ext uri="{FF2B5EF4-FFF2-40B4-BE49-F238E27FC236}">
                          <a16:creationId xmlns:a16="http://schemas.microsoft.com/office/drawing/2014/main" id="{A9CC18F7-1D59-06C5-92F5-73A97F24FE82}"/>
                        </a:ext>
                      </a:extLst>
                    </pic:cNvPr>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4186947" cy="2764079"/>
                    </a:xfrm>
                    <a:prstGeom prst="rect">
                      <a:avLst/>
                    </a:prstGeom>
                  </pic:spPr>
                </pic:pic>
              </a:graphicData>
            </a:graphic>
          </wp:inline>
        </w:drawing>
      </w:r>
    </w:p>
    <w:p w14:paraId="41973CE3" w14:textId="77777777" w:rsidR="00FE48FC" w:rsidRPr="009809B2" w:rsidRDefault="00FE48FC" w:rsidP="00B34A3A">
      <w:pPr>
        <w:spacing w:before="220"/>
        <w:rPr>
          <w:lang w:val="es-CO"/>
        </w:rPr>
      </w:pPr>
    </w:p>
    <w:p w14:paraId="3769935B" w14:textId="517A815B" w:rsidR="000709B5" w:rsidRPr="009809B2" w:rsidRDefault="000709B5" w:rsidP="000709B5">
      <w:pPr>
        <w:pStyle w:val="Descripcin"/>
        <w:keepNext/>
        <w:spacing w:before="240"/>
        <w:jc w:val="center"/>
        <w:rPr>
          <w:b w:val="0"/>
          <w:color w:val="000000" w:themeColor="text1"/>
          <w:sz w:val="20"/>
          <w:szCs w:val="20"/>
          <w:lang w:val="es-CO"/>
        </w:rPr>
      </w:pPr>
      <w:r w:rsidRPr="009809B2">
        <w:rPr>
          <w:color w:val="000000" w:themeColor="text1"/>
          <w:sz w:val="20"/>
          <w:szCs w:val="20"/>
          <w:lang w:val="es-CO"/>
        </w:rPr>
        <w:t xml:space="preserve">Gráfica </w:t>
      </w:r>
      <w:r w:rsidRPr="009809B2">
        <w:rPr>
          <w:b w:val="0"/>
          <w:color w:val="000000" w:themeColor="text1"/>
          <w:sz w:val="20"/>
          <w:szCs w:val="20"/>
          <w:lang w:val="es-CO"/>
        </w:rPr>
        <w:fldChar w:fldCharType="begin"/>
      </w:r>
      <w:r w:rsidRPr="009809B2">
        <w:rPr>
          <w:noProof/>
          <w:color w:val="000000" w:themeColor="text1"/>
          <w:sz w:val="20"/>
          <w:szCs w:val="20"/>
          <w:lang w:val="es-CO"/>
        </w:rPr>
        <w:instrText xml:space="preserve"> SEQ Gráfica \* ARABIC </w:instrText>
      </w:r>
      <w:r w:rsidRPr="009809B2">
        <w:rPr>
          <w:b w:val="0"/>
          <w:color w:val="000000" w:themeColor="text1"/>
          <w:sz w:val="20"/>
          <w:szCs w:val="20"/>
          <w:lang w:val="es-CO"/>
        </w:rPr>
        <w:fldChar w:fldCharType="separate"/>
      </w:r>
      <w:r w:rsidR="00B40B80">
        <w:rPr>
          <w:noProof/>
          <w:color w:val="000000" w:themeColor="text1"/>
          <w:sz w:val="20"/>
          <w:szCs w:val="20"/>
          <w:lang w:val="es-CO"/>
        </w:rPr>
        <w:t>16</w:t>
      </w:r>
      <w:r w:rsidRPr="009809B2">
        <w:rPr>
          <w:b w:val="0"/>
          <w:color w:val="000000" w:themeColor="text1"/>
          <w:sz w:val="20"/>
          <w:szCs w:val="20"/>
          <w:lang w:val="es-CO"/>
        </w:rPr>
        <w:fldChar w:fldCharType="end"/>
      </w:r>
      <w:r w:rsidRPr="009809B2">
        <w:rPr>
          <w:color w:val="000000" w:themeColor="text1"/>
          <w:sz w:val="20"/>
          <w:szCs w:val="20"/>
          <w:lang w:val="es-CO"/>
        </w:rPr>
        <w:t xml:space="preserve">. Cambio en fecha de referencia con promedios 3 meses </w:t>
      </w:r>
    </w:p>
    <w:p w14:paraId="1E717F2D" w14:textId="7276A907" w:rsidR="00AB64AA" w:rsidRPr="009809B2" w:rsidRDefault="005360FE" w:rsidP="00850491">
      <w:pPr>
        <w:spacing w:before="220"/>
        <w:jc w:val="center"/>
        <w:rPr>
          <w:lang w:val="es-CO"/>
        </w:rPr>
      </w:pPr>
      <w:r w:rsidRPr="009809B2">
        <w:rPr>
          <w:noProof/>
          <w:lang w:val="es-CO"/>
        </w:rPr>
        <w:drawing>
          <wp:inline distT="0" distB="0" distL="0" distR="0" wp14:anchorId="4D3F6CCD" wp14:editId="5ED2A5FB">
            <wp:extent cx="4543200" cy="329643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58">
                      <a:extLst>
                        <a:ext uri="{96DAC541-7B7A-43D3-8B79-37D633B846F1}">
                          <asvg:svgBlip xmlns:asvg="http://schemas.microsoft.com/office/drawing/2016/SVG/main" r:embed="rId59"/>
                        </a:ext>
                      </a:extLst>
                    </a:blip>
                    <a:stretch>
                      <a:fillRect/>
                    </a:stretch>
                  </pic:blipFill>
                  <pic:spPr bwMode="auto">
                    <a:xfrm>
                      <a:off x="0" y="0"/>
                      <a:ext cx="4543200" cy="3296438"/>
                    </a:xfrm>
                    <a:prstGeom prst="rect">
                      <a:avLst/>
                    </a:prstGeom>
                  </pic:spPr>
                </pic:pic>
              </a:graphicData>
            </a:graphic>
          </wp:inline>
        </w:drawing>
      </w:r>
    </w:p>
    <w:p w14:paraId="747F4D9A" w14:textId="1F56D3B4" w:rsidR="005023F0" w:rsidRPr="009809B2" w:rsidRDefault="00850491" w:rsidP="00B34A3A">
      <w:pPr>
        <w:spacing w:before="220"/>
        <w:rPr>
          <w:lang w:val="es-CO"/>
        </w:rPr>
      </w:pPr>
      <w:r w:rsidRPr="009809B2">
        <w:rPr>
          <w:lang w:val="es-CO"/>
        </w:rPr>
        <w:lastRenderedPageBreak/>
        <w:t xml:space="preserve">Como se observa, las diferencias </w:t>
      </w:r>
      <w:r w:rsidR="00A82AA1" w:rsidRPr="009809B2">
        <w:rPr>
          <w:lang w:val="es-CO"/>
        </w:rPr>
        <w:t>de</w:t>
      </w:r>
      <w:r w:rsidRPr="009809B2">
        <w:rPr>
          <w:lang w:val="es-CO"/>
        </w:rPr>
        <w:t xml:space="preserve"> comportamientos entre las series de 12 meses y las de 3 meses redundan, principalmente</w:t>
      </w:r>
      <w:r w:rsidR="009F13C5" w:rsidRPr="009809B2">
        <w:rPr>
          <w:lang w:val="es-CO"/>
        </w:rPr>
        <w:t>,</w:t>
      </w:r>
      <w:r w:rsidRPr="009809B2">
        <w:rPr>
          <w:lang w:val="es-CO"/>
        </w:rPr>
        <w:t xml:space="preserve"> en </w:t>
      </w:r>
      <w:r w:rsidR="00BE65FE" w:rsidRPr="009809B2">
        <w:rPr>
          <w:lang w:val="es-CO"/>
        </w:rPr>
        <w:t xml:space="preserve">la </w:t>
      </w:r>
      <w:r w:rsidR="00155951" w:rsidRPr="009809B2">
        <w:rPr>
          <w:lang w:val="es-CO"/>
        </w:rPr>
        <w:t>d</w:t>
      </w:r>
      <w:r w:rsidR="00BE65FE" w:rsidRPr="009809B2">
        <w:rPr>
          <w:lang w:val="es-CO"/>
        </w:rPr>
        <w:t>isminución de la “memoria” de las variaciones de precios, es decir, que mientras en la</w:t>
      </w:r>
      <w:r w:rsidR="00FE48FC" w:rsidRPr="009809B2">
        <w:rPr>
          <w:lang w:val="es-CO"/>
        </w:rPr>
        <w:t>s</w:t>
      </w:r>
      <w:r w:rsidR="00BE65FE" w:rsidRPr="009809B2">
        <w:rPr>
          <w:lang w:val="es-CO"/>
        </w:rPr>
        <w:t xml:space="preserve"> series de 12 meses el efecto de variaciones altas puede permanecer por mucho tiempo, en la medida que se reduzca el periodo de “suavi</w:t>
      </w:r>
      <w:r w:rsidR="00FE48FC" w:rsidRPr="009809B2">
        <w:rPr>
          <w:lang w:val="es-CO"/>
        </w:rPr>
        <w:t>z</w:t>
      </w:r>
      <w:r w:rsidR="00BE65FE" w:rsidRPr="009809B2">
        <w:rPr>
          <w:lang w:val="es-CO"/>
        </w:rPr>
        <w:t>ación”, ese efecto disminu</w:t>
      </w:r>
      <w:r w:rsidR="00155951" w:rsidRPr="009809B2">
        <w:rPr>
          <w:lang w:val="es-CO"/>
        </w:rPr>
        <w:t>ye</w:t>
      </w:r>
      <w:r w:rsidR="005023F0" w:rsidRPr="009809B2">
        <w:rPr>
          <w:lang w:val="es-CO"/>
        </w:rPr>
        <w:t>.</w:t>
      </w:r>
    </w:p>
    <w:p w14:paraId="46AB96C8" w14:textId="40E9119E" w:rsidR="00AB64AA" w:rsidRPr="009809B2" w:rsidRDefault="006E1625" w:rsidP="00B34A3A">
      <w:pPr>
        <w:spacing w:before="220"/>
        <w:rPr>
          <w:lang w:val="es-CO"/>
        </w:rPr>
      </w:pPr>
      <w:r w:rsidRPr="009809B2">
        <w:rPr>
          <w:lang w:val="es-CO"/>
        </w:rPr>
        <w:t>Por otra parte</w:t>
      </w:r>
      <w:r w:rsidR="005023F0" w:rsidRPr="009809B2">
        <w:rPr>
          <w:lang w:val="es-CO"/>
        </w:rPr>
        <w:t>, como tambi</w:t>
      </w:r>
      <w:r w:rsidR="00FE48FC" w:rsidRPr="009809B2">
        <w:rPr>
          <w:lang w:val="es-CO"/>
        </w:rPr>
        <w:t>é</w:t>
      </w:r>
      <w:r w:rsidR="005023F0" w:rsidRPr="009809B2">
        <w:rPr>
          <w:lang w:val="es-CO"/>
        </w:rPr>
        <w:t xml:space="preserve">n se puede deducir al comparar las series </w:t>
      </w:r>
      <w:r w:rsidR="0052517D" w:rsidRPr="009809B2">
        <w:rPr>
          <w:lang w:val="es-CO"/>
        </w:rPr>
        <w:t>con referencia dic-2015 y referencia dic-2020</w:t>
      </w:r>
      <w:r w:rsidR="005023F0" w:rsidRPr="009809B2">
        <w:rPr>
          <w:lang w:val="es-CO"/>
        </w:rPr>
        <w:t>, el hecho de reducir el periodo de “suavización” no soluciona completamente la dependencia del mo</w:t>
      </w:r>
      <w:r w:rsidR="0052517D" w:rsidRPr="009809B2">
        <w:rPr>
          <w:lang w:val="es-CO"/>
        </w:rPr>
        <w:t xml:space="preserve">mento </w:t>
      </w:r>
      <w:r w:rsidRPr="009809B2">
        <w:rPr>
          <w:lang w:val="es-CO"/>
        </w:rPr>
        <w:t>de cálculo de la serie, pero disminuye dicho efecto.</w:t>
      </w:r>
      <w:r w:rsidR="0052517D" w:rsidRPr="009809B2">
        <w:rPr>
          <w:lang w:val="es-CO"/>
        </w:rPr>
        <w:t xml:space="preserve"> </w:t>
      </w:r>
    </w:p>
    <w:p w14:paraId="7EDB9F71" w14:textId="671F7507" w:rsidR="00C35CB2" w:rsidRPr="009809B2" w:rsidRDefault="00D31635" w:rsidP="00C35CB2">
      <w:pPr>
        <w:spacing w:before="220"/>
        <w:rPr>
          <w:rFonts w:cstheme="minorHAnsi"/>
          <w:lang w:val="es-CO"/>
        </w:rPr>
      </w:pPr>
      <w:r w:rsidRPr="009809B2">
        <w:rPr>
          <w:rFonts w:cstheme="minorHAnsi"/>
          <w:lang w:val="es-CO"/>
        </w:rPr>
        <w:t xml:space="preserve">El resultado de los análisis al respecto </w:t>
      </w:r>
      <w:r w:rsidR="006A1083" w:rsidRPr="009809B2">
        <w:rPr>
          <w:rFonts w:cstheme="minorHAnsi"/>
          <w:lang w:val="es-CO"/>
        </w:rPr>
        <w:t xml:space="preserve">indica que una “suavización” del indexador </w:t>
      </w:r>
      <w:r w:rsidR="0036256B" w:rsidRPr="009809B2">
        <w:rPr>
          <w:rFonts w:cstheme="minorHAnsi"/>
          <w:lang w:val="es-CO"/>
        </w:rPr>
        <w:t xml:space="preserve">tendría las siguientes características: </w:t>
      </w:r>
    </w:p>
    <w:p w14:paraId="0060B4F6" w14:textId="3974A2B8" w:rsidR="00102131" w:rsidRPr="009809B2" w:rsidRDefault="00102131" w:rsidP="00102131">
      <w:pPr>
        <w:pStyle w:val="Prrafodelista"/>
        <w:numPr>
          <w:ilvl w:val="0"/>
          <w:numId w:val="30"/>
        </w:numPr>
        <w:spacing w:before="220"/>
        <w:rPr>
          <w:rFonts w:cstheme="minorHAnsi"/>
          <w:lang w:val="es-CO"/>
        </w:rPr>
      </w:pPr>
      <w:r w:rsidRPr="009809B2">
        <w:rPr>
          <w:rFonts w:cstheme="minorHAnsi"/>
          <w:lang w:val="es-CO"/>
        </w:rPr>
        <w:t xml:space="preserve">Como en los últimos meses se han presentado grandes variaciones, </w:t>
      </w:r>
      <w:r w:rsidR="00FE296C" w:rsidRPr="009809B2">
        <w:rPr>
          <w:rFonts w:cstheme="minorHAnsi"/>
          <w:lang w:val="es-CO"/>
        </w:rPr>
        <w:t xml:space="preserve">en la medida que se incorpore un promedio móvil de un año, </w:t>
      </w:r>
      <w:r w:rsidRPr="009809B2">
        <w:rPr>
          <w:rFonts w:cstheme="minorHAnsi"/>
          <w:lang w:val="es-CO"/>
        </w:rPr>
        <w:t xml:space="preserve">estas permanecerían dentro del promedio móvil así las futuras variaciones </w:t>
      </w:r>
      <w:r w:rsidR="003C6868" w:rsidRPr="009809B2">
        <w:rPr>
          <w:rFonts w:cstheme="minorHAnsi"/>
          <w:lang w:val="es-CO"/>
        </w:rPr>
        <w:t>sean pequeñas</w:t>
      </w:r>
      <w:r w:rsidRPr="009809B2">
        <w:rPr>
          <w:rFonts w:cstheme="minorHAnsi"/>
          <w:lang w:val="es-CO"/>
        </w:rPr>
        <w:t xml:space="preserve"> como se espera.</w:t>
      </w:r>
      <w:r w:rsidR="00FE296C" w:rsidRPr="009809B2">
        <w:rPr>
          <w:rFonts w:cstheme="minorHAnsi"/>
          <w:lang w:val="es-CO"/>
        </w:rPr>
        <w:t xml:space="preserve"> En la medida que la temporalidad del promedio móvil disminuya (</w:t>
      </w:r>
      <w:proofErr w:type="spellStart"/>
      <w:r w:rsidR="00FE296C" w:rsidRPr="009809B2">
        <w:rPr>
          <w:rFonts w:cstheme="minorHAnsi"/>
          <w:lang w:val="es-CO"/>
        </w:rPr>
        <w:t>p.e</w:t>
      </w:r>
      <w:proofErr w:type="spellEnd"/>
      <w:r w:rsidR="00FE296C" w:rsidRPr="009809B2">
        <w:rPr>
          <w:rFonts w:cstheme="minorHAnsi"/>
          <w:lang w:val="es-CO"/>
        </w:rPr>
        <w:t xml:space="preserve">. 6 o 3 meses) </w:t>
      </w:r>
      <w:r w:rsidR="005447D2" w:rsidRPr="009809B2">
        <w:rPr>
          <w:rFonts w:cstheme="minorHAnsi"/>
          <w:lang w:val="es-CO"/>
        </w:rPr>
        <w:t xml:space="preserve">menor será la persistencia de las variaciones pasadas. </w:t>
      </w:r>
      <w:r w:rsidR="00FE296C" w:rsidRPr="009809B2">
        <w:rPr>
          <w:rFonts w:cstheme="minorHAnsi"/>
          <w:lang w:val="es-CO"/>
        </w:rPr>
        <w:t xml:space="preserve"> </w:t>
      </w:r>
    </w:p>
    <w:p w14:paraId="4DC84C38" w14:textId="0633A90F" w:rsidR="004E62DA" w:rsidRPr="009809B2" w:rsidRDefault="004E62DA" w:rsidP="00102131">
      <w:pPr>
        <w:pStyle w:val="Prrafodelista"/>
        <w:numPr>
          <w:ilvl w:val="0"/>
          <w:numId w:val="30"/>
        </w:numPr>
        <w:spacing w:before="220"/>
        <w:rPr>
          <w:rFonts w:cstheme="minorHAnsi"/>
          <w:lang w:val="es-CO"/>
        </w:rPr>
      </w:pPr>
      <w:r w:rsidRPr="009809B2">
        <w:rPr>
          <w:rFonts w:cstheme="minorHAnsi"/>
          <w:lang w:val="es-CO"/>
        </w:rPr>
        <w:t xml:space="preserve">No habría una señal directa al usuario de lo que está pasando con los precios, que </w:t>
      </w:r>
      <w:r w:rsidR="00A927A2" w:rsidRPr="009809B2">
        <w:rPr>
          <w:rFonts w:cstheme="minorHAnsi"/>
          <w:lang w:val="es-CO"/>
        </w:rPr>
        <w:t xml:space="preserve">refleje la condición </w:t>
      </w:r>
      <w:r w:rsidR="007E37BD" w:rsidRPr="009809B2">
        <w:rPr>
          <w:rFonts w:cstheme="minorHAnsi"/>
          <w:lang w:val="es-CO"/>
        </w:rPr>
        <w:t>en cada momento del tiempo</w:t>
      </w:r>
      <w:r w:rsidR="00EB2CCD" w:rsidRPr="009809B2">
        <w:rPr>
          <w:rFonts w:cstheme="minorHAnsi"/>
          <w:lang w:val="es-CO"/>
        </w:rPr>
        <w:t>,</w:t>
      </w:r>
      <w:r w:rsidR="007E37BD" w:rsidRPr="009809B2">
        <w:rPr>
          <w:rFonts w:cstheme="minorHAnsi"/>
          <w:lang w:val="es-CO"/>
        </w:rPr>
        <w:t xml:space="preserve"> </w:t>
      </w:r>
      <w:r w:rsidR="003E6005" w:rsidRPr="009809B2">
        <w:rPr>
          <w:rFonts w:cstheme="minorHAnsi"/>
          <w:lang w:val="es-CO"/>
        </w:rPr>
        <w:t>por cuanto l</w:t>
      </w:r>
      <w:r w:rsidRPr="009809B2">
        <w:rPr>
          <w:rFonts w:cstheme="minorHAnsi"/>
          <w:lang w:val="es-CO"/>
        </w:rPr>
        <w:t>a decisión sobre la utilización del servicio</w:t>
      </w:r>
      <w:r w:rsidR="007E37BD" w:rsidRPr="009809B2">
        <w:rPr>
          <w:rFonts w:cstheme="minorHAnsi"/>
          <w:lang w:val="es-CO"/>
        </w:rPr>
        <w:t xml:space="preserve"> según condiciones de abundancia, escasez u otra condición del </w:t>
      </w:r>
      <w:r w:rsidR="00E164AF" w:rsidRPr="009809B2">
        <w:rPr>
          <w:rFonts w:cstheme="minorHAnsi"/>
          <w:lang w:val="es-CO"/>
        </w:rPr>
        <w:t>instante</w:t>
      </w:r>
      <w:r w:rsidR="003E6005" w:rsidRPr="009809B2">
        <w:rPr>
          <w:rFonts w:cstheme="minorHAnsi"/>
          <w:lang w:val="es-CO"/>
        </w:rPr>
        <w:t>,</w:t>
      </w:r>
      <w:r w:rsidR="00E164AF" w:rsidRPr="009809B2">
        <w:rPr>
          <w:rFonts w:cstheme="minorHAnsi"/>
          <w:lang w:val="es-CO"/>
        </w:rPr>
        <w:t xml:space="preserve"> tendrá un retardo</w:t>
      </w:r>
      <w:r w:rsidRPr="009809B2">
        <w:rPr>
          <w:rFonts w:cstheme="minorHAnsi"/>
          <w:lang w:val="es-CO"/>
        </w:rPr>
        <w:t>.</w:t>
      </w:r>
    </w:p>
    <w:p w14:paraId="1A71864F" w14:textId="768E935D" w:rsidR="00102131" w:rsidRPr="009809B2" w:rsidRDefault="00102131" w:rsidP="00102131">
      <w:pPr>
        <w:pStyle w:val="Prrafodelista"/>
        <w:numPr>
          <w:ilvl w:val="0"/>
          <w:numId w:val="30"/>
        </w:numPr>
        <w:spacing w:before="220"/>
        <w:rPr>
          <w:rFonts w:cstheme="minorHAnsi"/>
          <w:lang w:val="es-CO"/>
        </w:rPr>
      </w:pPr>
      <w:r w:rsidRPr="009809B2">
        <w:rPr>
          <w:rFonts w:cstheme="minorHAnsi"/>
          <w:lang w:val="es-CO"/>
        </w:rPr>
        <w:t>Sería necesario definir un procedimiento para calcular ese promedio móvil: si se calcula un promedio aritmético de las variaciones o se calcula uno geométrico</w:t>
      </w:r>
      <w:r w:rsidR="00C24F26" w:rsidRPr="009809B2">
        <w:rPr>
          <w:rFonts w:cstheme="minorHAnsi"/>
          <w:lang w:val="es-CO"/>
        </w:rPr>
        <w:t>, lo que incluiría mayores complejidades</w:t>
      </w:r>
      <w:r w:rsidR="00D73E45" w:rsidRPr="009809B2">
        <w:rPr>
          <w:rFonts w:cstheme="minorHAnsi"/>
          <w:lang w:val="es-CO"/>
        </w:rPr>
        <w:t xml:space="preserve"> respecto al cálculo de la variación</w:t>
      </w:r>
      <w:r w:rsidR="00294127" w:rsidRPr="009809B2">
        <w:rPr>
          <w:rFonts w:cstheme="minorHAnsi"/>
          <w:lang w:val="es-CO"/>
        </w:rPr>
        <w:t xml:space="preserve"> respecto de tomar el índice mensualmente publicado por el DANE</w:t>
      </w:r>
      <w:r w:rsidRPr="009809B2">
        <w:rPr>
          <w:rFonts w:cstheme="minorHAnsi"/>
          <w:lang w:val="es-CO"/>
        </w:rPr>
        <w:t>.</w:t>
      </w:r>
    </w:p>
    <w:p w14:paraId="579502CE" w14:textId="0A01C355" w:rsidR="00102131" w:rsidRPr="009809B2" w:rsidRDefault="00102131" w:rsidP="00102131">
      <w:pPr>
        <w:pStyle w:val="Prrafodelista"/>
        <w:numPr>
          <w:ilvl w:val="0"/>
          <w:numId w:val="30"/>
        </w:numPr>
        <w:spacing w:before="220"/>
        <w:rPr>
          <w:rFonts w:cstheme="minorHAnsi"/>
          <w:lang w:val="es-CO"/>
        </w:rPr>
      </w:pPr>
      <w:r w:rsidRPr="009809B2">
        <w:rPr>
          <w:rFonts w:cstheme="minorHAnsi"/>
          <w:lang w:val="es-CO"/>
        </w:rPr>
        <w:t>Ser</w:t>
      </w:r>
      <w:r w:rsidR="004E5814" w:rsidRPr="009809B2">
        <w:rPr>
          <w:rFonts w:cstheme="minorHAnsi"/>
          <w:lang w:val="es-CO"/>
        </w:rPr>
        <w:t>í</w:t>
      </w:r>
      <w:r w:rsidRPr="009809B2">
        <w:rPr>
          <w:rFonts w:cstheme="minorHAnsi"/>
          <w:lang w:val="es-CO"/>
        </w:rPr>
        <w:t xml:space="preserve">a necesario “calcular” y guardar un nuevo índice creado a partir del promedio móvil obtenido para las variaciones porque, en la regulación vigente, los ajustes se hacen comparando el índice de una fecha frente al valor del índice en una fecha de referencia. Esto haría </w:t>
      </w:r>
      <w:r w:rsidR="004E62DA" w:rsidRPr="009809B2">
        <w:rPr>
          <w:rFonts w:cstheme="minorHAnsi"/>
          <w:lang w:val="es-CO"/>
        </w:rPr>
        <w:t xml:space="preserve">necesario identificar la </w:t>
      </w:r>
      <w:r w:rsidRPr="009809B2">
        <w:rPr>
          <w:rFonts w:cstheme="minorHAnsi"/>
          <w:lang w:val="es-CO"/>
        </w:rPr>
        <w:t xml:space="preserve">entidad </w:t>
      </w:r>
      <w:r w:rsidR="004E62DA" w:rsidRPr="009809B2">
        <w:rPr>
          <w:rFonts w:cstheme="minorHAnsi"/>
          <w:lang w:val="es-CO"/>
        </w:rPr>
        <w:t xml:space="preserve">encargada de </w:t>
      </w:r>
      <w:r w:rsidRPr="009809B2">
        <w:rPr>
          <w:rFonts w:cstheme="minorHAnsi"/>
          <w:lang w:val="es-CO"/>
        </w:rPr>
        <w:t>calcula</w:t>
      </w:r>
      <w:r w:rsidR="004E62DA" w:rsidRPr="009809B2">
        <w:rPr>
          <w:rFonts w:cstheme="minorHAnsi"/>
          <w:lang w:val="es-CO"/>
        </w:rPr>
        <w:t>r</w:t>
      </w:r>
      <w:r w:rsidRPr="009809B2">
        <w:rPr>
          <w:rFonts w:cstheme="minorHAnsi"/>
          <w:lang w:val="es-CO"/>
        </w:rPr>
        <w:t xml:space="preserve"> este nuevo índice</w:t>
      </w:r>
      <w:r w:rsidR="004E62DA" w:rsidRPr="009809B2">
        <w:rPr>
          <w:rFonts w:cstheme="minorHAnsi"/>
          <w:lang w:val="es-CO"/>
        </w:rPr>
        <w:t>.</w:t>
      </w:r>
    </w:p>
    <w:p w14:paraId="14E2F1B3" w14:textId="7602686D" w:rsidR="0090209D" w:rsidRPr="009809B2" w:rsidRDefault="0090209D" w:rsidP="009F71AA">
      <w:pPr>
        <w:keepNext/>
        <w:numPr>
          <w:ilvl w:val="0"/>
          <w:numId w:val="34"/>
        </w:numPr>
        <w:suppressAutoHyphens/>
        <w:spacing w:before="360"/>
        <w:outlineLvl w:val="0"/>
        <w:rPr>
          <w:rFonts w:cstheme="minorHAnsi"/>
          <w:b/>
          <w:spacing w:val="-5"/>
          <w:lang w:val="es-CO"/>
        </w:rPr>
      </w:pPr>
      <w:bookmarkStart w:id="300" w:name="_Toc121500274"/>
      <w:bookmarkStart w:id="301" w:name="_Toc121500280"/>
      <w:bookmarkStart w:id="302" w:name="_Toc172100738"/>
      <w:bookmarkStart w:id="303" w:name="_Toc125389396"/>
      <w:bookmarkEnd w:id="300"/>
      <w:bookmarkEnd w:id="301"/>
      <w:r w:rsidRPr="009809B2">
        <w:rPr>
          <w:rFonts w:cstheme="minorHAnsi"/>
          <w:b/>
          <w:spacing w:val="-5"/>
          <w:lang w:val="es-CO"/>
        </w:rPr>
        <w:t xml:space="preserve">CONSIDERACIONES </w:t>
      </w:r>
      <w:r w:rsidR="00080A4F" w:rsidRPr="009809B2">
        <w:rPr>
          <w:rFonts w:cstheme="minorHAnsi"/>
          <w:b/>
          <w:spacing w:val="-5"/>
          <w:lang w:val="es-CO"/>
        </w:rPr>
        <w:t xml:space="preserve">ADICIONALES </w:t>
      </w:r>
      <w:r w:rsidRPr="009809B2">
        <w:rPr>
          <w:rFonts w:cstheme="minorHAnsi"/>
          <w:b/>
          <w:spacing w:val="-5"/>
          <w:lang w:val="es-CO"/>
        </w:rPr>
        <w:t>PARA LA IMPL</w:t>
      </w:r>
      <w:r w:rsidR="00080A4F" w:rsidRPr="009809B2">
        <w:rPr>
          <w:rFonts w:cstheme="minorHAnsi"/>
          <w:b/>
          <w:spacing w:val="-5"/>
          <w:lang w:val="es-CO"/>
        </w:rPr>
        <w:t>E</w:t>
      </w:r>
      <w:r w:rsidRPr="009809B2">
        <w:rPr>
          <w:rFonts w:cstheme="minorHAnsi"/>
          <w:b/>
          <w:spacing w:val="-5"/>
          <w:lang w:val="es-CO"/>
        </w:rPr>
        <w:t xml:space="preserve">MENTACIÓN </w:t>
      </w:r>
      <w:r w:rsidR="00080A4F" w:rsidRPr="009809B2">
        <w:rPr>
          <w:rFonts w:cstheme="minorHAnsi"/>
          <w:b/>
          <w:spacing w:val="-5"/>
          <w:lang w:val="es-CO"/>
        </w:rPr>
        <w:t>DE LOS ÍNDICES</w:t>
      </w:r>
      <w:bookmarkEnd w:id="302"/>
    </w:p>
    <w:p w14:paraId="5935E637" w14:textId="6A5271C3" w:rsidR="0090209D" w:rsidRPr="009809B2" w:rsidRDefault="0090209D" w:rsidP="00F85979">
      <w:pPr>
        <w:spacing w:before="220"/>
        <w:rPr>
          <w:lang w:val="es-CO"/>
        </w:rPr>
      </w:pPr>
      <w:r w:rsidRPr="009809B2">
        <w:rPr>
          <w:lang w:val="es-CO"/>
        </w:rPr>
        <w:t xml:space="preserve">Con independencia de la alternativa a proponer, es necesario tener en cuenta que para la aplicación del nuevo o nuevos índices son necesarias sendas modificaciones tarifarias. </w:t>
      </w:r>
    </w:p>
    <w:p w14:paraId="03CDBDCD" w14:textId="0893839E" w:rsidR="0090209D" w:rsidRPr="009809B2" w:rsidRDefault="0090209D" w:rsidP="00F85979">
      <w:pPr>
        <w:spacing w:before="220"/>
        <w:rPr>
          <w:rFonts w:cstheme="minorHAnsi"/>
          <w:szCs w:val="18"/>
          <w:lang w:val="es-CO"/>
        </w:rPr>
      </w:pPr>
      <w:r w:rsidRPr="009809B2">
        <w:rPr>
          <w:rFonts w:cstheme="minorHAnsi"/>
          <w:szCs w:val="18"/>
          <w:lang w:val="es-CO"/>
        </w:rPr>
        <w:lastRenderedPageBreak/>
        <w:t xml:space="preserve">Esto es, para el cambio del IPP en la fórmula tarifaria de la actividad de transmisión es necesario modificar la Resolución CREG 011 de 2009, proceso que se encuentra previsto para el </w:t>
      </w:r>
      <w:r w:rsidR="0084505A" w:rsidRPr="009809B2">
        <w:rPr>
          <w:rFonts w:cstheme="minorHAnsi"/>
          <w:szCs w:val="18"/>
          <w:lang w:val="es-CO"/>
        </w:rPr>
        <w:t xml:space="preserve">año </w:t>
      </w:r>
      <w:r w:rsidRPr="009809B2">
        <w:rPr>
          <w:rFonts w:cstheme="minorHAnsi"/>
          <w:szCs w:val="18"/>
          <w:lang w:val="es-CO"/>
        </w:rPr>
        <w:t>202</w:t>
      </w:r>
      <w:r w:rsidR="00720205" w:rsidRPr="009809B2">
        <w:rPr>
          <w:rFonts w:cstheme="minorHAnsi"/>
          <w:szCs w:val="18"/>
          <w:lang w:val="es-CO"/>
        </w:rPr>
        <w:t>4</w:t>
      </w:r>
      <w:r w:rsidRPr="009809B2">
        <w:rPr>
          <w:rFonts w:cstheme="minorHAnsi"/>
          <w:szCs w:val="18"/>
          <w:lang w:val="es-CO"/>
        </w:rPr>
        <w:t>. Para el cambio del IPP en la actividad de distribución de energía eléctrica es necesario modificar la Resolución CREG 015 de 2018, proceso que se tiene previsto iniciar durante la presente vigencia y cuya materialización podría preverse para el 202</w:t>
      </w:r>
      <w:r w:rsidR="00720205" w:rsidRPr="009809B2">
        <w:rPr>
          <w:rFonts w:cstheme="minorHAnsi"/>
          <w:szCs w:val="18"/>
          <w:lang w:val="es-CO"/>
        </w:rPr>
        <w:t>5</w:t>
      </w:r>
      <w:r w:rsidRPr="009809B2">
        <w:rPr>
          <w:rFonts w:cstheme="minorHAnsi"/>
          <w:szCs w:val="18"/>
          <w:lang w:val="es-CO"/>
        </w:rPr>
        <w:t xml:space="preserve"> y, finalmente, para el cambio del IPC en la actividad de comercialización de energía es necesario modificar la Resolución CREG 180 de 2014</w:t>
      </w:r>
      <w:r w:rsidR="00D70B97" w:rsidRPr="009809B2">
        <w:rPr>
          <w:rFonts w:cstheme="minorHAnsi"/>
          <w:szCs w:val="18"/>
          <w:lang w:val="es-CO"/>
        </w:rPr>
        <w:t xml:space="preserve">, </w:t>
      </w:r>
      <w:r w:rsidR="0078350A" w:rsidRPr="009809B2">
        <w:rPr>
          <w:rFonts w:cstheme="minorHAnsi"/>
          <w:szCs w:val="18"/>
          <w:lang w:val="es-CO"/>
        </w:rPr>
        <w:t>tarea</w:t>
      </w:r>
      <w:r w:rsidRPr="009809B2">
        <w:rPr>
          <w:rFonts w:cstheme="minorHAnsi"/>
          <w:szCs w:val="18"/>
          <w:lang w:val="es-CO"/>
        </w:rPr>
        <w:t xml:space="preserve"> previst</w:t>
      </w:r>
      <w:r w:rsidR="0078350A" w:rsidRPr="009809B2">
        <w:rPr>
          <w:rFonts w:cstheme="minorHAnsi"/>
          <w:szCs w:val="18"/>
          <w:lang w:val="es-CO"/>
        </w:rPr>
        <w:t>a</w:t>
      </w:r>
      <w:r w:rsidRPr="009809B2">
        <w:rPr>
          <w:rFonts w:cstheme="minorHAnsi"/>
          <w:szCs w:val="18"/>
          <w:lang w:val="es-CO"/>
        </w:rPr>
        <w:t xml:space="preserve"> para el presente año.</w:t>
      </w:r>
    </w:p>
    <w:p w14:paraId="06F71195" w14:textId="77777777" w:rsidR="0090209D" w:rsidRPr="009809B2" w:rsidRDefault="0090209D" w:rsidP="00F85979">
      <w:pPr>
        <w:spacing w:before="220"/>
        <w:rPr>
          <w:rFonts w:cstheme="minorHAnsi"/>
          <w:szCs w:val="18"/>
          <w:lang w:val="es-CO"/>
        </w:rPr>
      </w:pPr>
      <w:r w:rsidRPr="009809B2">
        <w:rPr>
          <w:rFonts w:cstheme="minorHAnsi"/>
          <w:szCs w:val="18"/>
          <w:lang w:val="es-CO"/>
        </w:rPr>
        <w:t>El cambio del indexador para los contratos de suministro de energía a largo plazo es posible realizarlo modificando el artículo 12 de la Resolución CREG 130 de 2019, por supuesto, previa consulta pública.</w:t>
      </w:r>
    </w:p>
    <w:p w14:paraId="4F6A25C5" w14:textId="0D5F0D9C" w:rsidR="006116CC" w:rsidRPr="009809B2" w:rsidRDefault="0090209D" w:rsidP="00F85979">
      <w:pPr>
        <w:spacing w:before="220"/>
        <w:rPr>
          <w:rFonts w:cstheme="minorHAnsi"/>
          <w:szCs w:val="18"/>
          <w:lang w:val="es-CO"/>
        </w:rPr>
      </w:pPr>
      <w:r w:rsidRPr="009809B2">
        <w:rPr>
          <w:rFonts w:cstheme="minorHAnsi"/>
          <w:szCs w:val="18"/>
          <w:lang w:val="es-CO"/>
        </w:rPr>
        <w:t>Por otra parte, es necesario tener en cuenta que, como se mencionó anteriormente, aunque varios agentes se acogieron a la opción de la Resolución CREG 101 031 de 2022 para las actividades de transmisión y distribución de energía eléctrica y a la opción de la Resolución CREG 101 029 de 2022 para la actividad de generación, la vigencia de estos acuerdos finaliz</w:t>
      </w:r>
      <w:r w:rsidR="00FB3CF0" w:rsidRPr="009809B2">
        <w:rPr>
          <w:rFonts w:cstheme="minorHAnsi"/>
          <w:szCs w:val="18"/>
          <w:lang w:val="es-CO"/>
        </w:rPr>
        <w:t>ó</w:t>
      </w:r>
      <w:r w:rsidRPr="009809B2">
        <w:rPr>
          <w:rFonts w:cstheme="minorHAnsi"/>
          <w:szCs w:val="18"/>
          <w:lang w:val="es-CO"/>
        </w:rPr>
        <w:t xml:space="preserve"> entre octubre y noviembre de 2023</w:t>
      </w:r>
      <w:r w:rsidR="00674A9C" w:rsidRPr="009809B2">
        <w:rPr>
          <w:rFonts w:cstheme="minorHAnsi"/>
          <w:szCs w:val="18"/>
          <w:lang w:val="es-CO"/>
        </w:rPr>
        <w:t>, a partir de lo cual</w:t>
      </w:r>
      <w:r w:rsidRPr="009809B2">
        <w:rPr>
          <w:rFonts w:cstheme="minorHAnsi"/>
          <w:szCs w:val="18"/>
          <w:lang w:val="es-CO"/>
        </w:rPr>
        <w:t xml:space="preserve"> el cálculo de los componentes se </w:t>
      </w:r>
      <w:r w:rsidR="00674A9C" w:rsidRPr="009809B2">
        <w:rPr>
          <w:rFonts w:cstheme="minorHAnsi"/>
          <w:szCs w:val="18"/>
          <w:lang w:val="es-CO"/>
        </w:rPr>
        <w:t>realiza</w:t>
      </w:r>
      <w:r w:rsidRPr="009809B2">
        <w:rPr>
          <w:rFonts w:cstheme="minorHAnsi"/>
          <w:szCs w:val="18"/>
          <w:lang w:val="es-CO"/>
        </w:rPr>
        <w:t xml:space="preserve"> nuevamente según las variables explicadas en los antecedentes, es decir, regresamos a la aplicación de los índices IPC e IPP oferta interna.</w:t>
      </w:r>
    </w:p>
    <w:p w14:paraId="23689897" w14:textId="446D73CD" w:rsidR="00674A9C" w:rsidRPr="009809B2" w:rsidRDefault="00DE1074" w:rsidP="00F85979">
      <w:pPr>
        <w:spacing w:before="220"/>
        <w:rPr>
          <w:rFonts w:cstheme="minorHAnsi"/>
          <w:szCs w:val="18"/>
          <w:lang w:val="es-CO"/>
        </w:rPr>
      </w:pPr>
      <w:r w:rsidRPr="009809B2">
        <w:rPr>
          <w:rFonts w:cstheme="minorHAnsi"/>
          <w:szCs w:val="18"/>
          <w:lang w:val="es-CO"/>
        </w:rPr>
        <w:t>En este sentido se observa la necesidad de plantear nuevamente la alternativa de aplicar índices que permitan mitigar las variaciones</w:t>
      </w:r>
      <w:r w:rsidR="00C27673" w:rsidRPr="009809B2">
        <w:rPr>
          <w:rFonts w:cstheme="minorHAnsi"/>
          <w:szCs w:val="18"/>
          <w:lang w:val="es-CO"/>
        </w:rPr>
        <w:t xml:space="preserve"> tarifarias, razón por la cual se considera pertinente plantear, bajo la figura de</w:t>
      </w:r>
      <w:r w:rsidR="00E82A0D" w:rsidRPr="009809B2">
        <w:rPr>
          <w:rFonts w:cstheme="minorHAnsi"/>
          <w:szCs w:val="18"/>
          <w:lang w:val="es-CO"/>
        </w:rPr>
        <w:t>l</w:t>
      </w:r>
      <w:r w:rsidR="00C27673" w:rsidRPr="009809B2">
        <w:rPr>
          <w:rFonts w:cstheme="minorHAnsi"/>
          <w:szCs w:val="18"/>
          <w:lang w:val="es-CO"/>
        </w:rPr>
        <w:t xml:space="preserve"> mutuo acuerdo, la opción para que los agentes</w:t>
      </w:r>
      <w:r w:rsidR="00AA7AF8" w:rsidRPr="009809B2">
        <w:rPr>
          <w:rFonts w:cstheme="minorHAnsi"/>
          <w:szCs w:val="18"/>
          <w:lang w:val="es-CO"/>
        </w:rPr>
        <w:t>,</w:t>
      </w:r>
      <w:r w:rsidR="00C27673" w:rsidRPr="009809B2">
        <w:rPr>
          <w:rFonts w:cstheme="minorHAnsi"/>
          <w:szCs w:val="18"/>
          <w:lang w:val="es-CO"/>
        </w:rPr>
        <w:t xml:space="preserve"> que así lo consideren, puedan cambiar los índices actual</w:t>
      </w:r>
      <w:r w:rsidR="0016200E" w:rsidRPr="009809B2">
        <w:rPr>
          <w:rFonts w:cstheme="minorHAnsi"/>
          <w:szCs w:val="18"/>
          <w:lang w:val="es-CO"/>
        </w:rPr>
        <w:t>mente</w:t>
      </w:r>
      <w:r w:rsidR="00C27673" w:rsidRPr="009809B2">
        <w:rPr>
          <w:rFonts w:cstheme="minorHAnsi"/>
          <w:szCs w:val="18"/>
          <w:lang w:val="es-CO"/>
        </w:rPr>
        <w:t xml:space="preserve"> aplicados por los propuestos</w:t>
      </w:r>
      <w:r w:rsidR="0016200E" w:rsidRPr="009809B2">
        <w:rPr>
          <w:rFonts w:cstheme="minorHAnsi"/>
          <w:szCs w:val="18"/>
          <w:lang w:val="es-CO"/>
        </w:rPr>
        <w:t xml:space="preserve">, </w:t>
      </w:r>
      <w:r w:rsidR="00C27673" w:rsidRPr="009809B2">
        <w:rPr>
          <w:rFonts w:cstheme="minorHAnsi"/>
          <w:szCs w:val="18"/>
          <w:lang w:val="es-CO"/>
        </w:rPr>
        <w:t xml:space="preserve">a partir de ahora y hasta que </w:t>
      </w:r>
      <w:r w:rsidR="0016200E" w:rsidRPr="009809B2">
        <w:rPr>
          <w:rFonts w:cstheme="minorHAnsi"/>
          <w:szCs w:val="18"/>
          <w:lang w:val="es-CO"/>
        </w:rPr>
        <w:t>se apliquen los cargos que correspondan con base en los índices integrados a las nuevas metodologías.</w:t>
      </w:r>
      <w:r w:rsidR="00C27673" w:rsidRPr="009809B2">
        <w:rPr>
          <w:rFonts w:cstheme="minorHAnsi"/>
          <w:szCs w:val="18"/>
          <w:lang w:val="es-CO"/>
        </w:rPr>
        <w:t xml:space="preserve"> </w:t>
      </w:r>
    </w:p>
    <w:p w14:paraId="1925A35A" w14:textId="62EC1E90" w:rsidR="00F40871" w:rsidRPr="009809B2" w:rsidRDefault="00F40871" w:rsidP="00F85979">
      <w:pPr>
        <w:spacing w:before="220"/>
        <w:rPr>
          <w:rFonts w:cstheme="minorHAnsi"/>
          <w:szCs w:val="18"/>
          <w:lang w:val="es-CO"/>
        </w:rPr>
      </w:pPr>
      <w:r w:rsidRPr="009809B2">
        <w:rPr>
          <w:rFonts w:cstheme="minorHAnsi"/>
          <w:szCs w:val="18"/>
          <w:lang w:val="es-CO"/>
        </w:rPr>
        <w:t xml:space="preserve">Otro elemento </w:t>
      </w:r>
      <w:proofErr w:type="gramStart"/>
      <w:r w:rsidRPr="009809B2">
        <w:rPr>
          <w:rFonts w:cstheme="minorHAnsi"/>
          <w:szCs w:val="18"/>
          <w:lang w:val="es-CO"/>
        </w:rPr>
        <w:t>a</w:t>
      </w:r>
      <w:proofErr w:type="gramEnd"/>
      <w:r w:rsidRPr="009809B2">
        <w:rPr>
          <w:rFonts w:cstheme="minorHAnsi"/>
          <w:szCs w:val="18"/>
          <w:lang w:val="es-CO"/>
        </w:rPr>
        <w:t xml:space="preserve"> tener en cuenta es la </w:t>
      </w:r>
      <w:r w:rsidR="00987144" w:rsidRPr="009809B2">
        <w:rPr>
          <w:rFonts w:cstheme="minorHAnsi"/>
          <w:szCs w:val="18"/>
          <w:lang w:val="es-CO"/>
        </w:rPr>
        <w:t>oportunidad</w:t>
      </w:r>
      <w:r w:rsidR="00C63C72" w:rsidRPr="009809B2">
        <w:rPr>
          <w:rFonts w:cstheme="minorHAnsi"/>
          <w:szCs w:val="18"/>
          <w:lang w:val="es-CO"/>
        </w:rPr>
        <w:t xml:space="preserve"> de publicación por parte del DANE de las series a utilizar:</w:t>
      </w:r>
    </w:p>
    <w:p w14:paraId="31706E7E" w14:textId="2A754D92" w:rsidR="00C63C72" w:rsidRPr="009809B2" w:rsidRDefault="00C13EA0" w:rsidP="00C63C72">
      <w:pPr>
        <w:pStyle w:val="Prrafodelista"/>
        <w:numPr>
          <w:ilvl w:val="0"/>
          <w:numId w:val="30"/>
        </w:numPr>
        <w:spacing w:before="220"/>
        <w:rPr>
          <w:rFonts w:cstheme="minorHAnsi"/>
          <w:szCs w:val="18"/>
          <w:lang w:val="es-CO"/>
        </w:rPr>
      </w:pPr>
      <w:r w:rsidRPr="009809B2">
        <w:rPr>
          <w:rFonts w:cstheme="minorHAnsi"/>
          <w:szCs w:val="18"/>
          <w:lang w:val="es-CO"/>
        </w:rPr>
        <w:t>Al</w:t>
      </w:r>
      <w:r w:rsidR="009A7DA4" w:rsidRPr="009809B2">
        <w:rPr>
          <w:rFonts w:cstheme="minorHAnsi"/>
          <w:szCs w:val="18"/>
          <w:lang w:val="es-CO"/>
        </w:rPr>
        <w:t xml:space="preserve"> inicio de</w:t>
      </w:r>
      <w:r w:rsidR="00EF136C" w:rsidRPr="009809B2">
        <w:rPr>
          <w:rFonts w:cstheme="minorHAnsi"/>
          <w:szCs w:val="18"/>
          <w:lang w:val="es-CO"/>
        </w:rPr>
        <w:t xml:space="preserve"> cada</w:t>
      </w:r>
      <w:r w:rsidR="009A7DA4" w:rsidRPr="009809B2">
        <w:rPr>
          <w:rFonts w:cstheme="minorHAnsi"/>
          <w:szCs w:val="18"/>
          <w:lang w:val="es-CO"/>
        </w:rPr>
        <w:t xml:space="preserve"> mes</w:t>
      </w:r>
      <w:r w:rsidR="00026C81" w:rsidRPr="009809B2">
        <w:rPr>
          <w:rFonts w:cstheme="minorHAnsi"/>
          <w:szCs w:val="18"/>
          <w:lang w:val="es-CO"/>
        </w:rPr>
        <w:t>,</w:t>
      </w:r>
      <w:r w:rsidR="009A7DA4" w:rsidRPr="009809B2">
        <w:rPr>
          <w:rFonts w:cstheme="minorHAnsi"/>
          <w:szCs w:val="18"/>
          <w:lang w:val="es-CO"/>
        </w:rPr>
        <w:t xml:space="preserve"> </w:t>
      </w:r>
      <w:r w:rsidR="007F6F25" w:rsidRPr="009809B2">
        <w:rPr>
          <w:rFonts w:cstheme="minorHAnsi"/>
          <w:szCs w:val="18"/>
          <w:lang w:val="es-CO"/>
        </w:rPr>
        <w:t xml:space="preserve">el DANE publica </w:t>
      </w:r>
      <w:r w:rsidR="009A7DA4" w:rsidRPr="009809B2">
        <w:rPr>
          <w:rFonts w:cstheme="minorHAnsi"/>
          <w:szCs w:val="18"/>
          <w:lang w:val="es-CO"/>
        </w:rPr>
        <w:t xml:space="preserve">las series relacionadas con los </w:t>
      </w:r>
      <w:r w:rsidR="003B2363" w:rsidRPr="009809B2">
        <w:rPr>
          <w:rFonts w:cstheme="minorHAnsi"/>
          <w:szCs w:val="18"/>
          <w:lang w:val="es-CO"/>
        </w:rPr>
        <w:t>índices de precios del productor</w:t>
      </w:r>
      <w:r w:rsidR="00026C81" w:rsidRPr="009809B2">
        <w:rPr>
          <w:rFonts w:cstheme="minorHAnsi"/>
          <w:szCs w:val="18"/>
          <w:lang w:val="es-CO"/>
        </w:rPr>
        <w:t xml:space="preserve"> del mes anterior</w:t>
      </w:r>
      <w:r w:rsidR="003B2363" w:rsidRPr="009809B2">
        <w:rPr>
          <w:rFonts w:cstheme="minorHAnsi"/>
          <w:szCs w:val="18"/>
          <w:lang w:val="es-CO"/>
        </w:rPr>
        <w:t>, pero esta publicación es de carácter provisional. L</w:t>
      </w:r>
      <w:r w:rsidR="00244DC4" w:rsidRPr="009809B2">
        <w:rPr>
          <w:rFonts w:cstheme="minorHAnsi"/>
          <w:szCs w:val="18"/>
          <w:lang w:val="es-CO"/>
        </w:rPr>
        <w:t xml:space="preserve">os datos definitivos </w:t>
      </w:r>
      <w:r w:rsidR="0033656B" w:rsidRPr="009809B2">
        <w:rPr>
          <w:rFonts w:cstheme="minorHAnsi"/>
          <w:szCs w:val="18"/>
          <w:lang w:val="es-CO"/>
        </w:rPr>
        <w:t>se pub</w:t>
      </w:r>
      <w:r w:rsidR="003C674F" w:rsidRPr="009809B2">
        <w:rPr>
          <w:rFonts w:cstheme="minorHAnsi"/>
          <w:szCs w:val="18"/>
          <w:lang w:val="es-CO"/>
        </w:rPr>
        <w:t>lican al mes siguiente</w:t>
      </w:r>
      <w:r w:rsidR="004136C0" w:rsidRPr="009809B2">
        <w:rPr>
          <w:rFonts w:cstheme="minorHAnsi"/>
          <w:szCs w:val="18"/>
          <w:lang w:val="es-CO"/>
        </w:rPr>
        <w:t>.</w:t>
      </w:r>
    </w:p>
    <w:p w14:paraId="7E0A968F" w14:textId="510138B9" w:rsidR="004136C0" w:rsidRPr="009809B2" w:rsidRDefault="004136C0" w:rsidP="00C63C72">
      <w:pPr>
        <w:pStyle w:val="Prrafodelista"/>
        <w:numPr>
          <w:ilvl w:val="0"/>
          <w:numId w:val="30"/>
        </w:numPr>
        <w:spacing w:before="220"/>
        <w:rPr>
          <w:rFonts w:cstheme="minorHAnsi"/>
          <w:szCs w:val="18"/>
          <w:lang w:val="es-CO"/>
        </w:rPr>
      </w:pPr>
      <w:r w:rsidRPr="009809B2">
        <w:rPr>
          <w:rFonts w:cstheme="minorHAnsi"/>
          <w:szCs w:val="18"/>
          <w:lang w:val="es-CO"/>
        </w:rPr>
        <w:t>Desde octubre de 2023</w:t>
      </w:r>
      <w:r w:rsidR="00A700D9" w:rsidRPr="009809B2">
        <w:rPr>
          <w:rFonts w:cstheme="minorHAnsi"/>
          <w:szCs w:val="18"/>
          <w:lang w:val="es-CO"/>
        </w:rPr>
        <w:t xml:space="preserve"> el DANE está publicando la serie</w:t>
      </w:r>
      <w:r w:rsidR="007F1790" w:rsidRPr="009809B2">
        <w:rPr>
          <w:rFonts w:cstheme="minorHAnsi"/>
          <w:szCs w:val="18"/>
          <w:lang w:val="es-CO"/>
        </w:rPr>
        <w:t xml:space="preserve"> “</w:t>
      </w:r>
      <w:r w:rsidR="008A5EBA" w:rsidRPr="009809B2">
        <w:rPr>
          <w:rFonts w:cstheme="minorHAnsi"/>
          <w:szCs w:val="18"/>
          <w:lang w:val="es-CO"/>
        </w:rPr>
        <w:t>IPC sin alimentos ni regulados</w:t>
      </w:r>
      <w:r w:rsidR="007F1790" w:rsidRPr="009809B2">
        <w:rPr>
          <w:rFonts w:cstheme="minorHAnsi"/>
          <w:szCs w:val="18"/>
          <w:lang w:val="es-CO"/>
        </w:rPr>
        <w:t>”</w:t>
      </w:r>
      <w:r w:rsidR="00B95CCE" w:rsidRPr="009809B2">
        <w:rPr>
          <w:rFonts w:cstheme="minorHAnsi"/>
          <w:szCs w:val="18"/>
          <w:lang w:val="es-CO"/>
        </w:rPr>
        <w:t xml:space="preserve"> pero s</w:t>
      </w:r>
      <w:r w:rsidR="00A83DAD" w:rsidRPr="009809B2">
        <w:rPr>
          <w:rFonts w:cstheme="minorHAnsi"/>
          <w:szCs w:val="18"/>
          <w:lang w:val="es-CO"/>
        </w:rPr>
        <w:t>u</w:t>
      </w:r>
      <w:r w:rsidR="00B95CCE" w:rsidRPr="009809B2">
        <w:rPr>
          <w:rFonts w:cstheme="minorHAnsi"/>
          <w:szCs w:val="18"/>
          <w:lang w:val="es-CO"/>
        </w:rPr>
        <w:t xml:space="preserve"> publicación se hace con un mes de atraso</w:t>
      </w:r>
      <w:r w:rsidR="00297FF5" w:rsidRPr="009809B2">
        <w:rPr>
          <w:rFonts w:cstheme="minorHAnsi"/>
          <w:szCs w:val="18"/>
          <w:lang w:val="es-CO"/>
        </w:rPr>
        <w:t>.</w:t>
      </w:r>
      <w:r w:rsidR="001C793E" w:rsidRPr="009809B2">
        <w:rPr>
          <w:rFonts w:cstheme="minorHAnsi"/>
          <w:szCs w:val="18"/>
          <w:lang w:val="es-CO"/>
        </w:rPr>
        <w:t xml:space="preserve"> Esto es, a comienzos del mes de ju</w:t>
      </w:r>
      <w:r w:rsidR="00E329A6" w:rsidRPr="009809B2">
        <w:rPr>
          <w:rFonts w:cstheme="minorHAnsi"/>
          <w:szCs w:val="18"/>
          <w:lang w:val="es-CO"/>
        </w:rPr>
        <w:t>nio de 2024 se publicó la serie con valores hasta el mes de abril de 2024</w:t>
      </w:r>
      <w:r w:rsidR="00840C6F" w:rsidRPr="009809B2">
        <w:rPr>
          <w:rFonts w:cstheme="minorHAnsi"/>
          <w:szCs w:val="18"/>
          <w:lang w:val="es-CO"/>
        </w:rPr>
        <w:t>.</w:t>
      </w:r>
    </w:p>
    <w:p w14:paraId="640B2DB3" w14:textId="1F4E8C4D" w:rsidR="00840C6F" w:rsidRPr="009809B2" w:rsidRDefault="00840C6F" w:rsidP="00840C6F">
      <w:pPr>
        <w:spacing w:before="220"/>
        <w:rPr>
          <w:rFonts w:cstheme="minorHAnsi"/>
          <w:szCs w:val="18"/>
          <w:lang w:val="es-CO"/>
        </w:rPr>
      </w:pPr>
      <w:r w:rsidRPr="009809B2">
        <w:rPr>
          <w:rFonts w:cstheme="minorHAnsi"/>
          <w:szCs w:val="18"/>
          <w:lang w:val="es-CO"/>
        </w:rPr>
        <w:lastRenderedPageBreak/>
        <w:t>Teniendo en cuenta lo anterior, se propone utilizar los índices publicados por el DANE</w:t>
      </w:r>
      <w:r w:rsidR="00D66CA8" w:rsidRPr="009809B2">
        <w:rPr>
          <w:rFonts w:cstheme="minorHAnsi"/>
          <w:szCs w:val="18"/>
          <w:lang w:val="es-CO"/>
        </w:rPr>
        <w:t>, pero haciendo referencia a los del mes m-2, a cambio del mes m-1 como está en la regulación vigente.</w:t>
      </w:r>
    </w:p>
    <w:p w14:paraId="50CCFE70" w14:textId="429C59AF" w:rsidR="00D26556" w:rsidRPr="009809B2" w:rsidRDefault="006007EE" w:rsidP="009F71AA">
      <w:pPr>
        <w:keepNext/>
        <w:numPr>
          <w:ilvl w:val="0"/>
          <w:numId w:val="34"/>
        </w:numPr>
        <w:suppressAutoHyphens/>
        <w:spacing w:before="360"/>
        <w:outlineLvl w:val="0"/>
        <w:rPr>
          <w:rFonts w:cstheme="minorHAnsi"/>
          <w:b/>
          <w:spacing w:val="-5"/>
          <w:lang w:val="es-CO"/>
        </w:rPr>
      </w:pPr>
      <w:bookmarkStart w:id="304" w:name="_Toc172100739"/>
      <w:r w:rsidRPr="009809B2">
        <w:rPr>
          <w:rFonts w:cstheme="minorHAnsi"/>
          <w:b/>
          <w:spacing w:val="-5"/>
          <w:lang w:val="es-CO"/>
        </w:rPr>
        <w:t>RECOMENDACIÓN</w:t>
      </w:r>
      <w:bookmarkEnd w:id="303"/>
      <w:bookmarkEnd w:id="304"/>
    </w:p>
    <w:p w14:paraId="211B3734" w14:textId="77777777" w:rsidR="004E62DA" w:rsidRPr="009809B2" w:rsidRDefault="007800C4" w:rsidP="00161340">
      <w:pPr>
        <w:spacing w:before="220"/>
        <w:rPr>
          <w:rFonts w:cstheme="minorHAnsi"/>
          <w:lang w:val="es-CO"/>
        </w:rPr>
      </w:pPr>
      <w:r w:rsidRPr="009809B2">
        <w:rPr>
          <w:rFonts w:cstheme="minorHAnsi"/>
          <w:lang w:val="es-CO"/>
        </w:rPr>
        <w:t>Con base en el análisis de las alternativas, s</w:t>
      </w:r>
      <w:r w:rsidR="004201D5" w:rsidRPr="009809B2">
        <w:rPr>
          <w:rFonts w:cstheme="minorHAnsi"/>
          <w:lang w:val="es-CO"/>
        </w:rPr>
        <w:t xml:space="preserve">e recomienda </w:t>
      </w:r>
      <w:r w:rsidR="004E62DA" w:rsidRPr="009809B2">
        <w:rPr>
          <w:rFonts w:cstheme="minorHAnsi"/>
          <w:lang w:val="es-CO"/>
        </w:rPr>
        <w:t>lo siguiente:</w:t>
      </w:r>
    </w:p>
    <w:p w14:paraId="201C4491" w14:textId="20A2BFE1" w:rsidR="004E62DA" w:rsidRPr="009809B2" w:rsidRDefault="00E32DFC" w:rsidP="004E62DA">
      <w:pPr>
        <w:pStyle w:val="Prrafodelista"/>
        <w:numPr>
          <w:ilvl w:val="0"/>
          <w:numId w:val="30"/>
        </w:numPr>
        <w:spacing w:before="220"/>
        <w:rPr>
          <w:rFonts w:cstheme="minorHAnsi"/>
          <w:lang w:val="es-CO"/>
        </w:rPr>
      </w:pPr>
      <w:r w:rsidRPr="009809B2">
        <w:rPr>
          <w:rFonts w:cstheme="minorHAnsi"/>
          <w:lang w:val="es-CO"/>
        </w:rPr>
        <w:t>U</w:t>
      </w:r>
      <w:r w:rsidR="004E62DA" w:rsidRPr="009809B2">
        <w:rPr>
          <w:rFonts w:cstheme="minorHAnsi"/>
          <w:lang w:val="es-CO"/>
        </w:rPr>
        <w:t>tilizar la serie “Índices de Precios de los Bienes de Capital (BK)”, correspondiente a la sección C “Industrias manufactureras” para la actualización de inversiones</w:t>
      </w:r>
      <w:r w:rsidR="009B480E" w:rsidRPr="009809B2">
        <w:rPr>
          <w:rFonts w:cstheme="minorHAnsi"/>
          <w:lang w:val="es-CO"/>
        </w:rPr>
        <w:t>.</w:t>
      </w:r>
    </w:p>
    <w:p w14:paraId="4DD653AF" w14:textId="074C2EB8" w:rsidR="004E62DA" w:rsidRPr="009809B2" w:rsidRDefault="00E32DFC" w:rsidP="004E62DA">
      <w:pPr>
        <w:pStyle w:val="Prrafodelista"/>
        <w:numPr>
          <w:ilvl w:val="0"/>
          <w:numId w:val="30"/>
        </w:numPr>
        <w:spacing w:before="220"/>
        <w:rPr>
          <w:rFonts w:cstheme="minorHAnsi"/>
          <w:lang w:val="es-CO"/>
        </w:rPr>
      </w:pPr>
      <w:r w:rsidRPr="009809B2">
        <w:rPr>
          <w:rFonts w:cstheme="minorHAnsi"/>
          <w:lang w:val="es-CO"/>
        </w:rPr>
        <w:t xml:space="preserve">Utilizar </w:t>
      </w:r>
      <w:r w:rsidR="004E62DA" w:rsidRPr="009809B2">
        <w:rPr>
          <w:rFonts w:cstheme="minorHAnsi"/>
          <w:lang w:val="es-CO"/>
        </w:rPr>
        <w:t>la serie “</w:t>
      </w:r>
      <w:r w:rsidR="009407D9" w:rsidRPr="009809B2">
        <w:rPr>
          <w:rFonts w:cstheme="minorHAnsi"/>
          <w:lang w:val="es-CO"/>
        </w:rPr>
        <w:t xml:space="preserve">IPC </w:t>
      </w:r>
      <w:r w:rsidR="00062B04" w:rsidRPr="009809B2">
        <w:rPr>
          <w:rFonts w:cstheme="minorHAnsi"/>
          <w:szCs w:val="18"/>
          <w:lang w:val="es-CO"/>
        </w:rPr>
        <w:t>sin</w:t>
      </w:r>
      <w:r w:rsidR="009407D9" w:rsidRPr="009809B2">
        <w:rPr>
          <w:rFonts w:cstheme="minorHAnsi"/>
          <w:szCs w:val="18"/>
          <w:lang w:val="es-CO"/>
        </w:rPr>
        <w:t xml:space="preserve"> </w:t>
      </w:r>
      <w:r w:rsidR="002B0B99" w:rsidRPr="009809B2">
        <w:rPr>
          <w:rFonts w:cstheme="minorHAnsi"/>
          <w:szCs w:val="18"/>
          <w:lang w:val="es-CO"/>
        </w:rPr>
        <w:t>alimento</w:t>
      </w:r>
      <w:r w:rsidR="009407D9" w:rsidRPr="009809B2">
        <w:rPr>
          <w:rFonts w:cstheme="minorHAnsi"/>
          <w:szCs w:val="18"/>
          <w:lang w:val="es-CO"/>
        </w:rPr>
        <w:t xml:space="preserve">s </w:t>
      </w:r>
      <w:r w:rsidR="00062B04" w:rsidRPr="009809B2">
        <w:rPr>
          <w:rFonts w:cstheme="minorHAnsi"/>
          <w:szCs w:val="18"/>
          <w:lang w:val="es-CO"/>
        </w:rPr>
        <w:t>ni</w:t>
      </w:r>
      <w:r w:rsidR="009407D9" w:rsidRPr="009809B2">
        <w:rPr>
          <w:rFonts w:cstheme="minorHAnsi"/>
          <w:szCs w:val="18"/>
          <w:lang w:val="es-CO"/>
        </w:rPr>
        <w:t xml:space="preserve"> </w:t>
      </w:r>
      <w:r w:rsidR="00F10970" w:rsidRPr="009809B2">
        <w:rPr>
          <w:rFonts w:cstheme="minorHAnsi"/>
          <w:szCs w:val="18"/>
          <w:lang w:val="es-CO"/>
        </w:rPr>
        <w:t>regulados</w:t>
      </w:r>
      <w:r w:rsidR="009407D9" w:rsidRPr="009809B2">
        <w:rPr>
          <w:rFonts w:cstheme="minorHAnsi"/>
          <w:lang w:val="es-CO"/>
        </w:rPr>
        <w:t>”, para la actualización de costo</w:t>
      </w:r>
      <w:r w:rsidR="00A8175F" w:rsidRPr="009809B2">
        <w:rPr>
          <w:rFonts w:cstheme="minorHAnsi"/>
          <w:lang w:val="es-CO"/>
        </w:rPr>
        <w:t xml:space="preserve">s </w:t>
      </w:r>
      <w:r w:rsidR="009407D9" w:rsidRPr="009809B2">
        <w:rPr>
          <w:rFonts w:cstheme="minorHAnsi"/>
          <w:lang w:val="es-CO"/>
        </w:rPr>
        <w:t>y gastos</w:t>
      </w:r>
      <w:r w:rsidR="007D45CF" w:rsidRPr="009809B2">
        <w:rPr>
          <w:rFonts w:cstheme="minorHAnsi"/>
          <w:lang w:val="es-CO"/>
        </w:rPr>
        <w:t xml:space="preserve">. </w:t>
      </w:r>
    </w:p>
    <w:p w14:paraId="32ADD7E9" w14:textId="31FC16A8" w:rsidR="00F632BC" w:rsidRPr="009809B2" w:rsidRDefault="007D45CF" w:rsidP="007D5FD8">
      <w:pPr>
        <w:pStyle w:val="Prrafodelista"/>
        <w:numPr>
          <w:ilvl w:val="0"/>
          <w:numId w:val="30"/>
        </w:numPr>
        <w:spacing w:before="220"/>
        <w:rPr>
          <w:lang w:val="es-CO"/>
        </w:rPr>
      </w:pPr>
      <w:r w:rsidRPr="009809B2">
        <w:rPr>
          <w:lang w:val="es-CO"/>
        </w:rPr>
        <w:t>Para efectos de m</w:t>
      </w:r>
      <w:r w:rsidR="003B449B" w:rsidRPr="009809B2">
        <w:rPr>
          <w:lang w:val="es-CO"/>
        </w:rPr>
        <w:t>i</w:t>
      </w:r>
      <w:r w:rsidR="00A74AF3" w:rsidRPr="009809B2">
        <w:rPr>
          <w:lang w:val="es-CO"/>
        </w:rPr>
        <w:t>tig</w:t>
      </w:r>
      <w:r w:rsidR="000F426B" w:rsidRPr="009809B2">
        <w:rPr>
          <w:lang w:val="es-CO"/>
        </w:rPr>
        <w:t>ar</w:t>
      </w:r>
      <w:r w:rsidRPr="009809B2">
        <w:rPr>
          <w:lang w:val="es-CO"/>
        </w:rPr>
        <w:t xml:space="preserve"> el efecto de </w:t>
      </w:r>
      <w:r w:rsidR="00E074A6" w:rsidRPr="009809B2">
        <w:rPr>
          <w:lang w:val="es-CO"/>
        </w:rPr>
        <w:t xml:space="preserve">volatilidad </w:t>
      </w:r>
      <w:r w:rsidRPr="009809B2">
        <w:rPr>
          <w:lang w:val="es-CO"/>
        </w:rPr>
        <w:t>mensual</w:t>
      </w:r>
      <w:r w:rsidR="001E0096" w:rsidRPr="009809B2">
        <w:rPr>
          <w:lang w:val="es-CO"/>
        </w:rPr>
        <w:t xml:space="preserve"> se recomienda </w:t>
      </w:r>
      <w:r w:rsidR="003949E3" w:rsidRPr="009809B2">
        <w:rPr>
          <w:lang w:val="es-CO"/>
        </w:rPr>
        <w:t xml:space="preserve">que se </w:t>
      </w:r>
      <w:r w:rsidR="00E074A6" w:rsidRPr="009809B2">
        <w:rPr>
          <w:lang w:val="es-CO"/>
        </w:rPr>
        <w:t>apliquen los índices resultantes de</w:t>
      </w:r>
      <w:r w:rsidR="003949E3" w:rsidRPr="009809B2">
        <w:rPr>
          <w:lang w:val="es-CO"/>
        </w:rPr>
        <w:t xml:space="preserve"> un promedio móvil </w:t>
      </w:r>
      <w:r w:rsidR="009E3EB8" w:rsidRPr="009809B2">
        <w:rPr>
          <w:lang w:val="es-CO"/>
        </w:rPr>
        <w:t>de tres meses,</w:t>
      </w:r>
      <w:r w:rsidR="00994494" w:rsidRPr="009809B2">
        <w:rPr>
          <w:lang w:val="es-CO"/>
        </w:rPr>
        <w:t xml:space="preserve"> </w:t>
      </w:r>
      <w:r w:rsidR="003949E3" w:rsidRPr="009809B2">
        <w:rPr>
          <w:lang w:val="es-CO"/>
        </w:rPr>
        <w:t xml:space="preserve">minimizando </w:t>
      </w:r>
      <w:r w:rsidR="008A4C48" w:rsidRPr="009809B2">
        <w:rPr>
          <w:lang w:val="es-CO"/>
        </w:rPr>
        <w:t>el efecto de “memoria” de altas o bajas</w:t>
      </w:r>
      <w:r w:rsidR="00223353" w:rsidRPr="009809B2">
        <w:rPr>
          <w:lang w:val="es-CO"/>
        </w:rPr>
        <w:t xml:space="preserve"> fluctuaciones</w:t>
      </w:r>
      <w:r w:rsidR="009E3EB8" w:rsidRPr="009809B2">
        <w:rPr>
          <w:lang w:val="es-CO"/>
        </w:rPr>
        <w:t xml:space="preserve"> y </w:t>
      </w:r>
      <w:r w:rsidR="0018271D" w:rsidRPr="009809B2">
        <w:rPr>
          <w:lang w:val="es-CO"/>
        </w:rPr>
        <w:t>logra</w:t>
      </w:r>
      <w:r w:rsidR="009E3EB8" w:rsidRPr="009809B2">
        <w:rPr>
          <w:lang w:val="es-CO"/>
        </w:rPr>
        <w:t>ndo</w:t>
      </w:r>
      <w:r w:rsidR="0018271D" w:rsidRPr="009809B2">
        <w:rPr>
          <w:lang w:val="es-CO"/>
        </w:rPr>
        <w:t xml:space="preserve"> el ef</w:t>
      </w:r>
      <w:r w:rsidR="00F632BC" w:rsidRPr="009809B2">
        <w:rPr>
          <w:lang w:val="es-CO"/>
        </w:rPr>
        <w:t>e</w:t>
      </w:r>
      <w:r w:rsidR="0018271D" w:rsidRPr="009809B2">
        <w:rPr>
          <w:lang w:val="es-CO"/>
        </w:rPr>
        <w:t xml:space="preserve">cto </w:t>
      </w:r>
      <w:r w:rsidR="00F632BC" w:rsidRPr="009809B2">
        <w:rPr>
          <w:lang w:val="es-CO"/>
        </w:rPr>
        <w:t>deseado</w:t>
      </w:r>
      <w:r w:rsidR="00AE5842" w:rsidRPr="009809B2">
        <w:rPr>
          <w:lang w:val="es-CO"/>
        </w:rPr>
        <w:t xml:space="preserve"> </w:t>
      </w:r>
      <w:r w:rsidR="0018271D" w:rsidRPr="009809B2">
        <w:rPr>
          <w:lang w:val="es-CO"/>
        </w:rPr>
        <w:t xml:space="preserve">sin </w:t>
      </w:r>
      <w:r w:rsidR="00F632BC" w:rsidRPr="009809B2">
        <w:rPr>
          <w:lang w:val="es-CO"/>
        </w:rPr>
        <w:t xml:space="preserve">alterar considerablemente la serie </w:t>
      </w:r>
      <w:r w:rsidR="00AE5842" w:rsidRPr="009809B2">
        <w:rPr>
          <w:lang w:val="es-CO"/>
        </w:rPr>
        <w:t>y, en especial, la señal de precios.</w:t>
      </w:r>
    </w:p>
    <w:p w14:paraId="66BA35ED" w14:textId="3D69D98A" w:rsidR="00B37351" w:rsidRPr="009809B2" w:rsidRDefault="00936DF5" w:rsidP="00B37351">
      <w:pPr>
        <w:pStyle w:val="Prrafodelista"/>
        <w:numPr>
          <w:ilvl w:val="0"/>
          <w:numId w:val="30"/>
        </w:numPr>
        <w:spacing w:before="220"/>
        <w:rPr>
          <w:rFonts w:cstheme="minorHAnsi"/>
          <w:lang w:val="es-CO"/>
        </w:rPr>
      </w:pPr>
      <w:r w:rsidRPr="009809B2">
        <w:rPr>
          <w:rFonts w:cstheme="minorHAnsi"/>
          <w:lang w:val="es-CO"/>
        </w:rPr>
        <w:t>La</w:t>
      </w:r>
      <w:r w:rsidR="009F7CC2" w:rsidRPr="009809B2">
        <w:rPr>
          <w:rFonts w:cstheme="minorHAnsi"/>
          <w:lang w:val="es-CO"/>
        </w:rPr>
        <w:t xml:space="preserve">s </w:t>
      </w:r>
      <w:r w:rsidRPr="009809B2">
        <w:rPr>
          <w:rFonts w:cstheme="minorHAnsi"/>
          <w:lang w:val="es-CO"/>
        </w:rPr>
        <w:t>alternativa</w:t>
      </w:r>
      <w:r w:rsidR="009F7CC2" w:rsidRPr="009809B2">
        <w:rPr>
          <w:rFonts w:cstheme="minorHAnsi"/>
          <w:lang w:val="es-CO"/>
        </w:rPr>
        <w:t>s</w:t>
      </w:r>
      <w:r w:rsidRPr="009809B2">
        <w:rPr>
          <w:rFonts w:cstheme="minorHAnsi"/>
          <w:lang w:val="es-CO"/>
        </w:rPr>
        <w:t xml:space="preserve"> de realizar un índice compuesto</w:t>
      </w:r>
      <w:r w:rsidR="009F7CC2" w:rsidRPr="009809B2">
        <w:rPr>
          <w:rFonts w:cstheme="minorHAnsi"/>
          <w:lang w:val="es-CO"/>
        </w:rPr>
        <w:t xml:space="preserve"> y</w:t>
      </w:r>
      <w:r w:rsidR="00AB20D1" w:rsidRPr="009809B2">
        <w:rPr>
          <w:rFonts w:cstheme="minorHAnsi"/>
          <w:lang w:val="es-CO"/>
        </w:rPr>
        <w:t xml:space="preserve"> la</w:t>
      </w:r>
      <w:r w:rsidR="00B37351" w:rsidRPr="009809B2">
        <w:rPr>
          <w:rFonts w:cstheme="minorHAnsi"/>
          <w:lang w:val="es-CO"/>
        </w:rPr>
        <w:t xml:space="preserve"> de diseñar un nuevo índice</w:t>
      </w:r>
      <w:r w:rsidR="00AB20D1" w:rsidRPr="009809B2">
        <w:rPr>
          <w:rFonts w:cstheme="minorHAnsi"/>
          <w:lang w:val="es-CO"/>
        </w:rPr>
        <w:t xml:space="preserve"> no se </w:t>
      </w:r>
      <w:r w:rsidR="009F7CC2" w:rsidRPr="009809B2">
        <w:rPr>
          <w:rFonts w:cstheme="minorHAnsi"/>
          <w:lang w:val="es-CO"/>
        </w:rPr>
        <w:t>recomiendan</w:t>
      </w:r>
      <w:r w:rsidR="00AB20D1" w:rsidRPr="009809B2">
        <w:rPr>
          <w:rFonts w:cstheme="minorHAnsi"/>
          <w:lang w:val="es-CO"/>
        </w:rPr>
        <w:t xml:space="preserve"> </w:t>
      </w:r>
      <w:r w:rsidR="00B37351" w:rsidRPr="009809B2">
        <w:rPr>
          <w:rFonts w:cstheme="minorHAnsi"/>
          <w:lang w:val="es-CO"/>
        </w:rPr>
        <w:t>por cuanto, a partir de las simulaciones realizadas, se evidenció que un índice nuevo no aportaría una diferencia apreciable respecto de algunos de los índices que actualmente produce y publica el DANE; adicional a que el tiempo para la elaboración e implementación de un nuevo índice no corresponde a la oportunidad que se requiere para su discusión con los participantes del mercado y su incorporación metodológica.</w:t>
      </w:r>
    </w:p>
    <w:p w14:paraId="2D4F8846" w14:textId="3198704E" w:rsidR="0020096A" w:rsidRPr="009809B2" w:rsidRDefault="00F336D0" w:rsidP="0020096A">
      <w:pPr>
        <w:pStyle w:val="Prrafodelista"/>
        <w:numPr>
          <w:ilvl w:val="0"/>
          <w:numId w:val="30"/>
        </w:numPr>
        <w:spacing w:before="220"/>
        <w:rPr>
          <w:rFonts w:cstheme="minorHAnsi"/>
          <w:lang w:val="es-CO"/>
        </w:rPr>
      </w:pPr>
      <w:r w:rsidRPr="009809B2">
        <w:rPr>
          <w:rFonts w:cstheme="minorHAnsi"/>
          <w:lang w:val="es-CO"/>
        </w:rPr>
        <w:t xml:space="preserve">Con el fin de </w:t>
      </w:r>
      <w:r w:rsidR="00870BFA" w:rsidRPr="009809B2">
        <w:rPr>
          <w:rFonts w:cstheme="minorHAnsi"/>
          <w:lang w:val="es-CO"/>
        </w:rPr>
        <w:t>empezar a utilizar los índices pr</w:t>
      </w:r>
      <w:r w:rsidR="00C41725" w:rsidRPr="009809B2">
        <w:rPr>
          <w:rFonts w:cstheme="minorHAnsi"/>
          <w:lang w:val="es-CO"/>
        </w:rPr>
        <w:t xml:space="preserve">esentados, se propone la </w:t>
      </w:r>
      <w:r w:rsidR="009B7AA5" w:rsidRPr="009809B2">
        <w:rPr>
          <w:rFonts w:cstheme="minorHAnsi"/>
          <w:lang w:val="es-CO"/>
        </w:rPr>
        <w:t>alternativa de un m</w:t>
      </w:r>
      <w:r w:rsidR="0020096A" w:rsidRPr="009809B2">
        <w:rPr>
          <w:rFonts w:cstheme="minorHAnsi"/>
          <w:lang w:val="es-CO"/>
        </w:rPr>
        <w:t>utuo acuerdo</w:t>
      </w:r>
      <w:r w:rsidR="009B7AA5" w:rsidRPr="009809B2">
        <w:rPr>
          <w:rFonts w:cstheme="minorHAnsi"/>
          <w:lang w:val="es-CO"/>
        </w:rPr>
        <w:t xml:space="preserve"> por</w:t>
      </w:r>
      <w:r w:rsidR="000A6795" w:rsidRPr="009809B2">
        <w:rPr>
          <w:rFonts w:cstheme="minorHAnsi"/>
          <w:lang w:val="es-CO"/>
        </w:rPr>
        <w:t xml:space="preserve"> </w:t>
      </w:r>
      <w:r w:rsidR="009B7AA5" w:rsidRPr="009809B2">
        <w:rPr>
          <w:rFonts w:cstheme="minorHAnsi"/>
          <w:lang w:val="es-CO"/>
        </w:rPr>
        <w:t>parte de los agentes</w:t>
      </w:r>
      <w:r w:rsidR="004D1725" w:rsidRPr="009809B2">
        <w:rPr>
          <w:rFonts w:cstheme="minorHAnsi"/>
          <w:lang w:val="es-CO"/>
        </w:rPr>
        <w:t xml:space="preserve">, la cual operaría entre la fecha de aceptación y la fecha de </w:t>
      </w:r>
      <w:proofErr w:type="gramStart"/>
      <w:r w:rsidR="004D1725" w:rsidRPr="009809B2">
        <w:rPr>
          <w:rFonts w:cstheme="minorHAnsi"/>
          <w:lang w:val="es-CO"/>
        </w:rPr>
        <w:t>entrada en vigencia</w:t>
      </w:r>
      <w:proofErr w:type="gramEnd"/>
      <w:r w:rsidR="004D1725" w:rsidRPr="009809B2">
        <w:rPr>
          <w:rFonts w:cstheme="minorHAnsi"/>
          <w:lang w:val="es-CO"/>
        </w:rPr>
        <w:t xml:space="preserve"> de los nuevos cargos con base en la metodología que corresponda (transmisión, distribución, comercialización)</w:t>
      </w:r>
      <w:r w:rsidR="000A6795" w:rsidRPr="009809B2">
        <w:rPr>
          <w:rFonts w:cstheme="minorHAnsi"/>
          <w:lang w:val="es-CO"/>
        </w:rPr>
        <w:t>.</w:t>
      </w:r>
    </w:p>
    <w:p w14:paraId="5F2BA425" w14:textId="6A020235" w:rsidR="0020096A" w:rsidRPr="009809B2" w:rsidRDefault="005F0444" w:rsidP="0020096A">
      <w:pPr>
        <w:pStyle w:val="Prrafodelista"/>
        <w:numPr>
          <w:ilvl w:val="0"/>
          <w:numId w:val="30"/>
        </w:numPr>
        <w:spacing w:before="220"/>
        <w:rPr>
          <w:rFonts w:cstheme="minorHAnsi"/>
          <w:lang w:val="es-CO"/>
        </w:rPr>
      </w:pPr>
      <w:r w:rsidRPr="009809B2">
        <w:rPr>
          <w:rFonts w:cstheme="minorHAnsi"/>
          <w:lang w:val="es-CO"/>
        </w:rPr>
        <w:t>Dad</w:t>
      </w:r>
      <w:r w:rsidR="00B442CD" w:rsidRPr="009809B2">
        <w:rPr>
          <w:rFonts w:cstheme="minorHAnsi"/>
          <w:lang w:val="es-CO"/>
        </w:rPr>
        <w:t xml:space="preserve">a la </w:t>
      </w:r>
      <w:r w:rsidR="00D80344" w:rsidRPr="009809B2">
        <w:rPr>
          <w:rFonts w:cstheme="minorHAnsi"/>
          <w:lang w:val="es-CO"/>
        </w:rPr>
        <w:t>oportunidad</w:t>
      </w:r>
      <w:r w:rsidRPr="009809B2">
        <w:rPr>
          <w:rFonts w:cstheme="minorHAnsi"/>
          <w:lang w:val="es-CO"/>
        </w:rPr>
        <w:t xml:space="preserve"> en la publicación de lo</w:t>
      </w:r>
      <w:r w:rsidR="008640F7" w:rsidRPr="009809B2">
        <w:rPr>
          <w:rFonts w:cstheme="minorHAnsi"/>
          <w:lang w:val="es-CO"/>
        </w:rPr>
        <w:t>s</w:t>
      </w:r>
      <w:r w:rsidRPr="009809B2">
        <w:rPr>
          <w:rFonts w:cstheme="minorHAnsi"/>
          <w:lang w:val="es-CO"/>
        </w:rPr>
        <w:t xml:space="preserve"> índices</w:t>
      </w:r>
      <w:r w:rsidR="00571362" w:rsidRPr="009809B2">
        <w:rPr>
          <w:rFonts w:cstheme="minorHAnsi"/>
          <w:lang w:val="es-CO"/>
        </w:rPr>
        <w:t xml:space="preserve"> por parte del DANE</w:t>
      </w:r>
      <w:r w:rsidRPr="009809B2">
        <w:rPr>
          <w:rFonts w:cstheme="minorHAnsi"/>
          <w:lang w:val="es-CO"/>
        </w:rPr>
        <w:t>, se pro</w:t>
      </w:r>
      <w:r w:rsidR="00476850" w:rsidRPr="009809B2">
        <w:rPr>
          <w:rFonts w:cstheme="minorHAnsi"/>
          <w:lang w:val="es-CO"/>
        </w:rPr>
        <w:t xml:space="preserve">pone </w:t>
      </w:r>
      <w:r w:rsidR="00C55F35" w:rsidRPr="009809B2">
        <w:rPr>
          <w:rFonts w:cstheme="minorHAnsi"/>
          <w:lang w:val="es-CO"/>
        </w:rPr>
        <w:t xml:space="preserve">cambiar la referencia de los índices del mes </w:t>
      </w:r>
      <w:r w:rsidR="006F11BB" w:rsidRPr="009809B2">
        <w:rPr>
          <w:rFonts w:cstheme="minorHAnsi"/>
          <w:lang w:val="es-CO"/>
        </w:rPr>
        <w:t>m-1 al mes m</w:t>
      </w:r>
      <w:r w:rsidR="00B442CD" w:rsidRPr="009809B2">
        <w:rPr>
          <w:rFonts w:cstheme="minorHAnsi"/>
          <w:lang w:val="es-CO"/>
        </w:rPr>
        <w:t>-2</w:t>
      </w:r>
      <w:r w:rsidR="008520CA" w:rsidRPr="009809B2">
        <w:rPr>
          <w:rFonts w:cstheme="minorHAnsi"/>
          <w:lang w:val="es-CO"/>
        </w:rPr>
        <w:t>, con lo cual ya no se usarían los índices provisionales sino los definitivos</w:t>
      </w:r>
      <w:r w:rsidR="00B442CD" w:rsidRPr="009809B2">
        <w:rPr>
          <w:rFonts w:cstheme="minorHAnsi"/>
          <w:lang w:val="es-CO"/>
        </w:rPr>
        <w:t>.</w:t>
      </w:r>
    </w:p>
    <w:p w14:paraId="068C3360" w14:textId="78BBDC23" w:rsidR="00BE1AC7" w:rsidRPr="009809B2" w:rsidRDefault="0095020C" w:rsidP="00BE1AC7">
      <w:pPr>
        <w:pStyle w:val="Prrafodelista"/>
        <w:numPr>
          <w:ilvl w:val="0"/>
          <w:numId w:val="30"/>
        </w:numPr>
        <w:spacing w:before="220"/>
        <w:rPr>
          <w:rFonts w:cstheme="minorHAnsi"/>
          <w:lang w:val="es-CO"/>
        </w:rPr>
      </w:pPr>
      <w:r w:rsidRPr="009809B2">
        <w:rPr>
          <w:rFonts w:cstheme="minorHAnsi"/>
          <w:lang w:val="es-CO"/>
        </w:rPr>
        <w:t>L</w:t>
      </w:r>
      <w:r w:rsidR="00BE1AC7" w:rsidRPr="009809B2">
        <w:rPr>
          <w:rFonts w:cstheme="minorHAnsi"/>
          <w:lang w:val="es-CO"/>
        </w:rPr>
        <w:t xml:space="preserve">a alternativa de “no hacer nada” </w:t>
      </w:r>
      <w:r w:rsidRPr="009809B2">
        <w:rPr>
          <w:rFonts w:cstheme="minorHAnsi"/>
          <w:lang w:val="es-CO"/>
        </w:rPr>
        <w:t xml:space="preserve">no se recomienda </w:t>
      </w:r>
      <w:r w:rsidR="00BE1AC7" w:rsidRPr="009809B2">
        <w:rPr>
          <w:rFonts w:cstheme="minorHAnsi"/>
          <w:lang w:val="es-CO"/>
        </w:rPr>
        <w:t>por cuanto perpetuaría la</w:t>
      </w:r>
      <w:r w:rsidR="00647618" w:rsidRPr="009809B2">
        <w:rPr>
          <w:rFonts w:cstheme="minorHAnsi"/>
          <w:lang w:val="es-CO"/>
        </w:rPr>
        <w:t>s</w:t>
      </w:r>
      <w:r w:rsidR="00BE1AC7" w:rsidRPr="009809B2">
        <w:rPr>
          <w:rFonts w:cstheme="minorHAnsi"/>
          <w:lang w:val="es-CO"/>
        </w:rPr>
        <w:t xml:space="preserve"> situaci</w:t>
      </w:r>
      <w:r w:rsidR="00647618" w:rsidRPr="009809B2">
        <w:rPr>
          <w:rFonts w:cstheme="minorHAnsi"/>
          <w:lang w:val="es-CO"/>
        </w:rPr>
        <w:t>ones identificadas</w:t>
      </w:r>
      <w:r w:rsidR="00BE1AC7" w:rsidRPr="009809B2">
        <w:rPr>
          <w:rFonts w:cstheme="minorHAnsi"/>
          <w:lang w:val="es-CO"/>
        </w:rPr>
        <w:t>.</w:t>
      </w:r>
    </w:p>
    <w:p w14:paraId="205D751F" w14:textId="678E9EEB" w:rsidR="009407D9" w:rsidRPr="009809B2" w:rsidRDefault="009407D9" w:rsidP="009407D9">
      <w:pPr>
        <w:spacing w:before="220"/>
        <w:rPr>
          <w:rFonts w:cstheme="minorHAnsi"/>
          <w:lang w:val="es-CO"/>
        </w:rPr>
      </w:pPr>
      <w:r w:rsidRPr="009809B2">
        <w:rPr>
          <w:rFonts w:cstheme="minorHAnsi"/>
          <w:lang w:val="es-CO"/>
        </w:rPr>
        <w:t xml:space="preserve">En la </w:t>
      </w:r>
      <w:r w:rsidR="009F43E8" w:rsidRPr="009809B2">
        <w:rPr>
          <w:rFonts w:cstheme="minorHAnsi"/>
          <w:lang w:val="es-CO"/>
        </w:rPr>
        <w:fldChar w:fldCharType="begin"/>
      </w:r>
      <w:r w:rsidR="009F43E8" w:rsidRPr="009809B2">
        <w:rPr>
          <w:rFonts w:cstheme="minorHAnsi"/>
          <w:lang w:val="es-CO"/>
        </w:rPr>
        <w:instrText xml:space="preserve"> REF _Ref125559453 \h  \* MERGEFORMAT </w:instrText>
      </w:r>
      <w:r w:rsidR="009F43E8" w:rsidRPr="009809B2">
        <w:rPr>
          <w:rFonts w:cstheme="minorHAnsi"/>
          <w:lang w:val="es-CO"/>
        </w:rPr>
      </w:r>
      <w:r w:rsidR="009F43E8" w:rsidRPr="009809B2">
        <w:rPr>
          <w:rFonts w:cstheme="minorHAnsi"/>
          <w:lang w:val="es-CO"/>
        </w:rPr>
        <w:fldChar w:fldCharType="separate"/>
      </w:r>
      <w:r w:rsidR="00B40B80" w:rsidRPr="00B40B80">
        <w:rPr>
          <w:rFonts w:cstheme="minorHAnsi"/>
          <w:lang w:val="es-CO"/>
        </w:rPr>
        <w:t>Gráfica 17</w:t>
      </w:r>
      <w:r w:rsidR="009F43E8" w:rsidRPr="009809B2">
        <w:rPr>
          <w:rFonts w:cstheme="minorHAnsi"/>
          <w:lang w:val="es-CO"/>
        </w:rPr>
        <w:fldChar w:fldCharType="end"/>
      </w:r>
      <w:r w:rsidRPr="009809B2">
        <w:rPr>
          <w:rFonts w:cstheme="minorHAnsi"/>
          <w:lang w:val="es-CO"/>
        </w:rPr>
        <w:t xml:space="preserve"> se muestran las series </w:t>
      </w:r>
      <w:r w:rsidR="002E797B" w:rsidRPr="009809B2">
        <w:rPr>
          <w:rFonts w:cstheme="minorHAnsi"/>
          <w:lang w:val="es-CO"/>
        </w:rPr>
        <w:t>relacionadas con el índice de precios del productor que se están usando y la que se recomienda utilizar en este documento: oferta interna, O_I</w:t>
      </w:r>
      <w:r w:rsidR="008D6D76" w:rsidRPr="009809B2">
        <w:rPr>
          <w:rFonts w:cstheme="minorHAnsi"/>
          <w:lang w:val="es-CO"/>
        </w:rPr>
        <w:t>,</w:t>
      </w:r>
      <w:r w:rsidR="002E797B" w:rsidRPr="009809B2">
        <w:rPr>
          <w:rFonts w:cstheme="minorHAnsi"/>
          <w:lang w:val="es-CO"/>
        </w:rPr>
        <w:t xml:space="preserve"> y la sección de industrias manufactureras que se incluye en </w:t>
      </w:r>
      <w:r w:rsidR="00264037" w:rsidRPr="009809B2">
        <w:rPr>
          <w:rFonts w:cstheme="minorHAnsi"/>
          <w:lang w:val="es-CO"/>
        </w:rPr>
        <w:t>el</w:t>
      </w:r>
      <w:r w:rsidR="002E797B" w:rsidRPr="009809B2">
        <w:rPr>
          <w:rFonts w:cstheme="minorHAnsi"/>
          <w:lang w:val="es-CO"/>
        </w:rPr>
        <w:t xml:space="preserve"> cálculo de la serie de bienes de capital; BK_IM.</w:t>
      </w:r>
      <w:r w:rsidR="00170BCD" w:rsidRPr="009809B2">
        <w:rPr>
          <w:rFonts w:cstheme="minorHAnsi"/>
          <w:lang w:val="es-CO"/>
        </w:rPr>
        <w:t xml:space="preserve"> Así mismo, se muestra la utilizada y la propuesta para el IPC.</w:t>
      </w:r>
    </w:p>
    <w:p w14:paraId="2B16BCA5" w14:textId="120E9263" w:rsidR="009F43E8" w:rsidRPr="009809B2" w:rsidRDefault="009F43E8" w:rsidP="00877A23">
      <w:pPr>
        <w:pStyle w:val="Descripcin"/>
        <w:keepNext/>
        <w:spacing w:before="240" w:after="0"/>
        <w:jc w:val="center"/>
        <w:rPr>
          <w:rFonts w:cstheme="minorHAnsi"/>
          <w:color w:val="000000" w:themeColor="text1"/>
          <w:sz w:val="20"/>
          <w:szCs w:val="20"/>
          <w:lang w:val="es-CO"/>
        </w:rPr>
      </w:pPr>
      <w:bookmarkStart w:id="305" w:name="_Ref125559453"/>
      <w:r w:rsidRPr="009809B2">
        <w:rPr>
          <w:rFonts w:cstheme="minorHAnsi"/>
          <w:color w:val="000000" w:themeColor="text1"/>
          <w:sz w:val="20"/>
          <w:szCs w:val="20"/>
          <w:lang w:val="es-CO"/>
        </w:rPr>
        <w:lastRenderedPageBreak/>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17</w:t>
      </w:r>
      <w:r w:rsidRPr="009809B2">
        <w:rPr>
          <w:rFonts w:cstheme="minorHAnsi"/>
          <w:color w:val="000000" w:themeColor="text1"/>
          <w:sz w:val="20"/>
          <w:szCs w:val="20"/>
          <w:lang w:val="es-CO"/>
        </w:rPr>
        <w:fldChar w:fldCharType="end"/>
      </w:r>
      <w:bookmarkEnd w:id="305"/>
      <w:r w:rsidRPr="009809B2">
        <w:rPr>
          <w:rFonts w:cstheme="minorHAnsi"/>
          <w:color w:val="000000" w:themeColor="text1"/>
          <w:sz w:val="20"/>
          <w:szCs w:val="20"/>
          <w:lang w:val="es-CO"/>
        </w:rPr>
        <w:t xml:space="preserve">. Series </w:t>
      </w:r>
      <w:r w:rsidR="00864842" w:rsidRPr="009809B2">
        <w:rPr>
          <w:rFonts w:cstheme="minorHAnsi"/>
          <w:color w:val="000000" w:themeColor="text1"/>
          <w:sz w:val="20"/>
          <w:szCs w:val="20"/>
          <w:lang w:val="es-CO"/>
        </w:rPr>
        <w:t>para el IPP</w:t>
      </w:r>
    </w:p>
    <w:p w14:paraId="0E6DEC81" w14:textId="58F1B669" w:rsidR="009407D9" w:rsidRPr="009809B2" w:rsidRDefault="002E797B" w:rsidP="005F26AE">
      <w:pPr>
        <w:spacing w:before="220"/>
        <w:contextualSpacing/>
        <w:jc w:val="center"/>
        <w:rPr>
          <w:rFonts w:cstheme="minorHAnsi"/>
          <w:lang w:val="es-CO"/>
        </w:rPr>
      </w:pPr>
      <w:r w:rsidRPr="009809B2">
        <w:rPr>
          <w:rFonts w:cstheme="minorHAnsi"/>
          <w:noProof/>
          <w:szCs w:val="18"/>
          <w:lang w:val="es-CO"/>
        </w:rPr>
        <w:drawing>
          <wp:inline distT="0" distB="0" distL="0" distR="0" wp14:anchorId="087F7A97" wp14:editId="6C682527">
            <wp:extent cx="4258524" cy="2872105"/>
            <wp:effectExtent l="0" t="0" r="889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60">
                      <a:extLst>
                        <a:ext uri="{96DAC541-7B7A-43D3-8B79-37D633B846F1}">
                          <asvg:svgBlip xmlns:asvg="http://schemas.microsoft.com/office/drawing/2016/SVG/main" r:embed="rId61"/>
                        </a:ext>
                      </a:extLst>
                    </a:blip>
                    <a:stretch>
                      <a:fillRect/>
                    </a:stretch>
                  </pic:blipFill>
                  <pic:spPr bwMode="auto">
                    <a:xfrm>
                      <a:off x="0" y="0"/>
                      <a:ext cx="4262940" cy="2875083"/>
                    </a:xfrm>
                    <a:prstGeom prst="rect">
                      <a:avLst/>
                    </a:prstGeom>
                  </pic:spPr>
                </pic:pic>
              </a:graphicData>
            </a:graphic>
          </wp:inline>
        </w:drawing>
      </w:r>
    </w:p>
    <w:p w14:paraId="1D85744E" w14:textId="77777777" w:rsidR="005F26AE" w:rsidRPr="009809B2" w:rsidRDefault="005F26AE" w:rsidP="005F26AE">
      <w:pPr>
        <w:ind w:firstLine="720"/>
        <w:rPr>
          <w:rFonts w:cstheme="minorHAnsi"/>
          <w:szCs w:val="18"/>
          <w:lang w:val="es-CO"/>
        </w:rPr>
      </w:pPr>
      <w:r w:rsidRPr="009809B2">
        <w:rPr>
          <w:sz w:val="16"/>
          <w:szCs w:val="16"/>
          <w:lang w:val="es-CO"/>
        </w:rPr>
        <w:t>Fuente: DANE. Cálculos CREG.</w:t>
      </w:r>
    </w:p>
    <w:p w14:paraId="421A6D58" w14:textId="765264CC" w:rsidR="002E797B" w:rsidRPr="009809B2" w:rsidRDefault="002E797B" w:rsidP="002E797B">
      <w:pPr>
        <w:rPr>
          <w:rFonts w:cstheme="minorHAnsi"/>
          <w:szCs w:val="18"/>
          <w:lang w:val="es-CO"/>
        </w:rPr>
      </w:pPr>
      <w:r w:rsidRPr="009809B2">
        <w:rPr>
          <w:rFonts w:cstheme="minorHAnsi"/>
          <w:szCs w:val="18"/>
          <w:lang w:val="es-CO"/>
        </w:rPr>
        <w:t>El comportamiento de las series mostradas en esta gráfica es muy similar hasta diciembre de 2020.</w:t>
      </w:r>
    </w:p>
    <w:p w14:paraId="4FD4E2CE" w14:textId="20453DD0" w:rsidR="002E797B" w:rsidRPr="009809B2" w:rsidRDefault="002E797B" w:rsidP="002E797B">
      <w:pPr>
        <w:rPr>
          <w:rFonts w:cstheme="minorHAnsi"/>
          <w:szCs w:val="18"/>
          <w:lang w:val="es-CO"/>
        </w:rPr>
      </w:pPr>
      <w:r w:rsidRPr="009809B2">
        <w:rPr>
          <w:rFonts w:cstheme="minorHAnsi"/>
          <w:szCs w:val="18"/>
          <w:lang w:val="es-CO"/>
        </w:rPr>
        <w:t xml:space="preserve">Por su parte, la </w:t>
      </w:r>
      <w:r w:rsidRPr="009809B2">
        <w:rPr>
          <w:rFonts w:cstheme="minorHAnsi"/>
          <w:szCs w:val="18"/>
          <w:lang w:val="es-CO"/>
        </w:rPr>
        <w:fldChar w:fldCharType="begin"/>
      </w:r>
      <w:r w:rsidRPr="009809B2">
        <w:rPr>
          <w:rFonts w:cstheme="minorHAnsi"/>
          <w:szCs w:val="18"/>
          <w:lang w:val="es-CO"/>
        </w:rPr>
        <w:instrText xml:space="preserve"> REF _Ref125559470 \h  \* MERGEFORMAT </w:instrText>
      </w:r>
      <w:r w:rsidRPr="009809B2">
        <w:rPr>
          <w:rFonts w:cstheme="minorHAnsi"/>
          <w:szCs w:val="18"/>
          <w:lang w:val="es-CO"/>
        </w:rPr>
      </w:r>
      <w:r w:rsidRPr="009809B2">
        <w:rPr>
          <w:rFonts w:cstheme="minorHAnsi"/>
          <w:szCs w:val="18"/>
          <w:lang w:val="es-CO"/>
        </w:rPr>
        <w:fldChar w:fldCharType="separate"/>
      </w:r>
      <w:r w:rsidR="00B40B80" w:rsidRPr="00B40B80">
        <w:rPr>
          <w:rFonts w:cstheme="minorHAnsi"/>
          <w:szCs w:val="18"/>
          <w:lang w:val="es-CO"/>
        </w:rPr>
        <w:t>Gráfica 18</w:t>
      </w:r>
      <w:r w:rsidRPr="009809B2">
        <w:rPr>
          <w:rFonts w:cstheme="minorHAnsi"/>
          <w:szCs w:val="18"/>
          <w:lang w:val="es-CO"/>
        </w:rPr>
        <w:fldChar w:fldCharType="end"/>
      </w:r>
      <w:r w:rsidRPr="009809B2">
        <w:rPr>
          <w:rFonts w:cstheme="minorHAnsi"/>
          <w:szCs w:val="18"/>
          <w:lang w:val="es-CO"/>
        </w:rPr>
        <w:t xml:space="preserve"> muestra la serie del índice de precios al consumidor, “IPC”, (tal como se usa hoy en la actividad de comercialización) y </w:t>
      </w:r>
      <w:r w:rsidR="00E542CC" w:rsidRPr="009809B2">
        <w:rPr>
          <w:rFonts w:cstheme="minorHAnsi"/>
          <w:szCs w:val="18"/>
          <w:lang w:val="es-CO"/>
        </w:rPr>
        <w:t>se</w:t>
      </w:r>
      <w:r w:rsidRPr="009809B2">
        <w:rPr>
          <w:rFonts w:cstheme="minorHAnsi"/>
          <w:szCs w:val="18"/>
          <w:lang w:val="es-CO"/>
        </w:rPr>
        <w:t xml:space="preserve"> compara con </w:t>
      </w:r>
      <w:r w:rsidR="00B65FC4" w:rsidRPr="009809B2">
        <w:rPr>
          <w:rFonts w:cstheme="minorHAnsi"/>
          <w:szCs w:val="18"/>
          <w:lang w:val="es-CO"/>
        </w:rPr>
        <w:t>l</w:t>
      </w:r>
      <w:r w:rsidRPr="009809B2">
        <w:rPr>
          <w:rFonts w:cstheme="minorHAnsi"/>
          <w:szCs w:val="18"/>
          <w:lang w:val="es-CO"/>
        </w:rPr>
        <w:t xml:space="preserve">a misma serie sin alimentos y sin energéticos, “IPC sin </w:t>
      </w:r>
      <w:proofErr w:type="spellStart"/>
      <w:r w:rsidRPr="009809B2">
        <w:rPr>
          <w:rFonts w:cstheme="minorHAnsi"/>
          <w:szCs w:val="18"/>
          <w:lang w:val="es-CO"/>
        </w:rPr>
        <w:t>ali_energ</w:t>
      </w:r>
      <w:proofErr w:type="spellEnd"/>
      <w:r w:rsidRPr="009809B2">
        <w:rPr>
          <w:rFonts w:cstheme="minorHAnsi"/>
          <w:szCs w:val="18"/>
          <w:lang w:val="es-CO"/>
        </w:rPr>
        <w:t>”</w:t>
      </w:r>
      <w:r w:rsidR="00B65FC4" w:rsidRPr="009809B2">
        <w:rPr>
          <w:rFonts w:cstheme="minorHAnsi"/>
          <w:szCs w:val="18"/>
          <w:lang w:val="es-CO"/>
        </w:rPr>
        <w:t xml:space="preserve"> y </w:t>
      </w:r>
      <w:r w:rsidR="00B65FC4" w:rsidRPr="009809B2">
        <w:rPr>
          <w:rFonts w:cstheme="minorHAnsi"/>
          <w:lang w:val="es-CO"/>
        </w:rPr>
        <w:t xml:space="preserve">la serie “IPC </w:t>
      </w:r>
      <w:r w:rsidR="00B65FC4" w:rsidRPr="009809B2">
        <w:rPr>
          <w:rFonts w:cstheme="minorHAnsi"/>
          <w:szCs w:val="18"/>
          <w:lang w:val="es-CO"/>
        </w:rPr>
        <w:t>sin alimentos ni regulados</w:t>
      </w:r>
      <w:r w:rsidR="00B65FC4" w:rsidRPr="009809B2">
        <w:rPr>
          <w:rFonts w:cstheme="minorHAnsi"/>
          <w:lang w:val="es-CO"/>
        </w:rPr>
        <w:t>”</w:t>
      </w:r>
      <w:r w:rsidRPr="009809B2">
        <w:rPr>
          <w:rFonts w:cstheme="minorHAnsi"/>
          <w:szCs w:val="18"/>
          <w:lang w:val="es-CO"/>
        </w:rPr>
        <w:t>.</w:t>
      </w:r>
      <w:r w:rsidR="00864842" w:rsidRPr="009809B2">
        <w:rPr>
          <w:rFonts w:cstheme="minorHAnsi"/>
          <w:szCs w:val="18"/>
          <w:lang w:val="es-CO"/>
        </w:rPr>
        <w:t xml:space="preserve"> Estas series se toman de</w:t>
      </w:r>
      <w:r w:rsidR="00FC5277" w:rsidRPr="009809B2">
        <w:rPr>
          <w:rFonts w:cstheme="minorHAnsi"/>
          <w:szCs w:val="18"/>
          <w:lang w:val="es-CO"/>
        </w:rPr>
        <w:t xml:space="preserve"> </w:t>
      </w:r>
      <w:r w:rsidR="00864842" w:rsidRPr="009809B2">
        <w:rPr>
          <w:rFonts w:cstheme="minorHAnsi"/>
          <w:szCs w:val="18"/>
          <w:lang w:val="es-CO"/>
        </w:rPr>
        <w:t>l</w:t>
      </w:r>
      <w:r w:rsidR="00FC5277" w:rsidRPr="009809B2">
        <w:rPr>
          <w:rFonts w:cstheme="minorHAnsi"/>
          <w:szCs w:val="18"/>
          <w:lang w:val="es-CO"/>
        </w:rPr>
        <w:t>os</w:t>
      </w:r>
      <w:r w:rsidR="00864842" w:rsidRPr="009809B2">
        <w:rPr>
          <w:rFonts w:cstheme="minorHAnsi"/>
          <w:szCs w:val="18"/>
          <w:lang w:val="es-CO"/>
        </w:rPr>
        <w:t xml:space="preserve"> archivo</w:t>
      </w:r>
      <w:r w:rsidR="00FC5277" w:rsidRPr="009809B2">
        <w:rPr>
          <w:rFonts w:cstheme="minorHAnsi"/>
          <w:szCs w:val="18"/>
          <w:lang w:val="es-CO"/>
        </w:rPr>
        <w:t>s</w:t>
      </w:r>
      <w:r w:rsidR="00864842" w:rsidRPr="009809B2">
        <w:rPr>
          <w:rFonts w:cstheme="minorHAnsi"/>
          <w:szCs w:val="18"/>
          <w:lang w:val="es-CO"/>
        </w:rPr>
        <w:t xml:space="preserve"> “anexo_ipc_</w:t>
      </w:r>
      <w:r w:rsidR="00043AC8" w:rsidRPr="009809B2">
        <w:rPr>
          <w:rFonts w:cstheme="minorHAnsi"/>
          <w:szCs w:val="18"/>
          <w:lang w:val="es-CO"/>
        </w:rPr>
        <w:t>may</w:t>
      </w:r>
      <w:r w:rsidR="00864842" w:rsidRPr="009809B2">
        <w:rPr>
          <w:rFonts w:cstheme="minorHAnsi"/>
          <w:szCs w:val="18"/>
          <w:lang w:val="es-CO"/>
        </w:rPr>
        <w:t>2</w:t>
      </w:r>
      <w:r w:rsidR="00043AC8" w:rsidRPr="009809B2">
        <w:rPr>
          <w:rFonts w:cstheme="minorHAnsi"/>
          <w:szCs w:val="18"/>
          <w:lang w:val="es-CO"/>
        </w:rPr>
        <w:t>024</w:t>
      </w:r>
      <w:r w:rsidR="00864842" w:rsidRPr="009809B2">
        <w:rPr>
          <w:rFonts w:cstheme="minorHAnsi"/>
          <w:szCs w:val="18"/>
          <w:lang w:val="es-CO"/>
        </w:rPr>
        <w:t xml:space="preserve">.xlsx” </w:t>
      </w:r>
      <w:r w:rsidR="00B92B7D" w:rsidRPr="009809B2">
        <w:rPr>
          <w:rFonts w:cstheme="minorHAnsi"/>
          <w:szCs w:val="18"/>
          <w:lang w:val="es-CO"/>
        </w:rPr>
        <w:t xml:space="preserve">y </w:t>
      </w:r>
      <w:r w:rsidR="006E6E15" w:rsidRPr="009809B2">
        <w:rPr>
          <w:rFonts w:cstheme="minorHAnsi"/>
          <w:szCs w:val="18"/>
          <w:lang w:val="es-CO"/>
        </w:rPr>
        <w:t>“anex-IPC-sinAlimentosRegulados-may2024.xlsx”</w:t>
      </w:r>
      <w:r w:rsidR="008F4C1D" w:rsidRPr="009809B2">
        <w:rPr>
          <w:rFonts w:cstheme="minorHAnsi"/>
          <w:szCs w:val="18"/>
          <w:lang w:val="es-CO"/>
        </w:rPr>
        <w:t xml:space="preserve"> </w:t>
      </w:r>
      <w:r w:rsidR="00864842" w:rsidRPr="009809B2">
        <w:rPr>
          <w:rFonts w:cstheme="minorHAnsi"/>
          <w:szCs w:val="18"/>
          <w:lang w:val="es-CO"/>
        </w:rPr>
        <w:t>publicado</w:t>
      </w:r>
      <w:r w:rsidR="00FC5277" w:rsidRPr="009809B2">
        <w:rPr>
          <w:rFonts w:cstheme="minorHAnsi"/>
          <w:szCs w:val="18"/>
          <w:lang w:val="es-CO"/>
        </w:rPr>
        <w:t>s</w:t>
      </w:r>
      <w:r w:rsidR="00864842" w:rsidRPr="009809B2">
        <w:rPr>
          <w:rFonts w:cstheme="minorHAnsi"/>
          <w:szCs w:val="18"/>
          <w:lang w:val="es-CO"/>
        </w:rPr>
        <w:t xml:space="preserve"> por el DANE.</w:t>
      </w:r>
    </w:p>
    <w:p w14:paraId="350DC8A3" w14:textId="5B86B878" w:rsidR="002E797B" w:rsidRPr="009809B2" w:rsidRDefault="002E797B" w:rsidP="002E797B">
      <w:pPr>
        <w:pStyle w:val="Descripcin"/>
        <w:keepNext/>
        <w:spacing w:before="240"/>
        <w:jc w:val="center"/>
        <w:rPr>
          <w:rFonts w:cstheme="minorHAnsi"/>
          <w:color w:val="000000" w:themeColor="text1"/>
          <w:sz w:val="20"/>
          <w:szCs w:val="20"/>
          <w:lang w:val="es-CO"/>
        </w:rPr>
      </w:pPr>
      <w:bookmarkStart w:id="306" w:name="_Ref125559470"/>
      <w:r w:rsidRPr="009809B2">
        <w:rPr>
          <w:rFonts w:cstheme="minorHAnsi"/>
          <w:color w:val="000000" w:themeColor="text1"/>
          <w:sz w:val="20"/>
          <w:szCs w:val="20"/>
          <w:lang w:val="es-CO"/>
        </w:rPr>
        <w:lastRenderedPageBreak/>
        <w:t xml:space="preserve">Gráfica </w:t>
      </w:r>
      <w:r w:rsidRPr="009809B2">
        <w:rPr>
          <w:rFonts w:cstheme="minorHAnsi"/>
          <w:color w:val="000000" w:themeColor="text1"/>
          <w:sz w:val="20"/>
          <w:szCs w:val="20"/>
          <w:lang w:val="es-CO"/>
        </w:rPr>
        <w:fldChar w:fldCharType="begin"/>
      </w:r>
      <w:r w:rsidRPr="009809B2">
        <w:rPr>
          <w:rFonts w:cstheme="minorHAnsi"/>
          <w:color w:val="000000" w:themeColor="text1"/>
          <w:sz w:val="20"/>
          <w:szCs w:val="20"/>
          <w:lang w:val="es-CO"/>
        </w:rPr>
        <w:instrText xml:space="preserve"> SEQ Gráfica \* ARABIC </w:instrText>
      </w:r>
      <w:r w:rsidRPr="009809B2">
        <w:rPr>
          <w:rFonts w:cstheme="minorHAnsi"/>
          <w:color w:val="000000" w:themeColor="text1"/>
          <w:sz w:val="20"/>
          <w:szCs w:val="20"/>
          <w:lang w:val="es-CO"/>
        </w:rPr>
        <w:fldChar w:fldCharType="separate"/>
      </w:r>
      <w:r w:rsidR="00B40B80">
        <w:rPr>
          <w:rFonts w:cstheme="minorHAnsi"/>
          <w:noProof/>
          <w:color w:val="000000" w:themeColor="text1"/>
          <w:sz w:val="20"/>
          <w:szCs w:val="20"/>
          <w:lang w:val="es-CO"/>
        </w:rPr>
        <w:t>18</w:t>
      </w:r>
      <w:r w:rsidRPr="009809B2">
        <w:rPr>
          <w:rFonts w:cstheme="minorHAnsi"/>
          <w:color w:val="000000" w:themeColor="text1"/>
          <w:sz w:val="20"/>
          <w:szCs w:val="20"/>
          <w:lang w:val="es-CO"/>
        </w:rPr>
        <w:fldChar w:fldCharType="end"/>
      </w:r>
      <w:bookmarkEnd w:id="306"/>
      <w:r w:rsidRPr="009809B2">
        <w:rPr>
          <w:rFonts w:cstheme="minorHAnsi"/>
          <w:color w:val="000000" w:themeColor="text1"/>
          <w:sz w:val="20"/>
          <w:szCs w:val="20"/>
          <w:lang w:val="es-CO"/>
        </w:rPr>
        <w:t>. Series para el IPC</w:t>
      </w:r>
    </w:p>
    <w:p w14:paraId="6CD6D9D9" w14:textId="22E9C2F1" w:rsidR="002E797B" w:rsidRPr="009809B2" w:rsidRDefault="00864842" w:rsidP="002E797B">
      <w:pPr>
        <w:contextualSpacing/>
        <w:jc w:val="center"/>
        <w:rPr>
          <w:rFonts w:cstheme="minorHAnsi"/>
          <w:szCs w:val="18"/>
          <w:lang w:val="es-CO"/>
        </w:rPr>
      </w:pPr>
      <w:r w:rsidRPr="009809B2">
        <w:rPr>
          <w:rFonts w:cstheme="minorHAnsi"/>
          <w:noProof/>
          <w:szCs w:val="18"/>
          <w:lang w:val="es-CO"/>
        </w:rPr>
        <w:drawing>
          <wp:inline distT="0" distB="0" distL="0" distR="0" wp14:anchorId="4EA1183E" wp14:editId="27049C39">
            <wp:extent cx="4576220" cy="2722882"/>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62">
                      <a:extLst>
                        <a:ext uri="{96DAC541-7B7A-43D3-8B79-37D633B846F1}">
                          <asvg:svgBlip xmlns:asvg="http://schemas.microsoft.com/office/drawing/2016/SVG/main" r:embed="rId63"/>
                        </a:ext>
                      </a:extLst>
                    </a:blip>
                    <a:stretch>
                      <a:fillRect/>
                    </a:stretch>
                  </pic:blipFill>
                  <pic:spPr bwMode="auto">
                    <a:xfrm>
                      <a:off x="0" y="0"/>
                      <a:ext cx="4580666" cy="2725528"/>
                    </a:xfrm>
                    <a:prstGeom prst="rect">
                      <a:avLst/>
                    </a:prstGeom>
                  </pic:spPr>
                </pic:pic>
              </a:graphicData>
            </a:graphic>
          </wp:inline>
        </w:drawing>
      </w:r>
    </w:p>
    <w:p w14:paraId="0970425C" w14:textId="77777777" w:rsidR="002E797B" w:rsidRPr="009809B2" w:rsidRDefault="002E797B" w:rsidP="002E797B">
      <w:pPr>
        <w:ind w:firstLine="720"/>
        <w:rPr>
          <w:rFonts w:cstheme="minorHAnsi"/>
          <w:szCs w:val="18"/>
          <w:lang w:val="es-CO"/>
        </w:rPr>
      </w:pPr>
      <w:r w:rsidRPr="009809B2">
        <w:rPr>
          <w:sz w:val="16"/>
          <w:szCs w:val="16"/>
          <w:lang w:val="es-CO"/>
        </w:rPr>
        <w:t>Fuente: DANE. Cálculos CREG.</w:t>
      </w:r>
    </w:p>
    <w:p w14:paraId="32AE85E2" w14:textId="4616F333" w:rsidR="002E797B" w:rsidRPr="009809B2" w:rsidRDefault="002E797B" w:rsidP="002E797B">
      <w:pPr>
        <w:spacing w:before="220"/>
        <w:rPr>
          <w:rFonts w:cstheme="minorHAnsi"/>
          <w:szCs w:val="18"/>
          <w:lang w:val="es-CO"/>
        </w:rPr>
      </w:pPr>
      <w:r w:rsidRPr="009809B2">
        <w:rPr>
          <w:rFonts w:cstheme="minorHAnsi"/>
          <w:szCs w:val="18"/>
          <w:lang w:val="es-CO"/>
        </w:rPr>
        <w:t>Como se observa en la gráfica, las series mostradas: IPC</w:t>
      </w:r>
      <w:r w:rsidR="001661B6" w:rsidRPr="009809B2">
        <w:rPr>
          <w:rFonts w:cstheme="minorHAnsi"/>
          <w:szCs w:val="18"/>
          <w:lang w:val="es-CO"/>
        </w:rPr>
        <w:t>,</w:t>
      </w:r>
      <w:r w:rsidRPr="009809B2">
        <w:rPr>
          <w:rFonts w:cstheme="minorHAnsi"/>
          <w:szCs w:val="18"/>
          <w:lang w:val="es-CO"/>
        </w:rPr>
        <w:t xml:space="preserve"> IPC sin alimentos y sin energéticos</w:t>
      </w:r>
      <w:r w:rsidR="001661B6" w:rsidRPr="009809B2">
        <w:rPr>
          <w:rFonts w:cstheme="minorHAnsi"/>
          <w:szCs w:val="18"/>
          <w:lang w:val="es-CO"/>
        </w:rPr>
        <w:t xml:space="preserve"> </w:t>
      </w:r>
      <w:r w:rsidRPr="009809B2">
        <w:rPr>
          <w:rFonts w:cstheme="minorHAnsi"/>
          <w:szCs w:val="18"/>
          <w:lang w:val="es-CO"/>
        </w:rPr>
        <w:t xml:space="preserve">e IPC sin alimentos y sin </w:t>
      </w:r>
      <w:r w:rsidR="001661B6" w:rsidRPr="009809B2">
        <w:rPr>
          <w:rFonts w:cstheme="minorHAnsi"/>
          <w:szCs w:val="18"/>
          <w:lang w:val="es-CO"/>
        </w:rPr>
        <w:t>regulados</w:t>
      </w:r>
      <w:r w:rsidRPr="009809B2">
        <w:rPr>
          <w:rFonts w:cstheme="minorHAnsi"/>
          <w:szCs w:val="18"/>
          <w:lang w:val="es-CO"/>
        </w:rPr>
        <w:t xml:space="preserve"> tuvieron un comportamiento muy parecido hasta diciembre de 2020, fecha a partir de la cual la serie del IPC se aleja mucho más rápido de la</w:t>
      </w:r>
      <w:r w:rsidR="0028734C" w:rsidRPr="009809B2">
        <w:rPr>
          <w:rFonts w:cstheme="minorHAnsi"/>
          <w:szCs w:val="18"/>
          <w:lang w:val="es-CO"/>
        </w:rPr>
        <w:t>s</w:t>
      </w:r>
      <w:r w:rsidRPr="009809B2">
        <w:rPr>
          <w:rFonts w:cstheme="minorHAnsi"/>
          <w:szCs w:val="18"/>
          <w:lang w:val="es-CO"/>
        </w:rPr>
        <w:t xml:space="preserve"> serie</w:t>
      </w:r>
      <w:r w:rsidR="0028734C" w:rsidRPr="009809B2">
        <w:rPr>
          <w:rFonts w:cstheme="minorHAnsi"/>
          <w:szCs w:val="18"/>
          <w:lang w:val="es-CO"/>
        </w:rPr>
        <w:t>s</w:t>
      </w:r>
      <w:r w:rsidRPr="009809B2">
        <w:rPr>
          <w:rFonts w:cstheme="minorHAnsi"/>
          <w:szCs w:val="18"/>
          <w:lang w:val="es-CO"/>
        </w:rPr>
        <w:t xml:space="preserve"> del IPC sin alimentos y sin energéticos</w:t>
      </w:r>
      <w:r w:rsidR="0028734C" w:rsidRPr="009809B2">
        <w:rPr>
          <w:rFonts w:cstheme="minorHAnsi"/>
          <w:szCs w:val="18"/>
          <w:lang w:val="es-CO"/>
        </w:rPr>
        <w:t xml:space="preserve"> y de la del IPC sin alimentos y </w:t>
      </w:r>
      <w:r w:rsidR="0061181C" w:rsidRPr="009809B2">
        <w:rPr>
          <w:rFonts w:cstheme="minorHAnsi"/>
          <w:szCs w:val="18"/>
          <w:lang w:val="es-CO"/>
        </w:rPr>
        <w:t>ni</w:t>
      </w:r>
      <w:r w:rsidR="0028734C" w:rsidRPr="009809B2">
        <w:rPr>
          <w:rFonts w:cstheme="minorHAnsi"/>
          <w:szCs w:val="18"/>
          <w:lang w:val="es-CO"/>
        </w:rPr>
        <w:t xml:space="preserve"> regulados</w:t>
      </w:r>
      <w:r w:rsidRPr="009809B2">
        <w:rPr>
          <w:rFonts w:cstheme="minorHAnsi"/>
          <w:szCs w:val="18"/>
          <w:lang w:val="es-CO"/>
        </w:rPr>
        <w:t>.</w:t>
      </w:r>
    </w:p>
    <w:p w14:paraId="51AF954E" w14:textId="6DCC6A74" w:rsidR="000A7745" w:rsidRPr="009809B2" w:rsidRDefault="000A7745" w:rsidP="000A7745">
      <w:pPr>
        <w:spacing w:before="120"/>
        <w:rPr>
          <w:rFonts w:cstheme="minorHAnsi"/>
          <w:lang w:val="es-CO"/>
        </w:rPr>
      </w:pPr>
      <w:r w:rsidRPr="009809B2">
        <w:rPr>
          <w:rFonts w:cstheme="minorHAnsi"/>
          <w:lang w:val="es-CO"/>
        </w:rPr>
        <w:t>Con el análisis que se desarrolla en este documento, la Comisión pone a consideración de los agentes del sector las distintas alternativas estudiadas con el fin de contar con un índice robusto, que pueda ser fácilmente calculado o tomado de las fuentes oficiales que lo</w:t>
      </w:r>
      <w:r w:rsidR="000F72E1" w:rsidRPr="009809B2">
        <w:rPr>
          <w:rFonts w:cstheme="minorHAnsi"/>
          <w:lang w:val="es-CO"/>
        </w:rPr>
        <w:t>s</w:t>
      </w:r>
      <w:r w:rsidRPr="009809B2">
        <w:rPr>
          <w:rFonts w:cstheme="minorHAnsi"/>
          <w:lang w:val="es-CO"/>
        </w:rPr>
        <w:t xml:space="preserve"> produzcan y que refleje de manera más cercana el comportamiento actualizado de los costos asociados con las actividades de la prestación del servicio y reduzca la contribución que pueden tener las variaciones de los precios de otros sectores de la economía ajenos a la estructura productiva del sector.</w:t>
      </w:r>
    </w:p>
    <w:p w14:paraId="42688BE2" w14:textId="1DEB2ACD" w:rsidR="000A7745" w:rsidRPr="009809B2" w:rsidRDefault="000A7745">
      <w:pPr>
        <w:rPr>
          <w:rFonts w:cstheme="minorHAnsi"/>
          <w:lang w:val="es-CO"/>
        </w:rPr>
      </w:pPr>
      <w:r w:rsidRPr="009809B2">
        <w:rPr>
          <w:rFonts w:cstheme="minorHAnsi"/>
          <w:lang w:val="es-CO"/>
        </w:rPr>
        <w:br w:type="page"/>
      </w:r>
    </w:p>
    <w:p w14:paraId="11382C04" w14:textId="1B55B95D" w:rsidR="002D7211" w:rsidRPr="009809B2" w:rsidRDefault="002D7211" w:rsidP="002D7211">
      <w:pPr>
        <w:pStyle w:val="Estilo2"/>
        <w:rPr>
          <w:color w:val="auto"/>
          <w:lang w:val="es-CO"/>
        </w:rPr>
      </w:pPr>
      <w:bookmarkStart w:id="307" w:name="_Toc172100740"/>
      <w:r w:rsidRPr="009809B2">
        <w:rPr>
          <w:color w:val="auto"/>
          <w:lang w:val="es-CO"/>
        </w:rPr>
        <w:lastRenderedPageBreak/>
        <w:t>ANEXO</w:t>
      </w:r>
      <w:bookmarkEnd w:id="307"/>
      <w:r w:rsidRPr="009809B2">
        <w:rPr>
          <w:color w:val="auto"/>
          <w:lang w:val="es-CO"/>
        </w:rPr>
        <w:t xml:space="preserve"> </w:t>
      </w:r>
    </w:p>
    <w:p w14:paraId="5BEE9F3A" w14:textId="12C84FB7" w:rsidR="00F44657" w:rsidRPr="009809B2" w:rsidRDefault="00F44657" w:rsidP="00E84529">
      <w:pPr>
        <w:pStyle w:val="Descripcin"/>
        <w:keepNext/>
        <w:ind w:left="284"/>
        <w:rPr>
          <w:rFonts w:cstheme="minorHAnsi"/>
          <w:b w:val="0"/>
          <w:i/>
          <w:color w:val="auto"/>
          <w:sz w:val="22"/>
          <w:szCs w:val="22"/>
          <w:lang w:val="es-CO"/>
        </w:rPr>
      </w:pPr>
      <w:r w:rsidRPr="009809B2">
        <w:rPr>
          <w:rFonts w:cstheme="minorHAnsi"/>
          <w:color w:val="auto"/>
          <w:sz w:val="20"/>
          <w:szCs w:val="20"/>
          <w:lang w:val="es-CO"/>
        </w:rPr>
        <w:t xml:space="preserve">Tabla </w:t>
      </w:r>
      <w:r w:rsidRPr="009809B2">
        <w:rPr>
          <w:rFonts w:cstheme="minorHAnsi"/>
          <w:b w:val="0"/>
          <w:i/>
          <w:color w:val="auto"/>
          <w:sz w:val="20"/>
          <w:szCs w:val="20"/>
          <w:lang w:val="es-CO"/>
        </w:rPr>
        <w:fldChar w:fldCharType="begin"/>
      </w:r>
      <w:r w:rsidRPr="009809B2">
        <w:rPr>
          <w:rFonts w:cstheme="minorHAnsi"/>
          <w:color w:val="auto"/>
          <w:sz w:val="20"/>
          <w:szCs w:val="20"/>
          <w:lang w:val="es-CO"/>
        </w:rPr>
        <w:instrText xml:space="preserve"> SEQ Tabla \* ARABIC </w:instrText>
      </w:r>
      <w:r w:rsidRPr="009809B2">
        <w:rPr>
          <w:rFonts w:cstheme="minorHAnsi"/>
          <w:b w:val="0"/>
          <w:i/>
          <w:color w:val="auto"/>
          <w:sz w:val="20"/>
          <w:szCs w:val="20"/>
          <w:lang w:val="es-CO"/>
        </w:rPr>
        <w:fldChar w:fldCharType="separate"/>
      </w:r>
      <w:r w:rsidR="00B40B80">
        <w:rPr>
          <w:rFonts w:cstheme="minorHAnsi"/>
          <w:noProof/>
          <w:color w:val="auto"/>
          <w:sz w:val="20"/>
          <w:szCs w:val="20"/>
          <w:lang w:val="es-CO"/>
        </w:rPr>
        <w:t>1</w:t>
      </w:r>
      <w:r w:rsidRPr="009809B2">
        <w:rPr>
          <w:rFonts w:cstheme="minorHAnsi"/>
          <w:b w:val="0"/>
          <w:i/>
          <w:color w:val="auto"/>
          <w:sz w:val="20"/>
          <w:szCs w:val="20"/>
          <w:lang w:val="es-CO"/>
        </w:rPr>
        <w:fldChar w:fldCharType="end"/>
      </w:r>
      <w:r w:rsidRPr="009809B2">
        <w:rPr>
          <w:rFonts w:cstheme="minorHAnsi"/>
          <w:color w:val="auto"/>
          <w:sz w:val="20"/>
          <w:szCs w:val="20"/>
          <w:lang w:val="es-CO"/>
        </w:rPr>
        <w:t>. Listado de productos consumidos para la provisión del servicio público de energía eléctrica</w:t>
      </w:r>
    </w:p>
    <w:tbl>
      <w:tblPr>
        <w:tblStyle w:val="Tablaconcuadrcula1clara"/>
        <w:tblW w:w="0" w:type="auto"/>
        <w:jc w:val="center"/>
        <w:tblLook w:val="04A0" w:firstRow="1" w:lastRow="0" w:firstColumn="1" w:lastColumn="0" w:noHBand="0" w:noVBand="1"/>
      </w:tblPr>
      <w:tblGrid>
        <w:gridCol w:w="571"/>
        <w:gridCol w:w="7046"/>
      </w:tblGrid>
      <w:tr w:rsidR="00F44657" w:rsidRPr="009809B2" w14:paraId="2F63B6BD" w14:textId="77777777">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5F6B6E"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COD</w:t>
            </w:r>
          </w:p>
        </w:tc>
        <w:tc>
          <w:tcPr>
            <w:tcW w:w="0" w:type="auto"/>
            <w:noWrap/>
            <w:hideMark/>
          </w:tcPr>
          <w:p w14:paraId="23A9425D" w14:textId="77777777" w:rsidR="00F44657" w:rsidRPr="009809B2" w:rsidRDefault="00F44657">
            <w:pPr>
              <w:cnfStyle w:val="100000000000" w:firstRow="1"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Descripción</w:t>
            </w:r>
          </w:p>
        </w:tc>
      </w:tr>
      <w:tr w:rsidR="00F44657" w:rsidRPr="009809B2" w14:paraId="398F2ADA"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66390B"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29300</w:t>
            </w:r>
          </w:p>
        </w:tc>
        <w:tc>
          <w:tcPr>
            <w:tcW w:w="0" w:type="auto"/>
            <w:noWrap/>
            <w:hideMark/>
          </w:tcPr>
          <w:p w14:paraId="2FA7204E"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Calzado con suela y parte superior elaborados de caucho o plástico, o con la parte superior de cuero o materiales </w:t>
            </w:r>
          </w:p>
        </w:tc>
      </w:tr>
      <w:tr w:rsidR="00F44657" w:rsidRPr="009809B2" w14:paraId="4BB2084E"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46BB0DB"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32600</w:t>
            </w:r>
          </w:p>
        </w:tc>
        <w:tc>
          <w:tcPr>
            <w:tcW w:w="0" w:type="auto"/>
            <w:noWrap/>
            <w:hideMark/>
          </w:tcPr>
          <w:p w14:paraId="726C9C38"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Sellos, chequeras, billetes de banco, títulos de acciones, catálogos y folletos, material para anuncios publicitarios </w:t>
            </w:r>
          </w:p>
        </w:tc>
      </w:tr>
      <w:tr w:rsidR="00F44657" w:rsidRPr="009809B2" w14:paraId="2474E1EC"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7F56AD6"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32701</w:t>
            </w:r>
          </w:p>
        </w:tc>
        <w:tc>
          <w:tcPr>
            <w:tcW w:w="0" w:type="auto"/>
            <w:noWrap/>
            <w:hideMark/>
          </w:tcPr>
          <w:p w14:paraId="6D1046B1"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Libros de registros, libros de contabilidad, cuadernillos de notas, bloques para cartas, agendas y artículos </w:t>
            </w:r>
          </w:p>
        </w:tc>
      </w:tr>
      <w:tr w:rsidR="00F44657" w:rsidRPr="009809B2" w14:paraId="3A2681BA"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0BEAAF"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32702</w:t>
            </w:r>
          </w:p>
        </w:tc>
        <w:tc>
          <w:tcPr>
            <w:tcW w:w="0" w:type="auto"/>
            <w:noWrap/>
            <w:hideMark/>
          </w:tcPr>
          <w:p w14:paraId="6B370E25"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Formas continuas, formas continuas para contabilidad y formularios en paquetes o plegados, incluso intercalados </w:t>
            </w:r>
          </w:p>
        </w:tc>
      </w:tr>
      <w:tr w:rsidR="00F44657" w:rsidRPr="009809B2" w14:paraId="0F7F3F57"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4B7FC7"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34131</w:t>
            </w:r>
          </w:p>
        </w:tc>
        <w:tc>
          <w:tcPr>
            <w:tcW w:w="0" w:type="auto"/>
            <w:noWrap/>
            <w:hideMark/>
          </w:tcPr>
          <w:p w14:paraId="5571F2DF"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Alcohol etílico y otros alcoholes, alcoholes desnaturalizados de cualquier concentración</w:t>
            </w:r>
          </w:p>
        </w:tc>
      </w:tr>
      <w:tr w:rsidR="00F44657" w:rsidRPr="009809B2" w14:paraId="2B866278"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AD966B"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34139</w:t>
            </w:r>
          </w:p>
        </w:tc>
        <w:tc>
          <w:tcPr>
            <w:tcW w:w="0" w:type="auto"/>
            <w:noWrap/>
            <w:hideMark/>
          </w:tcPr>
          <w:p w14:paraId="617047FB"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Otros alcoholes, fenoles, fenol-alcoholes y sus derivados halogenados, </w:t>
            </w:r>
            <w:proofErr w:type="spellStart"/>
            <w:r w:rsidRPr="009809B2">
              <w:rPr>
                <w:rFonts w:cs="Arial"/>
                <w:color w:val="000000"/>
                <w:sz w:val="14"/>
                <w:szCs w:val="14"/>
                <w:lang w:val="es-CO" w:eastAsia="es-PA"/>
              </w:rPr>
              <w:t>sulfonados</w:t>
            </w:r>
            <w:proofErr w:type="spellEnd"/>
            <w:r w:rsidRPr="009809B2">
              <w:rPr>
                <w:rFonts w:cs="Arial"/>
                <w:color w:val="000000"/>
                <w:sz w:val="14"/>
                <w:szCs w:val="14"/>
                <w:lang w:val="es-CO" w:eastAsia="es-PA"/>
              </w:rPr>
              <w:t xml:space="preserve">, nitrados o </w:t>
            </w:r>
            <w:proofErr w:type="spellStart"/>
            <w:r w:rsidRPr="009809B2">
              <w:rPr>
                <w:rFonts w:cs="Arial"/>
                <w:color w:val="000000"/>
                <w:sz w:val="14"/>
                <w:szCs w:val="14"/>
                <w:lang w:val="es-CO" w:eastAsia="es-PA"/>
              </w:rPr>
              <w:t>nitrosados</w:t>
            </w:r>
            <w:proofErr w:type="spellEnd"/>
            <w:r w:rsidRPr="009809B2">
              <w:rPr>
                <w:rFonts w:cs="Arial"/>
                <w:color w:val="000000"/>
                <w:sz w:val="14"/>
                <w:szCs w:val="14"/>
                <w:lang w:val="es-CO" w:eastAsia="es-PA"/>
              </w:rPr>
              <w:t xml:space="preserve">; </w:t>
            </w:r>
          </w:p>
        </w:tc>
      </w:tr>
      <w:tr w:rsidR="00F44657" w:rsidRPr="009809B2" w14:paraId="5A66DD84"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7C59DA"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34140</w:t>
            </w:r>
          </w:p>
        </w:tc>
        <w:tc>
          <w:tcPr>
            <w:tcW w:w="0" w:type="auto"/>
            <w:noWrap/>
            <w:hideMark/>
          </w:tcPr>
          <w:p w14:paraId="068FEC3F"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Ácidos carboxílicos y sus anhídridos, halogenuros, peróxidos y </w:t>
            </w:r>
            <w:proofErr w:type="spellStart"/>
            <w:r w:rsidRPr="009809B2">
              <w:rPr>
                <w:rFonts w:cs="Arial"/>
                <w:color w:val="000000"/>
                <w:sz w:val="14"/>
                <w:szCs w:val="14"/>
                <w:lang w:val="es-CO" w:eastAsia="es-PA"/>
              </w:rPr>
              <w:t>perácidos</w:t>
            </w:r>
            <w:proofErr w:type="spellEnd"/>
            <w:r w:rsidRPr="009809B2">
              <w:rPr>
                <w:rFonts w:cs="Arial"/>
                <w:color w:val="000000"/>
                <w:sz w:val="14"/>
                <w:szCs w:val="14"/>
                <w:lang w:val="es-CO" w:eastAsia="es-PA"/>
              </w:rPr>
              <w:t xml:space="preserve"> y sus derivados halogenados, </w:t>
            </w:r>
          </w:p>
        </w:tc>
      </w:tr>
      <w:tr w:rsidR="00F44657" w:rsidRPr="009809B2" w14:paraId="44CB5DB6"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4CE65F"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34150</w:t>
            </w:r>
          </w:p>
        </w:tc>
        <w:tc>
          <w:tcPr>
            <w:tcW w:w="0" w:type="auto"/>
            <w:noWrap/>
            <w:hideMark/>
          </w:tcPr>
          <w:p w14:paraId="1C2EA70D"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Compuestos orgánicos con las funciones amino, amino-oxigenados (excepto lisina, sus esteres y sus sales así </w:t>
            </w:r>
          </w:p>
        </w:tc>
      </w:tr>
      <w:tr w:rsidR="00F44657" w:rsidRPr="009809B2" w14:paraId="7D66FB74"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D6ED9A"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34160</w:t>
            </w:r>
          </w:p>
        </w:tc>
        <w:tc>
          <w:tcPr>
            <w:tcW w:w="0" w:type="auto"/>
            <w:noWrap/>
            <w:hideMark/>
          </w:tcPr>
          <w:p w14:paraId="786608A8"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Compuestos orgánicos del azufre y otros compuestos orgánicos e inorgánicos; compuestos heterocíclicos </w:t>
            </w:r>
            <w:proofErr w:type="spellStart"/>
            <w:r w:rsidRPr="009809B2">
              <w:rPr>
                <w:rFonts w:cs="Arial"/>
                <w:color w:val="000000"/>
                <w:sz w:val="14"/>
                <w:szCs w:val="14"/>
                <w:lang w:val="es-CO" w:eastAsia="es-PA"/>
              </w:rPr>
              <w:t>n.c.p</w:t>
            </w:r>
            <w:proofErr w:type="spellEnd"/>
            <w:r w:rsidRPr="009809B2">
              <w:rPr>
                <w:rFonts w:cs="Arial"/>
                <w:color w:val="000000"/>
                <w:sz w:val="14"/>
                <w:szCs w:val="14"/>
                <w:lang w:val="es-CO" w:eastAsia="es-PA"/>
              </w:rPr>
              <w:t xml:space="preserve">., </w:t>
            </w:r>
          </w:p>
        </w:tc>
      </w:tr>
      <w:tr w:rsidR="00F44657" w:rsidRPr="009809B2" w14:paraId="21F909DC"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2C99D07"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34170</w:t>
            </w:r>
          </w:p>
        </w:tc>
        <w:tc>
          <w:tcPr>
            <w:tcW w:w="0" w:type="auto"/>
            <w:noWrap/>
            <w:hideMark/>
          </w:tcPr>
          <w:p w14:paraId="3B9A1A8B"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Éteres, peróxidos de alcoholes, peróxidos de éteres, epóxidos, acetales y </w:t>
            </w:r>
            <w:proofErr w:type="spellStart"/>
            <w:r w:rsidRPr="009809B2">
              <w:rPr>
                <w:rFonts w:cs="Arial"/>
                <w:color w:val="000000"/>
                <w:sz w:val="14"/>
                <w:szCs w:val="14"/>
                <w:lang w:val="es-CO" w:eastAsia="es-PA"/>
              </w:rPr>
              <w:t>hemiacetales</w:t>
            </w:r>
            <w:proofErr w:type="spellEnd"/>
            <w:r w:rsidRPr="009809B2">
              <w:rPr>
                <w:rFonts w:cs="Arial"/>
                <w:color w:val="000000"/>
                <w:sz w:val="14"/>
                <w:szCs w:val="14"/>
                <w:lang w:val="es-CO" w:eastAsia="es-PA"/>
              </w:rPr>
              <w:t xml:space="preserve"> y sus derivados </w:t>
            </w:r>
          </w:p>
        </w:tc>
      </w:tr>
      <w:tr w:rsidR="00F44657" w:rsidRPr="009809B2" w14:paraId="72C21072"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9FBFBB6"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35410</w:t>
            </w:r>
          </w:p>
        </w:tc>
        <w:tc>
          <w:tcPr>
            <w:tcW w:w="0" w:type="auto"/>
            <w:noWrap/>
            <w:hideMark/>
          </w:tcPr>
          <w:p w14:paraId="02F45734"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Aceites esenciales y sus concentrados y </w:t>
            </w:r>
            <w:proofErr w:type="gramStart"/>
            <w:r w:rsidRPr="009809B2">
              <w:rPr>
                <w:rFonts w:cs="Arial"/>
                <w:color w:val="000000"/>
                <w:sz w:val="14"/>
                <w:szCs w:val="14"/>
                <w:lang w:val="es-CO" w:eastAsia="es-PA"/>
              </w:rPr>
              <w:t>destilados acuosos y soluciones acuosas</w:t>
            </w:r>
            <w:proofErr w:type="gramEnd"/>
            <w:r w:rsidRPr="009809B2">
              <w:rPr>
                <w:rFonts w:cs="Arial"/>
                <w:color w:val="000000"/>
                <w:sz w:val="14"/>
                <w:szCs w:val="14"/>
                <w:lang w:val="es-CO" w:eastAsia="es-PA"/>
              </w:rPr>
              <w:t xml:space="preserve"> de aceites esenciales; </w:t>
            </w:r>
          </w:p>
        </w:tc>
      </w:tr>
      <w:tr w:rsidR="00F44657" w:rsidRPr="009809B2" w14:paraId="033C5A9C"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FDEC37"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35420</w:t>
            </w:r>
          </w:p>
        </w:tc>
        <w:tc>
          <w:tcPr>
            <w:tcW w:w="0" w:type="auto"/>
            <w:noWrap/>
            <w:hideMark/>
          </w:tcPr>
          <w:p w14:paraId="3D5BBBB1"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Gelatina, peptonas y sus derivados; colas de origen animal; colas y demás adhesivos preparados; caseinatos y otros </w:t>
            </w:r>
          </w:p>
        </w:tc>
      </w:tr>
      <w:tr w:rsidR="00F44657" w:rsidRPr="009809B2" w14:paraId="6776ED54"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D6CB5F7"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35430</w:t>
            </w:r>
          </w:p>
        </w:tc>
        <w:tc>
          <w:tcPr>
            <w:tcW w:w="0" w:type="auto"/>
            <w:noWrap/>
            <w:hideMark/>
          </w:tcPr>
          <w:p w14:paraId="0E8D8D6B"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Preparados lubricantes y preparados del tipo utilizado para el tratamiento de materiales con grasas y aceites </w:t>
            </w:r>
          </w:p>
        </w:tc>
      </w:tr>
      <w:tr w:rsidR="00F44657" w:rsidRPr="009809B2" w14:paraId="4EA308A4"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7B96D7"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35442</w:t>
            </w:r>
          </w:p>
        </w:tc>
        <w:tc>
          <w:tcPr>
            <w:tcW w:w="0" w:type="auto"/>
            <w:noWrap/>
            <w:hideMark/>
          </w:tcPr>
          <w:p w14:paraId="1856A274"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Preparados y cargas para extintores de incendios, granadas cargadas para la extinción de incendios; medios </w:t>
            </w:r>
          </w:p>
        </w:tc>
      </w:tr>
      <w:tr w:rsidR="00F44657" w:rsidRPr="009809B2" w14:paraId="5F59FD69"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8F66E0"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35450</w:t>
            </w:r>
          </w:p>
        </w:tc>
        <w:tc>
          <w:tcPr>
            <w:tcW w:w="0" w:type="auto"/>
            <w:noWrap/>
            <w:hideMark/>
          </w:tcPr>
          <w:p w14:paraId="1B6A7D6A"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Explosivos preparados; mechas de seguridad; mechas detonantes; cebos de percusión o fulminantes </w:t>
            </w:r>
          </w:p>
        </w:tc>
      </w:tr>
      <w:tr w:rsidR="00F44657" w:rsidRPr="009809B2" w14:paraId="36958244"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5B7DF0"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35490</w:t>
            </w:r>
          </w:p>
        </w:tc>
        <w:tc>
          <w:tcPr>
            <w:tcW w:w="0" w:type="auto"/>
            <w:noWrap/>
            <w:hideMark/>
          </w:tcPr>
          <w:p w14:paraId="42FB1D08"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Otros productos químicos </w:t>
            </w:r>
            <w:proofErr w:type="spellStart"/>
            <w:r w:rsidRPr="009809B2">
              <w:rPr>
                <w:rFonts w:cs="Arial"/>
                <w:color w:val="000000"/>
                <w:sz w:val="14"/>
                <w:szCs w:val="14"/>
                <w:lang w:val="es-CO" w:eastAsia="es-PA"/>
              </w:rPr>
              <w:t>n.c.p</w:t>
            </w:r>
            <w:proofErr w:type="spellEnd"/>
            <w:r w:rsidRPr="009809B2">
              <w:rPr>
                <w:rFonts w:cs="Arial"/>
                <w:color w:val="000000"/>
                <w:sz w:val="14"/>
                <w:szCs w:val="14"/>
                <w:lang w:val="es-CO" w:eastAsia="es-PA"/>
              </w:rPr>
              <w:t>.</w:t>
            </w:r>
          </w:p>
        </w:tc>
      </w:tr>
      <w:tr w:rsidR="00F44657" w:rsidRPr="009809B2" w14:paraId="4B01EB9C"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B333AF"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36100</w:t>
            </w:r>
          </w:p>
        </w:tc>
        <w:tc>
          <w:tcPr>
            <w:tcW w:w="0" w:type="auto"/>
            <w:noWrap/>
            <w:hideMark/>
          </w:tcPr>
          <w:p w14:paraId="15D29745"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Llantas de caucho y neumáticos (cámaras de aire)</w:t>
            </w:r>
          </w:p>
        </w:tc>
      </w:tr>
      <w:tr w:rsidR="00F44657" w:rsidRPr="009809B2" w14:paraId="0941AFBE"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B8ACB2"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36200</w:t>
            </w:r>
          </w:p>
        </w:tc>
        <w:tc>
          <w:tcPr>
            <w:tcW w:w="0" w:type="auto"/>
            <w:noWrap/>
            <w:hideMark/>
          </w:tcPr>
          <w:p w14:paraId="7EC5E727"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Otros productos de caucho</w:t>
            </w:r>
          </w:p>
        </w:tc>
      </w:tr>
      <w:tr w:rsidR="00F44657" w:rsidRPr="009809B2" w14:paraId="6E919938"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FFC725"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36300</w:t>
            </w:r>
          </w:p>
        </w:tc>
        <w:tc>
          <w:tcPr>
            <w:tcW w:w="0" w:type="auto"/>
            <w:noWrap/>
            <w:hideMark/>
          </w:tcPr>
          <w:p w14:paraId="6A8795FA"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proofErr w:type="spellStart"/>
            <w:r w:rsidRPr="009809B2">
              <w:rPr>
                <w:rFonts w:cs="Arial"/>
                <w:color w:val="000000"/>
                <w:sz w:val="14"/>
                <w:szCs w:val="14"/>
                <w:lang w:val="es-CO" w:eastAsia="es-PA"/>
              </w:rPr>
              <w:t>Semimanufacturas</w:t>
            </w:r>
            <w:proofErr w:type="spellEnd"/>
            <w:r w:rsidRPr="009809B2">
              <w:rPr>
                <w:rFonts w:cs="Arial"/>
                <w:color w:val="000000"/>
                <w:sz w:val="14"/>
                <w:szCs w:val="14"/>
                <w:lang w:val="es-CO" w:eastAsia="es-PA"/>
              </w:rPr>
              <w:t xml:space="preserve"> de plástico</w:t>
            </w:r>
          </w:p>
        </w:tc>
      </w:tr>
      <w:tr w:rsidR="00F44657" w:rsidRPr="009809B2" w14:paraId="0786A6B5"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2AFEDC8"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37530</w:t>
            </w:r>
          </w:p>
        </w:tc>
        <w:tc>
          <w:tcPr>
            <w:tcW w:w="0" w:type="auto"/>
            <w:noWrap/>
            <w:hideMark/>
          </w:tcPr>
          <w:p w14:paraId="1241F5FD"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Artículos de yeso o de composiciones basadas en yeso</w:t>
            </w:r>
          </w:p>
        </w:tc>
      </w:tr>
      <w:tr w:rsidR="00F44657" w:rsidRPr="009809B2" w14:paraId="453B720A"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B61F48"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37560</w:t>
            </w:r>
          </w:p>
        </w:tc>
        <w:tc>
          <w:tcPr>
            <w:tcW w:w="0" w:type="auto"/>
            <w:noWrap/>
            <w:hideMark/>
          </w:tcPr>
          <w:p w14:paraId="0CDAE979"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Tubos y demás artículos y manufacturas de cemento, hormigón (concreto) o piedra artificial</w:t>
            </w:r>
          </w:p>
        </w:tc>
      </w:tr>
      <w:tr w:rsidR="00F44657" w:rsidRPr="009809B2" w14:paraId="5417410F"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92D47C"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37570</w:t>
            </w:r>
          </w:p>
        </w:tc>
        <w:tc>
          <w:tcPr>
            <w:tcW w:w="0" w:type="auto"/>
            <w:noWrap/>
            <w:hideMark/>
          </w:tcPr>
          <w:p w14:paraId="5FEE4D45"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Artículos de asbesto-cemento (amianto-cemento), de fibrocemento (celulosa-cemento) o de materiales similares</w:t>
            </w:r>
          </w:p>
        </w:tc>
      </w:tr>
      <w:tr w:rsidR="00F44657" w:rsidRPr="009809B2" w14:paraId="78B31BC8"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27B2FE"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38911</w:t>
            </w:r>
          </w:p>
        </w:tc>
        <w:tc>
          <w:tcPr>
            <w:tcW w:w="0" w:type="auto"/>
            <w:noWrap/>
            <w:hideMark/>
          </w:tcPr>
          <w:p w14:paraId="5D0A8C3E"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Plumas, estilógrafos para calcar, lápices, portaplumas, portaminas y soportes similares, y sus partes; lápices de </w:t>
            </w:r>
          </w:p>
        </w:tc>
      </w:tr>
      <w:tr w:rsidR="00F44657" w:rsidRPr="009809B2" w14:paraId="69B68FA0"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3DD221"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38923</w:t>
            </w:r>
          </w:p>
        </w:tc>
        <w:tc>
          <w:tcPr>
            <w:tcW w:w="0" w:type="auto"/>
            <w:noWrap/>
            <w:hideMark/>
          </w:tcPr>
          <w:p w14:paraId="00B2E2E1"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Broches y botones de presión y sus piezas componentes; botones; cierres de cremallera</w:t>
            </w:r>
          </w:p>
        </w:tc>
      </w:tr>
      <w:tr w:rsidR="00F44657" w:rsidRPr="009809B2" w14:paraId="2B4D2613"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B0EEAE"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38993</w:t>
            </w:r>
          </w:p>
        </w:tc>
        <w:tc>
          <w:tcPr>
            <w:tcW w:w="0" w:type="auto"/>
            <w:noWrap/>
            <w:hideMark/>
          </w:tcPr>
          <w:p w14:paraId="6DC14A52"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Escobas, cepillos y brochas, aunque sean partes de máquinas, aparatos o vehículos, escobas mecánicas de uso </w:t>
            </w:r>
          </w:p>
        </w:tc>
      </w:tr>
      <w:tr w:rsidR="00F44657" w:rsidRPr="009809B2" w14:paraId="1EDAC78B"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BA6B29"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38997</w:t>
            </w:r>
          </w:p>
        </w:tc>
        <w:tc>
          <w:tcPr>
            <w:tcW w:w="0" w:type="auto"/>
            <w:noWrap/>
            <w:hideMark/>
          </w:tcPr>
          <w:p w14:paraId="0FADEFF2"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Bisutería</w:t>
            </w:r>
          </w:p>
        </w:tc>
      </w:tr>
      <w:tr w:rsidR="00F44657" w:rsidRPr="009809B2" w14:paraId="61A967D9"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25F4EA"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38999</w:t>
            </w:r>
          </w:p>
        </w:tc>
        <w:tc>
          <w:tcPr>
            <w:tcW w:w="0" w:type="auto"/>
            <w:noWrap/>
            <w:hideMark/>
          </w:tcPr>
          <w:p w14:paraId="2D31918C"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Artículos </w:t>
            </w:r>
            <w:proofErr w:type="spellStart"/>
            <w:r w:rsidRPr="009809B2">
              <w:rPr>
                <w:rFonts w:cs="Arial"/>
                <w:color w:val="000000"/>
                <w:sz w:val="14"/>
                <w:szCs w:val="14"/>
                <w:lang w:val="es-CO" w:eastAsia="es-PA"/>
              </w:rPr>
              <w:t>n.c.p</w:t>
            </w:r>
            <w:proofErr w:type="spellEnd"/>
            <w:r w:rsidRPr="009809B2">
              <w:rPr>
                <w:rFonts w:cs="Arial"/>
                <w:color w:val="000000"/>
                <w:sz w:val="14"/>
                <w:szCs w:val="14"/>
                <w:lang w:val="es-CO" w:eastAsia="es-PA"/>
              </w:rPr>
              <w:t xml:space="preserve">. (incluso velas, cirios, pieles de aves con sus plumas, flores artificiales, artículos de </w:t>
            </w:r>
          </w:p>
        </w:tc>
      </w:tr>
      <w:tr w:rsidR="00F44657" w:rsidRPr="009809B2" w14:paraId="04818625"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01CE51"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42912</w:t>
            </w:r>
          </w:p>
        </w:tc>
        <w:tc>
          <w:tcPr>
            <w:tcW w:w="0" w:type="auto"/>
            <w:noWrap/>
            <w:hideMark/>
          </w:tcPr>
          <w:p w14:paraId="4F54D523"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Artículos para la mesa, la cocina (excepto cubiertos) o el hogar y sus partes y piezas, de hierro, acero, cobre o </w:t>
            </w:r>
          </w:p>
        </w:tc>
      </w:tr>
      <w:tr w:rsidR="00F44657" w:rsidRPr="009809B2" w14:paraId="15CA2D84"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03F887"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42914</w:t>
            </w:r>
          </w:p>
        </w:tc>
        <w:tc>
          <w:tcPr>
            <w:tcW w:w="0" w:type="auto"/>
            <w:noWrap/>
            <w:hideMark/>
          </w:tcPr>
          <w:p w14:paraId="4B6250FF"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Navajas y máquinas de afeitar y de hojas de afeitar (incluso los esbozos en fleje para la fabricación de hojas)</w:t>
            </w:r>
          </w:p>
        </w:tc>
      </w:tr>
      <w:tr w:rsidR="00F44657" w:rsidRPr="009809B2" w14:paraId="66EBB143"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840E37E"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42921</w:t>
            </w:r>
          </w:p>
        </w:tc>
        <w:tc>
          <w:tcPr>
            <w:tcW w:w="0" w:type="auto"/>
            <w:noWrap/>
            <w:hideMark/>
          </w:tcPr>
          <w:p w14:paraId="3C6417A4"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Herramientas de mano (incluso herramientas de mano del tipo utilizado en la agricultura, horticultura o </w:t>
            </w:r>
          </w:p>
        </w:tc>
      </w:tr>
      <w:tr w:rsidR="00F44657" w:rsidRPr="009809B2" w14:paraId="466FEF09"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FC4A80"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42922</w:t>
            </w:r>
          </w:p>
        </w:tc>
        <w:tc>
          <w:tcPr>
            <w:tcW w:w="0" w:type="auto"/>
            <w:noWrap/>
            <w:hideMark/>
          </w:tcPr>
          <w:p w14:paraId="3BC317AC"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Instrumentos intercambiables para herramientas de mano o para máquinas herramientas, incluso dados para estirado o </w:t>
            </w:r>
          </w:p>
        </w:tc>
      </w:tr>
      <w:tr w:rsidR="00F44657" w:rsidRPr="009809B2" w14:paraId="1F3B9AF8"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F320608"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42931</w:t>
            </w:r>
          </w:p>
        </w:tc>
        <w:tc>
          <w:tcPr>
            <w:tcW w:w="0" w:type="auto"/>
            <w:noWrap/>
            <w:hideMark/>
          </w:tcPr>
          <w:p w14:paraId="4D1E51F9"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Depósitos, barriles, tambores, bidones, latas, cajas y recipientes análogos (excepto para gases comprimidos o </w:t>
            </w:r>
          </w:p>
        </w:tc>
      </w:tr>
      <w:tr w:rsidR="00F44657" w:rsidRPr="009809B2" w14:paraId="65C9EA05"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B4E9F2"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42932</w:t>
            </w:r>
          </w:p>
        </w:tc>
        <w:tc>
          <w:tcPr>
            <w:tcW w:w="0" w:type="auto"/>
            <w:noWrap/>
            <w:hideMark/>
          </w:tcPr>
          <w:p w14:paraId="537FB830"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Tapones, topes o tapas (incluyendo las coronas para corchos), cápsulas para botellas, tapa rosca, cubiertas </w:t>
            </w:r>
          </w:p>
        </w:tc>
      </w:tr>
      <w:tr w:rsidR="00F44657" w:rsidRPr="009809B2" w14:paraId="5D07563C"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E23A0D4"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42940</w:t>
            </w:r>
          </w:p>
        </w:tc>
        <w:tc>
          <w:tcPr>
            <w:tcW w:w="0" w:type="auto"/>
            <w:noWrap/>
            <w:hideMark/>
          </w:tcPr>
          <w:p w14:paraId="07DDA4C9"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Elementos de metal para sujetar, muelles y artículos diversos hechos de alambre metálico</w:t>
            </w:r>
          </w:p>
        </w:tc>
      </w:tr>
      <w:tr w:rsidR="00F44657" w:rsidRPr="009809B2" w14:paraId="12627815"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8423DE"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42992</w:t>
            </w:r>
          </w:p>
        </w:tc>
        <w:tc>
          <w:tcPr>
            <w:tcW w:w="0" w:type="auto"/>
            <w:noWrap/>
            <w:hideMark/>
          </w:tcPr>
          <w:p w14:paraId="51610750"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Candados y cerraduras, de metales comunes; cierres y armazones con cierres y cerraduras, de metales comunes; </w:t>
            </w:r>
          </w:p>
        </w:tc>
      </w:tr>
      <w:tr w:rsidR="00F44657" w:rsidRPr="009809B2" w14:paraId="64375921"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A5864F"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42999</w:t>
            </w:r>
          </w:p>
        </w:tc>
        <w:tc>
          <w:tcPr>
            <w:tcW w:w="0" w:type="auto"/>
            <w:noWrap/>
            <w:hideMark/>
          </w:tcPr>
          <w:p w14:paraId="771E65E1"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Productos metálicos </w:t>
            </w:r>
            <w:proofErr w:type="spellStart"/>
            <w:r w:rsidRPr="009809B2">
              <w:rPr>
                <w:rFonts w:cs="Arial"/>
                <w:color w:val="000000"/>
                <w:sz w:val="14"/>
                <w:szCs w:val="14"/>
                <w:lang w:val="es-CO" w:eastAsia="es-PA"/>
              </w:rPr>
              <w:t>n.c.p</w:t>
            </w:r>
            <w:proofErr w:type="spellEnd"/>
            <w:r w:rsidRPr="009809B2">
              <w:rPr>
                <w:rFonts w:cs="Arial"/>
                <w:color w:val="000000"/>
                <w:sz w:val="14"/>
                <w:szCs w:val="14"/>
                <w:lang w:val="es-CO" w:eastAsia="es-PA"/>
              </w:rPr>
              <w:t xml:space="preserve">. incluso anclas, rizones y sus piezas, de hierro o acero; bolas y artículos similares para </w:t>
            </w:r>
          </w:p>
        </w:tc>
      </w:tr>
      <w:tr w:rsidR="00F44657" w:rsidRPr="009809B2" w14:paraId="27FB7586"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633283"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43210</w:t>
            </w:r>
          </w:p>
        </w:tc>
        <w:tc>
          <w:tcPr>
            <w:tcW w:w="0" w:type="auto"/>
            <w:noWrap/>
            <w:hideMark/>
          </w:tcPr>
          <w:p w14:paraId="0A95982C"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Máquinas y motores de fuerza hidráulica y de potencia neumática</w:t>
            </w:r>
          </w:p>
        </w:tc>
      </w:tr>
      <w:tr w:rsidR="00F44657" w:rsidRPr="009809B2" w14:paraId="199AB745"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4D86F97"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43220</w:t>
            </w:r>
          </w:p>
        </w:tc>
        <w:tc>
          <w:tcPr>
            <w:tcW w:w="0" w:type="auto"/>
            <w:noWrap/>
            <w:hideMark/>
          </w:tcPr>
          <w:p w14:paraId="2E3DF2DC"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Bombas para líquidos; elevadores de líquidos</w:t>
            </w:r>
          </w:p>
        </w:tc>
      </w:tr>
      <w:tr w:rsidR="00F44657" w:rsidRPr="009809B2" w14:paraId="58B9723E"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F758145"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43230</w:t>
            </w:r>
          </w:p>
        </w:tc>
        <w:tc>
          <w:tcPr>
            <w:tcW w:w="0" w:type="auto"/>
            <w:noWrap/>
            <w:hideMark/>
          </w:tcPr>
          <w:p w14:paraId="39ED1E8A"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Bombas de aire o vacío; compresores de aire u otros compresores de gas</w:t>
            </w:r>
          </w:p>
        </w:tc>
      </w:tr>
      <w:tr w:rsidR="00F44657" w:rsidRPr="009809B2" w14:paraId="7BEFC505"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6093C1"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43240</w:t>
            </w:r>
          </w:p>
        </w:tc>
        <w:tc>
          <w:tcPr>
            <w:tcW w:w="0" w:type="auto"/>
            <w:noWrap/>
            <w:hideMark/>
          </w:tcPr>
          <w:p w14:paraId="5D114E25"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Grifos, llaves, válvulas y accesorios análogos para tuberías, calderas, tanques, cubas y similares</w:t>
            </w:r>
          </w:p>
        </w:tc>
      </w:tr>
      <w:tr w:rsidR="00F44657" w:rsidRPr="009809B2" w14:paraId="7544DE5D"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8663A04"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43250</w:t>
            </w:r>
          </w:p>
        </w:tc>
        <w:tc>
          <w:tcPr>
            <w:tcW w:w="0" w:type="auto"/>
            <w:noWrap/>
            <w:hideMark/>
          </w:tcPr>
          <w:p w14:paraId="44CC8631"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Partes y piezas para los productos de las clases 4321 a 4324</w:t>
            </w:r>
          </w:p>
        </w:tc>
      </w:tr>
      <w:tr w:rsidR="00F44657" w:rsidRPr="009809B2" w14:paraId="3B5B464D"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138A72"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46112</w:t>
            </w:r>
          </w:p>
        </w:tc>
        <w:tc>
          <w:tcPr>
            <w:tcW w:w="0" w:type="auto"/>
            <w:noWrap/>
            <w:hideMark/>
          </w:tcPr>
          <w:p w14:paraId="7EB33092"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Motores universales de corriente alterna, de potencia superior a 37,5 w; </w:t>
            </w:r>
            <w:proofErr w:type="gramStart"/>
            <w:r w:rsidRPr="009809B2">
              <w:rPr>
                <w:rFonts w:cs="Arial"/>
                <w:color w:val="000000"/>
                <w:sz w:val="14"/>
                <w:szCs w:val="14"/>
                <w:lang w:val="es-CO" w:eastAsia="es-PA"/>
              </w:rPr>
              <w:t>otros motores de corriente alterna</w:t>
            </w:r>
            <w:proofErr w:type="gramEnd"/>
            <w:r w:rsidRPr="009809B2">
              <w:rPr>
                <w:rFonts w:cs="Arial"/>
                <w:color w:val="000000"/>
                <w:sz w:val="14"/>
                <w:szCs w:val="14"/>
                <w:lang w:val="es-CO" w:eastAsia="es-PA"/>
              </w:rPr>
              <w:t xml:space="preserve">; </w:t>
            </w:r>
          </w:p>
        </w:tc>
      </w:tr>
      <w:tr w:rsidR="00F44657" w:rsidRPr="009809B2" w14:paraId="4148EE19"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A4DC27"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46113</w:t>
            </w:r>
          </w:p>
        </w:tc>
        <w:tc>
          <w:tcPr>
            <w:tcW w:w="0" w:type="auto"/>
            <w:noWrap/>
            <w:hideMark/>
          </w:tcPr>
          <w:p w14:paraId="4A9E9863"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Grupos electrógenos y convertidores eléctricos rotativos</w:t>
            </w:r>
          </w:p>
        </w:tc>
      </w:tr>
      <w:tr w:rsidR="00F44657" w:rsidRPr="009809B2" w14:paraId="5D8703A8"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5E310A5"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46120</w:t>
            </w:r>
          </w:p>
        </w:tc>
        <w:tc>
          <w:tcPr>
            <w:tcW w:w="0" w:type="auto"/>
            <w:noWrap/>
            <w:hideMark/>
          </w:tcPr>
          <w:p w14:paraId="1302626F"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Transformadores eléctricos, convertidores estáticos y bobinas de inducción</w:t>
            </w:r>
          </w:p>
        </w:tc>
      </w:tr>
      <w:tr w:rsidR="00F44657" w:rsidRPr="009809B2" w14:paraId="411E1856"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FA41AE0"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46131</w:t>
            </w:r>
          </w:p>
        </w:tc>
        <w:tc>
          <w:tcPr>
            <w:tcW w:w="0" w:type="auto"/>
            <w:noWrap/>
            <w:hideMark/>
          </w:tcPr>
          <w:p w14:paraId="75A7CADB"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Partes y piezas de motores eléctricos, generadores y similares</w:t>
            </w:r>
          </w:p>
        </w:tc>
      </w:tr>
      <w:tr w:rsidR="00F44657" w:rsidRPr="009809B2" w14:paraId="39195616"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9880EC"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46210</w:t>
            </w:r>
          </w:p>
        </w:tc>
        <w:tc>
          <w:tcPr>
            <w:tcW w:w="0" w:type="auto"/>
            <w:noWrap/>
            <w:hideMark/>
          </w:tcPr>
          <w:p w14:paraId="0796A3DF"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Aparatos de control eléctrico o distribución de electricidad</w:t>
            </w:r>
          </w:p>
        </w:tc>
      </w:tr>
      <w:tr w:rsidR="00F44657" w:rsidRPr="009809B2" w14:paraId="2ADF10AA"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086D0D"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46211</w:t>
            </w:r>
          </w:p>
        </w:tc>
        <w:tc>
          <w:tcPr>
            <w:tcW w:w="0" w:type="auto"/>
            <w:noWrap/>
            <w:hideMark/>
          </w:tcPr>
          <w:p w14:paraId="0A4C4426"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Aparatos eléctricos para empalme, corte, protección de circuitos eléctricos o para hacer conexiones con o en </w:t>
            </w:r>
          </w:p>
        </w:tc>
      </w:tr>
      <w:tr w:rsidR="00F44657" w:rsidRPr="009809B2" w14:paraId="3358F2B0"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8F1FB3"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46213</w:t>
            </w:r>
          </w:p>
        </w:tc>
        <w:tc>
          <w:tcPr>
            <w:tcW w:w="0" w:type="auto"/>
            <w:noWrap/>
            <w:hideMark/>
          </w:tcPr>
          <w:p w14:paraId="6FBFFCFA"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Tableros, consolas, mesas y otras bases, equipados con aparatos eléctricos para empalme, etc., para control </w:t>
            </w:r>
          </w:p>
        </w:tc>
      </w:tr>
      <w:tr w:rsidR="00F44657" w:rsidRPr="009809B2" w14:paraId="46831868"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632B1E"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46220</w:t>
            </w:r>
          </w:p>
        </w:tc>
        <w:tc>
          <w:tcPr>
            <w:tcW w:w="0" w:type="auto"/>
            <w:noWrap/>
            <w:hideMark/>
          </w:tcPr>
          <w:p w14:paraId="557A0E4A"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Partes y piezas de aparatos de control eléctrico o distribución de electricidad</w:t>
            </w:r>
          </w:p>
        </w:tc>
      </w:tr>
      <w:tr w:rsidR="00F44657" w:rsidRPr="009809B2" w14:paraId="54D1D511"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E4C1A5C"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46912</w:t>
            </w:r>
          </w:p>
        </w:tc>
        <w:tc>
          <w:tcPr>
            <w:tcW w:w="0" w:type="auto"/>
            <w:noWrap/>
            <w:hideMark/>
          </w:tcPr>
          <w:p w14:paraId="389C0753"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Equipo de iluminación y señalización eléctrico (excepto de incandescencia o lámparas de descargue), limpiaparabrisas, </w:t>
            </w:r>
          </w:p>
        </w:tc>
      </w:tr>
      <w:tr w:rsidR="00F44657" w:rsidRPr="009809B2" w14:paraId="655324C3"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0E7C5D2"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46939</w:t>
            </w:r>
          </w:p>
        </w:tc>
        <w:tc>
          <w:tcPr>
            <w:tcW w:w="0" w:type="auto"/>
            <w:noWrap/>
            <w:hideMark/>
          </w:tcPr>
          <w:p w14:paraId="269CB832"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Otros equipos eléctricos </w:t>
            </w:r>
            <w:proofErr w:type="spellStart"/>
            <w:r w:rsidRPr="009809B2">
              <w:rPr>
                <w:rFonts w:cs="Arial"/>
                <w:color w:val="000000"/>
                <w:sz w:val="14"/>
                <w:szCs w:val="14"/>
                <w:lang w:val="es-CO" w:eastAsia="es-PA"/>
              </w:rPr>
              <w:t>n.c.p</w:t>
            </w:r>
            <w:proofErr w:type="spellEnd"/>
            <w:r w:rsidRPr="009809B2">
              <w:rPr>
                <w:rFonts w:cs="Arial"/>
                <w:color w:val="000000"/>
                <w:sz w:val="14"/>
                <w:szCs w:val="14"/>
                <w:lang w:val="es-CO" w:eastAsia="es-PA"/>
              </w:rPr>
              <w:t xml:space="preserve">. (incluso electroimanes, acoplamientos electromagnéticos; embragues y frenos; </w:t>
            </w:r>
          </w:p>
        </w:tc>
      </w:tr>
      <w:tr w:rsidR="00F44657" w:rsidRPr="009809B2" w14:paraId="7C69F534" w14:textId="77777777">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1B63B6F" w14:textId="77777777" w:rsidR="00F44657" w:rsidRPr="009809B2" w:rsidRDefault="00F44657">
            <w:pPr>
              <w:rPr>
                <w:rFonts w:cs="Arial"/>
                <w:color w:val="000000"/>
                <w:sz w:val="14"/>
                <w:szCs w:val="14"/>
                <w:lang w:val="es-CO" w:eastAsia="es-PA"/>
              </w:rPr>
            </w:pPr>
            <w:r w:rsidRPr="009809B2">
              <w:rPr>
                <w:rFonts w:cs="Arial"/>
                <w:color w:val="000000"/>
                <w:sz w:val="14"/>
                <w:szCs w:val="14"/>
                <w:lang w:val="es-CO" w:eastAsia="es-PA"/>
              </w:rPr>
              <w:t>46950</w:t>
            </w:r>
          </w:p>
        </w:tc>
        <w:tc>
          <w:tcPr>
            <w:tcW w:w="0" w:type="auto"/>
            <w:noWrap/>
            <w:hideMark/>
          </w:tcPr>
          <w:p w14:paraId="0712EF10" w14:textId="77777777" w:rsidR="00F44657" w:rsidRPr="009809B2" w:rsidRDefault="00F44657">
            <w:pPr>
              <w:cnfStyle w:val="000000000000" w:firstRow="0" w:lastRow="0" w:firstColumn="0" w:lastColumn="0" w:oddVBand="0" w:evenVBand="0" w:oddHBand="0" w:evenHBand="0" w:firstRowFirstColumn="0" w:firstRowLastColumn="0" w:lastRowFirstColumn="0" w:lastRowLastColumn="0"/>
              <w:rPr>
                <w:rFonts w:cs="Arial"/>
                <w:color w:val="000000"/>
                <w:sz w:val="14"/>
                <w:szCs w:val="14"/>
                <w:lang w:val="es-CO" w:eastAsia="es-PA"/>
              </w:rPr>
            </w:pPr>
            <w:r w:rsidRPr="009809B2">
              <w:rPr>
                <w:rFonts w:cs="Arial"/>
                <w:color w:val="000000"/>
                <w:sz w:val="14"/>
                <w:szCs w:val="14"/>
                <w:lang w:val="es-CO" w:eastAsia="es-PA"/>
              </w:rPr>
              <w:t xml:space="preserve">Electrodos de carbón, escobillas de carbón, carbones para lámparas de arco, carbones para pilas y otros </w:t>
            </w:r>
          </w:p>
        </w:tc>
      </w:tr>
    </w:tbl>
    <w:p w14:paraId="722A83E9" w14:textId="77777777" w:rsidR="00F44657" w:rsidRPr="009809B2" w:rsidRDefault="00F44657" w:rsidP="00161340">
      <w:pPr>
        <w:spacing w:before="220"/>
        <w:rPr>
          <w:rFonts w:cstheme="minorHAnsi"/>
          <w:lang w:val="es-CO"/>
        </w:rPr>
      </w:pPr>
    </w:p>
    <w:p w14:paraId="64137794" w14:textId="77777777" w:rsidR="00160699" w:rsidRPr="009809B2" w:rsidRDefault="00160699" w:rsidP="00160699">
      <w:pPr>
        <w:spacing w:before="220"/>
        <w:rPr>
          <w:rFonts w:cstheme="minorHAnsi"/>
          <w:lang w:val="es-CO"/>
        </w:rPr>
      </w:pPr>
    </w:p>
    <w:p w14:paraId="731F6A40" w14:textId="436EF288" w:rsidR="00F44657" w:rsidRPr="009809B2" w:rsidRDefault="00F44657" w:rsidP="00161340">
      <w:pPr>
        <w:spacing w:before="220"/>
        <w:rPr>
          <w:rFonts w:cstheme="minorHAnsi"/>
          <w:lang w:val="es-CO"/>
        </w:rPr>
      </w:pPr>
    </w:p>
    <w:sectPr w:rsidR="00F44657" w:rsidRPr="009809B2" w:rsidSect="00872963">
      <w:headerReference w:type="even" r:id="rId64"/>
      <w:headerReference w:type="default" r:id="rId65"/>
      <w:footerReference w:type="even" r:id="rId66"/>
      <w:footerReference w:type="default" r:id="rId67"/>
      <w:headerReference w:type="first" r:id="rId68"/>
      <w:footerReference w:type="first" r:id="rId6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0700F" w14:textId="77777777" w:rsidR="008830CF" w:rsidRDefault="008830CF" w:rsidP="007D16A9">
      <w:r>
        <w:separator/>
      </w:r>
    </w:p>
    <w:p w14:paraId="3C07CF5C" w14:textId="77777777" w:rsidR="008830CF" w:rsidRDefault="008830CF"/>
  </w:endnote>
  <w:endnote w:type="continuationSeparator" w:id="0">
    <w:p w14:paraId="3C0ABB1F" w14:textId="77777777" w:rsidR="008830CF" w:rsidRDefault="008830CF" w:rsidP="007D16A9">
      <w:r>
        <w:continuationSeparator/>
      </w:r>
    </w:p>
    <w:p w14:paraId="02B95A79" w14:textId="77777777" w:rsidR="008830CF" w:rsidRDefault="008830CF"/>
  </w:endnote>
  <w:endnote w:type="continuationNotice" w:id="1">
    <w:p w14:paraId="2B0AD1F0" w14:textId="77777777" w:rsidR="008830CF" w:rsidRDefault="008830CF"/>
    <w:p w14:paraId="5924B3FC" w14:textId="77777777" w:rsidR="008830CF" w:rsidRDefault="00883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023E5" w14:textId="629A2969" w:rsidR="00F77CCF" w:rsidRDefault="00F77CCF">
    <w:pPr>
      <w:pStyle w:val="Piedepgina"/>
    </w:pPr>
  </w:p>
  <w:p w14:paraId="67E29522" w14:textId="77777777" w:rsidR="003E20A0" w:rsidRDefault="003E20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0FF71" w14:textId="291D97CA" w:rsidR="005A0851" w:rsidRDefault="005A0851" w:rsidP="00E8475A">
    <w:pPr>
      <w:pStyle w:val="Piedepgina"/>
      <w:spacing w:before="120" w:after="120" w:line="240" w:lineRule="auto"/>
      <w:rPr>
        <w:sz w:val="16"/>
      </w:rPr>
    </w:pPr>
    <w:r>
      <w:rPr>
        <w:sz w:val="16"/>
      </w:rPr>
      <w:t>D-</w:t>
    </w:r>
    <w:r w:rsidR="00F77CCF">
      <w:rPr>
        <w:sz w:val="16"/>
      </w:rPr>
      <w:t xml:space="preserve">901 107 DE </w:t>
    </w:r>
    <w:r>
      <w:rPr>
        <w:sz w:val="16"/>
      </w:rPr>
      <w:t xml:space="preserve">2024 </w:t>
    </w:r>
    <w:r w:rsidRPr="00E3263C">
      <w:rPr>
        <w:sz w:val="16"/>
      </w:rPr>
      <w:t xml:space="preserve">COSTO </w:t>
    </w:r>
    <w:proofErr w:type="spellStart"/>
    <w:r w:rsidRPr="00E3263C">
      <w:rPr>
        <w:sz w:val="16"/>
      </w:rPr>
      <w:t>UNITARIO</w:t>
    </w:r>
    <w:proofErr w:type="spellEnd"/>
    <w:r w:rsidRPr="00E3263C">
      <w:rPr>
        <w:sz w:val="16"/>
      </w:rPr>
      <w:t xml:space="preserve"> DE </w:t>
    </w:r>
    <w:proofErr w:type="spellStart"/>
    <w:r w:rsidRPr="00E3263C">
      <w:rPr>
        <w:sz w:val="16"/>
      </w:rPr>
      <w:t>PRESTACIÓN</w:t>
    </w:r>
    <w:proofErr w:type="spellEnd"/>
    <w:r w:rsidRPr="00E3263C">
      <w:rPr>
        <w:sz w:val="16"/>
      </w:rPr>
      <w:t xml:space="preserve"> DEL </w:t>
    </w:r>
    <w:proofErr w:type="spellStart"/>
    <w:r w:rsidRPr="00E3263C">
      <w:rPr>
        <w:sz w:val="16"/>
      </w:rPr>
      <w:t>SERVICIO</w:t>
    </w:r>
    <w:proofErr w:type="spellEnd"/>
    <w:r w:rsidRPr="00E3263C">
      <w:rPr>
        <w:sz w:val="16"/>
      </w:rPr>
      <w:t xml:space="preserve"> DE ENERGÍA </w:t>
    </w:r>
    <w:proofErr w:type="spellStart"/>
    <w:r w:rsidRPr="00E3263C">
      <w:rPr>
        <w:sz w:val="16"/>
      </w:rPr>
      <w:t>ELÉCTRICA</w:t>
    </w:r>
    <w:proofErr w:type="spellEnd"/>
    <w:r>
      <w:rPr>
        <w:sz w:val="16"/>
      </w:rPr>
      <w:t xml:space="preserve"> - </w:t>
    </w:r>
    <w:proofErr w:type="spellStart"/>
    <w:r w:rsidRPr="00E3263C">
      <w:rPr>
        <w:sz w:val="16"/>
      </w:rPr>
      <w:t>REVISIÓN</w:t>
    </w:r>
    <w:proofErr w:type="spellEnd"/>
    <w:r w:rsidRPr="00E3263C">
      <w:rPr>
        <w:sz w:val="16"/>
      </w:rPr>
      <w:t xml:space="preserve"> DE </w:t>
    </w:r>
    <w:proofErr w:type="spellStart"/>
    <w:r w:rsidRPr="00E3263C">
      <w:rPr>
        <w:sz w:val="16"/>
      </w:rPr>
      <w:t>ÍNDICES</w:t>
    </w:r>
    <w:proofErr w:type="spellEnd"/>
    <w:r w:rsidRPr="00E3263C">
      <w:rPr>
        <w:sz w:val="16"/>
      </w:rPr>
      <w:t xml:space="preserve"> DE </w:t>
    </w:r>
    <w:proofErr w:type="spellStart"/>
    <w:r w:rsidRPr="00E3263C">
      <w:rPr>
        <w:sz w:val="16"/>
      </w:rPr>
      <w:t>PRECIOS</w:t>
    </w:r>
    <w:proofErr w:type="spellEnd"/>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1"/>
      <w:gridCol w:w="2622"/>
      <w:gridCol w:w="2474"/>
    </w:tblGrid>
    <w:tr w:rsidR="005A0851" w:rsidRPr="00456730" w14:paraId="4086770E" w14:textId="77777777" w:rsidTr="00F77CCF">
      <w:trPr>
        <w:cantSplit/>
        <w:trHeight w:val="254"/>
        <w:jc w:val="center"/>
      </w:trPr>
      <w:tc>
        <w:tcPr>
          <w:tcW w:w="2314" w:type="pct"/>
          <w:shd w:val="clear" w:color="auto" w:fill="auto"/>
          <w:vAlign w:val="center"/>
        </w:tcPr>
        <w:p w14:paraId="62445436" w14:textId="77777777" w:rsidR="005A0851" w:rsidRPr="00456730" w:rsidRDefault="005A0851" w:rsidP="005A0851">
          <w:pPr>
            <w:contextualSpacing/>
            <w:rPr>
              <w:iCs/>
              <w:sz w:val="14"/>
            </w:rPr>
          </w:pPr>
          <w:proofErr w:type="spellStart"/>
          <w:r w:rsidRPr="00456730">
            <w:rPr>
              <w:rFonts w:cs="Arial"/>
              <w:iCs/>
              <w:sz w:val="14"/>
            </w:rPr>
            <w:t>Proceso</w:t>
          </w:r>
          <w:proofErr w:type="spellEnd"/>
          <w:r w:rsidRPr="00456730">
            <w:rPr>
              <w:rFonts w:cs="Arial"/>
              <w:iCs/>
              <w:sz w:val="14"/>
            </w:rPr>
            <w:t xml:space="preserve">        </w:t>
          </w:r>
          <w:proofErr w:type="spellStart"/>
          <w:r w:rsidRPr="00456730">
            <w:rPr>
              <w:rFonts w:cs="Arial"/>
              <w:b/>
              <w:iCs/>
              <w:sz w:val="14"/>
            </w:rPr>
            <w:t>REGULACIÓN</w:t>
          </w:r>
          <w:proofErr w:type="spellEnd"/>
        </w:p>
      </w:tc>
      <w:tc>
        <w:tcPr>
          <w:tcW w:w="1382" w:type="pct"/>
          <w:vAlign w:val="center"/>
        </w:tcPr>
        <w:p w14:paraId="725F845D" w14:textId="77777777" w:rsidR="005A0851" w:rsidRPr="00456730" w:rsidRDefault="005A0851" w:rsidP="005A0851">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565E170" w14:textId="77777777" w:rsidR="005A0851" w:rsidRPr="00456730" w:rsidRDefault="005A0851" w:rsidP="005A0851">
          <w:pPr>
            <w:contextualSpacing/>
            <w:rPr>
              <w:rFonts w:cs="Arial"/>
              <w:iCs/>
              <w:sz w:val="14"/>
            </w:rPr>
          </w:pPr>
          <w:proofErr w:type="spellStart"/>
          <w:r w:rsidRPr="00456730">
            <w:rPr>
              <w:rFonts w:cs="Arial"/>
              <w:b/>
              <w:iCs/>
              <w:sz w:val="14"/>
            </w:rPr>
            <w:t>Versión</w:t>
          </w:r>
          <w:proofErr w:type="spellEnd"/>
          <w:r w:rsidRPr="00456730">
            <w:rPr>
              <w:rFonts w:cs="Arial"/>
              <w:b/>
              <w:iCs/>
              <w:sz w:val="14"/>
            </w:rPr>
            <w:t xml:space="preserve">: </w:t>
          </w:r>
          <w:r>
            <w:rPr>
              <w:rFonts w:cs="Arial"/>
              <w:iCs/>
              <w:sz w:val="14"/>
            </w:rPr>
            <w:t>1</w:t>
          </w:r>
        </w:p>
      </w:tc>
    </w:tr>
    <w:tr w:rsidR="005A0851" w:rsidRPr="00456730" w14:paraId="5C1FD23D" w14:textId="77777777" w:rsidTr="00F77CCF">
      <w:trPr>
        <w:cantSplit/>
        <w:trHeight w:val="261"/>
        <w:jc w:val="center"/>
      </w:trPr>
      <w:tc>
        <w:tcPr>
          <w:tcW w:w="2314" w:type="pct"/>
          <w:shd w:val="clear" w:color="auto" w:fill="auto"/>
          <w:vAlign w:val="center"/>
        </w:tcPr>
        <w:p w14:paraId="0192271C" w14:textId="77777777" w:rsidR="005A0851" w:rsidRPr="00456730" w:rsidRDefault="005A0851" w:rsidP="005A0851">
          <w:pPr>
            <w:ind w:left="923" w:hanging="923"/>
            <w:contextualSpacing/>
            <w:rPr>
              <w:rFonts w:cs="Arial"/>
              <w:bCs/>
              <w:iCs/>
              <w:sz w:val="14"/>
            </w:rPr>
          </w:pPr>
          <w:proofErr w:type="spellStart"/>
          <w:r w:rsidRPr="00456730">
            <w:rPr>
              <w:rFonts w:cs="Arial"/>
              <w:iCs/>
              <w:sz w:val="14"/>
            </w:rPr>
            <w:t>Documento</w:t>
          </w:r>
          <w:proofErr w:type="spellEnd"/>
          <w:r w:rsidRPr="00456730">
            <w:rPr>
              <w:rFonts w:cs="Arial"/>
              <w:iCs/>
              <w:sz w:val="14"/>
            </w:rPr>
            <w:t xml:space="preserve">   </w:t>
          </w:r>
          <w:proofErr w:type="spellStart"/>
          <w:r w:rsidRPr="00456730">
            <w:rPr>
              <w:rFonts w:cs="Arial"/>
              <w:b/>
              <w:iCs/>
              <w:sz w:val="14"/>
            </w:rPr>
            <w:t>DOCUMENTO</w:t>
          </w:r>
          <w:proofErr w:type="spellEnd"/>
          <w:r w:rsidRPr="00456730">
            <w:rPr>
              <w:rFonts w:cs="Arial"/>
              <w:b/>
              <w:iCs/>
              <w:sz w:val="14"/>
            </w:rPr>
            <w:t xml:space="preserve"> CREG</w:t>
          </w:r>
        </w:p>
      </w:tc>
      <w:tc>
        <w:tcPr>
          <w:tcW w:w="1382" w:type="pct"/>
          <w:vAlign w:val="center"/>
        </w:tcPr>
        <w:p w14:paraId="5EF31A89" w14:textId="77777777" w:rsidR="005A0851" w:rsidRPr="00456730" w:rsidRDefault="005A0851" w:rsidP="005A0851">
          <w:pPr>
            <w:contextualSpacing/>
            <w:rPr>
              <w:rFonts w:cs="Arial"/>
              <w:iCs/>
              <w:sz w:val="14"/>
            </w:rPr>
          </w:pPr>
          <w:proofErr w:type="spellStart"/>
          <w:r w:rsidRPr="00456730">
            <w:rPr>
              <w:rFonts w:cs="Arial"/>
              <w:b/>
              <w:iCs/>
              <w:sz w:val="14"/>
            </w:rPr>
            <w:t>Fecha</w:t>
          </w:r>
          <w:proofErr w:type="spellEnd"/>
          <w:r w:rsidRPr="00456730">
            <w:rPr>
              <w:rFonts w:cs="Arial"/>
              <w:b/>
              <w:iCs/>
              <w:sz w:val="14"/>
            </w:rPr>
            <w:t xml:space="preserve"> </w:t>
          </w:r>
          <w:proofErr w:type="spellStart"/>
          <w:r w:rsidRPr="00456730">
            <w:rPr>
              <w:rFonts w:cs="Arial"/>
              <w:b/>
              <w:iCs/>
              <w:sz w:val="14"/>
            </w:rPr>
            <w:t>última</w:t>
          </w:r>
          <w:proofErr w:type="spellEnd"/>
          <w:r w:rsidRPr="00456730">
            <w:rPr>
              <w:rFonts w:cs="Arial"/>
              <w:b/>
              <w:iCs/>
              <w:sz w:val="14"/>
            </w:rPr>
            <w:t xml:space="preserve"> </w:t>
          </w:r>
          <w:proofErr w:type="spellStart"/>
          <w:r w:rsidRPr="00456730">
            <w:rPr>
              <w:rFonts w:cs="Arial"/>
              <w:b/>
              <w:iCs/>
              <w:sz w:val="14"/>
            </w:rPr>
            <w:t>revisión</w:t>
          </w:r>
          <w:proofErr w:type="spellEnd"/>
          <w:r w:rsidRPr="00456730">
            <w:rPr>
              <w:rFonts w:cs="Arial"/>
              <w:b/>
              <w:iCs/>
              <w:sz w:val="14"/>
            </w:rPr>
            <w:t xml:space="preserve">: </w:t>
          </w:r>
          <w:r>
            <w:rPr>
              <w:rFonts w:cs="Arial"/>
              <w:b/>
              <w:iCs/>
              <w:sz w:val="14"/>
            </w:rPr>
            <w:t>14/11/2017</w:t>
          </w:r>
        </w:p>
      </w:tc>
      <w:tc>
        <w:tcPr>
          <w:tcW w:w="1304" w:type="pct"/>
          <w:vAlign w:val="center"/>
        </w:tcPr>
        <w:p w14:paraId="2F4DF0E8" w14:textId="77777777" w:rsidR="005A0851" w:rsidRPr="00456730" w:rsidRDefault="005A0851" w:rsidP="005A0851">
          <w:pPr>
            <w:contextualSpacing/>
            <w:rPr>
              <w:rFonts w:cs="Arial"/>
              <w:iCs/>
              <w:sz w:val="14"/>
            </w:rPr>
          </w:pPr>
          <w:proofErr w:type="spellStart"/>
          <w:r w:rsidRPr="00456730">
            <w:rPr>
              <w:rFonts w:cs="Arial"/>
              <w:b/>
              <w:iCs/>
              <w:sz w:val="14"/>
            </w:rPr>
            <w:t>Página</w:t>
          </w:r>
          <w:proofErr w:type="spellEnd"/>
          <w:r w:rsidRPr="00456730">
            <w:rPr>
              <w:rFonts w:cs="Arial"/>
              <w:b/>
              <w:iCs/>
              <w:sz w:val="14"/>
            </w:rPr>
            <w:t>:</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Pr>
              <w:rFonts w:cs="Arial"/>
              <w:iCs/>
              <w:sz w:val="14"/>
            </w:rPr>
            <w:t>8</w:t>
          </w:r>
          <w:r w:rsidRPr="00456730">
            <w:rPr>
              <w:rFonts w:cs="Arial"/>
              <w:iCs/>
              <w:sz w:val="14"/>
            </w:rPr>
            <w:fldChar w:fldCharType="end"/>
          </w:r>
          <w:r>
            <w:rPr>
              <w:rFonts w:cs="Arial"/>
              <w:iCs/>
              <w:sz w:val="14"/>
            </w:rPr>
            <w:t xml:space="preserve"> </w:t>
          </w:r>
        </w:p>
      </w:tc>
    </w:tr>
  </w:tbl>
  <w:p w14:paraId="04672536" w14:textId="0AC0A84C" w:rsidR="000B328B" w:rsidRPr="00EB580D" w:rsidRDefault="000B328B" w:rsidP="00EB580D">
    <w:pPr>
      <w:spacing w:after="0"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EB5E0" w14:textId="5571975F" w:rsidR="00F77CCF" w:rsidRDefault="00F77CCF">
    <w:pPr>
      <w:pStyle w:val="Piedepgina"/>
    </w:pPr>
  </w:p>
  <w:p w14:paraId="468BA0A5" w14:textId="77777777" w:rsidR="003E20A0" w:rsidRDefault="003E20A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60482" w14:textId="77777777" w:rsidR="00111E14" w:rsidRDefault="00111E14">
    <w:pPr>
      <w:pStyle w:val="Piedepgina"/>
    </w:pPr>
  </w:p>
  <w:p w14:paraId="0C821DF9" w14:textId="77777777" w:rsidR="003E20A0" w:rsidRDefault="003E20A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273BF" w14:textId="2ECCC789" w:rsidR="00255D19" w:rsidRDefault="00255D19" w:rsidP="00E3263C">
    <w:pPr>
      <w:pStyle w:val="Piedepgina"/>
      <w:spacing w:before="180"/>
      <w:rPr>
        <w:sz w:val="16"/>
      </w:rPr>
    </w:pPr>
    <w:r>
      <w:rPr>
        <w:sz w:val="16"/>
      </w:rPr>
      <w:t>D-</w:t>
    </w:r>
    <w:r w:rsidR="00450986" w:rsidRPr="00450986">
      <w:rPr>
        <w:sz w:val="16"/>
      </w:rPr>
      <w:t>901 107 DE</w:t>
    </w:r>
    <w:r w:rsidR="00450986">
      <w:rPr>
        <w:sz w:val="16"/>
      </w:rPr>
      <w:t xml:space="preserve"> </w:t>
    </w:r>
    <w:r>
      <w:rPr>
        <w:sz w:val="16"/>
      </w:rPr>
      <w:t>20</w:t>
    </w:r>
    <w:r w:rsidR="00E3263C">
      <w:rPr>
        <w:sz w:val="16"/>
      </w:rPr>
      <w:t>24</w:t>
    </w:r>
    <w:r>
      <w:rPr>
        <w:sz w:val="16"/>
      </w:rPr>
      <w:t xml:space="preserve"> </w:t>
    </w:r>
    <w:r w:rsidR="00E3263C" w:rsidRPr="00E3263C">
      <w:rPr>
        <w:sz w:val="16"/>
      </w:rPr>
      <w:t xml:space="preserve">COSTO </w:t>
    </w:r>
    <w:proofErr w:type="spellStart"/>
    <w:r w:rsidR="00E3263C" w:rsidRPr="00E3263C">
      <w:rPr>
        <w:sz w:val="16"/>
      </w:rPr>
      <w:t>UNITARIO</w:t>
    </w:r>
    <w:proofErr w:type="spellEnd"/>
    <w:r w:rsidR="00E3263C" w:rsidRPr="00E3263C">
      <w:rPr>
        <w:sz w:val="16"/>
      </w:rPr>
      <w:t xml:space="preserve"> DE </w:t>
    </w:r>
    <w:proofErr w:type="spellStart"/>
    <w:r w:rsidR="00E3263C" w:rsidRPr="00E3263C">
      <w:rPr>
        <w:sz w:val="16"/>
      </w:rPr>
      <w:t>PRESTACIÓN</w:t>
    </w:r>
    <w:proofErr w:type="spellEnd"/>
    <w:r w:rsidR="00E3263C" w:rsidRPr="00E3263C">
      <w:rPr>
        <w:sz w:val="16"/>
      </w:rPr>
      <w:t xml:space="preserve"> DEL SERVICIO DE ENERGÍA ELÉCTRICA</w:t>
    </w:r>
    <w:r w:rsidR="00E3263C">
      <w:rPr>
        <w:sz w:val="16"/>
      </w:rPr>
      <w:t xml:space="preserve"> - </w:t>
    </w:r>
    <w:r w:rsidR="00E3263C" w:rsidRPr="00E3263C">
      <w:rPr>
        <w:sz w:val="16"/>
      </w:rPr>
      <w:t>REVISIÓN DE ÍNDICES DE PRECIOS</w:t>
    </w: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1"/>
      <w:gridCol w:w="2622"/>
      <w:gridCol w:w="2474"/>
    </w:tblGrid>
    <w:tr w:rsidR="00255D19" w:rsidRPr="00456730" w14:paraId="7C593474" w14:textId="77777777" w:rsidTr="00BD7660">
      <w:trPr>
        <w:cantSplit/>
        <w:trHeight w:val="254"/>
        <w:jc w:val="center"/>
      </w:trPr>
      <w:tc>
        <w:tcPr>
          <w:tcW w:w="2314" w:type="pct"/>
          <w:vAlign w:val="center"/>
        </w:tcPr>
        <w:p w14:paraId="3E65061B" w14:textId="77777777" w:rsidR="00255D19" w:rsidRPr="00456730" w:rsidRDefault="00255D19" w:rsidP="00255D19">
          <w:pPr>
            <w:contextualSpacing/>
            <w:rPr>
              <w:iCs/>
              <w:sz w:val="14"/>
            </w:rPr>
          </w:pPr>
          <w:proofErr w:type="spellStart"/>
          <w:r w:rsidRPr="00456730">
            <w:rPr>
              <w:rFonts w:cs="Arial"/>
              <w:iCs/>
              <w:sz w:val="14"/>
            </w:rPr>
            <w:t>Proceso</w:t>
          </w:r>
          <w:proofErr w:type="spellEnd"/>
          <w:r w:rsidRPr="00456730">
            <w:rPr>
              <w:rFonts w:cs="Arial"/>
              <w:iCs/>
              <w:sz w:val="14"/>
            </w:rPr>
            <w:t xml:space="preserve">        </w:t>
          </w:r>
          <w:proofErr w:type="spellStart"/>
          <w:r w:rsidRPr="00456730">
            <w:rPr>
              <w:rFonts w:cs="Arial"/>
              <w:b/>
              <w:iCs/>
              <w:sz w:val="14"/>
            </w:rPr>
            <w:t>REGULACIÓN</w:t>
          </w:r>
          <w:proofErr w:type="spellEnd"/>
        </w:p>
      </w:tc>
      <w:tc>
        <w:tcPr>
          <w:tcW w:w="1382" w:type="pct"/>
          <w:vAlign w:val="center"/>
        </w:tcPr>
        <w:p w14:paraId="44A80B41" w14:textId="77777777" w:rsidR="00255D19" w:rsidRPr="00456730" w:rsidRDefault="00255D19" w:rsidP="00255D19">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7DC4A775" w14:textId="77777777" w:rsidR="00255D19" w:rsidRPr="00456730" w:rsidRDefault="00255D19" w:rsidP="00255D19">
          <w:pPr>
            <w:contextualSpacing/>
            <w:rPr>
              <w:rFonts w:cs="Arial"/>
              <w:iCs/>
              <w:sz w:val="14"/>
            </w:rPr>
          </w:pPr>
          <w:proofErr w:type="spellStart"/>
          <w:r w:rsidRPr="00456730">
            <w:rPr>
              <w:rFonts w:cs="Arial"/>
              <w:b/>
              <w:iCs/>
              <w:sz w:val="14"/>
            </w:rPr>
            <w:t>Versión</w:t>
          </w:r>
          <w:proofErr w:type="spellEnd"/>
          <w:r w:rsidRPr="00456730">
            <w:rPr>
              <w:rFonts w:cs="Arial"/>
              <w:b/>
              <w:iCs/>
              <w:sz w:val="14"/>
            </w:rPr>
            <w:t xml:space="preserve">: </w:t>
          </w:r>
          <w:r>
            <w:rPr>
              <w:rFonts w:cs="Arial"/>
              <w:iCs/>
              <w:sz w:val="14"/>
            </w:rPr>
            <w:t>1</w:t>
          </w:r>
        </w:p>
      </w:tc>
    </w:tr>
    <w:tr w:rsidR="00255D19" w:rsidRPr="00456730" w14:paraId="05F07C41" w14:textId="77777777" w:rsidTr="00BD7660">
      <w:trPr>
        <w:cantSplit/>
        <w:trHeight w:val="261"/>
        <w:jc w:val="center"/>
      </w:trPr>
      <w:tc>
        <w:tcPr>
          <w:tcW w:w="2314" w:type="pct"/>
          <w:vAlign w:val="center"/>
        </w:tcPr>
        <w:p w14:paraId="053E3736" w14:textId="77777777" w:rsidR="00255D19" w:rsidRPr="00456730" w:rsidRDefault="00255D19" w:rsidP="00255D19">
          <w:pPr>
            <w:ind w:left="923" w:hanging="923"/>
            <w:contextualSpacing/>
            <w:rPr>
              <w:rFonts w:cs="Arial"/>
              <w:bCs/>
              <w:iCs/>
              <w:sz w:val="14"/>
            </w:rPr>
          </w:pPr>
          <w:proofErr w:type="spellStart"/>
          <w:r w:rsidRPr="00456730">
            <w:rPr>
              <w:rFonts w:cs="Arial"/>
              <w:iCs/>
              <w:sz w:val="14"/>
            </w:rPr>
            <w:t>Documento</w:t>
          </w:r>
          <w:proofErr w:type="spellEnd"/>
          <w:r w:rsidRPr="00456730">
            <w:rPr>
              <w:rFonts w:cs="Arial"/>
              <w:iCs/>
              <w:sz w:val="14"/>
            </w:rPr>
            <w:t xml:space="preserve">   </w:t>
          </w:r>
          <w:proofErr w:type="spellStart"/>
          <w:r w:rsidRPr="00456730">
            <w:rPr>
              <w:rFonts w:cs="Arial"/>
              <w:b/>
              <w:iCs/>
              <w:sz w:val="14"/>
            </w:rPr>
            <w:t>DOCUMENTO</w:t>
          </w:r>
          <w:proofErr w:type="spellEnd"/>
          <w:r w:rsidRPr="00456730">
            <w:rPr>
              <w:rFonts w:cs="Arial"/>
              <w:b/>
              <w:iCs/>
              <w:sz w:val="14"/>
            </w:rPr>
            <w:t xml:space="preserve"> CREG</w:t>
          </w:r>
        </w:p>
      </w:tc>
      <w:tc>
        <w:tcPr>
          <w:tcW w:w="1382" w:type="pct"/>
          <w:vAlign w:val="center"/>
        </w:tcPr>
        <w:p w14:paraId="3ED8C9D7" w14:textId="77777777" w:rsidR="00255D19" w:rsidRPr="00456730" w:rsidRDefault="00255D19" w:rsidP="00255D19">
          <w:pPr>
            <w:contextualSpacing/>
            <w:rPr>
              <w:rFonts w:cs="Arial"/>
              <w:iCs/>
              <w:sz w:val="14"/>
            </w:rPr>
          </w:pPr>
          <w:proofErr w:type="spellStart"/>
          <w:r w:rsidRPr="00456730">
            <w:rPr>
              <w:rFonts w:cs="Arial"/>
              <w:b/>
              <w:iCs/>
              <w:sz w:val="14"/>
            </w:rPr>
            <w:t>Fecha</w:t>
          </w:r>
          <w:proofErr w:type="spellEnd"/>
          <w:r w:rsidRPr="00456730">
            <w:rPr>
              <w:rFonts w:cs="Arial"/>
              <w:b/>
              <w:iCs/>
              <w:sz w:val="14"/>
            </w:rPr>
            <w:t xml:space="preserve"> </w:t>
          </w:r>
          <w:proofErr w:type="spellStart"/>
          <w:r w:rsidRPr="00456730">
            <w:rPr>
              <w:rFonts w:cs="Arial"/>
              <w:b/>
              <w:iCs/>
              <w:sz w:val="14"/>
            </w:rPr>
            <w:t>última</w:t>
          </w:r>
          <w:proofErr w:type="spellEnd"/>
          <w:r w:rsidRPr="00456730">
            <w:rPr>
              <w:rFonts w:cs="Arial"/>
              <w:b/>
              <w:iCs/>
              <w:sz w:val="14"/>
            </w:rPr>
            <w:t xml:space="preserve"> </w:t>
          </w:r>
          <w:proofErr w:type="spellStart"/>
          <w:r w:rsidRPr="00456730">
            <w:rPr>
              <w:rFonts w:cs="Arial"/>
              <w:b/>
              <w:iCs/>
              <w:sz w:val="14"/>
            </w:rPr>
            <w:t>revisión</w:t>
          </w:r>
          <w:proofErr w:type="spellEnd"/>
          <w:r w:rsidRPr="00456730">
            <w:rPr>
              <w:rFonts w:cs="Arial"/>
              <w:b/>
              <w:iCs/>
              <w:sz w:val="14"/>
            </w:rPr>
            <w:t xml:space="preserve">: </w:t>
          </w:r>
          <w:r>
            <w:rPr>
              <w:rFonts w:cs="Arial"/>
              <w:b/>
              <w:iCs/>
              <w:sz w:val="14"/>
            </w:rPr>
            <w:t>14/11/2017</w:t>
          </w:r>
        </w:p>
      </w:tc>
      <w:tc>
        <w:tcPr>
          <w:tcW w:w="1304" w:type="pct"/>
          <w:vAlign w:val="center"/>
        </w:tcPr>
        <w:p w14:paraId="1DC411ED" w14:textId="77777777" w:rsidR="00255D19" w:rsidRPr="00456730" w:rsidRDefault="00255D19" w:rsidP="00255D19">
          <w:pPr>
            <w:contextualSpacing/>
            <w:rPr>
              <w:rFonts w:cs="Arial"/>
              <w:iCs/>
              <w:sz w:val="14"/>
            </w:rPr>
          </w:pPr>
          <w:proofErr w:type="spellStart"/>
          <w:r w:rsidRPr="00456730">
            <w:rPr>
              <w:rFonts w:cs="Arial"/>
              <w:b/>
              <w:iCs/>
              <w:sz w:val="14"/>
            </w:rPr>
            <w:t>Página</w:t>
          </w:r>
          <w:proofErr w:type="spellEnd"/>
          <w:r w:rsidRPr="00456730">
            <w:rPr>
              <w:rFonts w:cs="Arial"/>
              <w:b/>
              <w:iCs/>
              <w:sz w:val="14"/>
            </w:rPr>
            <w:t>:</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Pr>
              <w:rFonts w:cs="Arial"/>
              <w:iCs/>
              <w:sz w:val="14"/>
            </w:rPr>
            <w:t>19</w:t>
          </w:r>
          <w:r w:rsidRPr="00456730">
            <w:rPr>
              <w:rFonts w:cs="Arial"/>
              <w:iCs/>
              <w:sz w:val="14"/>
            </w:rPr>
            <w:fldChar w:fldCharType="end"/>
          </w:r>
          <w:r>
            <w:rPr>
              <w:rFonts w:cs="Arial"/>
              <w:iCs/>
              <w:sz w:val="14"/>
            </w:rPr>
            <w:t xml:space="preserve"> </w:t>
          </w:r>
        </w:p>
      </w:tc>
    </w:tr>
  </w:tbl>
  <w:p w14:paraId="70151217" w14:textId="77777777" w:rsidR="00111E14" w:rsidRPr="005A0851" w:rsidRDefault="00111E14" w:rsidP="005A0851">
    <w:pPr>
      <w:pStyle w:val="Piedepgina"/>
      <w:spacing w:after="0" w:line="240" w:lineRule="auto"/>
      <w:rPr>
        <w:sz w:val="4"/>
        <w:szCs w:val="4"/>
      </w:rPr>
    </w:pPr>
  </w:p>
  <w:p w14:paraId="2A6C3208" w14:textId="77777777" w:rsidR="003E20A0" w:rsidRDefault="003E20A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FD120" w14:textId="77777777" w:rsidR="00111E14" w:rsidRDefault="00111E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EE35B" w14:textId="77777777" w:rsidR="008830CF" w:rsidRDefault="008830CF" w:rsidP="007D16A9">
      <w:r>
        <w:separator/>
      </w:r>
    </w:p>
    <w:p w14:paraId="76A4E68F" w14:textId="77777777" w:rsidR="008830CF" w:rsidRDefault="008830CF"/>
  </w:footnote>
  <w:footnote w:type="continuationSeparator" w:id="0">
    <w:p w14:paraId="0F0D39ED" w14:textId="77777777" w:rsidR="008830CF" w:rsidRDefault="008830CF" w:rsidP="007D16A9">
      <w:r>
        <w:continuationSeparator/>
      </w:r>
    </w:p>
    <w:p w14:paraId="0973EB01" w14:textId="77777777" w:rsidR="008830CF" w:rsidRDefault="008830CF"/>
  </w:footnote>
  <w:footnote w:type="continuationNotice" w:id="1">
    <w:p w14:paraId="2C682397" w14:textId="77777777" w:rsidR="008830CF" w:rsidRDefault="008830CF"/>
    <w:p w14:paraId="322A1E37" w14:textId="77777777" w:rsidR="008830CF" w:rsidRDefault="008830CF"/>
  </w:footnote>
  <w:footnote w:id="2">
    <w:p w14:paraId="4175029D" w14:textId="77777777" w:rsidR="000B328B" w:rsidRPr="00FE48FC" w:rsidRDefault="000B328B" w:rsidP="000B328B">
      <w:pPr>
        <w:pStyle w:val="Textonotapie"/>
        <w:spacing w:before="120" w:after="0" w:line="240" w:lineRule="auto"/>
        <w:rPr>
          <w:sz w:val="18"/>
          <w:szCs w:val="18"/>
        </w:rPr>
      </w:pPr>
      <w:r w:rsidRPr="00252522">
        <w:rPr>
          <w:rStyle w:val="Refdenotaalpie"/>
          <w:sz w:val="18"/>
          <w:szCs w:val="18"/>
        </w:rPr>
        <w:footnoteRef/>
      </w:r>
      <w:r w:rsidRPr="00FE48FC">
        <w:rPr>
          <w:sz w:val="18"/>
          <w:szCs w:val="18"/>
        </w:rPr>
        <w:t xml:space="preserve"> Esto </w:t>
      </w:r>
      <w:proofErr w:type="spellStart"/>
      <w:r w:rsidRPr="00FE48FC">
        <w:rPr>
          <w:sz w:val="18"/>
          <w:szCs w:val="18"/>
        </w:rPr>
        <w:t>ocurre</w:t>
      </w:r>
      <w:proofErr w:type="spellEnd"/>
      <w:r w:rsidRPr="00FE48FC">
        <w:rPr>
          <w:sz w:val="18"/>
          <w:szCs w:val="18"/>
        </w:rPr>
        <w:t xml:space="preserve"> </w:t>
      </w:r>
      <w:proofErr w:type="spellStart"/>
      <w:r w:rsidRPr="00FE48FC">
        <w:rPr>
          <w:sz w:val="18"/>
          <w:szCs w:val="18"/>
        </w:rPr>
        <w:t>debido</w:t>
      </w:r>
      <w:proofErr w:type="spellEnd"/>
      <w:r w:rsidRPr="00FE48FC">
        <w:rPr>
          <w:sz w:val="18"/>
          <w:szCs w:val="18"/>
        </w:rPr>
        <w:t xml:space="preserve"> a que la </w:t>
      </w:r>
      <w:proofErr w:type="spellStart"/>
      <w:r w:rsidRPr="00FE48FC">
        <w:rPr>
          <w:sz w:val="18"/>
          <w:szCs w:val="18"/>
        </w:rPr>
        <w:t>información</w:t>
      </w:r>
      <w:proofErr w:type="spellEnd"/>
      <w:r w:rsidRPr="00FE48FC">
        <w:rPr>
          <w:sz w:val="18"/>
          <w:szCs w:val="18"/>
        </w:rPr>
        <w:t xml:space="preserve">, para </w:t>
      </w:r>
      <w:proofErr w:type="spellStart"/>
      <w:r w:rsidRPr="00FE48FC">
        <w:rPr>
          <w:sz w:val="18"/>
          <w:szCs w:val="18"/>
        </w:rPr>
        <w:t>su</w:t>
      </w:r>
      <w:proofErr w:type="spellEnd"/>
      <w:r w:rsidRPr="00FE48FC">
        <w:rPr>
          <w:sz w:val="18"/>
          <w:szCs w:val="18"/>
        </w:rPr>
        <w:t xml:space="preserve"> </w:t>
      </w:r>
      <w:proofErr w:type="spellStart"/>
      <w:r w:rsidRPr="00FE48FC">
        <w:rPr>
          <w:sz w:val="18"/>
          <w:szCs w:val="18"/>
        </w:rPr>
        <w:t>análisis</w:t>
      </w:r>
      <w:proofErr w:type="spellEnd"/>
      <w:r w:rsidRPr="00FE48FC">
        <w:rPr>
          <w:sz w:val="18"/>
          <w:szCs w:val="18"/>
        </w:rPr>
        <w:t xml:space="preserve">, </w:t>
      </w:r>
      <w:proofErr w:type="spellStart"/>
      <w:r w:rsidRPr="00FE48FC">
        <w:rPr>
          <w:sz w:val="18"/>
          <w:szCs w:val="18"/>
        </w:rPr>
        <w:t>requiere</w:t>
      </w:r>
      <w:proofErr w:type="spellEnd"/>
      <w:r w:rsidRPr="00FE48FC">
        <w:rPr>
          <w:sz w:val="18"/>
          <w:szCs w:val="18"/>
        </w:rPr>
        <w:t xml:space="preserve"> que se </w:t>
      </w:r>
      <w:proofErr w:type="spellStart"/>
      <w:r w:rsidRPr="00FE48FC">
        <w:rPr>
          <w:sz w:val="18"/>
          <w:szCs w:val="18"/>
        </w:rPr>
        <w:t>defina</w:t>
      </w:r>
      <w:proofErr w:type="spellEnd"/>
      <w:r w:rsidRPr="00FE48FC">
        <w:rPr>
          <w:sz w:val="18"/>
          <w:szCs w:val="18"/>
        </w:rPr>
        <w:t xml:space="preserve"> </w:t>
      </w:r>
      <w:proofErr w:type="spellStart"/>
      <w:r w:rsidRPr="00FE48FC">
        <w:rPr>
          <w:sz w:val="18"/>
          <w:szCs w:val="18"/>
        </w:rPr>
        <w:t>una</w:t>
      </w:r>
      <w:proofErr w:type="spellEnd"/>
      <w:r w:rsidRPr="00FE48FC">
        <w:rPr>
          <w:sz w:val="18"/>
          <w:szCs w:val="18"/>
        </w:rPr>
        <w:t xml:space="preserve"> </w:t>
      </w:r>
      <w:proofErr w:type="spellStart"/>
      <w:r w:rsidRPr="00FE48FC">
        <w:rPr>
          <w:sz w:val="18"/>
          <w:szCs w:val="18"/>
        </w:rPr>
        <w:t>fecha</w:t>
      </w:r>
      <w:proofErr w:type="spellEnd"/>
      <w:r w:rsidRPr="00FE48FC">
        <w:rPr>
          <w:sz w:val="18"/>
          <w:szCs w:val="18"/>
        </w:rPr>
        <w:t xml:space="preserve"> de </w:t>
      </w:r>
      <w:proofErr w:type="spellStart"/>
      <w:r w:rsidRPr="00FE48FC">
        <w:rPr>
          <w:sz w:val="18"/>
          <w:szCs w:val="18"/>
        </w:rPr>
        <w:t>referencia</w:t>
      </w:r>
      <w:proofErr w:type="spellEnd"/>
      <w:r w:rsidRPr="00FE48FC">
        <w:rPr>
          <w:sz w:val="18"/>
          <w:szCs w:val="18"/>
        </w:rPr>
        <w:t xml:space="preserve"> para </w:t>
      </w:r>
      <w:proofErr w:type="spellStart"/>
      <w:r w:rsidRPr="00FE48FC">
        <w:rPr>
          <w:sz w:val="18"/>
          <w:szCs w:val="18"/>
        </w:rPr>
        <w:t>algunas</w:t>
      </w:r>
      <w:proofErr w:type="spellEnd"/>
      <w:r w:rsidRPr="00FE48FC">
        <w:rPr>
          <w:sz w:val="18"/>
          <w:szCs w:val="18"/>
        </w:rPr>
        <w:t xml:space="preserve"> variables </w:t>
      </w:r>
      <w:proofErr w:type="spellStart"/>
      <w:r w:rsidRPr="00FE48FC">
        <w:rPr>
          <w:sz w:val="18"/>
          <w:szCs w:val="18"/>
        </w:rPr>
        <w:t>utilizadas</w:t>
      </w:r>
      <w:proofErr w:type="spellEnd"/>
      <w:r w:rsidRPr="00FE48FC">
        <w:rPr>
          <w:sz w:val="18"/>
          <w:szCs w:val="18"/>
        </w:rPr>
        <w:t xml:space="preserve"> </w:t>
      </w:r>
      <w:proofErr w:type="spellStart"/>
      <w:r w:rsidRPr="00FE48FC">
        <w:rPr>
          <w:sz w:val="18"/>
          <w:szCs w:val="18"/>
        </w:rPr>
        <w:t>en</w:t>
      </w:r>
      <w:proofErr w:type="spellEnd"/>
      <w:r w:rsidRPr="00FE48FC">
        <w:rPr>
          <w:sz w:val="18"/>
          <w:szCs w:val="18"/>
        </w:rPr>
        <w:t xml:space="preserve"> las </w:t>
      </w:r>
      <w:proofErr w:type="spellStart"/>
      <w:r w:rsidRPr="00FE48FC">
        <w:rPr>
          <w:sz w:val="18"/>
          <w:szCs w:val="18"/>
        </w:rPr>
        <w:t>metodologías</w:t>
      </w:r>
      <w:proofErr w:type="spellEnd"/>
      <w:r w:rsidRPr="00FE48FC">
        <w:rPr>
          <w:sz w:val="18"/>
          <w:szCs w:val="18"/>
        </w:rPr>
        <w:t xml:space="preserve">. Por </w:t>
      </w:r>
      <w:proofErr w:type="spellStart"/>
      <w:r w:rsidRPr="00FE48FC">
        <w:rPr>
          <w:sz w:val="18"/>
          <w:szCs w:val="18"/>
        </w:rPr>
        <w:t>ejemplo</w:t>
      </w:r>
      <w:proofErr w:type="spellEnd"/>
      <w:r w:rsidRPr="00FE48FC">
        <w:rPr>
          <w:sz w:val="18"/>
          <w:szCs w:val="18"/>
        </w:rPr>
        <w:t xml:space="preserve">: valor del </w:t>
      </w:r>
      <w:proofErr w:type="spellStart"/>
      <w:r w:rsidRPr="00FE48FC">
        <w:rPr>
          <w:sz w:val="18"/>
          <w:szCs w:val="18"/>
        </w:rPr>
        <w:t>inventario</w:t>
      </w:r>
      <w:proofErr w:type="spellEnd"/>
      <w:r w:rsidRPr="00FE48FC">
        <w:rPr>
          <w:sz w:val="18"/>
          <w:szCs w:val="18"/>
        </w:rPr>
        <w:t xml:space="preserve"> de </w:t>
      </w:r>
      <w:proofErr w:type="spellStart"/>
      <w:r w:rsidRPr="00FE48FC">
        <w:rPr>
          <w:sz w:val="18"/>
          <w:szCs w:val="18"/>
        </w:rPr>
        <w:t>los</w:t>
      </w:r>
      <w:proofErr w:type="spellEnd"/>
      <w:r w:rsidRPr="00FE48FC">
        <w:rPr>
          <w:sz w:val="18"/>
          <w:szCs w:val="18"/>
        </w:rPr>
        <w:t xml:space="preserve"> </w:t>
      </w:r>
      <w:proofErr w:type="spellStart"/>
      <w:r w:rsidRPr="00FE48FC">
        <w:rPr>
          <w:sz w:val="18"/>
          <w:szCs w:val="18"/>
        </w:rPr>
        <w:t>activos</w:t>
      </w:r>
      <w:proofErr w:type="spellEnd"/>
      <w:r w:rsidRPr="00FE48FC">
        <w:rPr>
          <w:sz w:val="18"/>
          <w:szCs w:val="18"/>
        </w:rPr>
        <w:t xml:space="preserve"> </w:t>
      </w:r>
      <w:proofErr w:type="spellStart"/>
      <w:r w:rsidRPr="00FE48FC">
        <w:rPr>
          <w:sz w:val="18"/>
          <w:szCs w:val="18"/>
        </w:rPr>
        <w:t>utilizados</w:t>
      </w:r>
      <w:proofErr w:type="spellEnd"/>
      <w:r w:rsidRPr="00FE48FC">
        <w:rPr>
          <w:sz w:val="18"/>
          <w:szCs w:val="18"/>
        </w:rPr>
        <w:t xml:space="preserve">, valor de </w:t>
      </w:r>
      <w:proofErr w:type="spellStart"/>
      <w:r w:rsidRPr="00FE48FC">
        <w:rPr>
          <w:sz w:val="18"/>
          <w:szCs w:val="18"/>
        </w:rPr>
        <w:t>los</w:t>
      </w:r>
      <w:proofErr w:type="spellEnd"/>
      <w:r w:rsidRPr="00FE48FC">
        <w:rPr>
          <w:sz w:val="18"/>
          <w:szCs w:val="18"/>
        </w:rPr>
        <w:t xml:space="preserve"> </w:t>
      </w:r>
      <w:proofErr w:type="spellStart"/>
      <w:r w:rsidRPr="00FE48FC">
        <w:rPr>
          <w:sz w:val="18"/>
          <w:szCs w:val="18"/>
        </w:rPr>
        <w:t>gastos</w:t>
      </w:r>
      <w:proofErr w:type="spellEnd"/>
      <w:r w:rsidRPr="00FE48FC">
        <w:rPr>
          <w:sz w:val="18"/>
          <w:szCs w:val="18"/>
        </w:rPr>
        <w:t xml:space="preserve">, entre </w:t>
      </w:r>
      <w:proofErr w:type="spellStart"/>
      <w:r w:rsidRPr="00FE48FC">
        <w:rPr>
          <w:sz w:val="18"/>
          <w:szCs w:val="18"/>
        </w:rPr>
        <w:t>otros</w:t>
      </w:r>
      <w:proofErr w:type="spellEnd"/>
      <w:r w:rsidRPr="00FE48FC">
        <w:rPr>
          <w:sz w:val="18"/>
          <w:szCs w:val="18"/>
        </w:rPr>
        <w:t xml:space="preserve">. Esta </w:t>
      </w:r>
      <w:proofErr w:type="spellStart"/>
      <w:r w:rsidRPr="00FE48FC">
        <w:rPr>
          <w:sz w:val="18"/>
          <w:szCs w:val="18"/>
        </w:rPr>
        <w:t>fecha</w:t>
      </w:r>
      <w:proofErr w:type="spellEnd"/>
      <w:r w:rsidRPr="00FE48FC">
        <w:rPr>
          <w:sz w:val="18"/>
          <w:szCs w:val="18"/>
        </w:rPr>
        <w:t xml:space="preserve">, </w:t>
      </w:r>
      <w:proofErr w:type="spellStart"/>
      <w:r w:rsidRPr="00FE48FC">
        <w:rPr>
          <w:sz w:val="18"/>
          <w:szCs w:val="18"/>
        </w:rPr>
        <w:t>generalmente</w:t>
      </w:r>
      <w:proofErr w:type="spellEnd"/>
      <w:r w:rsidRPr="00FE48FC">
        <w:rPr>
          <w:sz w:val="18"/>
          <w:szCs w:val="18"/>
        </w:rPr>
        <w:t xml:space="preserve"> se ha </w:t>
      </w:r>
      <w:proofErr w:type="spellStart"/>
      <w:r w:rsidRPr="00FE48FC">
        <w:rPr>
          <w:sz w:val="18"/>
          <w:szCs w:val="18"/>
        </w:rPr>
        <w:t>denominado</w:t>
      </w:r>
      <w:proofErr w:type="spellEnd"/>
      <w:r w:rsidRPr="00FE48FC">
        <w:rPr>
          <w:sz w:val="18"/>
          <w:szCs w:val="18"/>
        </w:rPr>
        <w:t xml:space="preserve"> “</w:t>
      </w:r>
      <w:proofErr w:type="spellStart"/>
      <w:r w:rsidRPr="00FE48FC">
        <w:rPr>
          <w:sz w:val="18"/>
          <w:szCs w:val="18"/>
        </w:rPr>
        <w:t>fecha</w:t>
      </w:r>
      <w:proofErr w:type="spellEnd"/>
      <w:r w:rsidRPr="00FE48FC">
        <w:rPr>
          <w:sz w:val="18"/>
          <w:szCs w:val="18"/>
        </w:rPr>
        <w:t xml:space="preserve"> de corte”.</w:t>
      </w:r>
    </w:p>
  </w:footnote>
  <w:footnote w:id="3">
    <w:p w14:paraId="316017FE" w14:textId="61761561" w:rsidR="00805120" w:rsidRPr="00252522" w:rsidRDefault="00805120" w:rsidP="00252522">
      <w:pPr>
        <w:pStyle w:val="Textonotapie"/>
        <w:spacing w:before="120" w:after="0" w:line="240" w:lineRule="auto"/>
        <w:rPr>
          <w:rStyle w:val="Refdenotaalpie"/>
          <w:sz w:val="18"/>
          <w:szCs w:val="18"/>
        </w:rPr>
      </w:pPr>
      <w:r w:rsidRPr="00252522">
        <w:rPr>
          <w:rStyle w:val="Refdenotaalpie"/>
          <w:sz w:val="18"/>
          <w:szCs w:val="18"/>
        </w:rPr>
        <w:footnoteRef/>
      </w:r>
      <w:r w:rsidRPr="00252522">
        <w:rPr>
          <w:rStyle w:val="Refdenotaalpie"/>
          <w:sz w:val="18"/>
          <w:szCs w:val="18"/>
        </w:rPr>
        <w:t xml:space="preserve"> </w:t>
      </w:r>
      <w:proofErr w:type="spellStart"/>
      <w:r w:rsidRPr="00252522">
        <w:rPr>
          <w:rStyle w:val="Refdenotaalpie"/>
          <w:sz w:val="18"/>
          <w:szCs w:val="18"/>
          <w:vertAlign w:val="baseline"/>
        </w:rPr>
        <w:t>Según</w:t>
      </w:r>
      <w:proofErr w:type="spellEnd"/>
      <w:r w:rsidRPr="00252522">
        <w:rPr>
          <w:rStyle w:val="Refdenotaalpie"/>
          <w:sz w:val="18"/>
          <w:szCs w:val="18"/>
          <w:vertAlign w:val="baseline"/>
        </w:rPr>
        <w:t xml:space="preserve"> lo </w:t>
      </w:r>
      <w:proofErr w:type="spellStart"/>
      <w:r w:rsidRPr="00252522">
        <w:rPr>
          <w:rStyle w:val="Refdenotaalpie"/>
          <w:sz w:val="18"/>
          <w:szCs w:val="18"/>
          <w:vertAlign w:val="baseline"/>
        </w:rPr>
        <w:t>establecido</w:t>
      </w:r>
      <w:proofErr w:type="spellEnd"/>
      <w:r w:rsidRPr="00252522">
        <w:rPr>
          <w:rStyle w:val="Refdenotaalpie"/>
          <w:sz w:val="18"/>
          <w:szCs w:val="18"/>
          <w:vertAlign w:val="baseline"/>
        </w:rPr>
        <w:t xml:space="preserve"> </w:t>
      </w:r>
      <w:proofErr w:type="spellStart"/>
      <w:r w:rsidRPr="00252522">
        <w:rPr>
          <w:rStyle w:val="Refdenotaalpie"/>
          <w:sz w:val="18"/>
          <w:szCs w:val="18"/>
          <w:vertAlign w:val="baseline"/>
        </w:rPr>
        <w:t>en</w:t>
      </w:r>
      <w:proofErr w:type="spellEnd"/>
      <w:r w:rsidRPr="00252522">
        <w:rPr>
          <w:rStyle w:val="Refdenotaalpie"/>
          <w:sz w:val="18"/>
          <w:szCs w:val="18"/>
          <w:vertAlign w:val="baseline"/>
        </w:rPr>
        <w:t xml:space="preserve"> la </w:t>
      </w:r>
      <w:proofErr w:type="spellStart"/>
      <w:r w:rsidRPr="00252522">
        <w:rPr>
          <w:rStyle w:val="Refdenotaalpie"/>
          <w:sz w:val="18"/>
          <w:szCs w:val="18"/>
          <w:vertAlign w:val="baseline"/>
        </w:rPr>
        <w:t>Resolución</w:t>
      </w:r>
      <w:proofErr w:type="spellEnd"/>
      <w:r w:rsidRPr="00252522">
        <w:rPr>
          <w:rStyle w:val="Refdenotaalpie"/>
          <w:sz w:val="18"/>
          <w:szCs w:val="18"/>
          <w:vertAlign w:val="baseline"/>
        </w:rPr>
        <w:t xml:space="preserve"> CREG </w:t>
      </w:r>
      <w:r w:rsidR="00C32857" w:rsidRPr="00252522">
        <w:rPr>
          <w:rStyle w:val="Refdenotaalpie"/>
          <w:sz w:val="18"/>
          <w:szCs w:val="18"/>
          <w:vertAlign w:val="baseline"/>
        </w:rPr>
        <w:t xml:space="preserve">180 de 2014, se </w:t>
      </w:r>
      <w:proofErr w:type="spellStart"/>
      <w:r w:rsidR="00C32857" w:rsidRPr="00252522">
        <w:rPr>
          <w:rStyle w:val="Refdenotaalpie"/>
          <w:sz w:val="18"/>
          <w:szCs w:val="18"/>
          <w:vertAlign w:val="baseline"/>
        </w:rPr>
        <w:t>utiliza</w:t>
      </w:r>
      <w:proofErr w:type="spellEnd"/>
      <w:r w:rsidR="00C32857" w:rsidRPr="00252522">
        <w:rPr>
          <w:rStyle w:val="Refdenotaalpie"/>
          <w:sz w:val="18"/>
          <w:szCs w:val="18"/>
          <w:vertAlign w:val="baseline"/>
        </w:rPr>
        <w:t xml:space="preserve"> </w:t>
      </w:r>
      <w:proofErr w:type="spellStart"/>
      <w:r w:rsidR="00C32857" w:rsidRPr="00252522">
        <w:rPr>
          <w:rStyle w:val="Refdenotaalpie"/>
          <w:sz w:val="18"/>
          <w:szCs w:val="18"/>
          <w:vertAlign w:val="baseline"/>
        </w:rPr>
        <w:t>como</w:t>
      </w:r>
      <w:proofErr w:type="spellEnd"/>
      <w:r w:rsidR="00C32857" w:rsidRPr="00252522">
        <w:rPr>
          <w:rStyle w:val="Refdenotaalpie"/>
          <w:sz w:val="18"/>
          <w:szCs w:val="18"/>
          <w:vertAlign w:val="baseline"/>
        </w:rPr>
        <w:t xml:space="preserve"> base </w:t>
      </w:r>
      <w:proofErr w:type="spellStart"/>
      <w:r w:rsidR="00C32857" w:rsidRPr="00252522">
        <w:rPr>
          <w:rStyle w:val="Refdenotaalpie"/>
          <w:sz w:val="18"/>
          <w:szCs w:val="18"/>
          <w:vertAlign w:val="baseline"/>
        </w:rPr>
        <w:t>el</w:t>
      </w:r>
      <w:proofErr w:type="spellEnd"/>
      <w:r w:rsidR="00C32857" w:rsidRPr="00252522">
        <w:rPr>
          <w:rStyle w:val="Refdenotaalpie"/>
          <w:sz w:val="18"/>
          <w:szCs w:val="18"/>
          <w:vertAlign w:val="baseline"/>
        </w:rPr>
        <w:t xml:space="preserve"> </w:t>
      </w:r>
      <w:proofErr w:type="spellStart"/>
      <w:r w:rsidR="00C32857" w:rsidRPr="00252522">
        <w:rPr>
          <w:rStyle w:val="Refdenotaalpie"/>
          <w:sz w:val="18"/>
          <w:szCs w:val="18"/>
          <w:vertAlign w:val="baseline"/>
        </w:rPr>
        <w:t>índice</w:t>
      </w:r>
      <w:proofErr w:type="spellEnd"/>
      <w:r w:rsidR="00C32857" w:rsidRPr="00252522">
        <w:rPr>
          <w:rStyle w:val="Refdenotaalpie"/>
          <w:sz w:val="18"/>
          <w:szCs w:val="18"/>
          <w:vertAlign w:val="baseline"/>
        </w:rPr>
        <w:t xml:space="preserve"> de </w:t>
      </w:r>
      <w:proofErr w:type="spellStart"/>
      <w:r w:rsidR="00C32857" w:rsidRPr="00252522">
        <w:rPr>
          <w:rStyle w:val="Refdenotaalpie"/>
          <w:sz w:val="18"/>
          <w:szCs w:val="18"/>
          <w:vertAlign w:val="baseline"/>
        </w:rPr>
        <w:t>precios</w:t>
      </w:r>
      <w:proofErr w:type="spellEnd"/>
      <w:r w:rsidR="00C32857" w:rsidRPr="00252522">
        <w:rPr>
          <w:rStyle w:val="Refdenotaalpie"/>
          <w:sz w:val="18"/>
          <w:szCs w:val="18"/>
          <w:vertAlign w:val="baseline"/>
        </w:rPr>
        <w:t xml:space="preserve"> al </w:t>
      </w:r>
      <w:proofErr w:type="spellStart"/>
      <w:r w:rsidR="00C32857" w:rsidRPr="00252522">
        <w:rPr>
          <w:rStyle w:val="Refdenotaalpie"/>
          <w:sz w:val="18"/>
          <w:szCs w:val="18"/>
          <w:vertAlign w:val="baseline"/>
        </w:rPr>
        <w:t>consumidor</w:t>
      </w:r>
      <w:proofErr w:type="spellEnd"/>
      <w:r w:rsidR="00C32857" w:rsidRPr="00252522">
        <w:rPr>
          <w:rStyle w:val="Refdenotaalpie"/>
          <w:sz w:val="18"/>
          <w:szCs w:val="18"/>
          <w:vertAlign w:val="baseline"/>
        </w:rPr>
        <w:t xml:space="preserve"> </w:t>
      </w:r>
      <w:proofErr w:type="spellStart"/>
      <w:r w:rsidR="00C32857" w:rsidRPr="00252522">
        <w:rPr>
          <w:rStyle w:val="Refdenotaalpie"/>
          <w:sz w:val="18"/>
          <w:szCs w:val="18"/>
          <w:vertAlign w:val="baseline"/>
        </w:rPr>
        <w:t>reportado</w:t>
      </w:r>
      <w:proofErr w:type="spellEnd"/>
      <w:r w:rsidR="00C32857" w:rsidRPr="00252522">
        <w:rPr>
          <w:rStyle w:val="Refdenotaalpie"/>
          <w:sz w:val="18"/>
          <w:szCs w:val="18"/>
          <w:vertAlign w:val="baseline"/>
        </w:rPr>
        <w:t xml:space="preserve"> </w:t>
      </w:r>
      <w:proofErr w:type="spellStart"/>
      <w:r w:rsidR="00C32857" w:rsidRPr="00252522">
        <w:rPr>
          <w:rStyle w:val="Refdenotaalpie"/>
          <w:sz w:val="18"/>
          <w:szCs w:val="18"/>
          <w:vertAlign w:val="baseline"/>
        </w:rPr>
        <w:t>por</w:t>
      </w:r>
      <w:proofErr w:type="spellEnd"/>
      <w:r w:rsidR="00C32857" w:rsidRPr="00252522">
        <w:rPr>
          <w:rStyle w:val="Refdenotaalpie"/>
          <w:sz w:val="18"/>
          <w:szCs w:val="18"/>
          <w:vertAlign w:val="baseline"/>
        </w:rPr>
        <w:t xml:space="preserve"> </w:t>
      </w:r>
      <w:proofErr w:type="spellStart"/>
      <w:r w:rsidR="00C32857" w:rsidRPr="00252522">
        <w:rPr>
          <w:rStyle w:val="Refdenotaalpie"/>
          <w:sz w:val="18"/>
          <w:szCs w:val="18"/>
          <w:vertAlign w:val="baseline"/>
        </w:rPr>
        <w:t>el</w:t>
      </w:r>
      <w:proofErr w:type="spellEnd"/>
      <w:r w:rsidR="00C32857" w:rsidRPr="00252522">
        <w:rPr>
          <w:rStyle w:val="Refdenotaalpie"/>
          <w:sz w:val="18"/>
          <w:szCs w:val="18"/>
          <w:vertAlign w:val="baseline"/>
        </w:rPr>
        <w:t xml:space="preserve"> DANE para </w:t>
      </w:r>
      <w:proofErr w:type="spellStart"/>
      <w:r w:rsidR="00C32857" w:rsidRPr="00252522">
        <w:rPr>
          <w:rStyle w:val="Refdenotaalpie"/>
          <w:sz w:val="18"/>
          <w:szCs w:val="18"/>
          <w:vertAlign w:val="baseline"/>
        </w:rPr>
        <w:t>diciembre</w:t>
      </w:r>
      <w:proofErr w:type="spellEnd"/>
      <w:r w:rsidR="00C32857" w:rsidRPr="00252522">
        <w:rPr>
          <w:rStyle w:val="Refdenotaalpie"/>
          <w:sz w:val="18"/>
          <w:szCs w:val="18"/>
          <w:vertAlign w:val="baseline"/>
        </w:rPr>
        <w:t xml:space="preserve"> de 2013.</w:t>
      </w:r>
    </w:p>
  </w:footnote>
  <w:footnote w:id="4">
    <w:p w14:paraId="1780655D" w14:textId="001D3100" w:rsidR="00BF141C" w:rsidRPr="00252522" w:rsidRDefault="00BF141C" w:rsidP="00252522">
      <w:pPr>
        <w:pStyle w:val="Textonotapie"/>
        <w:spacing w:before="120" w:after="0" w:line="240" w:lineRule="auto"/>
        <w:rPr>
          <w:rStyle w:val="Refdenotaalpie"/>
          <w:sz w:val="18"/>
          <w:szCs w:val="18"/>
          <w:vertAlign w:val="baseline"/>
        </w:rPr>
      </w:pPr>
      <w:r w:rsidRPr="00252522">
        <w:rPr>
          <w:rStyle w:val="Refdenotaalpie"/>
          <w:sz w:val="18"/>
          <w:szCs w:val="18"/>
        </w:rPr>
        <w:footnoteRef/>
      </w:r>
      <w:r w:rsidRPr="00252522">
        <w:rPr>
          <w:rStyle w:val="Refdenotaalpie"/>
          <w:sz w:val="18"/>
          <w:szCs w:val="18"/>
        </w:rPr>
        <w:t xml:space="preserve"> </w:t>
      </w:r>
      <w:r w:rsidRPr="00FE48FC">
        <w:rPr>
          <w:rStyle w:val="Refdenotaalpie"/>
          <w:sz w:val="18"/>
          <w:szCs w:val="18"/>
          <w:vertAlign w:val="baseline"/>
        </w:rPr>
        <w:t xml:space="preserve">En </w:t>
      </w:r>
      <w:proofErr w:type="spellStart"/>
      <w:r w:rsidRPr="00FE48FC">
        <w:rPr>
          <w:rStyle w:val="Refdenotaalpie"/>
          <w:sz w:val="18"/>
          <w:szCs w:val="18"/>
          <w:vertAlign w:val="baseline"/>
        </w:rPr>
        <w:t>el</w:t>
      </w:r>
      <w:proofErr w:type="spellEnd"/>
      <w:r w:rsidRPr="00FE48FC">
        <w:rPr>
          <w:rStyle w:val="Refdenotaalpie"/>
          <w:sz w:val="18"/>
          <w:szCs w:val="18"/>
          <w:vertAlign w:val="baseline"/>
        </w:rPr>
        <w:t xml:space="preserve"> </w:t>
      </w:r>
      <w:proofErr w:type="spellStart"/>
      <w:r w:rsidRPr="00FE48FC">
        <w:rPr>
          <w:rStyle w:val="Refdenotaalpie"/>
          <w:sz w:val="18"/>
          <w:szCs w:val="18"/>
          <w:vertAlign w:val="baseline"/>
        </w:rPr>
        <w:t>apart</w:t>
      </w:r>
      <w:r w:rsidR="00591AD7" w:rsidRPr="00FE48FC">
        <w:rPr>
          <w:rStyle w:val="Refdenotaalpie"/>
          <w:sz w:val="18"/>
          <w:szCs w:val="18"/>
          <w:vertAlign w:val="baseline"/>
        </w:rPr>
        <w:t>e</w:t>
      </w:r>
      <w:proofErr w:type="spellEnd"/>
      <w:r w:rsidR="00591AD7" w:rsidRPr="00FE48FC">
        <w:rPr>
          <w:rStyle w:val="Refdenotaalpie"/>
          <w:sz w:val="18"/>
          <w:szCs w:val="18"/>
          <w:vertAlign w:val="baseline"/>
        </w:rPr>
        <w:t xml:space="preserve"> </w:t>
      </w:r>
      <w:r w:rsidR="009E01DA" w:rsidRPr="00FE48FC">
        <w:rPr>
          <w:rStyle w:val="Refdenotaalpie"/>
          <w:sz w:val="18"/>
          <w:szCs w:val="18"/>
          <w:vertAlign w:val="baseline"/>
        </w:rPr>
        <w:fldChar w:fldCharType="begin"/>
      </w:r>
      <w:r w:rsidR="009E01DA" w:rsidRPr="00FE48FC">
        <w:rPr>
          <w:rStyle w:val="Refdenotaalpie"/>
          <w:sz w:val="18"/>
          <w:szCs w:val="18"/>
          <w:vertAlign w:val="baseline"/>
        </w:rPr>
        <w:instrText xml:space="preserve"> REF _Ref144891164 \r \h </w:instrText>
      </w:r>
      <w:r w:rsidR="00252522" w:rsidRPr="00FE48FC">
        <w:rPr>
          <w:rStyle w:val="Refdenotaalpie"/>
          <w:sz w:val="18"/>
          <w:szCs w:val="18"/>
          <w:vertAlign w:val="baseline"/>
        </w:rPr>
        <w:instrText xml:space="preserve"> \* MERGEFORMAT </w:instrText>
      </w:r>
      <w:r w:rsidR="009E01DA" w:rsidRPr="00FE48FC">
        <w:rPr>
          <w:rStyle w:val="Refdenotaalpie"/>
          <w:sz w:val="18"/>
          <w:szCs w:val="18"/>
          <w:vertAlign w:val="baseline"/>
        </w:rPr>
      </w:r>
      <w:r w:rsidR="009E01DA" w:rsidRPr="00FE48FC">
        <w:rPr>
          <w:rStyle w:val="Refdenotaalpie"/>
          <w:sz w:val="18"/>
          <w:szCs w:val="18"/>
          <w:vertAlign w:val="baseline"/>
        </w:rPr>
        <w:fldChar w:fldCharType="separate"/>
      </w:r>
      <w:r w:rsidR="00B40B80">
        <w:rPr>
          <w:rStyle w:val="Refdenotaalpie"/>
          <w:sz w:val="18"/>
          <w:szCs w:val="18"/>
          <w:vertAlign w:val="baseline"/>
        </w:rPr>
        <w:t>6</w:t>
      </w:r>
      <w:r w:rsidR="009E01DA" w:rsidRPr="00FE48FC">
        <w:rPr>
          <w:rStyle w:val="Refdenotaalpie"/>
          <w:sz w:val="18"/>
          <w:szCs w:val="18"/>
          <w:vertAlign w:val="baseline"/>
        </w:rPr>
        <w:fldChar w:fldCharType="end"/>
      </w:r>
      <w:r w:rsidR="009E01DA" w:rsidRPr="00FE48FC">
        <w:rPr>
          <w:rStyle w:val="Refdenotaalpie"/>
          <w:sz w:val="18"/>
          <w:szCs w:val="18"/>
          <w:vertAlign w:val="baseline"/>
        </w:rPr>
        <w:t xml:space="preserve"> del </w:t>
      </w:r>
      <w:proofErr w:type="spellStart"/>
      <w:r w:rsidR="009E01DA" w:rsidRPr="00FE48FC">
        <w:rPr>
          <w:rStyle w:val="Refdenotaalpie"/>
          <w:sz w:val="18"/>
          <w:szCs w:val="18"/>
          <w:vertAlign w:val="baseline"/>
        </w:rPr>
        <w:t>presente</w:t>
      </w:r>
      <w:proofErr w:type="spellEnd"/>
      <w:r w:rsidR="009E01DA" w:rsidRPr="00FE48FC">
        <w:rPr>
          <w:rStyle w:val="Refdenotaalpie"/>
          <w:sz w:val="18"/>
          <w:szCs w:val="18"/>
          <w:vertAlign w:val="baseline"/>
        </w:rPr>
        <w:t xml:space="preserve"> </w:t>
      </w:r>
      <w:proofErr w:type="spellStart"/>
      <w:r w:rsidR="009E01DA" w:rsidRPr="00FE48FC">
        <w:rPr>
          <w:rStyle w:val="Refdenotaalpie"/>
          <w:sz w:val="18"/>
          <w:szCs w:val="18"/>
          <w:vertAlign w:val="baseline"/>
        </w:rPr>
        <w:t>documento</w:t>
      </w:r>
      <w:proofErr w:type="spellEnd"/>
      <w:r w:rsidR="009E01DA" w:rsidRPr="00FE48FC">
        <w:rPr>
          <w:rStyle w:val="Refdenotaalpie"/>
          <w:sz w:val="18"/>
          <w:szCs w:val="18"/>
          <w:vertAlign w:val="baseline"/>
        </w:rPr>
        <w:t xml:space="preserve"> se </w:t>
      </w:r>
      <w:proofErr w:type="spellStart"/>
      <w:r w:rsidR="009E01DA" w:rsidRPr="00FE48FC">
        <w:rPr>
          <w:rStyle w:val="Refdenotaalpie"/>
          <w:sz w:val="18"/>
          <w:szCs w:val="18"/>
          <w:vertAlign w:val="baseline"/>
        </w:rPr>
        <w:t>explica</w:t>
      </w:r>
      <w:proofErr w:type="spellEnd"/>
      <w:r w:rsidR="009E01DA" w:rsidRPr="00252522">
        <w:rPr>
          <w:rStyle w:val="Refdenotaalpie"/>
          <w:sz w:val="18"/>
          <w:szCs w:val="18"/>
          <w:vertAlign w:val="baseline"/>
        </w:rPr>
        <w:t xml:space="preserve"> la </w:t>
      </w:r>
      <w:proofErr w:type="spellStart"/>
      <w:r w:rsidR="009E01DA" w:rsidRPr="00252522">
        <w:rPr>
          <w:rStyle w:val="Refdenotaalpie"/>
          <w:sz w:val="18"/>
          <w:szCs w:val="18"/>
          <w:vertAlign w:val="baseline"/>
        </w:rPr>
        <w:t>razón</w:t>
      </w:r>
      <w:proofErr w:type="spellEnd"/>
      <w:r w:rsidR="009E01DA" w:rsidRPr="00252522">
        <w:rPr>
          <w:rStyle w:val="Refdenotaalpie"/>
          <w:sz w:val="18"/>
          <w:szCs w:val="18"/>
          <w:vertAlign w:val="baseline"/>
        </w:rPr>
        <w:t xml:space="preserve"> </w:t>
      </w:r>
      <w:proofErr w:type="spellStart"/>
      <w:r w:rsidR="009E01DA" w:rsidRPr="00252522">
        <w:rPr>
          <w:rStyle w:val="Refdenotaalpie"/>
          <w:sz w:val="18"/>
          <w:szCs w:val="18"/>
          <w:vertAlign w:val="baseline"/>
        </w:rPr>
        <w:t>por</w:t>
      </w:r>
      <w:proofErr w:type="spellEnd"/>
      <w:r w:rsidR="009E01DA" w:rsidRPr="00252522">
        <w:rPr>
          <w:rStyle w:val="Refdenotaalpie"/>
          <w:sz w:val="18"/>
          <w:szCs w:val="18"/>
          <w:vertAlign w:val="baseline"/>
        </w:rPr>
        <w:t xml:space="preserve"> la </w:t>
      </w:r>
      <w:proofErr w:type="spellStart"/>
      <w:r w:rsidR="009E01DA" w:rsidRPr="00252522">
        <w:rPr>
          <w:rStyle w:val="Refdenotaalpie"/>
          <w:sz w:val="18"/>
          <w:szCs w:val="18"/>
          <w:vertAlign w:val="baseline"/>
        </w:rPr>
        <w:t>cual</w:t>
      </w:r>
      <w:proofErr w:type="spellEnd"/>
      <w:r w:rsidR="009E01DA" w:rsidRPr="00252522">
        <w:rPr>
          <w:rStyle w:val="Refdenotaalpie"/>
          <w:sz w:val="18"/>
          <w:szCs w:val="18"/>
          <w:vertAlign w:val="baseline"/>
        </w:rPr>
        <w:t xml:space="preserve"> se </w:t>
      </w:r>
      <w:proofErr w:type="spellStart"/>
      <w:r w:rsidR="009E01DA" w:rsidRPr="00252522">
        <w:rPr>
          <w:rStyle w:val="Refdenotaalpie"/>
          <w:sz w:val="18"/>
          <w:szCs w:val="18"/>
          <w:vertAlign w:val="baseline"/>
        </w:rPr>
        <w:t>sigue</w:t>
      </w:r>
      <w:proofErr w:type="spellEnd"/>
      <w:r w:rsidR="009E01DA" w:rsidRPr="00252522">
        <w:rPr>
          <w:rStyle w:val="Refdenotaalpie"/>
          <w:sz w:val="18"/>
          <w:szCs w:val="18"/>
          <w:vertAlign w:val="baseline"/>
        </w:rPr>
        <w:t xml:space="preserve"> </w:t>
      </w:r>
      <w:proofErr w:type="spellStart"/>
      <w:r w:rsidR="009E01DA" w:rsidRPr="00252522">
        <w:rPr>
          <w:rStyle w:val="Refdenotaalpie"/>
          <w:sz w:val="18"/>
          <w:szCs w:val="18"/>
          <w:vertAlign w:val="baseline"/>
        </w:rPr>
        <w:t>utilizando</w:t>
      </w:r>
      <w:proofErr w:type="spellEnd"/>
      <w:r w:rsidR="009E01DA" w:rsidRPr="00252522">
        <w:rPr>
          <w:rStyle w:val="Refdenotaalpie"/>
          <w:sz w:val="18"/>
          <w:szCs w:val="18"/>
          <w:vertAlign w:val="baseline"/>
        </w:rPr>
        <w:t xml:space="preserve"> la </w:t>
      </w:r>
      <w:proofErr w:type="spellStart"/>
      <w:r w:rsidR="009E01DA" w:rsidRPr="00252522">
        <w:rPr>
          <w:rStyle w:val="Refdenotaalpie"/>
          <w:sz w:val="18"/>
          <w:szCs w:val="18"/>
          <w:vertAlign w:val="baseline"/>
        </w:rPr>
        <w:t>serie</w:t>
      </w:r>
      <w:proofErr w:type="spellEnd"/>
      <w:r w:rsidR="009E01DA" w:rsidRPr="00252522">
        <w:rPr>
          <w:rStyle w:val="Refdenotaalpie"/>
          <w:sz w:val="18"/>
          <w:szCs w:val="18"/>
          <w:vertAlign w:val="baseline"/>
        </w:rPr>
        <w:t xml:space="preserve"> </w:t>
      </w:r>
      <w:proofErr w:type="spellStart"/>
      <w:r w:rsidR="00786C7F" w:rsidRPr="00252522">
        <w:rPr>
          <w:rStyle w:val="Refdenotaalpie"/>
          <w:sz w:val="18"/>
          <w:szCs w:val="18"/>
          <w:vertAlign w:val="baseline"/>
        </w:rPr>
        <w:t>Oferta</w:t>
      </w:r>
      <w:proofErr w:type="spellEnd"/>
      <w:r w:rsidR="00786C7F" w:rsidRPr="00252522">
        <w:rPr>
          <w:rStyle w:val="Refdenotaalpie"/>
          <w:sz w:val="18"/>
          <w:szCs w:val="18"/>
          <w:vertAlign w:val="baseline"/>
        </w:rPr>
        <w:t xml:space="preserve"> Interna</w:t>
      </w:r>
      <w:r w:rsidR="00252522" w:rsidRPr="00252522">
        <w:rPr>
          <w:rStyle w:val="Refdenotaalpie"/>
          <w:sz w:val="18"/>
          <w:szCs w:val="18"/>
          <w:vertAlign w:val="baseline"/>
        </w:rPr>
        <w:t>.</w:t>
      </w:r>
      <w:r w:rsidR="00591AD7" w:rsidRPr="00252522">
        <w:rPr>
          <w:rStyle w:val="Refdenotaalpie"/>
          <w:sz w:val="18"/>
          <w:szCs w:val="18"/>
          <w:vertAlign w:val="baseline"/>
        </w:rPr>
        <w:t xml:space="preserve"> </w:t>
      </w:r>
    </w:p>
  </w:footnote>
  <w:footnote w:id="5">
    <w:p w14:paraId="40F22643" w14:textId="77777777" w:rsidR="000B328B" w:rsidRPr="00252522" w:rsidRDefault="000B328B" w:rsidP="000B328B">
      <w:pPr>
        <w:pStyle w:val="Textonotapie"/>
        <w:spacing w:before="120" w:after="0" w:line="240" w:lineRule="auto"/>
        <w:rPr>
          <w:rStyle w:val="Refdenotaalpie"/>
          <w:sz w:val="18"/>
          <w:szCs w:val="18"/>
          <w:vertAlign w:val="baseline"/>
        </w:rPr>
      </w:pPr>
      <w:r w:rsidRPr="00252522">
        <w:rPr>
          <w:rStyle w:val="Refdenotaalpie"/>
          <w:sz w:val="18"/>
          <w:szCs w:val="18"/>
        </w:rPr>
        <w:footnoteRef/>
      </w:r>
      <w:r w:rsidRPr="00252522">
        <w:rPr>
          <w:rStyle w:val="Refdenotaalpie"/>
          <w:sz w:val="18"/>
          <w:szCs w:val="18"/>
        </w:rPr>
        <w:t xml:space="preserve"> </w:t>
      </w:r>
      <w:r w:rsidRPr="00252522">
        <w:rPr>
          <w:rStyle w:val="Refdenotaalpie"/>
          <w:sz w:val="18"/>
          <w:szCs w:val="18"/>
          <w:vertAlign w:val="baseline"/>
        </w:rPr>
        <w:t>Circular CREG No. 020 de 2015</w:t>
      </w:r>
    </w:p>
  </w:footnote>
  <w:footnote w:id="6">
    <w:p w14:paraId="24B2C164" w14:textId="77777777" w:rsidR="000B328B" w:rsidRPr="00FE48FC" w:rsidRDefault="000B328B" w:rsidP="000B328B">
      <w:pPr>
        <w:pStyle w:val="Textonotapie"/>
        <w:spacing w:before="120" w:after="0" w:line="240" w:lineRule="auto"/>
      </w:pPr>
      <w:r>
        <w:rPr>
          <w:rStyle w:val="Refdenotaalpie"/>
        </w:rPr>
        <w:footnoteRef/>
      </w:r>
      <w:r w:rsidRPr="00FE48FC">
        <w:t xml:space="preserve"> </w:t>
      </w:r>
      <w:r w:rsidRPr="00FE48FC">
        <w:rPr>
          <w:sz w:val="18"/>
          <w:szCs w:val="18"/>
        </w:rPr>
        <w:t>Circular CREG No. 014 de 2021</w:t>
      </w:r>
    </w:p>
  </w:footnote>
  <w:footnote w:id="7">
    <w:p w14:paraId="78B1E620" w14:textId="77777777" w:rsidR="000B328B" w:rsidRPr="00FE48FC" w:rsidRDefault="000B328B" w:rsidP="000B328B">
      <w:pPr>
        <w:pStyle w:val="Textonotapie"/>
      </w:pPr>
      <w:r w:rsidRPr="00FE48FC">
        <w:rPr>
          <w:rStyle w:val="Refdenotaalpie"/>
        </w:rPr>
        <w:footnoteRef/>
      </w:r>
      <w:r w:rsidRPr="00FE48FC">
        <w:t xml:space="preserve"> </w:t>
      </w:r>
      <w:proofErr w:type="spellStart"/>
      <w:r w:rsidRPr="00FE48FC">
        <w:rPr>
          <w:sz w:val="18"/>
          <w:szCs w:val="18"/>
        </w:rPr>
        <w:t>Ponderado</w:t>
      </w:r>
      <w:proofErr w:type="spellEnd"/>
      <w:r w:rsidRPr="00FE48FC">
        <w:rPr>
          <w:sz w:val="18"/>
          <w:szCs w:val="18"/>
        </w:rPr>
        <w:t xml:space="preserve"> con base </w:t>
      </w:r>
      <w:proofErr w:type="spellStart"/>
      <w:r w:rsidRPr="00FE48FC">
        <w:rPr>
          <w:sz w:val="18"/>
          <w:szCs w:val="18"/>
        </w:rPr>
        <w:t>en</w:t>
      </w:r>
      <w:proofErr w:type="spellEnd"/>
      <w:r w:rsidRPr="00FE48FC">
        <w:rPr>
          <w:sz w:val="18"/>
          <w:szCs w:val="18"/>
        </w:rPr>
        <w:t xml:space="preserve"> las </w:t>
      </w:r>
      <w:proofErr w:type="spellStart"/>
      <w:r w:rsidRPr="00FE48FC">
        <w:rPr>
          <w:sz w:val="18"/>
          <w:szCs w:val="18"/>
        </w:rPr>
        <w:t>ventas</w:t>
      </w:r>
      <w:proofErr w:type="spellEnd"/>
      <w:r w:rsidRPr="00FE48FC">
        <w:rPr>
          <w:sz w:val="18"/>
          <w:szCs w:val="18"/>
        </w:rPr>
        <w:t xml:space="preserve"> de </w:t>
      </w:r>
      <w:proofErr w:type="spellStart"/>
      <w:r w:rsidRPr="00FE48FC">
        <w:rPr>
          <w:sz w:val="18"/>
          <w:szCs w:val="18"/>
        </w:rPr>
        <w:t>cada</w:t>
      </w:r>
      <w:proofErr w:type="spellEnd"/>
      <w:r w:rsidRPr="00FE48FC">
        <w:rPr>
          <w:sz w:val="18"/>
          <w:szCs w:val="18"/>
        </w:rPr>
        <w:t xml:space="preserve"> mercado de </w:t>
      </w:r>
      <w:proofErr w:type="spellStart"/>
      <w:r w:rsidRPr="00FE48FC">
        <w:rPr>
          <w:sz w:val="18"/>
          <w:szCs w:val="18"/>
        </w:rPr>
        <w:t>comercialización</w:t>
      </w:r>
      <w:proofErr w:type="spellEnd"/>
    </w:p>
  </w:footnote>
  <w:footnote w:id="8">
    <w:p w14:paraId="774BC2EF" w14:textId="77777777" w:rsidR="003F2D80" w:rsidRPr="00FE48FC" w:rsidRDefault="003F2D80" w:rsidP="00AD18FC">
      <w:pPr>
        <w:pStyle w:val="Textonotapie"/>
        <w:spacing w:after="0" w:line="240" w:lineRule="auto"/>
        <w:jc w:val="both"/>
        <w:rPr>
          <w:rFonts w:cs="Arial"/>
          <w:szCs w:val="20"/>
        </w:rPr>
      </w:pPr>
      <w:r w:rsidRPr="00DC3835">
        <w:rPr>
          <w:rFonts w:cs="Arial"/>
          <w:szCs w:val="20"/>
          <w:vertAlign w:val="superscript"/>
        </w:rPr>
        <w:footnoteRef/>
      </w:r>
      <w:r w:rsidRPr="00FE48FC">
        <w:rPr>
          <w:rFonts w:cs="Arial"/>
          <w:szCs w:val="20"/>
          <w:vertAlign w:val="superscript"/>
        </w:rPr>
        <w:t xml:space="preserve"> </w:t>
      </w:r>
      <w:r w:rsidRPr="00FE48FC">
        <w:rPr>
          <w:rFonts w:cs="Arial"/>
          <w:szCs w:val="20"/>
        </w:rPr>
        <w:t xml:space="preserve">Ver entre </w:t>
      </w:r>
      <w:proofErr w:type="spellStart"/>
      <w:r w:rsidRPr="00FE48FC">
        <w:rPr>
          <w:rFonts w:cs="Arial"/>
          <w:szCs w:val="20"/>
        </w:rPr>
        <w:t>otras</w:t>
      </w:r>
      <w:proofErr w:type="spellEnd"/>
      <w:r w:rsidRPr="00FE48FC">
        <w:rPr>
          <w:rFonts w:cs="Arial"/>
          <w:szCs w:val="20"/>
        </w:rPr>
        <w:t xml:space="preserve"> las </w:t>
      </w:r>
      <w:proofErr w:type="spellStart"/>
      <w:r w:rsidRPr="00FE48FC">
        <w:rPr>
          <w:rFonts w:cs="Arial"/>
          <w:szCs w:val="20"/>
        </w:rPr>
        <w:t>sentencias</w:t>
      </w:r>
      <w:proofErr w:type="spellEnd"/>
      <w:r w:rsidRPr="00FE48FC">
        <w:rPr>
          <w:rFonts w:cs="Arial"/>
          <w:szCs w:val="20"/>
        </w:rPr>
        <w:t xml:space="preserve"> de la H. Corte </w:t>
      </w:r>
      <w:proofErr w:type="spellStart"/>
      <w:r w:rsidRPr="00FE48FC">
        <w:rPr>
          <w:rFonts w:cs="Arial"/>
          <w:szCs w:val="20"/>
        </w:rPr>
        <w:t>Constitucional</w:t>
      </w:r>
      <w:proofErr w:type="spellEnd"/>
      <w:r w:rsidRPr="00FE48FC">
        <w:rPr>
          <w:rFonts w:cs="Arial"/>
          <w:szCs w:val="20"/>
        </w:rPr>
        <w:t xml:space="preserve"> C-150 de 2003, C-1162 de 2000, C-186 de 2011.</w:t>
      </w:r>
    </w:p>
  </w:footnote>
  <w:footnote w:id="9">
    <w:p w14:paraId="30824868" w14:textId="77777777" w:rsidR="003F2D80" w:rsidRPr="00FE48FC" w:rsidRDefault="003F2D80" w:rsidP="00AD18FC">
      <w:pPr>
        <w:pStyle w:val="Textonotapie"/>
        <w:spacing w:after="0" w:line="240" w:lineRule="auto"/>
        <w:jc w:val="both"/>
        <w:rPr>
          <w:rFonts w:cs="Arial"/>
          <w:szCs w:val="20"/>
        </w:rPr>
      </w:pPr>
      <w:r w:rsidRPr="00DC3835">
        <w:rPr>
          <w:rStyle w:val="Refdenotaalpie"/>
          <w:rFonts w:cs="Arial"/>
          <w:szCs w:val="20"/>
        </w:rPr>
        <w:footnoteRef/>
      </w:r>
      <w:r w:rsidRPr="00FE48FC">
        <w:rPr>
          <w:rFonts w:cs="Arial"/>
          <w:szCs w:val="20"/>
        </w:rPr>
        <w:t xml:space="preserve"> </w:t>
      </w:r>
      <w:proofErr w:type="spellStart"/>
      <w:r w:rsidRPr="00FE48FC">
        <w:rPr>
          <w:rFonts w:cs="Arial"/>
          <w:szCs w:val="20"/>
        </w:rPr>
        <w:t>Artículos</w:t>
      </w:r>
      <w:proofErr w:type="spellEnd"/>
      <w:r w:rsidRPr="00FE48FC">
        <w:rPr>
          <w:rFonts w:cs="Arial"/>
          <w:szCs w:val="20"/>
        </w:rPr>
        <w:t xml:space="preserve"> 365 a 370</w:t>
      </w:r>
    </w:p>
  </w:footnote>
  <w:footnote w:id="10">
    <w:p w14:paraId="112081BF" w14:textId="77777777" w:rsidR="003F2D80" w:rsidRPr="00FE48FC" w:rsidRDefault="003F2D80" w:rsidP="00AD18FC">
      <w:pPr>
        <w:pStyle w:val="Textonotapie"/>
        <w:spacing w:after="0" w:line="240" w:lineRule="auto"/>
        <w:jc w:val="both"/>
        <w:rPr>
          <w:rFonts w:cs="Arial"/>
          <w:szCs w:val="20"/>
        </w:rPr>
      </w:pPr>
      <w:r w:rsidRPr="00DC3835">
        <w:rPr>
          <w:rStyle w:val="Refdenotaalpie"/>
          <w:rFonts w:cs="Arial"/>
          <w:szCs w:val="20"/>
        </w:rPr>
        <w:footnoteRef/>
      </w:r>
      <w:r w:rsidRPr="00FE48FC">
        <w:rPr>
          <w:rFonts w:cs="Arial"/>
          <w:szCs w:val="20"/>
        </w:rPr>
        <w:t xml:space="preserve"> Ley 142 de 1994, Arts. 1 a 12.</w:t>
      </w:r>
    </w:p>
  </w:footnote>
  <w:footnote w:id="11">
    <w:p w14:paraId="271E2633" w14:textId="593AA612" w:rsidR="003F2D80" w:rsidRPr="00FE48FC" w:rsidRDefault="003F2D80" w:rsidP="00AD18FC">
      <w:pPr>
        <w:pStyle w:val="Textonotapie"/>
        <w:spacing w:after="0" w:line="240" w:lineRule="auto"/>
        <w:jc w:val="both"/>
        <w:rPr>
          <w:rFonts w:ascii="Bookman Old Style" w:hAnsi="Bookman Old Style" w:cs="Arial"/>
          <w:szCs w:val="20"/>
        </w:rPr>
      </w:pPr>
      <w:r w:rsidRPr="00DC3835">
        <w:rPr>
          <w:rStyle w:val="Refdenotaalpie"/>
          <w:rFonts w:cs="Arial"/>
          <w:szCs w:val="20"/>
        </w:rPr>
        <w:footnoteRef/>
      </w:r>
      <w:r w:rsidRPr="00FE48FC">
        <w:rPr>
          <w:rFonts w:cs="Arial"/>
          <w:szCs w:val="20"/>
        </w:rPr>
        <w:t xml:space="preserve"> Corte </w:t>
      </w:r>
      <w:proofErr w:type="spellStart"/>
      <w:r w:rsidRPr="00FE48FC">
        <w:rPr>
          <w:rFonts w:cs="Arial"/>
          <w:szCs w:val="20"/>
        </w:rPr>
        <w:t>Constitucional</w:t>
      </w:r>
      <w:proofErr w:type="spellEnd"/>
      <w:r w:rsidRPr="00FE48FC">
        <w:rPr>
          <w:rFonts w:cs="Arial"/>
          <w:szCs w:val="20"/>
        </w:rPr>
        <w:t xml:space="preserve">, </w:t>
      </w:r>
      <w:proofErr w:type="spellStart"/>
      <w:r w:rsidRPr="00FE48FC">
        <w:rPr>
          <w:rFonts w:cs="Arial"/>
          <w:szCs w:val="20"/>
        </w:rPr>
        <w:t>Sentencia</w:t>
      </w:r>
      <w:proofErr w:type="spellEnd"/>
      <w:r w:rsidRPr="00FE48FC">
        <w:rPr>
          <w:rFonts w:cs="Arial"/>
          <w:szCs w:val="20"/>
        </w:rPr>
        <w:t xml:space="preserve"> C- 075 de 2006</w:t>
      </w:r>
      <w:r w:rsidR="00670293">
        <w:rPr>
          <w:rFonts w:cs="Arial"/>
          <w:szCs w:val="20"/>
        </w:rPr>
        <w:t>.</w:t>
      </w:r>
    </w:p>
  </w:footnote>
  <w:footnote w:id="12">
    <w:p w14:paraId="4AAC33A4" w14:textId="315306DA" w:rsidR="003F2D80" w:rsidRPr="00FE48FC" w:rsidRDefault="003F2D80" w:rsidP="00442A7B">
      <w:pPr>
        <w:pStyle w:val="Textonotapie"/>
        <w:spacing w:after="0"/>
        <w:jc w:val="both"/>
        <w:rPr>
          <w:rFonts w:cs="Arial"/>
          <w:szCs w:val="20"/>
        </w:rPr>
      </w:pPr>
      <w:r w:rsidRPr="00DC3835">
        <w:rPr>
          <w:rStyle w:val="Refdenotaalpie"/>
          <w:rFonts w:cs="Arial"/>
          <w:szCs w:val="20"/>
        </w:rPr>
        <w:footnoteRef/>
      </w:r>
      <w:r w:rsidRPr="00FE48FC">
        <w:rPr>
          <w:rFonts w:cs="Arial"/>
          <w:szCs w:val="20"/>
        </w:rPr>
        <w:t xml:space="preserve"> Corte </w:t>
      </w:r>
      <w:proofErr w:type="spellStart"/>
      <w:r w:rsidRPr="00FE48FC">
        <w:rPr>
          <w:rFonts w:cs="Arial"/>
          <w:szCs w:val="20"/>
        </w:rPr>
        <w:t>Constitucional</w:t>
      </w:r>
      <w:proofErr w:type="spellEnd"/>
      <w:r w:rsidR="00670293">
        <w:rPr>
          <w:rFonts w:cs="Arial"/>
          <w:szCs w:val="20"/>
        </w:rPr>
        <w:t>,</w:t>
      </w:r>
      <w:r w:rsidRPr="00FE48FC">
        <w:rPr>
          <w:rFonts w:cs="Arial"/>
          <w:szCs w:val="20"/>
        </w:rPr>
        <w:t xml:space="preserve"> </w:t>
      </w:r>
      <w:proofErr w:type="spellStart"/>
      <w:r w:rsidR="00670293">
        <w:rPr>
          <w:rFonts w:cs="Arial"/>
          <w:szCs w:val="20"/>
        </w:rPr>
        <w:t>S</w:t>
      </w:r>
      <w:r w:rsidRPr="00FE48FC">
        <w:rPr>
          <w:rFonts w:cs="Arial"/>
          <w:szCs w:val="20"/>
        </w:rPr>
        <w:t>entencia</w:t>
      </w:r>
      <w:proofErr w:type="spellEnd"/>
      <w:r w:rsidRPr="00FE48FC">
        <w:rPr>
          <w:rFonts w:cs="Arial"/>
          <w:szCs w:val="20"/>
        </w:rPr>
        <w:t xml:space="preserve"> C-150 de 2003.</w:t>
      </w:r>
    </w:p>
  </w:footnote>
  <w:footnote w:id="13">
    <w:p w14:paraId="4B45EE7F" w14:textId="77777777" w:rsidR="003F2D80" w:rsidRPr="00FE48FC" w:rsidRDefault="003F2D80" w:rsidP="00D64116">
      <w:pPr>
        <w:pStyle w:val="Textonotapie"/>
        <w:spacing w:after="0" w:line="240" w:lineRule="auto"/>
        <w:jc w:val="both"/>
        <w:rPr>
          <w:rFonts w:cs="Arial"/>
        </w:rPr>
      </w:pPr>
      <w:r w:rsidRPr="00442A7B">
        <w:rPr>
          <w:rFonts w:cs="Arial"/>
          <w:szCs w:val="20"/>
          <w:vertAlign w:val="superscript"/>
        </w:rPr>
        <w:footnoteRef/>
      </w:r>
      <w:r w:rsidRPr="00FE48FC">
        <w:rPr>
          <w:rFonts w:cs="Arial"/>
          <w:szCs w:val="20"/>
        </w:rPr>
        <w:t xml:space="preserve"> Corte </w:t>
      </w:r>
      <w:proofErr w:type="spellStart"/>
      <w:r w:rsidRPr="00FE48FC">
        <w:rPr>
          <w:rFonts w:cs="Arial"/>
          <w:szCs w:val="20"/>
        </w:rPr>
        <w:t>Constitucional</w:t>
      </w:r>
      <w:proofErr w:type="spellEnd"/>
      <w:r w:rsidRPr="00FE48FC">
        <w:rPr>
          <w:rFonts w:cs="Arial"/>
          <w:szCs w:val="20"/>
        </w:rPr>
        <w:t xml:space="preserve">, </w:t>
      </w:r>
      <w:proofErr w:type="spellStart"/>
      <w:r w:rsidRPr="00FE48FC">
        <w:rPr>
          <w:rFonts w:cs="Arial"/>
          <w:szCs w:val="20"/>
        </w:rPr>
        <w:t>Sentencia</w:t>
      </w:r>
      <w:proofErr w:type="spellEnd"/>
      <w:r w:rsidRPr="00FE48FC">
        <w:rPr>
          <w:rFonts w:cs="Arial"/>
          <w:szCs w:val="20"/>
        </w:rPr>
        <w:t xml:space="preserve"> C-150 de 2003.</w:t>
      </w:r>
    </w:p>
  </w:footnote>
  <w:footnote w:id="14">
    <w:p w14:paraId="2EB092F3" w14:textId="77777777" w:rsidR="0090209D" w:rsidRPr="00FE48FC" w:rsidRDefault="0090209D" w:rsidP="0090209D">
      <w:pPr>
        <w:pStyle w:val="Textonotapie"/>
      </w:pPr>
      <w:r>
        <w:rPr>
          <w:rStyle w:val="Refdenotaalpie"/>
        </w:rPr>
        <w:footnoteRef/>
      </w:r>
      <w:r w:rsidRPr="00FE48FC">
        <w:t xml:space="preserve"> </w:t>
      </w:r>
      <w:r w:rsidR="00CE1793" w:rsidRPr="00FE48FC">
        <w:t>https://www.dane.gov.co/index.php/estadisticas-por-tema/precios-y-costos/indice-de-precios-al-consumidor-ipc</w:t>
      </w:r>
    </w:p>
  </w:footnote>
  <w:footnote w:id="15">
    <w:p w14:paraId="59F26DAB" w14:textId="486B76AA" w:rsidR="007D1C66" w:rsidRPr="00FE48FC" w:rsidRDefault="007D1C66">
      <w:pPr>
        <w:pStyle w:val="Textonotapie"/>
      </w:pPr>
      <w:r>
        <w:rPr>
          <w:rStyle w:val="Refdenotaalpie"/>
        </w:rPr>
        <w:footnoteRef/>
      </w:r>
      <w:r>
        <w:t xml:space="preserve"> </w:t>
      </w:r>
      <w:r w:rsidR="0090365C" w:rsidRPr="00FE48FC">
        <w:t>Sitio internet del DANE</w:t>
      </w:r>
      <w:r w:rsidR="000D2448" w:rsidRPr="00FE48FC">
        <w:t>, https://www.dane.gov.co/index.php/estadisticas-por-tema/precios-y-costos/indice-de-precios-del-productor-ipp</w:t>
      </w:r>
    </w:p>
  </w:footnote>
  <w:footnote w:id="16">
    <w:p w14:paraId="163E3884" w14:textId="0AE07666" w:rsidR="00BD3768" w:rsidRPr="00FE48FC" w:rsidRDefault="00BD3768">
      <w:pPr>
        <w:pStyle w:val="Textonotapie"/>
      </w:pPr>
      <w:r>
        <w:rPr>
          <w:rStyle w:val="Refdenotaalpie"/>
        </w:rPr>
        <w:footnoteRef/>
      </w:r>
      <w:r>
        <w:t xml:space="preserve"> </w:t>
      </w:r>
      <w:r w:rsidR="000650CA" w:rsidRPr="00FE48FC">
        <w:rPr>
          <w:sz w:val="18"/>
          <w:szCs w:val="20"/>
        </w:rPr>
        <w:t>“</w:t>
      </w:r>
      <w:proofErr w:type="spellStart"/>
      <w:r w:rsidR="000650CA" w:rsidRPr="00FE48FC">
        <w:rPr>
          <w:sz w:val="18"/>
          <w:szCs w:val="20"/>
        </w:rPr>
        <w:t>Concepto</w:t>
      </w:r>
      <w:proofErr w:type="spellEnd"/>
      <w:r w:rsidR="000650CA" w:rsidRPr="00FE48FC">
        <w:rPr>
          <w:sz w:val="18"/>
          <w:szCs w:val="20"/>
        </w:rPr>
        <w:t xml:space="preserve"> </w:t>
      </w:r>
      <w:proofErr w:type="spellStart"/>
      <w:r w:rsidR="000650CA" w:rsidRPr="00FE48FC">
        <w:rPr>
          <w:sz w:val="18"/>
          <w:szCs w:val="20"/>
        </w:rPr>
        <w:t>sobre</w:t>
      </w:r>
      <w:proofErr w:type="spellEnd"/>
      <w:r w:rsidR="000650CA" w:rsidRPr="00FE48FC">
        <w:rPr>
          <w:sz w:val="18"/>
          <w:szCs w:val="20"/>
        </w:rPr>
        <w:t xml:space="preserve"> </w:t>
      </w:r>
      <w:proofErr w:type="spellStart"/>
      <w:r w:rsidR="000650CA" w:rsidRPr="00FE48FC">
        <w:rPr>
          <w:sz w:val="18"/>
          <w:szCs w:val="20"/>
        </w:rPr>
        <w:t>el</w:t>
      </w:r>
      <w:proofErr w:type="spellEnd"/>
      <w:r w:rsidR="000650CA" w:rsidRPr="00FE48FC">
        <w:rPr>
          <w:sz w:val="18"/>
          <w:szCs w:val="20"/>
        </w:rPr>
        <w:t xml:space="preserve"> </w:t>
      </w:r>
      <w:proofErr w:type="spellStart"/>
      <w:r w:rsidR="000650CA" w:rsidRPr="00FE48FC">
        <w:rPr>
          <w:sz w:val="18"/>
          <w:szCs w:val="20"/>
        </w:rPr>
        <w:t>mecanismo</w:t>
      </w:r>
      <w:proofErr w:type="spellEnd"/>
      <w:r w:rsidR="000650CA" w:rsidRPr="00FE48FC">
        <w:rPr>
          <w:sz w:val="18"/>
          <w:szCs w:val="20"/>
        </w:rPr>
        <w:t xml:space="preserve"> de </w:t>
      </w:r>
      <w:proofErr w:type="spellStart"/>
      <w:r w:rsidR="000650CA" w:rsidRPr="00FE48FC">
        <w:rPr>
          <w:sz w:val="18"/>
          <w:szCs w:val="20"/>
        </w:rPr>
        <w:t>actualización</w:t>
      </w:r>
      <w:proofErr w:type="spellEnd"/>
      <w:r w:rsidR="000650CA" w:rsidRPr="00FE48FC">
        <w:rPr>
          <w:sz w:val="18"/>
          <w:szCs w:val="20"/>
        </w:rPr>
        <w:t xml:space="preserve"> de </w:t>
      </w:r>
      <w:proofErr w:type="spellStart"/>
      <w:r w:rsidR="000650CA" w:rsidRPr="00FE48FC">
        <w:rPr>
          <w:sz w:val="18"/>
          <w:szCs w:val="20"/>
        </w:rPr>
        <w:t>los</w:t>
      </w:r>
      <w:proofErr w:type="spellEnd"/>
      <w:r w:rsidR="000650CA" w:rsidRPr="00FE48FC">
        <w:rPr>
          <w:sz w:val="18"/>
          <w:szCs w:val="20"/>
        </w:rPr>
        <w:t xml:space="preserve"> </w:t>
      </w:r>
      <w:proofErr w:type="spellStart"/>
      <w:r w:rsidR="000650CA" w:rsidRPr="00FE48FC">
        <w:rPr>
          <w:sz w:val="18"/>
          <w:szCs w:val="20"/>
        </w:rPr>
        <w:t>ingresos</w:t>
      </w:r>
      <w:proofErr w:type="spellEnd"/>
      <w:r w:rsidR="000650CA" w:rsidRPr="00FE48FC">
        <w:rPr>
          <w:sz w:val="18"/>
          <w:szCs w:val="20"/>
        </w:rPr>
        <w:t xml:space="preserve"> y cargos de </w:t>
      </w:r>
      <w:proofErr w:type="spellStart"/>
      <w:r w:rsidR="000650CA" w:rsidRPr="00FE48FC">
        <w:rPr>
          <w:sz w:val="18"/>
          <w:szCs w:val="20"/>
        </w:rPr>
        <w:t>distribución</w:t>
      </w:r>
      <w:proofErr w:type="spellEnd"/>
      <w:r w:rsidR="000650CA" w:rsidRPr="00FE48FC">
        <w:rPr>
          <w:sz w:val="18"/>
          <w:szCs w:val="20"/>
        </w:rPr>
        <w:t xml:space="preserve"> de la </w:t>
      </w:r>
      <w:proofErr w:type="spellStart"/>
      <w:r w:rsidR="000650CA" w:rsidRPr="00FE48FC">
        <w:rPr>
          <w:sz w:val="18"/>
          <w:szCs w:val="20"/>
        </w:rPr>
        <w:t>resolución</w:t>
      </w:r>
      <w:proofErr w:type="spellEnd"/>
      <w:r w:rsidR="000650CA" w:rsidRPr="00FE48FC">
        <w:rPr>
          <w:sz w:val="18"/>
          <w:szCs w:val="20"/>
        </w:rPr>
        <w:t xml:space="preserve"> CREG 015 de 2018” </w:t>
      </w:r>
      <w:proofErr w:type="spellStart"/>
      <w:r w:rsidR="000650CA" w:rsidRPr="00FE48FC">
        <w:rPr>
          <w:sz w:val="18"/>
          <w:szCs w:val="20"/>
        </w:rPr>
        <w:t>elaborado</w:t>
      </w:r>
      <w:proofErr w:type="spellEnd"/>
      <w:r w:rsidR="000650CA" w:rsidRPr="00FE48FC">
        <w:rPr>
          <w:sz w:val="18"/>
          <w:szCs w:val="20"/>
        </w:rPr>
        <w:t xml:space="preserve"> </w:t>
      </w:r>
      <w:proofErr w:type="spellStart"/>
      <w:r w:rsidR="000650CA" w:rsidRPr="00FE48FC">
        <w:rPr>
          <w:sz w:val="18"/>
          <w:szCs w:val="20"/>
        </w:rPr>
        <w:t>por</w:t>
      </w:r>
      <w:proofErr w:type="spellEnd"/>
      <w:r w:rsidR="000650CA" w:rsidRPr="00FE48FC">
        <w:rPr>
          <w:sz w:val="18"/>
          <w:szCs w:val="20"/>
        </w:rPr>
        <w:t xml:space="preserve"> </w:t>
      </w:r>
      <w:proofErr w:type="spellStart"/>
      <w:r w:rsidR="000650CA" w:rsidRPr="00FE48FC">
        <w:rPr>
          <w:sz w:val="18"/>
          <w:szCs w:val="20"/>
        </w:rPr>
        <w:t>Proyectos</w:t>
      </w:r>
      <w:proofErr w:type="spellEnd"/>
      <w:r w:rsidR="000650CA" w:rsidRPr="00FE48FC">
        <w:rPr>
          <w:sz w:val="18"/>
          <w:szCs w:val="20"/>
        </w:rPr>
        <w:t xml:space="preserve"> y </w:t>
      </w:r>
      <w:proofErr w:type="spellStart"/>
      <w:r w:rsidR="000650CA" w:rsidRPr="00FE48FC">
        <w:rPr>
          <w:sz w:val="18"/>
          <w:szCs w:val="20"/>
        </w:rPr>
        <w:t>Estudios</w:t>
      </w:r>
      <w:proofErr w:type="spellEnd"/>
      <w:r w:rsidR="000650CA" w:rsidRPr="00FE48FC">
        <w:rPr>
          <w:sz w:val="18"/>
          <w:szCs w:val="20"/>
        </w:rPr>
        <w:t xml:space="preserve"> </w:t>
      </w:r>
      <w:proofErr w:type="spellStart"/>
      <w:r w:rsidR="000650CA" w:rsidRPr="00FE48FC">
        <w:rPr>
          <w:sz w:val="18"/>
          <w:szCs w:val="20"/>
        </w:rPr>
        <w:t>Energéticos</w:t>
      </w:r>
      <w:proofErr w:type="spellEnd"/>
      <w:r w:rsidR="000650CA" w:rsidRPr="00FE48FC">
        <w:rPr>
          <w:sz w:val="18"/>
          <w:szCs w:val="20"/>
        </w:rPr>
        <w:t xml:space="preserve"> y </w:t>
      </w:r>
      <w:proofErr w:type="spellStart"/>
      <w:r w:rsidR="000650CA" w:rsidRPr="00FE48FC">
        <w:rPr>
          <w:sz w:val="18"/>
          <w:szCs w:val="20"/>
        </w:rPr>
        <w:t>Empresariales</w:t>
      </w:r>
      <w:proofErr w:type="spellEnd"/>
      <w:r w:rsidR="000650CA" w:rsidRPr="00FE48FC">
        <w:rPr>
          <w:sz w:val="18"/>
          <w:szCs w:val="20"/>
        </w:rPr>
        <w:t xml:space="preserve"> </w:t>
      </w:r>
      <w:proofErr w:type="spellStart"/>
      <w:r w:rsidR="000650CA" w:rsidRPr="00FE48FC">
        <w:rPr>
          <w:sz w:val="18"/>
          <w:szCs w:val="20"/>
        </w:rPr>
        <w:t>Petrés</w:t>
      </w:r>
      <w:proofErr w:type="spellEnd"/>
      <w:r w:rsidR="000650CA" w:rsidRPr="00FE48FC">
        <w:rPr>
          <w:sz w:val="18"/>
          <w:szCs w:val="20"/>
        </w:rPr>
        <w:t xml:space="preserve"> SAS </w:t>
      </w:r>
      <w:proofErr w:type="spellStart"/>
      <w:r w:rsidR="000650CA" w:rsidRPr="00FE48FC">
        <w:rPr>
          <w:sz w:val="18"/>
          <w:szCs w:val="20"/>
        </w:rPr>
        <w:t>en</w:t>
      </w:r>
      <w:proofErr w:type="spellEnd"/>
      <w:r w:rsidR="000650CA" w:rsidRPr="00FE48FC">
        <w:rPr>
          <w:sz w:val="18"/>
          <w:szCs w:val="20"/>
        </w:rPr>
        <w:t xml:space="preserve"> </w:t>
      </w:r>
      <w:proofErr w:type="spellStart"/>
      <w:r w:rsidR="000650CA" w:rsidRPr="00FE48FC">
        <w:rPr>
          <w:sz w:val="18"/>
          <w:szCs w:val="20"/>
        </w:rPr>
        <w:t>noviembre</w:t>
      </w:r>
      <w:proofErr w:type="spellEnd"/>
      <w:r w:rsidR="000650CA" w:rsidRPr="00FE48FC">
        <w:rPr>
          <w:sz w:val="18"/>
          <w:szCs w:val="20"/>
        </w:rPr>
        <w:t xml:space="preserve"> de 2022</w:t>
      </w:r>
    </w:p>
  </w:footnote>
  <w:footnote w:id="17">
    <w:p w14:paraId="79673D6B" w14:textId="0EAC319E" w:rsidR="003C0BCE" w:rsidRPr="00FE48FC" w:rsidRDefault="003C0BCE" w:rsidP="000E4F8A">
      <w:pPr>
        <w:pStyle w:val="Textonotapie"/>
      </w:pPr>
      <w:r>
        <w:rPr>
          <w:rStyle w:val="Refdenotaalpie"/>
        </w:rPr>
        <w:footnoteRef/>
      </w:r>
      <w:r>
        <w:t xml:space="preserve"> </w:t>
      </w:r>
      <w:proofErr w:type="spellStart"/>
      <w:r w:rsidR="000E4F8A" w:rsidRPr="00FE48FC">
        <w:t>Estudio</w:t>
      </w:r>
      <w:proofErr w:type="spellEnd"/>
      <w:r w:rsidR="000E4F8A" w:rsidRPr="00FE48FC">
        <w:t xml:space="preserve"> </w:t>
      </w:r>
      <w:proofErr w:type="spellStart"/>
      <w:r w:rsidR="000E4F8A" w:rsidRPr="00FE48FC">
        <w:t>sobre</w:t>
      </w:r>
      <w:proofErr w:type="spellEnd"/>
      <w:r w:rsidR="000E4F8A" w:rsidRPr="00FE48FC">
        <w:t xml:space="preserve"> </w:t>
      </w:r>
      <w:proofErr w:type="spellStart"/>
      <w:r w:rsidR="000E4F8A" w:rsidRPr="00FE48FC">
        <w:t>Indexadores</w:t>
      </w:r>
      <w:proofErr w:type="spellEnd"/>
      <w:r w:rsidR="000E4F8A" w:rsidRPr="00FE48FC">
        <w:t xml:space="preserve"> de </w:t>
      </w:r>
      <w:proofErr w:type="spellStart"/>
      <w:r w:rsidR="000E4F8A" w:rsidRPr="00FE48FC">
        <w:t>Generación</w:t>
      </w:r>
      <w:proofErr w:type="spellEnd"/>
      <w:r w:rsidR="000E4F8A" w:rsidRPr="00FE48FC">
        <w:t xml:space="preserve"> de Energía </w:t>
      </w:r>
      <w:proofErr w:type="spellStart"/>
      <w:r w:rsidR="000E4F8A" w:rsidRPr="00FE48FC">
        <w:t>Eléctrica</w:t>
      </w:r>
      <w:proofErr w:type="spellEnd"/>
      <w:r w:rsidR="000E4F8A">
        <w:t xml:space="preserve">, </w:t>
      </w:r>
      <w:proofErr w:type="spellStart"/>
      <w:r w:rsidR="000E4F8A" w:rsidRPr="00FE48FC">
        <w:t>elaborado</w:t>
      </w:r>
      <w:proofErr w:type="spellEnd"/>
      <w:r w:rsidR="000E4F8A" w:rsidRPr="00FE48FC">
        <w:t xml:space="preserve"> </w:t>
      </w:r>
      <w:proofErr w:type="spellStart"/>
      <w:r w:rsidR="000E4F8A" w:rsidRPr="00FE48FC">
        <w:t>por</w:t>
      </w:r>
      <w:proofErr w:type="spellEnd"/>
      <w:r w:rsidR="000E4F8A" w:rsidRPr="000E4F8A">
        <w:t xml:space="preserve"> </w:t>
      </w:r>
      <w:proofErr w:type="spellStart"/>
      <w:r w:rsidR="000E4F8A">
        <w:t>Enersinc</w:t>
      </w:r>
      <w:proofErr w:type="spellEnd"/>
      <w:r w:rsidR="000E4F8A" w:rsidRPr="000E4F8A">
        <w:t xml:space="preserve"> y </w:t>
      </w:r>
      <w:r w:rsidR="000E4F8A">
        <w:t>EY</w:t>
      </w:r>
      <w:r w:rsidR="000E4F8A" w:rsidRPr="000E4F8A">
        <w:t xml:space="preserve"> </w:t>
      </w:r>
      <w:proofErr w:type="spellStart"/>
      <w:r w:rsidR="000E4F8A" w:rsidRPr="000E4F8A">
        <w:t>en</w:t>
      </w:r>
      <w:proofErr w:type="spellEnd"/>
      <w:r w:rsidR="000E4F8A" w:rsidRPr="000E4F8A">
        <w:t xml:space="preserve"> </w:t>
      </w:r>
      <w:proofErr w:type="spellStart"/>
      <w:r w:rsidR="00033ADD">
        <w:t>marzo</w:t>
      </w:r>
      <w:proofErr w:type="spellEnd"/>
      <w:r w:rsidR="00033ADD">
        <w:t xml:space="preserve"> </w:t>
      </w:r>
      <w:r w:rsidR="000E4F8A" w:rsidRPr="000E4F8A">
        <w:t>de 202</w:t>
      </w:r>
      <w:r w:rsidR="00033ADD">
        <w:t>3</w:t>
      </w:r>
    </w:p>
  </w:footnote>
  <w:footnote w:id="18">
    <w:p w14:paraId="60D01FD2" w14:textId="5CF8C8E9" w:rsidR="00D61537" w:rsidRDefault="008C0A2C" w:rsidP="00E746E6">
      <w:pPr>
        <w:pStyle w:val="Textonotapie"/>
        <w:spacing w:after="0"/>
      </w:pPr>
      <w:r>
        <w:rPr>
          <w:rStyle w:val="Refdenotaalpie"/>
        </w:rPr>
        <w:footnoteRef/>
      </w:r>
      <w:r>
        <w:t xml:space="preserve"> </w:t>
      </w:r>
      <w:hyperlink r:id="rId1" w:history="1">
        <w:r w:rsidRPr="00BA5B0A">
          <w:rPr>
            <w:rStyle w:val="Hipervnculo"/>
            <w:sz w:val="18"/>
            <w:szCs w:val="18"/>
          </w:rPr>
          <w:t>https://www.dane.gov.co/index.php/estadisticas-por-tema/precios-y-costos/indice-de-precios-del-productor-ipp</w:t>
        </w:r>
      </w:hyperlink>
    </w:p>
  </w:footnote>
  <w:footnote w:id="19">
    <w:p w14:paraId="3A9ED25A" w14:textId="15F4FBB6" w:rsidR="00D61537" w:rsidRDefault="00515320" w:rsidP="00E746E6">
      <w:pPr>
        <w:pStyle w:val="Textonotapie"/>
        <w:spacing w:after="0"/>
      </w:pPr>
      <w:r>
        <w:rPr>
          <w:rStyle w:val="Refdenotaalpie"/>
        </w:rPr>
        <w:footnoteRef/>
      </w:r>
      <w:r>
        <w:t xml:space="preserve"> </w:t>
      </w:r>
      <w:proofErr w:type="spellStart"/>
      <w:r w:rsidRPr="00BA5B0A">
        <w:rPr>
          <w:sz w:val="18"/>
          <w:szCs w:val="18"/>
        </w:rPr>
        <w:t>Producción</w:t>
      </w:r>
      <w:proofErr w:type="spellEnd"/>
      <w:r w:rsidRPr="00BA5B0A">
        <w:rPr>
          <w:sz w:val="18"/>
          <w:szCs w:val="18"/>
        </w:rPr>
        <w:t xml:space="preserve"> </w:t>
      </w:r>
      <w:proofErr w:type="spellStart"/>
      <w:r w:rsidRPr="00BA5B0A">
        <w:rPr>
          <w:sz w:val="18"/>
          <w:szCs w:val="18"/>
        </w:rPr>
        <w:t>nacional</w:t>
      </w:r>
      <w:proofErr w:type="spellEnd"/>
      <w:r w:rsidRPr="00BA5B0A">
        <w:rPr>
          <w:sz w:val="18"/>
          <w:szCs w:val="18"/>
        </w:rPr>
        <w:t xml:space="preserve"> o </w:t>
      </w:r>
      <w:proofErr w:type="spellStart"/>
      <w:r w:rsidRPr="00BA5B0A">
        <w:rPr>
          <w:sz w:val="18"/>
          <w:szCs w:val="18"/>
        </w:rPr>
        <w:t>importada</w:t>
      </w:r>
      <w:proofErr w:type="spellEnd"/>
      <w:r w:rsidRPr="00BA5B0A">
        <w:rPr>
          <w:sz w:val="18"/>
          <w:szCs w:val="18"/>
        </w:rPr>
        <w:t>.</w:t>
      </w:r>
    </w:p>
  </w:footnote>
  <w:footnote w:id="20">
    <w:p w14:paraId="461DD255" w14:textId="359175F0" w:rsidR="00D61537" w:rsidRDefault="00E746E6" w:rsidP="00E746E6">
      <w:pPr>
        <w:pStyle w:val="Textonotapie"/>
        <w:spacing w:after="0"/>
      </w:pPr>
      <w:r>
        <w:rPr>
          <w:rStyle w:val="Refdenotaalpie"/>
        </w:rPr>
        <w:footnoteRef/>
      </w:r>
      <w:r>
        <w:t xml:space="preserve"> </w:t>
      </w:r>
      <w:r w:rsidRPr="00BA5B0A">
        <w:rPr>
          <w:sz w:val="18"/>
          <w:szCs w:val="18"/>
        </w:rPr>
        <w:t xml:space="preserve">Tipo de </w:t>
      </w:r>
      <w:proofErr w:type="spellStart"/>
      <w:r w:rsidRPr="00BA5B0A">
        <w:rPr>
          <w:sz w:val="18"/>
          <w:szCs w:val="18"/>
        </w:rPr>
        <w:t>uso</w:t>
      </w:r>
      <w:proofErr w:type="spellEnd"/>
      <w:r w:rsidRPr="00BA5B0A">
        <w:rPr>
          <w:sz w:val="18"/>
          <w:szCs w:val="18"/>
        </w:rPr>
        <w:t xml:space="preserve"> (i.e., para </w:t>
      </w:r>
      <w:proofErr w:type="spellStart"/>
      <w:r w:rsidRPr="00BA5B0A">
        <w:rPr>
          <w:sz w:val="18"/>
          <w:szCs w:val="18"/>
        </w:rPr>
        <w:t>consumo</w:t>
      </w:r>
      <w:proofErr w:type="spellEnd"/>
      <w:r w:rsidRPr="00BA5B0A">
        <w:rPr>
          <w:sz w:val="18"/>
          <w:szCs w:val="18"/>
        </w:rPr>
        <w:t xml:space="preserve"> </w:t>
      </w:r>
      <w:proofErr w:type="spellStart"/>
      <w:r w:rsidRPr="00BA5B0A">
        <w:rPr>
          <w:sz w:val="18"/>
          <w:szCs w:val="18"/>
        </w:rPr>
        <w:t>intermedio</w:t>
      </w:r>
      <w:proofErr w:type="spellEnd"/>
      <w:r w:rsidRPr="00BA5B0A">
        <w:rPr>
          <w:sz w:val="18"/>
          <w:szCs w:val="18"/>
        </w:rPr>
        <w:t xml:space="preserve">, </w:t>
      </w:r>
      <w:proofErr w:type="spellStart"/>
      <w:r w:rsidRPr="00BA5B0A">
        <w:rPr>
          <w:sz w:val="18"/>
          <w:szCs w:val="18"/>
        </w:rPr>
        <w:t>construcción</w:t>
      </w:r>
      <w:proofErr w:type="spellEnd"/>
      <w:r w:rsidRPr="00BA5B0A">
        <w:rPr>
          <w:sz w:val="18"/>
          <w:szCs w:val="18"/>
        </w:rPr>
        <w:t xml:space="preserve">, o </w:t>
      </w:r>
      <w:proofErr w:type="spellStart"/>
      <w:r w:rsidRPr="00BA5B0A">
        <w:rPr>
          <w:sz w:val="18"/>
          <w:szCs w:val="18"/>
        </w:rPr>
        <w:t>producción</w:t>
      </w:r>
      <w:proofErr w:type="spellEnd"/>
      <w:r w:rsidRPr="00BA5B0A">
        <w:rPr>
          <w:sz w:val="18"/>
          <w:szCs w:val="18"/>
        </w:rPr>
        <w:t xml:space="preserve"> de </w:t>
      </w:r>
      <w:proofErr w:type="spellStart"/>
      <w:r w:rsidRPr="00BA5B0A">
        <w:rPr>
          <w:sz w:val="18"/>
          <w:szCs w:val="18"/>
        </w:rPr>
        <w:t>bienes</w:t>
      </w:r>
      <w:proofErr w:type="spellEnd"/>
      <w:r w:rsidRPr="00BA5B0A">
        <w:rPr>
          <w:sz w:val="18"/>
          <w:szCs w:val="18"/>
        </w:rPr>
        <w:t xml:space="preserve"> de capital) y </w:t>
      </w:r>
      <w:proofErr w:type="spellStart"/>
      <w:r w:rsidRPr="00BA5B0A">
        <w:rPr>
          <w:sz w:val="18"/>
          <w:szCs w:val="18"/>
        </w:rPr>
        <w:t>actividad</w:t>
      </w:r>
      <w:proofErr w:type="spellEnd"/>
      <w:r w:rsidRPr="00BA5B0A">
        <w:rPr>
          <w:sz w:val="18"/>
          <w:szCs w:val="18"/>
        </w:rPr>
        <w:t xml:space="preserve"> </w:t>
      </w:r>
      <w:proofErr w:type="spellStart"/>
      <w:r w:rsidRPr="00BA5B0A">
        <w:rPr>
          <w:sz w:val="18"/>
          <w:szCs w:val="18"/>
        </w:rPr>
        <w:t>económica</w:t>
      </w:r>
      <w:proofErr w:type="spellEnd"/>
      <w:r w:rsidRPr="00BA5B0A">
        <w:rPr>
          <w:sz w:val="18"/>
          <w:szCs w:val="18"/>
        </w:rPr>
        <w:t xml:space="preserve"> </w:t>
      </w:r>
      <w:proofErr w:type="spellStart"/>
      <w:r w:rsidRPr="00BA5B0A">
        <w:rPr>
          <w:sz w:val="18"/>
          <w:szCs w:val="18"/>
        </w:rPr>
        <w:t>distinta</w:t>
      </w:r>
      <w:proofErr w:type="spellEnd"/>
      <w:r w:rsidRPr="00BA5B0A">
        <w:rPr>
          <w:sz w:val="18"/>
          <w:szCs w:val="18"/>
        </w:rPr>
        <w:t xml:space="preserve"> a </w:t>
      </w:r>
      <w:proofErr w:type="spellStart"/>
      <w:r w:rsidRPr="00BA5B0A">
        <w:rPr>
          <w:sz w:val="18"/>
          <w:szCs w:val="18"/>
        </w:rPr>
        <w:t>servicios</w:t>
      </w:r>
      <w:proofErr w:type="spellEnd"/>
      <w:r w:rsidRPr="00BA5B0A">
        <w:rPr>
          <w:sz w:val="18"/>
          <w:szCs w:val="18"/>
        </w:rPr>
        <w:t xml:space="preserve"> (</w:t>
      </w:r>
      <w:proofErr w:type="spellStart"/>
      <w:r w:rsidRPr="00BA5B0A">
        <w:rPr>
          <w:sz w:val="18"/>
          <w:szCs w:val="18"/>
        </w:rPr>
        <w:t>ej</w:t>
      </w:r>
      <w:proofErr w:type="spellEnd"/>
      <w:r w:rsidRPr="00BA5B0A">
        <w:rPr>
          <w:sz w:val="18"/>
          <w:szCs w:val="18"/>
        </w:rPr>
        <w:t xml:space="preserve">., </w:t>
      </w:r>
      <w:proofErr w:type="spellStart"/>
      <w:r w:rsidRPr="00BA5B0A">
        <w:rPr>
          <w:sz w:val="18"/>
          <w:szCs w:val="18"/>
        </w:rPr>
        <w:t>actividades</w:t>
      </w:r>
      <w:proofErr w:type="spellEnd"/>
      <w:r w:rsidRPr="00BA5B0A">
        <w:rPr>
          <w:sz w:val="18"/>
          <w:szCs w:val="18"/>
        </w:rPr>
        <w:t xml:space="preserve"> </w:t>
      </w:r>
      <w:proofErr w:type="spellStart"/>
      <w:r w:rsidRPr="00BA5B0A">
        <w:rPr>
          <w:sz w:val="18"/>
          <w:szCs w:val="18"/>
        </w:rPr>
        <w:t>agropecuarias</w:t>
      </w:r>
      <w:proofErr w:type="spellEnd"/>
      <w:r w:rsidRPr="00BA5B0A">
        <w:rPr>
          <w:sz w:val="18"/>
          <w:szCs w:val="18"/>
        </w:rPr>
        <w:t xml:space="preserve">, </w:t>
      </w:r>
      <w:proofErr w:type="spellStart"/>
      <w:r w:rsidRPr="00BA5B0A">
        <w:rPr>
          <w:sz w:val="18"/>
          <w:szCs w:val="18"/>
        </w:rPr>
        <w:t>extracción</w:t>
      </w:r>
      <w:proofErr w:type="spellEnd"/>
      <w:r w:rsidRPr="00BA5B0A">
        <w:rPr>
          <w:sz w:val="18"/>
          <w:szCs w:val="18"/>
        </w:rPr>
        <w:t xml:space="preserve"> de </w:t>
      </w:r>
      <w:proofErr w:type="spellStart"/>
      <w:r w:rsidRPr="00BA5B0A">
        <w:rPr>
          <w:sz w:val="18"/>
          <w:szCs w:val="18"/>
        </w:rPr>
        <w:t>minerales</w:t>
      </w:r>
      <w:proofErr w:type="spellEnd"/>
      <w:r w:rsidRPr="00BA5B0A">
        <w:rPr>
          <w:sz w:val="18"/>
          <w:szCs w:val="18"/>
        </w:rPr>
        <w:t xml:space="preserve">, </w:t>
      </w:r>
      <w:proofErr w:type="spellStart"/>
      <w:r w:rsidRPr="00BA5B0A">
        <w:rPr>
          <w:sz w:val="18"/>
          <w:szCs w:val="18"/>
        </w:rPr>
        <w:t>producción</w:t>
      </w:r>
      <w:proofErr w:type="spellEnd"/>
      <w:r w:rsidRPr="00BA5B0A">
        <w:rPr>
          <w:sz w:val="18"/>
          <w:szCs w:val="18"/>
        </w:rPr>
        <w:t xml:space="preserve"> de </w:t>
      </w:r>
      <w:proofErr w:type="spellStart"/>
      <w:r w:rsidRPr="00BA5B0A">
        <w:rPr>
          <w:sz w:val="18"/>
          <w:szCs w:val="18"/>
        </w:rPr>
        <w:t>artículos</w:t>
      </w:r>
      <w:proofErr w:type="spellEnd"/>
      <w:r w:rsidRPr="00BA5B0A">
        <w:rPr>
          <w:sz w:val="18"/>
          <w:szCs w:val="18"/>
        </w:rPr>
        <w:t xml:space="preserve"> </w:t>
      </w:r>
      <w:proofErr w:type="spellStart"/>
      <w:r w:rsidRPr="00BA5B0A">
        <w:rPr>
          <w:sz w:val="18"/>
          <w:szCs w:val="18"/>
        </w:rPr>
        <w:t>manufacturados</w:t>
      </w:r>
      <w:proofErr w:type="spellEnd"/>
      <w:r w:rsidRPr="00BA5B0A">
        <w:rPr>
          <w:sz w:val="18"/>
          <w:szCs w:val="18"/>
        </w:rPr>
        <w:t>).</w:t>
      </w:r>
    </w:p>
  </w:footnote>
  <w:footnote w:id="21">
    <w:p w14:paraId="7B240656" w14:textId="07852127" w:rsidR="001473B4" w:rsidRPr="0086202A" w:rsidRDefault="001473B4">
      <w:pPr>
        <w:pStyle w:val="Textonotapie"/>
        <w:rPr>
          <w:lang w:val="es-ES"/>
        </w:rPr>
      </w:pPr>
      <w:r>
        <w:rPr>
          <w:rStyle w:val="Refdenotaalpie"/>
        </w:rPr>
        <w:footnoteRef/>
      </w:r>
      <w:r w:rsidRPr="00FE48FC">
        <w:t xml:space="preserve"> </w:t>
      </w:r>
      <w:proofErr w:type="spellStart"/>
      <w:r w:rsidRPr="00FE48FC">
        <w:rPr>
          <w:rFonts w:cstheme="minorHAnsi"/>
        </w:rPr>
        <w:t>cuyos</w:t>
      </w:r>
      <w:proofErr w:type="spellEnd"/>
      <w:r w:rsidRPr="00FE48FC">
        <w:rPr>
          <w:rFonts w:cstheme="minorHAnsi"/>
        </w:rPr>
        <w:t xml:space="preserve"> </w:t>
      </w:r>
      <w:proofErr w:type="spellStart"/>
      <w:r w:rsidRPr="00FE48FC">
        <w:rPr>
          <w:rFonts w:cstheme="minorHAnsi"/>
        </w:rPr>
        <w:t>costos</w:t>
      </w:r>
      <w:proofErr w:type="spellEnd"/>
      <w:r w:rsidRPr="00FE48FC">
        <w:rPr>
          <w:rFonts w:cstheme="minorHAnsi"/>
        </w:rPr>
        <w:t xml:space="preserve"> son </w:t>
      </w:r>
      <w:proofErr w:type="spellStart"/>
      <w:r w:rsidRPr="00FE48FC">
        <w:rPr>
          <w:rFonts w:cstheme="minorHAnsi"/>
        </w:rPr>
        <w:t>significativos</w:t>
      </w:r>
      <w:proofErr w:type="spellEnd"/>
      <w:r w:rsidRPr="00FE48FC">
        <w:rPr>
          <w:rFonts w:cstheme="minorHAnsi"/>
        </w:rPr>
        <w:t xml:space="preserve"> para </w:t>
      </w:r>
      <w:proofErr w:type="spellStart"/>
      <w:r w:rsidRPr="00FE48FC">
        <w:rPr>
          <w:rFonts w:cstheme="minorHAnsi"/>
        </w:rPr>
        <w:t>el</w:t>
      </w:r>
      <w:proofErr w:type="spellEnd"/>
      <w:r w:rsidRPr="00FE48FC">
        <w:rPr>
          <w:rFonts w:cstheme="minorHAnsi"/>
        </w:rPr>
        <w:t xml:space="preserve"> DANE (e.g., </w:t>
      </w:r>
      <w:proofErr w:type="spellStart"/>
      <w:r w:rsidRPr="00FE48FC">
        <w:rPr>
          <w:rFonts w:cstheme="minorHAnsi"/>
        </w:rPr>
        <w:t>tiempo</w:t>
      </w:r>
      <w:proofErr w:type="spellEnd"/>
      <w:r w:rsidRPr="00FE48FC">
        <w:rPr>
          <w:rFonts w:cstheme="minorHAnsi"/>
        </w:rPr>
        <w:t xml:space="preserve">, </w:t>
      </w:r>
      <w:proofErr w:type="spellStart"/>
      <w:r w:rsidRPr="00FE48FC">
        <w:rPr>
          <w:rFonts w:cstheme="minorHAnsi"/>
        </w:rPr>
        <w:t>partidas</w:t>
      </w:r>
      <w:proofErr w:type="spellEnd"/>
      <w:r w:rsidRPr="00FE48FC">
        <w:rPr>
          <w:rFonts w:cstheme="minorHAnsi"/>
        </w:rPr>
        <w:t xml:space="preserve"> </w:t>
      </w:r>
      <w:proofErr w:type="spellStart"/>
      <w:r w:rsidRPr="00FE48FC">
        <w:rPr>
          <w:rFonts w:cstheme="minorHAnsi"/>
        </w:rPr>
        <w:t>anuales</w:t>
      </w:r>
      <w:proofErr w:type="spellEnd"/>
      <w:r w:rsidRPr="00FE48FC">
        <w:rPr>
          <w:rFonts w:cstheme="minorHAnsi"/>
        </w:rPr>
        <w:t xml:space="preserve"> del </w:t>
      </w:r>
      <w:proofErr w:type="spellStart"/>
      <w:r w:rsidRPr="00FE48FC">
        <w:rPr>
          <w:rFonts w:cstheme="minorHAnsi"/>
        </w:rPr>
        <w:t>presupuesto</w:t>
      </w:r>
      <w:proofErr w:type="spellEnd"/>
      <w:r w:rsidRPr="00FE48FC">
        <w:rPr>
          <w:rFonts w:cstheme="minorHAnsi"/>
        </w:rPr>
        <w:t>, personal)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660CB" w14:textId="77777777" w:rsidR="000B328B" w:rsidRPr="00FE48FC" w:rsidRDefault="000B328B">
    <w:pPr>
      <w:pStyle w:val="Encabezado"/>
    </w:pPr>
  </w:p>
  <w:p w14:paraId="2A86CE8F" w14:textId="77777777" w:rsidR="000B328B" w:rsidRDefault="000B328B"/>
  <w:p w14:paraId="7BC06AB8" w14:textId="77777777" w:rsidR="003E20A0" w:rsidRDefault="003E20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EFB06" w14:textId="42E9AB01" w:rsidR="000B328B" w:rsidRDefault="00133B8D">
    <w:proofErr w:type="spellStart"/>
    <w:r>
      <w:rPr>
        <w:rFonts w:cs="Arial"/>
        <w:b/>
        <w:i/>
        <w:color w:val="808080"/>
        <w:sz w:val="16"/>
      </w:rPr>
      <w:t>Sesión</w:t>
    </w:r>
    <w:proofErr w:type="spellEnd"/>
    <w:r>
      <w:rPr>
        <w:rFonts w:cs="Arial"/>
        <w:b/>
        <w:i/>
        <w:color w:val="808080"/>
        <w:sz w:val="16"/>
      </w:rPr>
      <w:t xml:space="preserve"> </w:t>
    </w:r>
    <w:r w:rsidRPr="00F77CCF">
      <w:rPr>
        <w:rFonts w:cs="Arial"/>
        <w:b/>
        <w:i/>
        <w:color w:val="808080"/>
        <w:sz w:val="16"/>
      </w:rPr>
      <w:t>No.</w:t>
    </w:r>
    <w:r w:rsidR="00F77CCF">
      <w:rPr>
        <w:rFonts w:cs="Arial"/>
        <w:b/>
        <w:i/>
        <w:color w:val="808080"/>
        <w:sz w:val="16"/>
      </w:rPr>
      <w:t>1326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4090A" w14:textId="6979C3A7" w:rsidR="00F77CCF" w:rsidRDefault="00F77CCF">
    <w:pPr>
      <w:pStyle w:val="Encabezado"/>
    </w:pPr>
  </w:p>
  <w:p w14:paraId="20EE13A3" w14:textId="77777777" w:rsidR="003E20A0" w:rsidRDefault="003E20A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3EFBE" w14:textId="66540ABD" w:rsidR="00111E14" w:rsidRDefault="00111E14">
    <w:pPr>
      <w:pStyle w:val="Encabezado"/>
    </w:pPr>
  </w:p>
  <w:p w14:paraId="30E7E8B6" w14:textId="77777777" w:rsidR="003E20A0" w:rsidRDefault="003E20A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0DD48" w14:textId="68A5A012" w:rsidR="00111E14" w:rsidRDefault="00133B8D">
    <w:pPr>
      <w:pStyle w:val="Encabezado"/>
    </w:pPr>
    <w:proofErr w:type="spellStart"/>
    <w:r w:rsidRPr="00450986">
      <w:rPr>
        <w:rFonts w:cs="Arial"/>
        <w:b/>
        <w:i/>
        <w:color w:val="808080"/>
        <w:sz w:val="16"/>
      </w:rPr>
      <w:t>Sesión</w:t>
    </w:r>
    <w:proofErr w:type="spellEnd"/>
    <w:r w:rsidRPr="00450986">
      <w:rPr>
        <w:rFonts w:cs="Arial"/>
        <w:b/>
        <w:i/>
        <w:color w:val="808080"/>
        <w:sz w:val="16"/>
      </w:rPr>
      <w:t xml:space="preserve"> No.</w:t>
    </w:r>
    <w:r w:rsidR="00450986" w:rsidRPr="00450986">
      <w:rPr>
        <w:rFonts w:cs="Arial"/>
        <w:b/>
        <w:i/>
        <w:color w:val="808080"/>
        <w:sz w:val="16"/>
      </w:rPr>
      <w:t>1326</w:t>
    </w:r>
  </w:p>
  <w:p w14:paraId="1360A800" w14:textId="77777777" w:rsidR="003E20A0" w:rsidRDefault="003E20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E8D86" w14:textId="77777777" w:rsidR="00111E14" w:rsidRDefault="00111E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2D4DBC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A10460"/>
    <w:multiLevelType w:val="hybridMultilevel"/>
    <w:tmpl w:val="34286DA0"/>
    <w:lvl w:ilvl="0" w:tplc="2A0C5DE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822DE"/>
    <w:multiLevelType w:val="hybridMultilevel"/>
    <w:tmpl w:val="10F61302"/>
    <w:lvl w:ilvl="0" w:tplc="A00438E8">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4113E5"/>
    <w:multiLevelType w:val="hybridMultilevel"/>
    <w:tmpl w:val="F01E3A5E"/>
    <w:lvl w:ilvl="0" w:tplc="A0E28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983174"/>
    <w:multiLevelType w:val="hybridMultilevel"/>
    <w:tmpl w:val="0D889DAA"/>
    <w:lvl w:ilvl="0" w:tplc="0622C4EE">
      <w:start w:val="1"/>
      <w:numFmt w:val="decimal"/>
      <w:lvlText w:val="%1."/>
      <w:lvlJc w:val="left"/>
      <w:pPr>
        <w:ind w:left="720" w:hanging="360"/>
      </w:pPr>
      <w:rPr>
        <w:rFonts w:ascii="Arial" w:hAnsi="Arial" w:hint="default"/>
        <w:color w:val="000000" w:themeColor="text1"/>
        <w:sz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EE1963"/>
    <w:multiLevelType w:val="hybridMultilevel"/>
    <w:tmpl w:val="7E96B390"/>
    <w:lvl w:ilvl="0" w:tplc="3C9EC26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AF804D8"/>
    <w:multiLevelType w:val="hybridMultilevel"/>
    <w:tmpl w:val="2570AE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BED3A79"/>
    <w:multiLevelType w:val="hybridMultilevel"/>
    <w:tmpl w:val="26560434"/>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520B9D"/>
    <w:multiLevelType w:val="multilevel"/>
    <w:tmpl w:val="68E6B462"/>
    <w:lvl w:ilvl="0">
      <w:start w:val="4"/>
      <w:numFmt w:val="decimal"/>
      <w:lvlText w:val="%1"/>
      <w:lvlJc w:val="left"/>
      <w:pPr>
        <w:ind w:left="480" w:hanging="480"/>
      </w:pPr>
      <w:rPr>
        <w:rFonts w:ascii="Arial" w:hAnsi="Arial" w:hint="default"/>
        <w:color w:val="000000" w:themeColor="text1"/>
        <w:sz w:val="22"/>
      </w:rPr>
    </w:lvl>
    <w:lvl w:ilvl="1">
      <w:start w:val="2"/>
      <w:numFmt w:val="decimal"/>
      <w:lvlText w:val="%1.%2"/>
      <w:lvlJc w:val="left"/>
      <w:pPr>
        <w:ind w:left="480" w:hanging="480"/>
      </w:pPr>
      <w:rPr>
        <w:rFonts w:ascii="Arial" w:hAnsi="Arial" w:hint="default"/>
        <w:color w:val="000000" w:themeColor="text1"/>
        <w:sz w:val="22"/>
      </w:rPr>
    </w:lvl>
    <w:lvl w:ilvl="2">
      <w:start w:val="1"/>
      <w:numFmt w:val="decimal"/>
      <w:lvlText w:val="%1.%2.%3"/>
      <w:lvlJc w:val="left"/>
      <w:pPr>
        <w:ind w:left="720" w:hanging="720"/>
      </w:pPr>
      <w:rPr>
        <w:rFonts w:ascii="Arial" w:hAnsi="Arial" w:hint="default"/>
        <w:color w:val="000000" w:themeColor="text1"/>
        <w:sz w:val="22"/>
      </w:rPr>
    </w:lvl>
    <w:lvl w:ilvl="3">
      <w:start w:val="1"/>
      <w:numFmt w:val="decimal"/>
      <w:lvlText w:val="%1.%2.%3.%4"/>
      <w:lvlJc w:val="left"/>
      <w:pPr>
        <w:ind w:left="720" w:hanging="720"/>
      </w:pPr>
      <w:rPr>
        <w:rFonts w:ascii="Arial" w:hAnsi="Arial" w:hint="default"/>
        <w:color w:val="000000" w:themeColor="text1"/>
        <w:sz w:val="22"/>
      </w:rPr>
    </w:lvl>
    <w:lvl w:ilvl="4">
      <w:start w:val="1"/>
      <w:numFmt w:val="decimal"/>
      <w:lvlText w:val="%1.%2.%3.%4.%5"/>
      <w:lvlJc w:val="left"/>
      <w:pPr>
        <w:ind w:left="1080" w:hanging="1080"/>
      </w:pPr>
      <w:rPr>
        <w:rFonts w:ascii="Arial" w:hAnsi="Arial" w:hint="default"/>
        <w:color w:val="000000" w:themeColor="text1"/>
        <w:sz w:val="22"/>
      </w:rPr>
    </w:lvl>
    <w:lvl w:ilvl="5">
      <w:start w:val="1"/>
      <w:numFmt w:val="decimal"/>
      <w:lvlText w:val="%1.%2.%3.%4.%5.%6"/>
      <w:lvlJc w:val="left"/>
      <w:pPr>
        <w:ind w:left="1080" w:hanging="1080"/>
      </w:pPr>
      <w:rPr>
        <w:rFonts w:ascii="Arial" w:hAnsi="Arial" w:hint="default"/>
        <w:color w:val="000000" w:themeColor="text1"/>
        <w:sz w:val="22"/>
      </w:rPr>
    </w:lvl>
    <w:lvl w:ilvl="6">
      <w:start w:val="1"/>
      <w:numFmt w:val="decimal"/>
      <w:lvlText w:val="%1.%2.%3.%4.%5.%6.%7"/>
      <w:lvlJc w:val="left"/>
      <w:pPr>
        <w:ind w:left="1440" w:hanging="1440"/>
      </w:pPr>
      <w:rPr>
        <w:rFonts w:ascii="Arial" w:hAnsi="Arial" w:hint="default"/>
        <w:color w:val="000000" w:themeColor="text1"/>
        <w:sz w:val="22"/>
      </w:rPr>
    </w:lvl>
    <w:lvl w:ilvl="7">
      <w:start w:val="1"/>
      <w:numFmt w:val="decimal"/>
      <w:lvlText w:val="%1.%2.%3.%4.%5.%6.%7.%8"/>
      <w:lvlJc w:val="left"/>
      <w:pPr>
        <w:ind w:left="1440" w:hanging="1440"/>
      </w:pPr>
      <w:rPr>
        <w:rFonts w:ascii="Arial" w:hAnsi="Arial" w:hint="default"/>
        <w:color w:val="000000" w:themeColor="text1"/>
        <w:sz w:val="22"/>
      </w:rPr>
    </w:lvl>
    <w:lvl w:ilvl="8">
      <w:start w:val="1"/>
      <w:numFmt w:val="decimal"/>
      <w:lvlText w:val="%1.%2.%3.%4.%5.%6.%7.%8.%9"/>
      <w:lvlJc w:val="left"/>
      <w:pPr>
        <w:ind w:left="1800" w:hanging="1800"/>
      </w:pPr>
      <w:rPr>
        <w:rFonts w:ascii="Arial" w:hAnsi="Arial" w:hint="default"/>
        <w:color w:val="000000" w:themeColor="text1"/>
        <w:sz w:val="22"/>
      </w:rPr>
    </w:lvl>
  </w:abstractNum>
  <w:abstractNum w:abstractNumId="9" w15:restartNumberingAfterBreak="0">
    <w:nsid w:val="0F056350"/>
    <w:multiLevelType w:val="hybridMultilevel"/>
    <w:tmpl w:val="97842DD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F572FA7"/>
    <w:multiLevelType w:val="hybridMultilevel"/>
    <w:tmpl w:val="7DACA08A"/>
    <w:lvl w:ilvl="0" w:tplc="94C6D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A7198E"/>
    <w:multiLevelType w:val="hybridMultilevel"/>
    <w:tmpl w:val="03FE78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2D10E84"/>
    <w:multiLevelType w:val="hybridMultilevel"/>
    <w:tmpl w:val="5CC42B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2F44159"/>
    <w:multiLevelType w:val="multilevel"/>
    <w:tmpl w:val="B75A6A9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rPr>
    </w:lvl>
    <w:lvl w:ilvl="2">
      <w:start w:val="1"/>
      <w:numFmt w:val="decimal"/>
      <w:lvlText w:val="%1.%2.%3"/>
      <w:lvlJc w:val="left"/>
      <w:pPr>
        <w:tabs>
          <w:tab w:val="num" w:pos="1430"/>
        </w:tabs>
        <w:ind w:left="1430" w:hanging="720"/>
      </w:pPr>
      <w:rPr>
        <w:b/>
      </w:rPr>
    </w:lvl>
    <w:lvl w:ilvl="3">
      <w:start w:val="1"/>
      <w:numFmt w:val="decimal"/>
      <w:lvlText w:val="%1.%2.%3.%4"/>
      <w:lvlJc w:val="left"/>
      <w:pPr>
        <w:tabs>
          <w:tab w:val="num" w:pos="1005"/>
        </w:tabs>
        <w:ind w:left="1005" w:hanging="864"/>
      </w:pPr>
      <w:rPr>
        <w:color w:val="000000" w:themeColor="text1"/>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6BD1070"/>
    <w:multiLevelType w:val="hybridMultilevel"/>
    <w:tmpl w:val="F5C4294E"/>
    <w:lvl w:ilvl="0" w:tplc="8BFA7C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E8E60AB"/>
    <w:multiLevelType w:val="hybridMultilevel"/>
    <w:tmpl w:val="69A8BBEC"/>
    <w:lvl w:ilvl="0" w:tplc="C2E8C43A">
      <w:start w:val="1"/>
      <w:numFmt w:val="low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15:restartNumberingAfterBreak="0">
    <w:nsid w:val="21C24E25"/>
    <w:multiLevelType w:val="hybridMultilevel"/>
    <w:tmpl w:val="71E03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3C4D16"/>
    <w:multiLevelType w:val="hybridMultilevel"/>
    <w:tmpl w:val="9CB0AE9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75E6D58"/>
    <w:multiLevelType w:val="multilevel"/>
    <w:tmpl w:val="1C506E66"/>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9B360D0"/>
    <w:multiLevelType w:val="hybridMultilevel"/>
    <w:tmpl w:val="9FCA8D9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A860FF5"/>
    <w:multiLevelType w:val="hybridMultilevel"/>
    <w:tmpl w:val="CB60BA1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4B41700"/>
    <w:multiLevelType w:val="hybridMultilevel"/>
    <w:tmpl w:val="1D48B312"/>
    <w:lvl w:ilvl="0" w:tplc="240A0001">
      <w:start w:val="1"/>
      <w:numFmt w:val="bullet"/>
      <w:lvlText w:val=""/>
      <w:lvlJc w:val="left"/>
      <w:pPr>
        <w:ind w:left="954" w:hanging="360"/>
      </w:pPr>
      <w:rPr>
        <w:rFonts w:ascii="Symbol" w:hAnsi="Symbol" w:hint="default"/>
      </w:rPr>
    </w:lvl>
    <w:lvl w:ilvl="1" w:tplc="240A0003" w:tentative="1">
      <w:start w:val="1"/>
      <w:numFmt w:val="bullet"/>
      <w:lvlText w:val="o"/>
      <w:lvlJc w:val="left"/>
      <w:pPr>
        <w:ind w:left="1674" w:hanging="360"/>
      </w:pPr>
      <w:rPr>
        <w:rFonts w:ascii="Courier New" w:hAnsi="Courier New" w:cs="Courier New" w:hint="default"/>
      </w:rPr>
    </w:lvl>
    <w:lvl w:ilvl="2" w:tplc="240A0005" w:tentative="1">
      <w:start w:val="1"/>
      <w:numFmt w:val="bullet"/>
      <w:lvlText w:val=""/>
      <w:lvlJc w:val="left"/>
      <w:pPr>
        <w:ind w:left="2394" w:hanging="360"/>
      </w:pPr>
      <w:rPr>
        <w:rFonts w:ascii="Wingdings" w:hAnsi="Wingdings" w:hint="default"/>
      </w:rPr>
    </w:lvl>
    <w:lvl w:ilvl="3" w:tplc="240A0001" w:tentative="1">
      <w:start w:val="1"/>
      <w:numFmt w:val="bullet"/>
      <w:lvlText w:val=""/>
      <w:lvlJc w:val="left"/>
      <w:pPr>
        <w:ind w:left="3114" w:hanging="360"/>
      </w:pPr>
      <w:rPr>
        <w:rFonts w:ascii="Symbol" w:hAnsi="Symbol" w:hint="default"/>
      </w:rPr>
    </w:lvl>
    <w:lvl w:ilvl="4" w:tplc="240A0003" w:tentative="1">
      <w:start w:val="1"/>
      <w:numFmt w:val="bullet"/>
      <w:lvlText w:val="o"/>
      <w:lvlJc w:val="left"/>
      <w:pPr>
        <w:ind w:left="3834" w:hanging="360"/>
      </w:pPr>
      <w:rPr>
        <w:rFonts w:ascii="Courier New" w:hAnsi="Courier New" w:cs="Courier New" w:hint="default"/>
      </w:rPr>
    </w:lvl>
    <w:lvl w:ilvl="5" w:tplc="240A0005" w:tentative="1">
      <w:start w:val="1"/>
      <w:numFmt w:val="bullet"/>
      <w:lvlText w:val=""/>
      <w:lvlJc w:val="left"/>
      <w:pPr>
        <w:ind w:left="4554" w:hanging="360"/>
      </w:pPr>
      <w:rPr>
        <w:rFonts w:ascii="Wingdings" w:hAnsi="Wingdings" w:hint="default"/>
      </w:rPr>
    </w:lvl>
    <w:lvl w:ilvl="6" w:tplc="240A0001" w:tentative="1">
      <w:start w:val="1"/>
      <w:numFmt w:val="bullet"/>
      <w:lvlText w:val=""/>
      <w:lvlJc w:val="left"/>
      <w:pPr>
        <w:ind w:left="5274" w:hanging="360"/>
      </w:pPr>
      <w:rPr>
        <w:rFonts w:ascii="Symbol" w:hAnsi="Symbol" w:hint="default"/>
      </w:rPr>
    </w:lvl>
    <w:lvl w:ilvl="7" w:tplc="240A0003" w:tentative="1">
      <w:start w:val="1"/>
      <w:numFmt w:val="bullet"/>
      <w:lvlText w:val="o"/>
      <w:lvlJc w:val="left"/>
      <w:pPr>
        <w:ind w:left="5994" w:hanging="360"/>
      </w:pPr>
      <w:rPr>
        <w:rFonts w:ascii="Courier New" w:hAnsi="Courier New" w:cs="Courier New" w:hint="default"/>
      </w:rPr>
    </w:lvl>
    <w:lvl w:ilvl="8" w:tplc="240A0005" w:tentative="1">
      <w:start w:val="1"/>
      <w:numFmt w:val="bullet"/>
      <w:lvlText w:val=""/>
      <w:lvlJc w:val="left"/>
      <w:pPr>
        <w:ind w:left="6714" w:hanging="360"/>
      </w:pPr>
      <w:rPr>
        <w:rFonts w:ascii="Wingdings" w:hAnsi="Wingdings" w:hint="default"/>
      </w:rPr>
    </w:lvl>
  </w:abstractNum>
  <w:abstractNum w:abstractNumId="22" w15:restartNumberingAfterBreak="0">
    <w:nsid w:val="3D2D291D"/>
    <w:multiLevelType w:val="hybridMultilevel"/>
    <w:tmpl w:val="78FE29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EB575C5"/>
    <w:multiLevelType w:val="hybridMultilevel"/>
    <w:tmpl w:val="228239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544714"/>
    <w:multiLevelType w:val="hybridMultilevel"/>
    <w:tmpl w:val="85626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B8B47C3"/>
    <w:multiLevelType w:val="hybridMultilevel"/>
    <w:tmpl w:val="0B644454"/>
    <w:lvl w:ilvl="0" w:tplc="05AA9790">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305FB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13507B"/>
    <w:multiLevelType w:val="hybridMultilevel"/>
    <w:tmpl w:val="95DE0234"/>
    <w:lvl w:ilvl="0" w:tplc="240A0005">
      <w:start w:val="1"/>
      <w:numFmt w:val="bullet"/>
      <w:lvlText w:val=""/>
      <w:lvlJc w:val="left"/>
      <w:pPr>
        <w:ind w:left="785" w:hanging="360"/>
      </w:pPr>
      <w:rPr>
        <w:rFonts w:ascii="Wingdings" w:hAnsi="Wingdings"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28" w15:restartNumberingAfterBreak="0">
    <w:nsid w:val="533A1843"/>
    <w:multiLevelType w:val="hybridMultilevel"/>
    <w:tmpl w:val="94F87408"/>
    <w:lvl w:ilvl="0" w:tplc="FFFFFFFF">
      <w:start w:val="1"/>
      <w:numFmt w:val="decimal"/>
      <w:lvlText w:val="%1."/>
      <w:lvlJc w:val="left"/>
      <w:pPr>
        <w:ind w:left="720" w:hanging="360"/>
      </w:pPr>
      <w:rPr>
        <w:rFonts w:ascii="Arial" w:hAnsi="Arial" w:hint="default"/>
        <w:color w:val="000000" w:themeColor="text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AB33D1"/>
    <w:multiLevelType w:val="hybridMultilevel"/>
    <w:tmpl w:val="299A5C3E"/>
    <w:lvl w:ilvl="0" w:tplc="D752E2B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6383F4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7660B12"/>
    <w:multiLevelType w:val="hybridMultilevel"/>
    <w:tmpl w:val="11483D64"/>
    <w:lvl w:ilvl="0" w:tplc="ACB08D20">
      <w:start w:val="2"/>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DFE05E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9E76E6"/>
    <w:multiLevelType w:val="hybridMultilevel"/>
    <w:tmpl w:val="63B0D67A"/>
    <w:lvl w:ilvl="0" w:tplc="38CAFC0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3817176"/>
    <w:multiLevelType w:val="hybridMultilevel"/>
    <w:tmpl w:val="C97E69D6"/>
    <w:lvl w:ilvl="0" w:tplc="1F625A0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134447"/>
    <w:multiLevelType w:val="hybridMultilevel"/>
    <w:tmpl w:val="0D0840C2"/>
    <w:lvl w:ilvl="0" w:tplc="14429C62">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761D0772"/>
    <w:multiLevelType w:val="hybridMultilevel"/>
    <w:tmpl w:val="9DD2F7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8291420"/>
    <w:multiLevelType w:val="hybridMultilevel"/>
    <w:tmpl w:val="EB62C5EC"/>
    <w:lvl w:ilvl="0" w:tplc="07DA827E">
      <w:numFmt w:val="bullet"/>
      <w:lvlText w:val="-"/>
      <w:lvlJc w:val="left"/>
      <w:pPr>
        <w:ind w:left="720" w:hanging="360"/>
      </w:pPr>
      <w:rPr>
        <w:rFonts w:ascii="Arial" w:eastAsia="Times New Roman" w:hAnsi="Arial" w:cs="Arial" w:hint="default"/>
        <w:sz w:val="4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84B26CA"/>
    <w:multiLevelType w:val="hybridMultilevel"/>
    <w:tmpl w:val="2340A354"/>
    <w:lvl w:ilvl="0" w:tplc="9BC433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34DEF"/>
    <w:multiLevelType w:val="multilevel"/>
    <w:tmpl w:val="2D6838EC"/>
    <w:lvl w:ilvl="0">
      <w:start w:val="8"/>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FD5378"/>
    <w:multiLevelType w:val="hybridMultilevel"/>
    <w:tmpl w:val="37786F6C"/>
    <w:lvl w:ilvl="0" w:tplc="67AE0F3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A3B6982"/>
    <w:multiLevelType w:val="hybridMultilevel"/>
    <w:tmpl w:val="C8CC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5F09FF"/>
    <w:multiLevelType w:val="hybridMultilevel"/>
    <w:tmpl w:val="D73A498E"/>
    <w:lvl w:ilvl="0" w:tplc="56268B1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D102191"/>
    <w:multiLevelType w:val="hybridMultilevel"/>
    <w:tmpl w:val="848EA2F6"/>
    <w:lvl w:ilvl="0" w:tplc="240A0001">
      <w:start w:val="1"/>
      <w:numFmt w:val="bullet"/>
      <w:lvlText w:val=""/>
      <w:lvlJc w:val="left"/>
      <w:pPr>
        <w:ind w:left="720" w:hanging="360"/>
      </w:pPr>
      <w:rPr>
        <w:rFonts w:ascii="Symbol" w:hAnsi="Symbol" w:hint="default"/>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D7F558B"/>
    <w:multiLevelType w:val="multilevel"/>
    <w:tmpl w:val="E5BAC1A6"/>
    <w:lvl w:ilvl="0">
      <w:start w:val="8"/>
      <w:numFmt w:val="decimal"/>
      <w:lvlText w:val="%1"/>
      <w:lvlJc w:val="left"/>
      <w:pPr>
        <w:ind w:left="440" w:hanging="440"/>
      </w:pPr>
      <w:rPr>
        <w:rFonts w:hint="default"/>
        <w:b w:val="0"/>
        <w:color w:val="auto"/>
      </w:rPr>
    </w:lvl>
    <w:lvl w:ilvl="1">
      <w:start w:val="2"/>
      <w:numFmt w:val="decimal"/>
      <w:lvlText w:val="%1.%2"/>
      <w:lvlJc w:val="left"/>
      <w:pPr>
        <w:ind w:left="440" w:hanging="44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45" w15:restartNumberingAfterBreak="0">
    <w:nsid w:val="7DAE5167"/>
    <w:multiLevelType w:val="hybridMultilevel"/>
    <w:tmpl w:val="591CF0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94281523">
    <w:abstractNumId w:val="10"/>
  </w:num>
  <w:num w:numId="2" w16cid:durableId="2025085093">
    <w:abstractNumId w:val="13"/>
  </w:num>
  <w:num w:numId="3" w16cid:durableId="1058090811">
    <w:abstractNumId w:val="18"/>
  </w:num>
  <w:num w:numId="4" w16cid:durableId="1224218321">
    <w:abstractNumId w:val="30"/>
  </w:num>
  <w:num w:numId="5" w16cid:durableId="749427313">
    <w:abstractNumId w:val="38"/>
  </w:num>
  <w:num w:numId="6" w16cid:durableId="2039041257">
    <w:abstractNumId w:val="1"/>
  </w:num>
  <w:num w:numId="7" w16cid:durableId="1945381295">
    <w:abstractNumId w:val="3"/>
  </w:num>
  <w:num w:numId="8" w16cid:durableId="844832091">
    <w:abstractNumId w:val="33"/>
  </w:num>
  <w:num w:numId="9" w16cid:durableId="1722047422">
    <w:abstractNumId w:val="42"/>
  </w:num>
  <w:num w:numId="10" w16cid:durableId="492337854">
    <w:abstractNumId w:val="35"/>
  </w:num>
  <w:num w:numId="11" w16cid:durableId="892888888">
    <w:abstractNumId w:val="31"/>
  </w:num>
  <w:num w:numId="12" w16cid:durableId="440300622">
    <w:abstractNumId w:val="34"/>
  </w:num>
  <w:num w:numId="13" w16cid:durableId="805660100">
    <w:abstractNumId w:val="40"/>
  </w:num>
  <w:num w:numId="14" w16cid:durableId="689917145">
    <w:abstractNumId w:val="17"/>
  </w:num>
  <w:num w:numId="15" w16cid:durableId="717706208">
    <w:abstractNumId w:val="27"/>
  </w:num>
  <w:num w:numId="16" w16cid:durableId="495345629">
    <w:abstractNumId w:val="19"/>
  </w:num>
  <w:num w:numId="17" w16cid:durableId="1804536366">
    <w:abstractNumId w:val="41"/>
  </w:num>
  <w:num w:numId="18" w16cid:durableId="1712268930">
    <w:abstractNumId w:val="6"/>
  </w:num>
  <w:num w:numId="19" w16cid:durableId="1434781357">
    <w:abstractNumId w:val="4"/>
  </w:num>
  <w:num w:numId="20" w16cid:durableId="1987122287">
    <w:abstractNumId w:val="28"/>
  </w:num>
  <w:num w:numId="21" w16cid:durableId="705376315">
    <w:abstractNumId w:val="29"/>
  </w:num>
  <w:num w:numId="22" w16cid:durableId="1689987228">
    <w:abstractNumId w:val="8"/>
  </w:num>
  <w:num w:numId="23" w16cid:durableId="628051985">
    <w:abstractNumId w:val="9"/>
  </w:num>
  <w:num w:numId="24" w16cid:durableId="658996559">
    <w:abstractNumId w:val="5"/>
  </w:num>
  <w:num w:numId="25" w16cid:durableId="1671370411">
    <w:abstractNumId w:val="14"/>
  </w:num>
  <w:num w:numId="26" w16cid:durableId="1889218177">
    <w:abstractNumId w:val="25"/>
  </w:num>
  <w:num w:numId="27" w16cid:durableId="1697340511">
    <w:abstractNumId w:val="22"/>
  </w:num>
  <w:num w:numId="28" w16cid:durableId="2026326545">
    <w:abstractNumId w:val="15"/>
  </w:num>
  <w:num w:numId="29" w16cid:durableId="1923055122">
    <w:abstractNumId w:val="23"/>
  </w:num>
  <w:num w:numId="30" w16cid:durableId="364793570">
    <w:abstractNumId w:val="37"/>
  </w:num>
  <w:num w:numId="31" w16cid:durableId="848062995">
    <w:abstractNumId w:val="43"/>
  </w:num>
  <w:num w:numId="32" w16cid:durableId="124936412">
    <w:abstractNumId w:val="2"/>
  </w:num>
  <w:num w:numId="33" w16cid:durableId="973292013">
    <w:abstractNumId w:val="26"/>
  </w:num>
  <w:num w:numId="34" w16cid:durableId="832724763">
    <w:abstractNumId w:val="32"/>
  </w:num>
  <w:num w:numId="35" w16cid:durableId="136731176">
    <w:abstractNumId w:val="36"/>
  </w:num>
  <w:num w:numId="36" w16cid:durableId="652223177">
    <w:abstractNumId w:val="11"/>
  </w:num>
  <w:num w:numId="37" w16cid:durableId="91826333">
    <w:abstractNumId w:val="7"/>
  </w:num>
  <w:num w:numId="38" w16cid:durableId="1608998546">
    <w:abstractNumId w:val="16"/>
  </w:num>
  <w:num w:numId="39" w16cid:durableId="261842185">
    <w:abstractNumId w:val="39"/>
  </w:num>
  <w:num w:numId="40" w16cid:durableId="395082348">
    <w:abstractNumId w:val="44"/>
  </w:num>
  <w:num w:numId="41" w16cid:durableId="1921253804">
    <w:abstractNumId w:val="45"/>
  </w:num>
  <w:num w:numId="42" w16cid:durableId="1080953575">
    <w:abstractNumId w:val="21"/>
  </w:num>
  <w:num w:numId="43" w16cid:durableId="1796756772">
    <w:abstractNumId w:val="20"/>
  </w:num>
  <w:num w:numId="44" w16cid:durableId="346370628">
    <w:abstractNumId w:val="12"/>
  </w:num>
  <w:num w:numId="45" w16cid:durableId="1358241962">
    <w:abstractNumId w:val="0"/>
  </w:num>
  <w:num w:numId="46" w16cid:durableId="67950841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0tLQwMjM2tDS3NLZU0lEKTi0uzszPAykwqQUAJgsz6ywAAAA="/>
  </w:docVars>
  <w:rsids>
    <w:rsidRoot w:val="009C0F5D"/>
    <w:rsid w:val="00000A89"/>
    <w:rsid w:val="00000EC9"/>
    <w:rsid w:val="00001021"/>
    <w:rsid w:val="00001406"/>
    <w:rsid w:val="00001573"/>
    <w:rsid w:val="00002599"/>
    <w:rsid w:val="00002E0A"/>
    <w:rsid w:val="00003760"/>
    <w:rsid w:val="000046E4"/>
    <w:rsid w:val="00004837"/>
    <w:rsid w:val="00005917"/>
    <w:rsid w:val="0000638B"/>
    <w:rsid w:val="00006430"/>
    <w:rsid w:val="0000690E"/>
    <w:rsid w:val="00010418"/>
    <w:rsid w:val="000111C3"/>
    <w:rsid w:val="000115F0"/>
    <w:rsid w:val="000119E2"/>
    <w:rsid w:val="00012EAF"/>
    <w:rsid w:val="00013762"/>
    <w:rsid w:val="000139B1"/>
    <w:rsid w:val="00015C99"/>
    <w:rsid w:val="000160DA"/>
    <w:rsid w:val="000166F5"/>
    <w:rsid w:val="00016CF7"/>
    <w:rsid w:val="00016EBB"/>
    <w:rsid w:val="0001788C"/>
    <w:rsid w:val="00017EA4"/>
    <w:rsid w:val="000206C4"/>
    <w:rsid w:val="0002097B"/>
    <w:rsid w:val="00020B71"/>
    <w:rsid w:val="00020C5F"/>
    <w:rsid w:val="00021310"/>
    <w:rsid w:val="00021BE9"/>
    <w:rsid w:val="00022635"/>
    <w:rsid w:val="00023D7F"/>
    <w:rsid w:val="00024C92"/>
    <w:rsid w:val="0002591F"/>
    <w:rsid w:val="0002597E"/>
    <w:rsid w:val="00025DE8"/>
    <w:rsid w:val="00026C81"/>
    <w:rsid w:val="00026DB8"/>
    <w:rsid w:val="00032364"/>
    <w:rsid w:val="0003286A"/>
    <w:rsid w:val="00032C9F"/>
    <w:rsid w:val="00033059"/>
    <w:rsid w:val="000332B0"/>
    <w:rsid w:val="00033ADD"/>
    <w:rsid w:val="00033B32"/>
    <w:rsid w:val="00033CC1"/>
    <w:rsid w:val="00033FDC"/>
    <w:rsid w:val="000341E9"/>
    <w:rsid w:val="00034BB0"/>
    <w:rsid w:val="0003660B"/>
    <w:rsid w:val="0003689B"/>
    <w:rsid w:val="000376D8"/>
    <w:rsid w:val="00040404"/>
    <w:rsid w:val="00040511"/>
    <w:rsid w:val="00040515"/>
    <w:rsid w:val="000405F5"/>
    <w:rsid w:val="00042A05"/>
    <w:rsid w:val="000430EB"/>
    <w:rsid w:val="00043308"/>
    <w:rsid w:val="0004351B"/>
    <w:rsid w:val="00043AC8"/>
    <w:rsid w:val="00043B81"/>
    <w:rsid w:val="00043CD7"/>
    <w:rsid w:val="0004408D"/>
    <w:rsid w:val="00044826"/>
    <w:rsid w:val="0004497F"/>
    <w:rsid w:val="000449E5"/>
    <w:rsid w:val="00044E8F"/>
    <w:rsid w:val="000460AB"/>
    <w:rsid w:val="000463E8"/>
    <w:rsid w:val="00046E71"/>
    <w:rsid w:val="000476F5"/>
    <w:rsid w:val="00047E46"/>
    <w:rsid w:val="000516EE"/>
    <w:rsid w:val="0005218A"/>
    <w:rsid w:val="000521E3"/>
    <w:rsid w:val="0005252E"/>
    <w:rsid w:val="00052B2F"/>
    <w:rsid w:val="00052CAE"/>
    <w:rsid w:val="000530EA"/>
    <w:rsid w:val="000536C8"/>
    <w:rsid w:val="00054063"/>
    <w:rsid w:val="00055250"/>
    <w:rsid w:val="00055524"/>
    <w:rsid w:val="00056B11"/>
    <w:rsid w:val="00056BC9"/>
    <w:rsid w:val="000570B2"/>
    <w:rsid w:val="000572B0"/>
    <w:rsid w:val="0005796D"/>
    <w:rsid w:val="00057BBA"/>
    <w:rsid w:val="00057FD2"/>
    <w:rsid w:val="000600FD"/>
    <w:rsid w:val="00060109"/>
    <w:rsid w:val="00060A0A"/>
    <w:rsid w:val="00060F8B"/>
    <w:rsid w:val="00061ED6"/>
    <w:rsid w:val="0006254B"/>
    <w:rsid w:val="0006283F"/>
    <w:rsid w:val="00062B04"/>
    <w:rsid w:val="00062D29"/>
    <w:rsid w:val="000634AA"/>
    <w:rsid w:val="000641A0"/>
    <w:rsid w:val="000650CA"/>
    <w:rsid w:val="000651A2"/>
    <w:rsid w:val="000655E9"/>
    <w:rsid w:val="000659B9"/>
    <w:rsid w:val="00065EAC"/>
    <w:rsid w:val="00066039"/>
    <w:rsid w:val="000666A6"/>
    <w:rsid w:val="0006677F"/>
    <w:rsid w:val="000667C6"/>
    <w:rsid w:val="00066CB5"/>
    <w:rsid w:val="00067877"/>
    <w:rsid w:val="000709A9"/>
    <w:rsid w:val="000709B5"/>
    <w:rsid w:val="00070F2F"/>
    <w:rsid w:val="000711B6"/>
    <w:rsid w:val="00073307"/>
    <w:rsid w:val="000742F3"/>
    <w:rsid w:val="00075162"/>
    <w:rsid w:val="000756FB"/>
    <w:rsid w:val="000759AE"/>
    <w:rsid w:val="00076104"/>
    <w:rsid w:val="00077274"/>
    <w:rsid w:val="000777C0"/>
    <w:rsid w:val="00077821"/>
    <w:rsid w:val="00077A18"/>
    <w:rsid w:val="00077FCF"/>
    <w:rsid w:val="00080A4F"/>
    <w:rsid w:val="000811D1"/>
    <w:rsid w:val="00082E25"/>
    <w:rsid w:val="00083895"/>
    <w:rsid w:val="00084547"/>
    <w:rsid w:val="00084E77"/>
    <w:rsid w:val="000852F2"/>
    <w:rsid w:val="00085D92"/>
    <w:rsid w:val="0008602E"/>
    <w:rsid w:val="000869CA"/>
    <w:rsid w:val="00086DFD"/>
    <w:rsid w:val="0008732D"/>
    <w:rsid w:val="00092044"/>
    <w:rsid w:val="00092217"/>
    <w:rsid w:val="00092D4E"/>
    <w:rsid w:val="00093875"/>
    <w:rsid w:val="0009557B"/>
    <w:rsid w:val="00096390"/>
    <w:rsid w:val="00096C90"/>
    <w:rsid w:val="00096F8D"/>
    <w:rsid w:val="00097109"/>
    <w:rsid w:val="000A082B"/>
    <w:rsid w:val="000A0A4F"/>
    <w:rsid w:val="000A0E22"/>
    <w:rsid w:val="000A0F41"/>
    <w:rsid w:val="000A2033"/>
    <w:rsid w:val="000A2891"/>
    <w:rsid w:val="000A3322"/>
    <w:rsid w:val="000A353F"/>
    <w:rsid w:val="000A4025"/>
    <w:rsid w:val="000A5093"/>
    <w:rsid w:val="000A5C4E"/>
    <w:rsid w:val="000A6795"/>
    <w:rsid w:val="000A7001"/>
    <w:rsid w:val="000A7745"/>
    <w:rsid w:val="000A7888"/>
    <w:rsid w:val="000B0E5D"/>
    <w:rsid w:val="000B10CE"/>
    <w:rsid w:val="000B1E98"/>
    <w:rsid w:val="000B2FFF"/>
    <w:rsid w:val="000B328B"/>
    <w:rsid w:val="000B3EFC"/>
    <w:rsid w:val="000B41F9"/>
    <w:rsid w:val="000B4434"/>
    <w:rsid w:val="000B444A"/>
    <w:rsid w:val="000B4EAE"/>
    <w:rsid w:val="000B5B65"/>
    <w:rsid w:val="000B5CA9"/>
    <w:rsid w:val="000B63D5"/>
    <w:rsid w:val="000B7AFD"/>
    <w:rsid w:val="000C0328"/>
    <w:rsid w:val="000C09B6"/>
    <w:rsid w:val="000C11F2"/>
    <w:rsid w:val="000C36ED"/>
    <w:rsid w:val="000C470E"/>
    <w:rsid w:val="000C50A8"/>
    <w:rsid w:val="000C58EE"/>
    <w:rsid w:val="000C5C6D"/>
    <w:rsid w:val="000C618B"/>
    <w:rsid w:val="000C6E6F"/>
    <w:rsid w:val="000C6EFA"/>
    <w:rsid w:val="000C747B"/>
    <w:rsid w:val="000C7D52"/>
    <w:rsid w:val="000D00BD"/>
    <w:rsid w:val="000D00CC"/>
    <w:rsid w:val="000D0A31"/>
    <w:rsid w:val="000D0B7F"/>
    <w:rsid w:val="000D0CA6"/>
    <w:rsid w:val="000D11FC"/>
    <w:rsid w:val="000D1307"/>
    <w:rsid w:val="000D148B"/>
    <w:rsid w:val="000D15CE"/>
    <w:rsid w:val="000D1A30"/>
    <w:rsid w:val="000D1E96"/>
    <w:rsid w:val="000D1FD3"/>
    <w:rsid w:val="000D22AA"/>
    <w:rsid w:val="000D2448"/>
    <w:rsid w:val="000D384F"/>
    <w:rsid w:val="000D5125"/>
    <w:rsid w:val="000D5985"/>
    <w:rsid w:val="000D5B75"/>
    <w:rsid w:val="000D5DA2"/>
    <w:rsid w:val="000D7670"/>
    <w:rsid w:val="000E070C"/>
    <w:rsid w:val="000E07C4"/>
    <w:rsid w:val="000E1713"/>
    <w:rsid w:val="000E1C62"/>
    <w:rsid w:val="000E227A"/>
    <w:rsid w:val="000E289A"/>
    <w:rsid w:val="000E2971"/>
    <w:rsid w:val="000E4E02"/>
    <w:rsid w:val="000E4F82"/>
    <w:rsid w:val="000E4F8A"/>
    <w:rsid w:val="000E6485"/>
    <w:rsid w:val="000E6508"/>
    <w:rsid w:val="000E660E"/>
    <w:rsid w:val="000E6A74"/>
    <w:rsid w:val="000E720B"/>
    <w:rsid w:val="000E7788"/>
    <w:rsid w:val="000E7970"/>
    <w:rsid w:val="000E7FFD"/>
    <w:rsid w:val="000F06C5"/>
    <w:rsid w:val="000F254D"/>
    <w:rsid w:val="000F3CAD"/>
    <w:rsid w:val="000F3D16"/>
    <w:rsid w:val="000F426B"/>
    <w:rsid w:val="000F462C"/>
    <w:rsid w:val="000F5422"/>
    <w:rsid w:val="000F56D6"/>
    <w:rsid w:val="000F61E8"/>
    <w:rsid w:val="000F6EF7"/>
    <w:rsid w:val="000F72E1"/>
    <w:rsid w:val="000F7330"/>
    <w:rsid w:val="000F77C1"/>
    <w:rsid w:val="001009D9"/>
    <w:rsid w:val="00100DBD"/>
    <w:rsid w:val="00101071"/>
    <w:rsid w:val="00102131"/>
    <w:rsid w:val="001043AA"/>
    <w:rsid w:val="0010614C"/>
    <w:rsid w:val="001064EF"/>
    <w:rsid w:val="0010679B"/>
    <w:rsid w:val="001102C4"/>
    <w:rsid w:val="0011045D"/>
    <w:rsid w:val="001109A2"/>
    <w:rsid w:val="0011159F"/>
    <w:rsid w:val="00111E14"/>
    <w:rsid w:val="00111FEC"/>
    <w:rsid w:val="001121D3"/>
    <w:rsid w:val="001122F5"/>
    <w:rsid w:val="00113184"/>
    <w:rsid w:val="00113BD7"/>
    <w:rsid w:val="00114B3B"/>
    <w:rsid w:val="00115A06"/>
    <w:rsid w:val="00115F13"/>
    <w:rsid w:val="001170B0"/>
    <w:rsid w:val="001177E5"/>
    <w:rsid w:val="00117EEF"/>
    <w:rsid w:val="0012009C"/>
    <w:rsid w:val="001200F3"/>
    <w:rsid w:val="00120434"/>
    <w:rsid w:val="001215B9"/>
    <w:rsid w:val="001215E7"/>
    <w:rsid w:val="001217C0"/>
    <w:rsid w:val="00121F64"/>
    <w:rsid w:val="00122559"/>
    <w:rsid w:val="0012257A"/>
    <w:rsid w:val="00122922"/>
    <w:rsid w:val="001236EC"/>
    <w:rsid w:val="00123986"/>
    <w:rsid w:val="00123B67"/>
    <w:rsid w:val="00124F35"/>
    <w:rsid w:val="001252C5"/>
    <w:rsid w:val="00126839"/>
    <w:rsid w:val="00126F8A"/>
    <w:rsid w:val="00126FA9"/>
    <w:rsid w:val="00127063"/>
    <w:rsid w:val="001300BF"/>
    <w:rsid w:val="001303F4"/>
    <w:rsid w:val="0013099D"/>
    <w:rsid w:val="001310B2"/>
    <w:rsid w:val="00131387"/>
    <w:rsid w:val="001322AD"/>
    <w:rsid w:val="00132687"/>
    <w:rsid w:val="0013289F"/>
    <w:rsid w:val="00133119"/>
    <w:rsid w:val="00133178"/>
    <w:rsid w:val="00133B8D"/>
    <w:rsid w:val="00133E34"/>
    <w:rsid w:val="00135FB3"/>
    <w:rsid w:val="001379D0"/>
    <w:rsid w:val="00140621"/>
    <w:rsid w:val="00142B0D"/>
    <w:rsid w:val="0014499B"/>
    <w:rsid w:val="00144CFE"/>
    <w:rsid w:val="00145C92"/>
    <w:rsid w:val="00145E54"/>
    <w:rsid w:val="001473B4"/>
    <w:rsid w:val="00147585"/>
    <w:rsid w:val="00147811"/>
    <w:rsid w:val="001478E8"/>
    <w:rsid w:val="00147A60"/>
    <w:rsid w:val="00147FD8"/>
    <w:rsid w:val="00150156"/>
    <w:rsid w:val="00152447"/>
    <w:rsid w:val="0015288B"/>
    <w:rsid w:val="00153475"/>
    <w:rsid w:val="00153898"/>
    <w:rsid w:val="00153DA2"/>
    <w:rsid w:val="0015421D"/>
    <w:rsid w:val="00154572"/>
    <w:rsid w:val="001548EF"/>
    <w:rsid w:val="00154EE1"/>
    <w:rsid w:val="00155871"/>
    <w:rsid w:val="001558EA"/>
    <w:rsid w:val="00155951"/>
    <w:rsid w:val="001569A0"/>
    <w:rsid w:val="00157725"/>
    <w:rsid w:val="00157D41"/>
    <w:rsid w:val="0016000D"/>
    <w:rsid w:val="00160699"/>
    <w:rsid w:val="00160827"/>
    <w:rsid w:val="00161182"/>
    <w:rsid w:val="00161340"/>
    <w:rsid w:val="0016134B"/>
    <w:rsid w:val="0016200E"/>
    <w:rsid w:val="00162E09"/>
    <w:rsid w:val="00162EFD"/>
    <w:rsid w:val="0016361E"/>
    <w:rsid w:val="00163E03"/>
    <w:rsid w:val="00166077"/>
    <w:rsid w:val="001661B6"/>
    <w:rsid w:val="00166346"/>
    <w:rsid w:val="00166394"/>
    <w:rsid w:val="001669C4"/>
    <w:rsid w:val="00166EE7"/>
    <w:rsid w:val="00170BCD"/>
    <w:rsid w:val="00171D9F"/>
    <w:rsid w:val="00172C38"/>
    <w:rsid w:val="001731D4"/>
    <w:rsid w:val="0017360B"/>
    <w:rsid w:val="001741E4"/>
    <w:rsid w:val="00174550"/>
    <w:rsid w:val="001747D5"/>
    <w:rsid w:val="0017593B"/>
    <w:rsid w:val="001765AF"/>
    <w:rsid w:val="00176716"/>
    <w:rsid w:val="00176753"/>
    <w:rsid w:val="00176BF3"/>
    <w:rsid w:val="00176C2C"/>
    <w:rsid w:val="0017780B"/>
    <w:rsid w:val="00180030"/>
    <w:rsid w:val="00180848"/>
    <w:rsid w:val="0018210E"/>
    <w:rsid w:val="00182478"/>
    <w:rsid w:val="0018271D"/>
    <w:rsid w:val="00182FCB"/>
    <w:rsid w:val="00183367"/>
    <w:rsid w:val="00183E83"/>
    <w:rsid w:val="00184478"/>
    <w:rsid w:val="001844B2"/>
    <w:rsid w:val="00184C30"/>
    <w:rsid w:val="0018627D"/>
    <w:rsid w:val="00186322"/>
    <w:rsid w:val="001866B3"/>
    <w:rsid w:val="00186729"/>
    <w:rsid w:val="00186ABE"/>
    <w:rsid w:val="00187262"/>
    <w:rsid w:val="00187763"/>
    <w:rsid w:val="00187B9A"/>
    <w:rsid w:val="00190579"/>
    <w:rsid w:val="00191067"/>
    <w:rsid w:val="001919B8"/>
    <w:rsid w:val="00191C4B"/>
    <w:rsid w:val="00193995"/>
    <w:rsid w:val="00193C17"/>
    <w:rsid w:val="00193D7E"/>
    <w:rsid w:val="001946DD"/>
    <w:rsid w:val="0019529D"/>
    <w:rsid w:val="00195322"/>
    <w:rsid w:val="001953C5"/>
    <w:rsid w:val="00196915"/>
    <w:rsid w:val="00196DE3"/>
    <w:rsid w:val="00196E83"/>
    <w:rsid w:val="001976E2"/>
    <w:rsid w:val="0019793C"/>
    <w:rsid w:val="001A09D7"/>
    <w:rsid w:val="001A09E2"/>
    <w:rsid w:val="001A1F1D"/>
    <w:rsid w:val="001A32AD"/>
    <w:rsid w:val="001A3C1A"/>
    <w:rsid w:val="001A3C90"/>
    <w:rsid w:val="001A4DAB"/>
    <w:rsid w:val="001A4E01"/>
    <w:rsid w:val="001A4E4D"/>
    <w:rsid w:val="001A5490"/>
    <w:rsid w:val="001A5A27"/>
    <w:rsid w:val="001A6769"/>
    <w:rsid w:val="001A6A0C"/>
    <w:rsid w:val="001A7103"/>
    <w:rsid w:val="001A7A7C"/>
    <w:rsid w:val="001B0988"/>
    <w:rsid w:val="001B0DBB"/>
    <w:rsid w:val="001B21F5"/>
    <w:rsid w:val="001B258A"/>
    <w:rsid w:val="001B329C"/>
    <w:rsid w:val="001B33DA"/>
    <w:rsid w:val="001B365C"/>
    <w:rsid w:val="001B3888"/>
    <w:rsid w:val="001B3B98"/>
    <w:rsid w:val="001B3DFB"/>
    <w:rsid w:val="001B41CA"/>
    <w:rsid w:val="001B4731"/>
    <w:rsid w:val="001B4821"/>
    <w:rsid w:val="001B4D93"/>
    <w:rsid w:val="001B53AA"/>
    <w:rsid w:val="001B645E"/>
    <w:rsid w:val="001B6CBE"/>
    <w:rsid w:val="001B73AC"/>
    <w:rsid w:val="001B7A9C"/>
    <w:rsid w:val="001B7EBA"/>
    <w:rsid w:val="001C0006"/>
    <w:rsid w:val="001C03A4"/>
    <w:rsid w:val="001C03FB"/>
    <w:rsid w:val="001C060F"/>
    <w:rsid w:val="001C0741"/>
    <w:rsid w:val="001C0996"/>
    <w:rsid w:val="001C1979"/>
    <w:rsid w:val="001C1D06"/>
    <w:rsid w:val="001C27B8"/>
    <w:rsid w:val="001C33AD"/>
    <w:rsid w:val="001C482A"/>
    <w:rsid w:val="001C4B45"/>
    <w:rsid w:val="001C5875"/>
    <w:rsid w:val="001C58AB"/>
    <w:rsid w:val="001C5D0F"/>
    <w:rsid w:val="001C64A4"/>
    <w:rsid w:val="001C655F"/>
    <w:rsid w:val="001C7039"/>
    <w:rsid w:val="001C73B5"/>
    <w:rsid w:val="001C793E"/>
    <w:rsid w:val="001D0176"/>
    <w:rsid w:val="001D0D90"/>
    <w:rsid w:val="001D1F6D"/>
    <w:rsid w:val="001D2389"/>
    <w:rsid w:val="001D4354"/>
    <w:rsid w:val="001D4B47"/>
    <w:rsid w:val="001D4CC1"/>
    <w:rsid w:val="001D5060"/>
    <w:rsid w:val="001D5AD8"/>
    <w:rsid w:val="001D632A"/>
    <w:rsid w:val="001D658E"/>
    <w:rsid w:val="001E0086"/>
    <w:rsid w:val="001E0096"/>
    <w:rsid w:val="001E2774"/>
    <w:rsid w:val="001E2F80"/>
    <w:rsid w:val="001E3083"/>
    <w:rsid w:val="001E4566"/>
    <w:rsid w:val="001E4BBF"/>
    <w:rsid w:val="001E5EB5"/>
    <w:rsid w:val="001E6890"/>
    <w:rsid w:val="001E79B4"/>
    <w:rsid w:val="001E79EB"/>
    <w:rsid w:val="001F03DC"/>
    <w:rsid w:val="001F066F"/>
    <w:rsid w:val="001F1E89"/>
    <w:rsid w:val="001F2464"/>
    <w:rsid w:val="001F3150"/>
    <w:rsid w:val="001F3EC7"/>
    <w:rsid w:val="001F49BA"/>
    <w:rsid w:val="001F66CD"/>
    <w:rsid w:val="001F7300"/>
    <w:rsid w:val="001F7E9E"/>
    <w:rsid w:val="0020029A"/>
    <w:rsid w:val="00200735"/>
    <w:rsid w:val="0020096A"/>
    <w:rsid w:val="00200C6B"/>
    <w:rsid w:val="00200E89"/>
    <w:rsid w:val="0020158F"/>
    <w:rsid w:val="00201DE3"/>
    <w:rsid w:val="002029E9"/>
    <w:rsid w:val="00203C15"/>
    <w:rsid w:val="00203EFE"/>
    <w:rsid w:val="00204342"/>
    <w:rsid w:val="00204600"/>
    <w:rsid w:val="00205901"/>
    <w:rsid w:val="002062B7"/>
    <w:rsid w:val="00207271"/>
    <w:rsid w:val="00207558"/>
    <w:rsid w:val="002105A5"/>
    <w:rsid w:val="00211373"/>
    <w:rsid w:val="002114AD"/>
    <w:rsid w:val="00211692"/>
    <w:rsid w:val="00212761"/>
    <w:rsid w:val="00212960"/>
    <w:rsid w:val="00212E75"/>
    <w:rsid w:val="002132B6"/>
    <w:rsid w:val="00213780"/>
    <w:rsid w:val="00214785"/>
    <w:rsid w:val="00214C5A"/>
    <w:rsid w:val="00214DA6"/>
    <w:rsid w:val="00214DDB"/>
    <w:rsid w:val="00215391"/>
    <w:rsid w:val="002154EF"/>
    <w:rsid w:val="00215648"/>
    <w:rsid w:val="0021643D"/>
    <w:rsid w:val="0021650E"/>
    <w:rsid w:val="00216602"/>
    <w:rsid w:val="0021714D"/>
    <w:rsid w:val="00220E20"/>
    <w:rsid w:val="00220F9A"/>
    <w:rsid w:val="002216B3"/>
    <w:rsid w:val="002216BC"/>
    <w:rsid w:val="00221A0F"/>
    <w:rsid w:val="00223353"/>
    <w:rsid w:val="002234D6"/>
    <w:rsid w:val="0022377D"/>
    <w:rsid w:val="00223C88"/>
    <w:rsid w:val="002241DA"/>
    <w:rsid w:val="00224F7B"/>
    <w:rsid w:val="0022575C"/>
    <w:rsid w:val="00225A27"/>
    <w:rsid w:val="00225FE2"/>
    <w:rsid w:val="002260FB"/>
    <w:rsid w:val="0022643D"/>
    <w:rsid w:val="0022681A"/>
    <w:rsid w:val="00226CEB"/>
    <w:rsid w:val="00226D07"/>
    <w:rsid w:val="00227271"/>
    <w:rsid w:val="002272A3"/>
    <w:rsid w:val="00232460"/>
    <w:rsid w:val="0023359D"/>
    <w:rsid w:val="00233E23"/>
    <w:rsid w:val="002349F8"/>
    <w:rsid w:val="00234CD0"/>
    <w:rsid w:val="00235051"/>
    <w:rsid w:val="0023660B"/>
    <w:rsid w:val="00236B8F"/>
    <w:rsid w:val="0023756F"/>
    <w:rsid w:val="00237A9F"/>
    <w:rsid w:val="0024063A"/>
    <w:rsid w:val="002406B6"/>
    <w:rsid w:val="002407E3"/>
    <w:rsid w:val="00240A2E"/>
    <w:rsid w:val="0024138F"/>
    <w:rsid w:val="00241AD4"/>
    <w:rsid w:val="002432C7"/>
    <w:rsid w:val="002440FF"/>
    <w:rsid w:val="00244DC4"/>
    <w:rsid w:val="00245068"/>
    <w:rsid w:val="00245279"/>
    <w:rsid w:val="002459A2"/>
    <w:rsid w:val="002463AC"/>
    <w:rsid w:val="002463E0"/>
    <w:rsid w:val="002465C6"/>
    <w:rsid w:val="00246761"/>
    <w:rsid w:val="00246989"/>
    <w:rsid w:val="0024748F"/>
    <w:rsid w:val="002478E0"/>
    <w:rsid w:val="002478E2"/>
    <w:rsid w:val="00247D94"/>
    <w:rsid w:val="00251104"/>
    <w:rsid w:val="00251245"/>
    <w:rsid w:val="00251913"/>
    <w:rsid w:val="00251AB2"/>
    <w:rsid w:val="0025210C"/>
    <w:rsid w:val="00252309"/>
    <w:rsid w:val="00252320"/>
    <w:rsid w:val="00252522"/>
    <w:rsid w:val="002530B8"/>
    <w:rsid w:val="0025383E"/>
    <w:rsid w:val="00253D11"/>
    <w:rsid w:val="0025461C"/>
    <w:rsid w:val="002549CD"/>
    <w:rsid w:val="00254B4B"/>
    <w:rsid w:val="00255D19"/>
    <w:rsid w:val="002560B8"/>
    <w:rsid w:val="00256671"/>
    <w:rsid w:val="002601D7"/>
    <w:rsid w:val="002624DC"/>
    <w:rsid w:val="00263032"/>
    <w:rsid w:val="002633D2"/>
    <w:rsid w:val="00263895"/>
    <w:rsid w:val="00264037"/>
    <w:rsid w:val="0026449E"/>
    <w:rsid w:val="002647B1"/>
    <w:rsid w:val="00264886"/>
    <w:rsid w:val="00266CD9"/>
    <w:rsid w:val="00267228"/>
    <w:rsid w:val="00270535"/>
    <w:rsid w:val="00270E8C"/>
    <w:rsid w:val="0027102B"/>
    <w:rsid w:val="002714A3"/>
    <w:rsid w:val="002719FF"/>
    <w:rsid w:val="002724BC"/>
    <w:rsid w:val="00273973"/>
    <w:rsid w:val="00273B46"/>
    <w:rsid w:val="00273DCB"/>
    <w:rsid w:val="00274260"/>
    <w:rsid w:val="0027456F"/>
    <w:rsid w:val="002754E0"/>
    <w:rsid w:val="00275D88"/>
    <w:rsid w:val="00276573"/>
    <w:rsid w:val="0027659D"/>
    <w:rsid w:val="0027686D"/>
    <w:rsid w:val="00280707"/>
    <w:rsid w:val="00280EAF"/>
    <w:rsid w:val="0028105A"/>
    <w:rsid w:val="002814C9"/>
    <w:rsid w:val="002829C0"/>
    <w:rsid w:val="00282E78"/>
    <w:rsid w:val="00282FDC"/>
    <w:rsid w:val="00283134"/>
    <w:rsid w:val="002832E1"/>
    <w:rsid w:val="002837EA"/>
    <w:rsid w:val="0028424C"/>
    <w:rsid w:val="002845F4"/>
    <w:rsid w:val="002847B1"/>
    <w:rsid w:val="002849BC"/>
    <w:rsid w:val="00284F6D"/>
    <w:rsid w:val="002858D8"/>
    <w:rsid w:val="00285919"/>
    <w:rsid w:val="00286707"/>
    <w:rsid w:val="00286E5C"/>
    <w:rsid w:val="00286F50"/>
    <w:rsid w:val="002871A9"/>
    <w:rsid w:val="0028734C"/>
    <w:rsid w:val="00287642"/>
    <w:rsid w:val="002878A2"/>
    <w:rsid w:val="00287B86"/>
    <w:rsid w:val="002900EE"/>
    <w:rsid w:val="002913B3"/>
    <w:rsid w:val="002915F3"/>
    <w:rsid w:val="002916B4"/>
    <w:rsid w:val="00291947"/>
    <w:rsid w:val="00293FC9"/>
    <w:rsid w:val="00294127"/>
    <w:rsid w:val="0029589B"/>
    <w:rsid w:val="00295D75"/>
    <w:rsid w:val="00295DA3"/>
    <w:rsid w:val="00295E2E"/>
    <w:rsid w:val="002962AF"/>
    <w:rsid w:val="00296E9B"/>
    <w:rsid w:val="00297EC3"/>
    <w:rsid w:val="00297FF5"/>
    <w:rsid w:val="002A0D4F"/>
    <w:rsid w:val="002A126B"/>
    <w:rsid w:val="002A1596"/>
    <w:rsid w:val="002A18D1"/>
    <w:rsid w:val="002A1B35"/>
    <w:rsid w:val="002A349B"/>
    <w:rsid w:val="002A3DA0"/>
    <w:rsid w:val="002A42B3"/>
    <w:rsid w:val="002A5554"/>
    <w:rsid w:val="002A63E0"/>
    <w:rsid w:val="002A6703"/>
    <w:rsid w:val="002A6AEE"/>
    <w:rsid w:val="002A73C6"/>
    <w:rsid w:val="002B0322"/>
    <w:rsid w:val="002B05FC"/>
    <w:rsid w:val="002B0B99"/>
    <w:rsid w:val="002B22E4"/>
    <w:rsid w:val="002B236C"/>
    <w:rsid w:val="002B2578"/>
    <w:rsid w:val="002B2724"/>
    <w:rsid w:val="002B27BE"/>
    <w:rsid w:val="002B2AA6"/>
    <w:rsid w:val="002B3730"/>
    <w:rsid w:val="002B428D"/>
    <w:rsid w:val="002B526C"/>
    <w:rsid w:val="002B5712"/>
    <w:rsid w:val="002B5763"/>
    <w:rsid w:val="002B5B6E"/>
    <w:rsid w:val="002B5EBF"/>
    <w:rsid w:val="002B6D71"/>
    <w:rsid w:val="002C02CB"/>
    <w:rsid w:val="002C056E"/>
    <w:rsid w:val="002C12E8"/>
    <w:rsid w:val="002C140E"/>
    <w:rsid w:val="002C2086"/>
    <w:rsid w:val="002C4094"/>
    <w:rsid w:val="002C4E65"/>
    <w:rsid w:val="002C577F"/>
    <w:rsid w:val="002C5CD8"/>
    <w:rsid w:val="002D0C7B"/>
    <w:rsid w:val="002D11C2"/>
    <w:rsid w:val="002D128C"/>
    <w:rsid w:val="002D1A28"/>
    <w:rsid w:val="002D2898"/>
    <w:rsid w:val="002D488F"/>
    <w:rsid w:val="002D4FCB"/>
    <w:rsid w:val="002D528F"/>
    <w:rsid w:val="002D5358"/>
    <w:rsid w:val="002D6CD5"/>
    <w:rsid w:val="002D7211"/>
    <w:rsid w:val="002D7214"/>
    <w:rsid w:val="002D7C92"/>
    <w:rsid w:val="002D7D3A"/>
    <w:rsid w:val="002E06BB"/>
    <w:rsid w:val="002E1378"/>
    <w:rsid w:val="002E21D6"/>
    <w:rsid w:val="002E25D1"/>
    <w:rsid w:val="002E281E"/>
    <w:rsid w:val="002E3759"/>
    <w:rsid w:val="002E46DC"/>
    <w:rsid w:val="002E52C8"/>
    <w:rsid w:val="002E54D1"/>
    <w:rsid w:val="002E5949"/>
    <w:rsid w:val="002E7775"/>
    <w:rsid w:val="002E797B"/>
    <w:rsid w:val="002E7CB3"/>
    <w:rsid w:val="002F00EC"/>
    <w:rsid w:val="002F039E"/>
    <w:rsid w:val="002F07C5"/>
    <w:rsid w:val="002F0A56"/>
    <w:rsid w:val="002F15CC"/>
    <w:rsid w:val="002F17F3"/>
    <w:rsid w:val="002F2414"/>
    <w:rsid w:val="002F3586"/>
    <w:rsid w:val="002F3667"/>
    <w:rsid w:val="002F56A7"/>
    <w:rsid w:val="002F5ED7"/>
    <w:rsid w:val="002F625A"/>
    <w:rsid w:val="002F6268"/>
    <w:rsid w:val="002F628D"/>
    <w:rsid w:val="002F68E9"/>
    <w:rsid w:val="00300732"/>
    <w:rsid w:val="00300C60"/>
    <w:rsid w:val="00300D33"/>
    <w:rsid w:val="00302557"/>
    <w:rsid w:val="00302ACA"/>
    <w:rsid w:val="00302BBB"/>
    <w:rsid w:val="00302D3E"/>
    <w:rsid w:val="00303378"/>
    <w:rsid w:val="0030352E"/>
    <w:rsid w:val="003035CE"/>
    <w:rsid w:val="00303C1D"/>
    <w:rsid w:val="00304992"/>
    <w:rsid w:val="00305341"/>
    <w:rsid w:val="0030544C"/>
    <w:rsid w:val="00305490"/>
    <w:rsid w:val="003064FC"/>
    <w:rsid w:val="003067F5"/>
    <w:rsid w:val="0030710D"/>
    <w:rsid w:val="00307466"/>
    <w:rsid w:val="00307EF0"/>
    <w:rsid w:val="003101E2"/>
    <w:rsid w:val="00310E7F"/>
    <w:rsid w:val="0031166A"/>
    <w:rsid w:val="00313CFF"/>
    <w:rsid w:val="00314842"/>
    <w:rsid w:val="00314E3A"/>
    <w:rsid w:val="00315555"/>
    <w:rsid w:val="00315F0A"/>
    <w:rsid w:val="003163E7"/>
    <w:rsid w:val="003163FB"/>
    <w:rsid w:val="00316B11"/>
    <w:rsid w:val="00316B77"/>
    <w:rsid w:val="0032012E"/>
    <w:rsid w:val="003206E3"/>
    <w:rsid w:val="00320FFC"/>
    <w:rsid w:val="0032101C"/>
    <w:rsid w:val="0032162D"/>
    <w:rsid w:val="00321F91"/>
    <w:rsid w:val="00322149"/>
    <w:rsid w:val="00322FB6"/>
    <w:rsid w:val="0032362C"/>
    <w:rsid w:val="00323FB9"/>
    <w:rsid w:val="0032562B"/>
    <w:rsid w:val="0032599C"/>
    <w:rsid w:val="003263C4"/>
    <w:rsid w:val="00326688"/>
    <w:rsid w:val="00327BCA"/>
    <w:rsid w:val="003301EB"/>
    <w:rsid w:val="00330E4A"/>
    <w:rsid w:val="00331D43"/>
    <w:rsid w:val="00331F97"/>
    <w:rsid w:val="003335DD"/>
    <w:rsid w:val="00333EEE"/>
    <w:rsid w:val="00334049"/>
    <w:rsid w:val="00334A58"/>
    <w:rsid w:val="00334ACC"/>
    <w:rsid w:val="00334FB7"/>
    <w:rsid w:val="00336125"/>
    <w:rsid w:val="003364FE"/>
    <w:rsid w:val="0033656B"/>
    <w:rsid w:val="00336576"/>
    <w:rsid w:val="00337200"/>
    <w:rsid w:val="003377C5"/>
    <w:rsid w:val="00337A91"/>
    <w:rsid w:val="003401D6"/>
    <w:rsid w:val="00340416"/>
    <w:rsid w:val="003408A4"/>
    <w:rsid w:val="003409C6"/>
    <w:rsid w:val="003409D8"/>
    <w:rsid w:val="003431AB"/>
    <w:rsid w:val="003441D2"/>
    <w:rsid w:val="003445F9"/>
    <w:rsid w:val="00344891"/>
    <w:rsid w:val="00345151"/>
    <w:rsid w:val="00345196"/>
    <w:rsid w:val="00345B20"/>
    <w:rsid w:val="00345C44"/>
    <w:rsid w:val="00345DCF"/>
    <w:rsid w:val="00345EEE"/>
    <w:rsid w:val="0034609B"/>
    <w:rsid w:val="003467F2"/>
    <w:rsid w:val="00347A13"/>
    <w:rsid w:val="0035016E"/>
    <w:rsid w:val="00351024"/>
    <w:rsid w:val="0035149E"/>
    <w:rsid w:val="0035200E"/>
    <w:rsid w:val="00352D7D"/>
    <w:rsid w:val="00353351"/>
    <w:rsid w:val="00353C63"/>
    <w:rsid w:val="00355800"/>
    <w:rsid w:val="00355AFE"/>
    <w:rsid w:val="00356D3D"/>
    <w:rsid w:val="00356F9F"/>
    <w:rsid w:val="00357188"/>
    <w:rsid w:val="00360332"/>
    <w:rsid w:val="003604F8"/>
    <w:rsid w:val="0036055B"/>
    <w:rsid w:val="00361682"/>
    <w:rsid w:val="003616E5"/>
    <w:rsid w:val="003618DB"/>
    <w:rsid w:val="00361C6D"/>
    <w:rsid w:val="003622F5"/>
    <w:rsid w:val="0036256B"/>
    <w:rsid w:val="00362D93"/>
    <w:rsid w:val="003633BD"/>
    <w:rsid w:val="0036343A"/>
    <w:rsid w:val="00363ED8"/>
    <w:rsid w:val="00364B04"/>
    <w:rsid w:val="00364BBB"/>
    <w:rsid w:val="003652F7"/>
    <w:rsid w:val="0036646C"/>
    <w:rsid w:val="00367357"/>
    <w:rsid w:val="00367492"/>
    <w:rsid w:val="003674E5"/>
    <w:rsid w:val="00367A1D"/>
    <w:rsid w:val="00367FD8"/>
    <w:rsid w:val="0037017A"/>
    <w:rsid w:val="0037033E"/>
    <w:rsid w:val="0037061F"/>
    <w:rsid w:val="003710A5"/>
    <w:rsid w:val="003712A7"/>
    <w:rsid w:val="00371DDC"/>
    <w:rsid w:val="0037261D"/>
    <w:rsid w:val="003732D5"/>
    <w:rsid w:val="00373653"/>
    <w:rsid w:val="003738F1"/>
    <w:rsid w:val="00374308"/>
    <w:rsid w:val="00374BB2"/>
    <w:rsid w:val="0037542E"/>
    <w:rsid w:val="003756EC"/>
    <w:rsid w:val="00375FAD"/>
    <w:rsid w:val="00376CAF"/>
    <w:rsid w:val="00376DD0"/>
    <w:rsid w:val="00377CFB"/>
    <w:rsid w:val="0038073B"/>
    <w:rsid w:val="003811F5"/>
    <w:rsid w:val="00381361"/>
    <w:rsid w:val="003824AE"/>
    <w:rsid w:val="00382A77"/>
    <w:rsid w:val="00382E0C"/>
    <w:rsid w:val="00383412"/>
    <w:rsid w:val="00383D5C"/>
    <w:rsid w:val="0038419D"/>
    <w:rsid w:val="0038491B"/>
    <w:rsid w:val="003868C1"/>
    <w:rsid w:val="00386DA9"/>
    <w:rsid w:val="00387065"/>
    <w:rsid w:val="00387531"/>
    <w:rsid w:val="00390984"/>
    <w:rsid w:val="003911EB"/>
    <w:rsid w:val="0039193E"/>
    <w:rsid w:val="003922A8"/>
    <w:rsid w:val="00392FBA"/>
    <w:rsid w:val="00394847"/>
    <w:rsid w:val="0039489C"/>
    <w:rsid w:val="003949E3"/>
    <w:rsid w:val="00394EF6"/>
    <w:rsid w:val="00395114"/>
    <w:rsid w:val="00395897"/>
    <w:rsid w:val="003967C5"/>
    <w:rsid w:val="00396B44"/>
    <w:rsid w:val="00397505"/>
    <w:rsid w:val="003978C0"/>
    <w:rsid w:val="00397F39"/>
    <w:rsid w:val="003A0214"/>
    <w:rsid w:val="003A13BF"/>
    <w:rsid w:val="003A14E7"/>
    <w:rsid w:val="003A1657"/>
    <w:rsid w:val="003A1A09"/>
    <w:rsid w:val="003A1CF0"/>
    <w:rsid w:val="003A24D0"/>
    <w:rsid w:val="003A2DC1"/>
    <w:rsid w:val="003A2DE3"/>
    <w:rsid w:val="003A2E69"/>
    <w:rsid w:val="003A313F"/>
    <w:rsid w:val="003A319F"/>
    <w:rsid w:val="003A342B"/>
    <w:rsid w:val="003A3C16"/>
    <w:rsid w:val="003A43F8"/>
    <w:rsid w:val="003A540E"/>
    <w:rsid w:val="003A5E31"/>
    <w:rsid w:val="003A6028"/>
    <w:rsid w:val="003A63AC"/>
    <w:rsid w:val="003A640A"/>
    <w:rsid w:val="003A6DCA"/>
    <w:rsid w:val="003A7502"/>
    <w:rsid w:val="003B0240"/>
    <w:rsid w:val="003B0A52"/>
    <w:rsid w:val="003B1083"/>
    <w:rsid w:val="003B1252"/>
    <w:rsid w:val="003B1736"/>
    <w:rsid w:val="003B1B29"/>
    <w:rsid w:val="003B1CB9"/>
    <w:rsid w:val="003B1DA6"/>
    <w:rsid w:val="003B1F9C"/>
    <w:rsid w:val="003B2363"/>
    <w:rsid w:val="003B251E"/>
    <w:rsid w:val="003B3550"/>
    <w:rsid w:val="003B449B"/>
    <w:rsid w:val="003B51AF"/>
    <w:rsid w:val="003B5BCB"/>
    <w:rsid w:val="003B6F77"/>
    <w:rsid w:val="003B71A3"/>
    <w:rsid w:val="003B7603"/>
    <w:rsid w:val="003C0BCE"/>
    <w:rsid w:val="003C0C2B"/>
    <w:rsid w:val="003C0DC9"/>
    <w:rsid w:val="003C12D2"/>
    <w:rsid w:val="003C2A9C"/>
    <w:rsid w:val="003C2B77"/>
    <w:rsid w:val="003C3B1B"/>
    <w:rsid w:val="003C4A43"/>
    <w:rsid w:val="003C567A"/>
    <w:rsid w:val="003C568F"/>
    <w:rsid w:val="003C57ED"/>
    <w:rsid w:val="003C5996"/>
    <w:rsid w:val="003C5CA1"/>
    <w:rsid w:val="003C6588"/>
    <w:rsid w:val="003C674F"/>
    <w:rsid w:val="003C6868"/>
    <w:rsid w:val="003C73C3"/>
    <w:rsid w:val="003C7731"/>
    <w:rsid w:val="003C7741"/>
    <w:rsid w:val="003C78DD"/>
    <w:rsid w:val="003C7930"/>
    <w:rsid w:val="003D0488"/>
    <w:rsid w:val="003D098C"/>
    <w:rsid w:val="003D101B"/>
    <w:rsid w:val="003D1AC9"/>
    <w:rsid w:val="003D2770"/>
    <w:rsid w:val="003D2E1E"/>
    <w:rsid w:val="003D3A6C"/>
    <w:rsid w:val="003D46CF"/>
    <w:rsid w:val="003D48C6"/>
    <w:rsid w:val="003D4A45"/>
    <w:rsid w:val="003D4C06"/>
    <w:rsid w:val="003D4E59"/>
    <w:rsid w:val="003D519B"/>
    <w:rsid w:val="003D6112"/>
    <w:rsid w:val="003D63C3"/>
    <w:rsid w:val="003E0241"/>
    <w:rsid w:val="003E0600"/>
    <w:rsid w:val="003E0849"/>
    <w:rsid w:val="003E0C8B"/>
    <w:rsid w:val="003E0DEC"/>
    <w:rsid w:val="003E1D76"/>
    <w:rsid w:val="003E1DBF"/>
    <w:rsid w:val="003E20A0"/>
    <w:rsid w:val="003E2224"/>
    <w:rsid w:val="003E30D6"/>
    <w:rsid w:val="003E360E"/>
    <w:rsid w:val="003E3EF9"/>
    <w:rsid w:val="003E4EE1"/>
    <w:rsid w:val="003E5A10"/>
    <w:rsid w:val="003E5CC0"/>
    <w:rsid w:val="003E6005"/>
    <w:rsid w:val="003E6656"/>
    <w:rsid w:val="003E75E1"/>
    <w:rsid w:val="003F0D5D"/>
    <w:rsid w:val="003F15B4"/>
    <w:rsid w:val="003F1E53"/>
    <w:rsid w:val="003F20A2"/>
    <w:rsid w:val="003F217F"/>
    <w:rsid w:val="003F2D80"/>
    <w:rsid w:val="003F301F"/>
    <w:rsid w:val="003F31AF"/>
    <w:rsid w:val="003F3293"/>
    <w:rsid w:val="003F341C"/>
    <w:rsid w:val="003F4473"/>
    <w:rsid w:val="003F469C"/>
    <w:rsid w:val="003F4F06"/>
    <w:rsid w:val="003F50C4"/>
    <w:rsid w:val="003F59C4"/>
    <w:rsid w:val="003F59F6"/>
    <w:rsid w:val="003F60DE"/>
    <w:rsid w:val="003F65AC"/>
    <w:rsid w:val="003F7A51"/>
    <w:rsid w:val="004005CA"/>
    <w:rsid w:val="004006BA"/>
    <w:rsid w:val="004008CD"/>
    <w:rsid w:val="004009A5"/>
    <w:rsid w:val="004019A9"/>
    <w:rsid w:val="00401F6F"/>
    <w:rsid w:val="0040203D"/>
    <w:rsid w:val="004031B7"/>
    <w:rsid w:val="00403C5B"/>
    <w:rsid w:val="004046EB"/>
    <w:rsid w:val="00405431"/>
    <w:rsid w:val="00406F85"/>
    <w:rsid w:val="0040750D"/>
    <w:rsid w:val="0040773E"/>
    <w:rsid w:val="00407D6E"/>
    <w:rsid w:val="0041061D"/>
    <w:rsid w:val="004109A9"/>
    <w:rsid w:val="00410D50"/>
    <w:rsid w:val="00410EEF"/>
    <w:rsid w:val="00410FEF"/>
    <w:rsid w:val="00411204"/>
    <w:rsid w:val="004126FF"/>
    <w:rsid w:val="00412A82"/>
    <w:rsid w:val="00412BEB"/>
    <w:rsid w:val="0041336A"/>
    <w:rsid w:val="004136C0"/>
    <w:rsid w:val="00415A51"/>
    <w:rsid w:val="00415A72"/>
    <w:rsid w:val="00415E3B"/>
    <w:rsid w:val="00416067"/>
    <w:rsid w:val="004167AF"/>
    <w:rsid w:val="0041717E"/>
    <w:rsid w:val="004173F9"/>
    <w:rsid w:val="00417935"/>
    <w:rsid w:val="004201D5"/>
    <w:rsid w:val="00421650"/>
    <w:rsid w:val="0042197B"/>
    <w:rsid w:val="00421B8E"/>
    <w:rsid w:val="00421C44"/>
    <w:rsid w:val="00421D8F"/>
    <w:rsid w:val="00421F79"/>
    <w:rsid w:val="004223EB"/>
    <w:rsid w:val="0042242C"/>
    <w:rsid w:val="0042286C"/>
    <w:rsid w:val="00423039"/>
    <w:rsid w:val="00424FA5"/>
    <w:rsid w:val="004264DE"/>
    <w:rsid w:val="00426B54"/>
    <w:rsid w:val="00427163"/>
    <w:rsid w:val="0042732E"/>
    <w:rsid w:val="00427613"/>
    <w:rsid w:val="004276B5"/>
    <w:rsid w:val="00427B91"/>
    <w:rsid w:val="0043011D"/>
    <w:rsid w:val="00430BDC"/>
    <w:rsid w:val="00431186"/>
    <w:rsid w:val="00431416"/>
    <w:rsid w:val="00432CE1"/>
    <w:rsid w:val="00433EE7"/>
    <w:rsid w:val="00434BF3"/>
    <w:rsid w:val="00434EB0"/>
    <w:rsid w:val="00435549"/>
    <w:rsid w:val="004369E4"/>
    <w:rsid w:val="00436EAD"/>
    <w:rsid w:val="00436F7F"/>
    <w:rsid w:val="004377EA"/>
    <w:rsid w:val="00437E42"/>
    <w:rsid w:val="00437E80"/>
    <w:rsid w:val="004407E6"/>
    <w:rsid w:val="0044124B"/>
    <w:rsid w:val="00442A7B"/>
    <w:rsid w:val="004431E6"/>
    <w:rsid w:val="00443BBC"/>
    <w:rsid w:val="0044440F"/>
    <w:rsid w:val="0044473D"/>
    <w:rsid w:val="00446642"/>
    <w:rsid w:val="00446925"/>
    <w:rsid w:val="00446A33"/>
    <w:rsid w:val="004478BF"/>
    <w:rsid w:val="004501E4"/>
    <w:rsid w:val="00450986"/>
    <w:rsid w:val="004532C8"/>
    <w:rsid w:val="00453862"/>
    <w:rsid w:val="00453A19"/>
    <w:rsid w:val="00454195"/>
    <w:rsid w:val="00454769"/>
    <w:rsid w:val="004547B4"/>
    <w:rsid w:val="00454BFE"/>
    <w:rsid w:val="00454C9D"/>
    <w:rsid w:val="004550D2"/>
    <w:rsid w:val="0045615A"/>
    <w:rsid w:val="0046102D"/>
    <w:rsid w:val="00461321"/>
    <w:rsid w:val="004619AC"/>
    <w:rsid w:val="00462F8D"/>
    <w:rsid w:val="00463138"/>
    <w:rsid w:val="0046386C"/>
    <w:rsid w:val="0046447A"/>
    <w:rsid w:val="00464C43"/>
    <w:rsid w:val="004650EB"/>
    <w:rsid w:val="004655CA"/>
    <w:rsid w:val="004656FE"/>
    <w:rsid w:val="00466282"/>
    <w:rsid w:val="00466A5A"/>
    <w:rsid w:val="00466F6A"/>
    <w:rsid w:val="00467058"/>
    <w:rsid w:val="00470078"/>
    <w:rsid w:val="0047101D"/>
    <w:rsid w:val="004716B7"/>
    <w:rsid w:val="00472263"/>
    <w:rsid w:val="004723A4"/>
    <w:rsid w:val="00472FB8"/>
    <w:rsid w:val="004740FD"/>
    <w:rsid w:val="0047464F"/>
    <w:rsid w:val="00474915"/>
    <w:rsid w:val="0047501B"/>
    <w:rsid w:val="00475210"/>
    <w:rsid w:val="00475531"/>
    <w:rsid w:val="00476698"/>
    <w:rsid w:val="0047670D"/>
    <w:rsid w:val="00476850"/>
    <w:rsid w:val="0047698D"/>
    <w:rsid w:val="00476B41"/>
    <w:rsid w:val="00477186"/>
    <w:rsid w:val="00477643"/>
    <w:rsid w:val="00477DD3"/>
    <w:rsid w:val="00477E65"/>
    <w:rsid w:val="0048056B"/>
    <w:rsid w:val="00480872"/>
    <w:rsid w:val="00481883"/>
    <w:rsid w:val="00481D10"/>
    <w:rsid w:val="00482044"/>
    <w:rsid w:val="00482DD9"/>
    <w:rsid w:val="00482DE7"/>
    <w:rsid w:val="004835D8"/>
    <w:rsid w:val="00485504"/>
    <w:rsid w:val="004857AD"/>
    <w:rsid w:val="00485DFD"/>
    <w:rsid w:val="004862C1"/>
    <w:rsid w:val="004874AB"/>
    <w:rsid w:val="0049027F"/>
    <w:rsid w:val="00491190"/>
    <w:rsid w:val="004912D9"/>
    <w:rsid w:val="00492665"/>
    <w:rsid w:val="00492C17"/>
    <w:rsid w:val="0049335E"/>
    <w:rsid w:val="00494103"/>
    <w:rsid w:val="00494C93"/>
    <w:rsid w:val="00494C9E"/>
    <w:rsid w:val="00494F2F"/>
    <w:rsid w:val="00495FC1"/>
    <w:rsid w:val="004962C6"/>
    <w:rsid w:val="004964F2"/>
    <w:rsid w:val="004977EF"/>
    <w:rsid w:val="004A1EEC"/>
    <w:rsid w:val="004A22C7"/>
    <w:rsid w:val="004A2304"/>
    <w:rsid w:val="004A3163"/>
    <w:rsid w:val="004A38DE"/>
    <w:rsid w:val="004A3AD7"/>
    <w:rsid w:val="004A454C"/>
    <w:rsid w:val="004A480C"/>
    <w:rsid w:val="004A50FC"/>
    <w:rsid w:val="004A51B7"/>
    <w:rsid w:val="004A5619"/>
    <w:rsid w:val="004A5683"/>
    <w:rsid w:val="004A5FDB"/>
    <w:rsid w:val="004A6659"/>
    <w:rsid w:val="004A6CA4"/>
    <w:rsid w:val="004A776E"/>
    <w:rsid w:val="004A77C5"/>
    <w:rsid w:val="004A7C9A"/>
    <w:rsid w:val="004B01D7"/>
    <w:rsid w:val="004B13FA"/>
    <w:rsid w:val="004B17DA"/>
    <w:rsid w:val="004B224F"/>
    <w:rsid w:val="004B2D1F"/>
    <w:rsid w:val="004B395D"/>
    <w:rsid w:val="004B3FA5"/>
    <w:rsid w:val="004B3FB3"/>
    <w:rsid w:val="004B4887"/>
    <w:rsid w:val="004B5540"/>
    <w:rsid w:val="004B6074"/>
    <w:rsid w:val="004B649F"/>
    <w:rsid w:val="004B6568"/>
    <w:rsid w:val="004B6826"/>
    <w:rsid w:val="004B70B8"/>
    <w:rsid w:val="004B74F8"/>
    <w:rsid w:val="004B7748"/>
    <w:rsid w:val="004C1201"/>
    <w:rsid w:val="004C1A5C"/>
    <w:rsid w:val="004C1BB4"/>
    <w:rsid w:val="004C1C55"/>
    <w:rsid w:val="004C1E19"/>
    <w:rsid w:val="004C2194"/>
    <w:rsid w:val="004C21A6"/>
    <w:rsid w:val="004C45E7"/>
    <w:rsid w:val="004C4602"/>
    <w:rsid w:val="004C464A"/>
    <w:rsid w:val="004C4919"/>
    <w:rsid w:val="004C5216"/>
    <w:rsid w:val="004C5C12"/>
    <w:rsid w:val="004C5F3F"/>
    <w:rsid w:val="004C7ADD"/>
    <w:rsid w:val="004C7E08"/>
    <w:rsid w:val="004D08D8"/>
    <w:rsid w:val="004D11CA"/>
    <w:rsid w:val="004D1725"/>
    <w:rsid w:val="004D187A"/>
    <w:rsid w:val="004D2427"/>
    <w:rsid w:val="004D280D"/>
    <w:rsid w:val="004D304C"/>
    <w:rsid w:val="004D31B3"/>
    <w:rsid w:val="004D4DD0"/>
    <w:rsid w:val="004D546B"/>
    <w:rsid w:val="004D60EF"/>
    <w:rsid w:val="004D62B9"/>
    <w:rsid w:val="004D66EE"/>
    <w:rsid w:val="004E0D2B"/>
    <w:rsid w:val="004E0DEB"/>
    <w:rsid w:val="004E1BEE"/>
    <w:rsid w:val="004E2379"/>
    <w:rsid w:val="004E2564"/>
    <w:rsid w:val="004E333D"/>
    <w:rsid w:val="004E36A7"/>
    <w:rsid w:val="004E4E79"/>
    <w:rsid w:val="004E5814"/>
    <w:rsid w:val="004E59A1"/>
    <w:rsid w:val="004E5F59"/>
    <w:rsid w:val="004E62DA"/>
    <w:rsid w:val="004E635A"/>
    <w:rsid w:val="004E680E"/>
    <w:rsid w:val="004E6CDF"/>
    <w:rsid w:val="004E6FCB"/>
    <w:rsid w:val="004E7450"/>
    <w:rsid w:val="004E7AD5"/>
    <w:rsid w:val="004E7D0E"/>
    <w:rsid w:val="004F0299"/>
    <w:rsid w:val="004F07EF"/>
    <w:rsid w:val="004F12B4"/>
    <w:rsid w:val="004F12E4"/>
    <w:rsid w:val="004F148D"/>
    <w:rsid w:val="004F1865"/>
    <w:rsid w:val="004F21A7"/>
    <w:rsid w:val="004F2587"/>
    <w:rsid w:val="004F25BD"/>
    <w:rsid w:val="004F25EF"/>
    <w:rsid w:val="004F27F7"/>
    <w:rsid w:val="004F2A73"/>
    <w:rsid w:val="004F2D20"/>
    <w:rsid w:val="004F2D7B"/>
    <w:rsid w:val="004F2EA4"/>
    <w:rsid w:val="004F313A"/>
    <w:rsid w:val="004F39A2"/>
    <w:rsid w:val="004F4062"/>
    <w:rsid w:val="004F42ED"/>
    <w:rsid w:val="004F45BA"/>
    <w:rsid w:val="004F611E"/>
    <w:rsid w:val="004F654B"/>
    <w:rsid w:val="004F79E4"/>
    <w:rsid w:val="00500252"/>
    <w:rsid w:val="005010E2"/>
    <w:rsid w:val="00501D63"/>
    <w:rsid w:val="00502237"/>
    <w:rsid w:val="005023F0"/>
    <w:rsid w:val="005029C7"/>
    <w:rsid w:val="00503CA2"/>
    <w:rsid w:val="005062ED"/>
    <w:rsid w:val="0050796A"/>
    <w:rsid w:val="00507DDA"/>
    <w:rsid w:val="00510209"/>
    <w:rsid w:val="0051041A"/>
    <w:rsid w:val="005109DD"/>
    <w:rsid w:val="005110CE"/>
    <w:rsid w:val="005120CB"/>
    <w:rsid w:val="00513408"/>
    <w:rsid w:val="00513FA2"/>
    <w:rsid w:val="0051413F"/>
    <w:rsid w:val="00514E18"/>
    <w:rsid w:val="00515320"/>
    <w:rsid w:val="00515447"/>
    <w:rsid w:val="00516EB4"/>
    <w:rsid w:val="00517006"/>
    <w:rsid w:val="00517495"/>
    <w:rsid w:val="00521500"/>
    <w:rsid w:val="00522D04"/>
    <w:rsid w:val="005234C3"/>
    <w:rsid w:val="00523C41"/>
    <w:rsid w:val="00524224"/>
    <w:rsid w:val="005244A2"/>
    <w:rsid w:val="0052517D"/>
    <w:rsid w:val="00525A2B"/>
    <w:rsid w:val="00525DD4"/>
    <w:rsid w:val="005262EB"/>
    <w:rsid w:val="00526747"/>
    <w:rsid w:val="00526A81"/>
    <w:rsid w:val="00526F6D"/>
    <w:rsid w:val="00527218"/>
    <w:rsid w:val="005277A6"/>
    <w:rsid w:val="00527DE9"/>
    <w:rsid w:val="00530944"/>
    <w:rsid w:val="005323AB"/>
    <w:rsid w:val="00533177"/>
    <w:rsid w:val="0053321F"/>
    <w:rsid w:val="0053477F"/>
    <w:rsid w:val="0053502E"/>
    <w:rsid w:val="00535D89"/>
    <w:rsid w:val="005360FE"/>
    <w:rsid w:val="005366E6"/>
    <w:rsid w:val="00537617"/>
    <w:rsid w:val="00537C97"/>
    <w:rsid w:val="00537E18"/>
    <w:rsid w:val="0054053D"/>
    <w:rsid w:val="00540C2C"/>
    <w:rsid w:val="005418CA"/>
    <w:rsid w:val="005434C3"/>
    <w:rsid w:val="00543974"/>
    <w:rsid w:val="005447D2"/>
    <w:rsid w:val="005447FF"/>
    <w:rsid w:val="00544AD2"/>
    <w:rsid w:val="0054590D"/>
    <w:rsid w:val="005459E7"/>
    <w:rsid w:val="00546662"/>
    <w:rsid w:val="005473B7"/>
    <w:rsid w:val="005476BB"/>
    <w:rsid w:val="00547AB8"/>
    <w:rsid w:val="00547ED5"/>
    <w:rsid w:val="0055085D"/>
    <w:rsid w:val="00550C65"/>
    <w:rsid w:val="00550CF9"/>
    <w:rsid w:val="0055119A"/>
    <w:rsid w:val="0055167A"/>
    <w:rsid w:val="00551CFA"/>
    <w:rsid w:val="0055230F"/>
    <w:rsid w:val="0055290D"/>
    <w:rsid w:val="00552CBC"/>
    <w:rsid w:val="00553967"/>
    <w:rsid w:val="0055434E"/>
    <w:rsid w:val="00554B7D"/>
    <w:rsid w:val="00555304"/>
    <w:rsid w:val="00555B1D"/>
    <w:rsid w:val="00555FD1"/>
    <w:rsid w:val="005561D4"/>
    <w:rsid w:val="005563CC"/>
    <w:rsid w:val="00556573"/>
    <w:rsid w:val="005569F9"/>
    <w:rsid w:val="0055767C"/>
    <w:rsid w:val="00557F35"/>
    <w:rsid w:val="005601F2"/>
    <w:rsid w:val="005615A0"/>
    <w:rsid w:val="005618F6"/>
    <w:rsid w:val="0056417C"/>
    <w:rsid w:val="00564247"/>
    <w:rsid w:val="00564250"/>
    <w:rsid w:val="005644FC"/>
    <w:rsid w:val="00564DEF"/>
    <w:rsid w:val="00565395"/>
    <w:rsid w:val="005654C1"/>
    <w:rsid w:val="00566181"/>
    <w:rsid w:val="005667D2"/>
    <w:rsid w:val="00566999"/>
    <w:rsid w:val="00566F4E"/>
    <w:rsid w:val="00567A07"/>
    <w:rsid w:val="005700AA"/>
    <w:rsid w:val="005704DB"/>
    <w:rsid w:val="0057083B"/>
    <w:rsid w:val="00571362"/>
    <w:rsid w:val="00571602"/>
    <w:rsid w:val="00572146"/>
    <w:rsid w:val="00572A74"/>
    <w:rsid w:val="00573077"/>
    <w:rsid w:val="00573A8F"/>
    <w:rsid w:val="0057406E"/>
    <w:rsid w:val="005761F6"/>
    <w:rsid w:val="00576BD1"/>
    <w:rsid w:val="005771C9"/>
    <w:rsid w:val="005775CA"/>
    <w:rsid w:val="00580349"/>
    <w:rsid w:val="005805B7"/>
    <w:rsid w:val="00581084"/>
    <w:rsid w:val="00581A47"/>
    <w:rsid w:val="00582CFF"/>
    <w:rsid w:val="00582EF0"/>
    <w:rsid w:val="005845C4"/>
    <w:rsid w:val="005848E3"/>
    <w:rsid w:val="00584F53"/>
    <w:rsid w:val="0058647F"/>
    <w:rsid w:val="005864F1"/>
    <w:rsid w:val="005864F8"/>
    <w:rsid w:val="0058748D"/>
    <w:rsid w:val="00587F4A"/>
    <w:rsid w:val="005900A5"/>
    <w:rsid w:val="005900F5"/>
    <w:rsid w:val="005915A9"/>
    <w:rsid w:val="00591AD7"/>
    <w:rsid w:val="00591D16"/>
    <w:rsid w:val="00591F9A"/>
    <w:rsid w:val="005938D1"/>
    <w:rsid w:val="00593DFA"/>
    <w:rsid w:val="00594427"/>
    <w:rsid w:val="00595D34"/>
    <w:rsid w:val="005966CE"/>
    <w:rsid w:val="00596821"/>
    <w:rsid w:val="00597A7E"/>
    <w:rsid w:val="00597ECF"/>
    <w:rsid w:val="00597F48"/>
    <w:rsid w:val="005A0589"/>
    <w:rsid w:val="005A0851"/>
    <w:rsid w:val="005A0B4B"/>
    <w:rsid w:val="005A126B"/>
    <w:rsid w:val="005A1CF3"/>
    <w:rsid w:val="005A241F"/>
    <w:rsid w:val="005A285F"/>
    <w:rsid w:val="005A2A7E"/>
    <w:rsid w:val="005A45D8"/>
    <w:rsid w:val="005A5A75"/>
    <w:rsid w:val="005A6D7F"/>
    <w:rsid w:val="005A71CF"/>
    <w:rsid w:val="005A7AB6"/>
    <w:rsid w:val="005A7C8C"/>
    <w:rsid w:val="005B0205"/>
    <w:rsid w:val="005B0835"/>
    <w:rsid w:val="005B30A0"/>
    <w:rsid w:val="005B3342"/>
    <w:rsid w:val="005B36A7"/>
    <w:rsid w:val="005B4B91"/>
    <w:rsid w:val="005B4C8B"/>
    <w:rsid w:val="005B5A96"/>
    <w:rsid w:val="005B692D"/>
    <w:rsid w:val="005B6CF9"/>
    <w:rsid w:val="005B6E21"/>
    <w:rsid w:val="005B6F93"/>
    <w:rsid w:val="005B7229"/>
    <w:rsid w:val="005C00F5"/>
    <w:rsid w:val="005C0286"/>
    <w:rsid w:val="005C09CD"/>
    <w:rsid w:val="005C0C36"/>
    <w:rsid w:val="005C1843"/>
    <w:rsid w:val="005C366A"/>
    <w:rsid w:val="005C3C17"/>
    <w:rsid w:val="005C40F8"/>
    <w:rsid w:val="005C45EF"/>
    <w:rsid w:val="005C4D1B"/>
    <w:rsid w:val="005C57AE"/>
    <w:rsid w:val="005C5987"/>
    <w:rsid w:val="005C61C0"/>
    <w:rsid w:val="005C6B4A"/>
    <w:rsid w:val="005C78C5"/>
    <w:rsid w:val="005D0117"/>
    <w:rsid w:val="005D0333"/>
    <w:rsid w:val="005D192F"/>
    <w:rsid w:val="005D279F"/>
    <w:rsid w:val="005D3D6B"/>
    <w:rsid w:val="005D40B7"/>
    <w:rsid w:val="005D478E"/>
    <w:rsid w:val="005D492B"/>
    <w:rsid w:val="005D68C5"/>
    <w:rsid w:val="005E1057"/>
    <w:rsid w:val="005E12E9"/>
    <w:rsid w:val="005E1419"/>
    <w:rsid w:val="005E1773"/>
    <w:rsid w:val="005E215D"/>
    <w:rsid w:val="005E2403"/>
    <w:rsid w:val="005E408D"/>
    <w:rsid w:val="005E44D4"/>
    <w:rsid w:val="005E4B54"/>
    <w:rsid w:val="005E590B"/>
    <w:rsid w:val="005E5B33"/>
    <w:rsid w:val="005E73E8"/>
    <w:rsid w:val="005E7D74"/>
    <w:rsid w:val="005E7F75"/>
    <w:rsid w:val="005F0141"/>
    <w:rsid w:val="005F02A0"/>
    <w:rsid w:val="005F0444"/>
    <w:rsid w:val="005F0BB0"/>
    <w:rsid w:val="005F196F"/>
    <w:rsid w:val="005F1B65"/>
    <w:rsid w:val="005F1D16"/>
    <w:rsid w:val="005F210C"/>
    <w:rsid w:val="005F2693"/>
    <w:rsid w:val="005F26AE"/>
    <w:rsid w:val="005F2938"/>
    <w:rsid w:val="005F2E71"/>
    <w:rsid w:val="005F3977"/>
    <w:rsid w:val="005F39D1"/>
    <w:rsid w:val="005F48C6"/>
    <w:rsid w:val="005F51A0"/>
    <w:rsid w:val="005F5CE7"/>
    <w:rsid w:val="005F73D3"/>
    <w:rsid w:val="005F7E44"/>
    <w:rsid w:val="006004C6"/>
    <w:rsid w:val="006007EE"/>
    <w:rsid w:val="00601B06"/>
    <w:rsid w:val="00603146"/>
    <w:rsid w:val="00604AB1"/>
    <w:rsid w:val="00605A2C"/>
    <w:rsid w:val="00605C83"/>
    <w:rsid w:val="0060717C"/>
    <w:rsid w:val="00607624"/>
    <w:rsid w:val="006076D7"/>
    <w:rsid w:val="00607F14"/>
    <w:rsid w:val="00610498"/>
    <w:rsid w:val="00610543"/>
    <w:rsid w:val="0061059A"/>
    <w:rsid w:val="006116CC"/>
    <w:rsid w:val="0061181C"/>
    <w:rsid w:val="00611A02"/>
    <w:rsid w:val="00611F83"/>
    <w:rsid w:val="006125D2"/>
    <w:rsid w:val="0061273C"/>
    <w:rsid w:val="00612969"/>
    <w:rsid w:val="00614B03"/>
    <w:rsid w:val="00614FFA"/>
    <w:rsid w:val="00615403"/>
    <w:rsid w:val="00616DE7"/>
    <w:rsid w:val="00616F45"/>
    <w:rsid w:val="00617297"/>
    <w:rsid w:val="00617836"/>
    <w:rsid w:val="00617C7F"/>
    <w:rsid w:val="00620352"/>
    <w:rsid w:val="00622C62"/>
    <w:rsid w:val="00622CA6"/>
    <w:rsid w:val="006237E8"/>
    <w:rsid w:val="00623865"/>
    <w:rsid w:val="00624434"/>
    <w:rsid w:val="0062485A"/>
    <w:rsid w:val="00624B51"/>
    <w:rsid w:val="00625300"/>
    <w:rsid w:val="00626984"/>
    <w:rsid w:val="00626F79"/>
    <w:rsid w:val="00627BF1"/>
    <w:rsid w:val="006305DB"/>
    <w:rsid w:val="00630BAD"/>
    <w:rsid w:val="006316B3"/>
    <w:rsid w:val="0063173D"/>
    <w:rsid w:val="00632244"/>
    <w:rsid w:val="006328E3"/>
    <w:rsid w:val="0063362E"/>
    <w:rsid w:val="0063416A"/>
    <w:rsid w:val="00634E24"/>
    <w:rsid w:val="00635222"/>
    <w:rsid w:val="00635BD3"/>
    <w:rsid w:val="00637D50"/>
    <w:rsid w:val="00637F9D"/>
    <w:rsid w:val="00641E0C"/>
    <w:rsid w:val="00642875"/>
    <w:rsid w:val="006428E0"/>
    <w:rsid w:val="00642F68"/>
    <w:rsid w:val="00643E05"/>
    <w:rsid w:val="006442FF"/>
    <w:rsid w:val="00644619"/>
    <w:rsid w:val="0064480A"/>
    <w:rsid w:val="00644C2D"/>
    <w:rsid w:val="00645DA4"/>
    <w:rsid w:val="00646AE3"/>
    <w:rsid w:val="00647618"/>
    <w:rsid w:val="00647ABC"/>
    <w:rsid w:val="00651617"/>
    <w:rsid w:val="00652A8F"/>
    <w:rsid w:val="00652DCD"/>
    <w:rsid w:val="006537F5"/>
    <w:rsid w:val="00653FBE"/>
    <w:rsid w:val="00654643"/>
    <w:rsid w:val="006548B3"/>
    <w:rsid w:val="006558BC"/>
    <w:rsid w:val="00655E40"/>
    <w:rsid w:val="006572E4"/>
    <w:rsid w:val="0066033C"/>
    <w:rsid w:val="006607DB"/>
    <w:rsid w:val="00660B95"/>
    <w:rsid w:val="00661814"/>
    <w:rsid w:val="00661975"/>
    <w:rsid w:val="00662008"/>
    <w:rsid w:val="00662F09"/>
    <w:rsid w:val="006631DF"/>
    <w:rsid w:val="00663502"/>
    <w:rsid w:val="00664546"/>
    <w:rsid w:val="0066467B"/>
    <w:rsid w:val="00664C45"/>
    <w:rsid w:val="00664C7C"/>
    <w:rsid w:val="00664CDD"/>
    <w:rsid w:val="00665A98"/>
    <w:rsid w:val="00666106"/>
    <w:rsid w:val="00667C9C"/>
    <w:rsid w:val="00667E36"/>
    <w:rsid w:val="00667F2C"/>
    <w:rsid w:val="00670233"/>
    <w:rsid w:val="00670293"/>
    <w:rsid w:val="00670502"/>
    <w:rsid w:val="00670E97"/>
    <w:rsid w:val="00671865"/>
    <w:rsid w:val="00672259"/>
    <w:rsid w:val="00672849"/>
    <w:rsid w:val="00674095"/>
    <w:rsid w:val="00674A9C"/>
    <w:rsid w:val="00675309"/>
    <w:rsid w:val="006755B7"/>
    <w:rsid w:val="00675D30"/>
    <w:rsid w:val="0067659A"/>
    <w:rsid w:val="006769FF"/>
    <w:rsid w:val="006773BD"/>
    <w:rsid w:val="00680096"/>
    <w:rsid w:val="006806CB"/>
    <w:rsid w:val="00680850"/>
    <w:rsid w:val="00680B79"/>
    <w:rsid w:val="00680C7D"/>
    <w:rsid w:val="00681358"/>
    <w:rsid w:val="00681379"/>
    <w:rsid w:val="0068215B"/>
    <w:rsid w:val="00682A9E"/>
    <w:rsid w:val="00683109"/>
    <w:rsid w:val="00684B03"/>
    <w:rsid w:val="00684BCF"/>
    <w:rsid w:val="006854F3"/>
    <w:rsid w:val="00685B8E"/>
    <w:rsid w:val="00685F9A"/>
    <w:rsid w:val="006861D6"/>
    <w:rsid w:val="00686288"/>
    <w:rsid w:val="00686FF8"/>
    <w:rsid w:val="006879D3"/>
    <w:rsid w:val="00687CC2"/>
    <w:rsid w:val="00690919"/>
    <w:rsid w:val="00690EAE"/>
    <w:rsid w:val="006913C7"/>
    <w:rsid w:val="00692199"/>
    <w:rsid w:val="00692CF6"/>
    <w:rsid w:val="0069412D"/>
    <w:rsid w:val="00694A28"/>
    <w:rsid w:val="00695093"/>
    <w:rsid w:val="006950FB"/>
    <w:rsid w:val="00695466"/>
    <w:rsid w:val="00695B03"/>
    <w:rsid w:val="0069665D"/>
    <w:rsid w:val="00696756"/>
    <w:rsid w:val="00696B9A"/>
    <w:rsid w:val="00697746"/>
    <w:rsid w:val="00697BFD"/>
    <w:rsid w:val="00697F5E"/>
    <w:rsid w:val="006A0DF1"/>
    <w:rsid w:val="006A1083"/>
    <w:rsid w:val="006A279A"/>
    <w:rsid w:val="006A35E1"/>
    <w:rsid w:val="006A4370"/>
    <w:rsid w:val="006A476A"/>
    <w:rsid w:val="006A4E03"/>
    <w:rsid w:val="006A6D83"/>
    <w:rsid w:val="006A6D98"/>
    <w:rsid w:val="006A7206"/>
    <w:rsid w:val="006A7FB5"/>
    <w:rsid w:val="006B0041"/>
    <w:rsid w:val="006B1118"/>
    <w:rsid w:val="006B1647"/>
    <w:rsid w:val="006B1770"/>
    <w:rsid w:val="006B392B"/>
    <w:rsid w:val="006B40BB"/>
    <w:rsid w:val="006B4482"/>
    <w:rsid w:val="006B525B"/>
    <w:rsid w:val="006B5820"/>
    <w:rsid w:val="006B5CB9"/>
    <w:rsid w:val="006B5D9F"/>
    <w:rsid w:val="006B651A"/>
    <w:rsid w:val="006B7240"/>
    <w:rsid w:val="006B73D5"/>
    <w:rsid w:val="006B7EDE"/>
    <w:rsid w:val="006C1810"/>
    <w:rsid w:val="006C1DE4"/>
    <w:rsid w:val="006C1FD1"/>
    <w:rsid w:val="006C43C1"/>
    <w:rsid w:val="006C5D05"/>
    <w:rsid w:val="006C5DD0"/>
    <w:rsid w:val="006C64F6"/>
    <w:rsid w:val="006C6A0E"/>
    <w:rsid w:val="006C6E2D"/>
    <w:rsid w:val="006C71BC"/>
    <w:rsid w:val="006D257D"/>
    <w:rsid w:val="006D4320"/>
    <w:rsid w:val="006D480E"/>
    <w:rsid w:val="006D48D5"/>
    <w:rsid w:val="006D5AFF"/>
    <w:rsid w:val="006D5CB1"/>
    <w:rsid w:val="006D750D"/>
    <w:rsid w:val="006D7541"/>
    <w:rsid w:val="006E02DB"/>
    <w:rsid w:val="006E1373"/>
    <w:rsid w:val="006E1625"/>
    <w:rsid w:val="006E18AB"/>
    <w:rsid w:val="006E1E68"/>
    <w:rsid w:val="006E22F2"/>
    <w:rsid w:val="006E3704"/>
    <w:rsid w:val="006E408C"/>
    <w:rsid w:val="006E445D"/>
    <w:rsid w:val="006E4811"/>
    <w:rsid w:val="006E5E11"/>
    <w:rsid w:val="006E610D"/>
    <w:rsid w:val="006E6CD8"/>
    <w:rsid w:val="006E6E15"/>
    <w:rsid w:val="006E6FC7"/>
    <w:rsid w:val="006E7457"/>
    <w:rsid w:val="006E7F02"/>
    <w:rsid w:val="006F08D5"/>
    <w:rsid w:val="006F106C"/>
    <w:rsid w:val="006F11BB"/>
    <w:rsid w:val="006F1570"/>
    <w:rsid w:val="006F1722"/>
    <w:rsid w:val="006F19AF"/>
    <w:rsid w:val="006F1E04"/>
    <w:rsid w:val="006F22D2"/>
    <w:rsid w:val="006F364C"/>
    <w:rsid w:val="006F3A30"/>
    <w:rsid w:val="006F40E6"/>
    <w:rsid w:val="006F4944"/>
    <w:rsid w:val="006F60C7"/>
    <w:rsid w:val="006F6732"/>
    <w:rsid w:val="006F6996"/>
    <w:rsid w:val="006F75D5"/>
    <w:rsid w:val="006F7760"/>
    <w:rsid w:val="00700B8A"/>
    <w:rsid w:val="0070104C"/>
    <w:rsid w:val="00701B34"/>
    <w:rsid w:val="007028EF"/>
    <w:rsid w:val="00703A11"/>
    <w:rsid w:val="00704151"/>
    <w:rsid w:val="0070418F"/>
    <w:rsid w:val="0070456D"/>
    <w:rsid w:val="00704AF1"/>
    <w:rsid w:val="00704DA7"/>
    <w:rsid w:val="007051D7"/>
    <w:rsid w:val="0070689A"/>
    <w:rsid w:val="0070775F"/>
    <w:rsid w:val="0071018B"/>
    <w:rsid w:val="007105BA"/>
    <w:rsid w:val="00711178"/>
    <w:rsid w:val="007112D9"/>
    <w:rsid w:val="0071135F"/>
    <w:rsid w:val="007122F8"/>
    <w:rsid w:val="007126FE"/>
    <w:rsid w:val="00712984"/>
    <w:rsid w:val="00712F8E"/>
    <w:rsid w:val="00713471"/>
    <w:rsid w:val="0071518E"/>
    <w:rsid w:val="007162F7"/>
    <w:rsid w:val="007163AD"/>
    <w:rsid w:val="00716442"/>
    <w:rsid w:val="00716535"/>
    <w:rsid w:val="00716656"/>
    <w:rsid w:val="00716D86"/>
    <w:rsid w:val="007174F8"/>
    <w:rsid w:val="0071782A"/>
    <w:rsid w:val="00717BC2"/>
    <w:rsid w:val="00717E53"/>
    <w:rsid w:val="00720205"/>
    <w:rsid w:val="007208C7"/>
    <w:rsid w:val="00720979"/>
    <w:rsid w:val="00720E20"/>
    <w:rsid w:val="007214CD"/>
    <w:rsid w:val="007216A1"/>
    <w:rsid w:val="007219D8"/>
    <w:rsid w:val="00721F40"/>
    <w:rsid w:val="00722662"/>
    <w:rsid w:val="00722DB9"/>
    <w:rsid w:val="007247BB"/>
    <w:rsid w:val="007254F0"/>
    <w:rsid w:val="00725EAA"/>
    <w:rsid w:val="007261FC"/>
    <w:rsid w:val="00727033"/>
    <w:rsid w:val="007308DC"/>
    <w:rsid w:val="00731535"/>
    <w:rsid w:val="0073163C"/>
    <w:rsid w:val="00731697"/>
    <w:rsid w:val="00731BF3"/>
    <w:rsid w:val="007321EB"/>
    <w:rsid w:val="007327E0"/>
    <w:rsid w:val="00732BB8"/>
    <w:rsid w:val="0073317B"/>
    <w:rsid w:val="00734AAC"/>
    <w:rsid w:val="007360F2"/>
    <w:rsid w:val="0073664A"/>
    <w:rsid w:val="00737543"/>
    <w:rsid w:val="00741E07"/>
    <w:rsid w:val="007425AA"/>
    <w:rsid w:val="00743478"/>
    <w:rsid w:val="00745647"/>
    <w:rsid w:val="00745AD6"/>
    <w:rsid w:val="007469B4"/>
    <w:rsid w:val="00746E36"/>
    <w:rsid w:val="007473CB"/>
    <w:rsid w:val="007501F4"/>
    <w:rsid w:val="00750431"/>
    <w:rsid w:val="00750BF1"/>
    <w:rsid w:val="00751068"/>
    <w:rsid w:val="007521FE"/>
    <w:rsid w:val="00752BF0"/>
    <w:rsid w:val="00752EDC"/>
    <w:rsid w:val="00753203"/>
    <w:rsid w:val="007538B1"/>
    <w:rsid w:val="00753A50"/>
    <w:rsid w:val="0075462D"/>
    <w:rsid w:val="00754B20"/>
    <w:rsid w:val="00755F31"/>
    <w:rsid w:val="007566F1"/>
    <w:rsid w:val="00756D29"/>
    <w:rsid w:val="00756E9B"/>
    <w:rsid w:val="007571E6"/>
    <w:rsid w:val="00760146"/>
    <w:rsid w:val="007603C2"/>
    <w:rsid w:val="00760C68"/>
    <w:rsid w:val="00760CBC"/>
    <w:rsid w:val="00761D76"/>
    <w:rsid w:val="00762109"/>
    <w:rsid w:val="007630C4"/>
    <w:rsid w:val="00765486"/>
    <w:rsid w:val="007656AF"/>
    <w:rsid w:val="00766371"/>
    <w:rsid w:val="007665AC"/>
    <w:rsid w:val="007666C1"/>
    <w:rsid w:val="007666C5"/>
    <w:rsid w:val="00766B8A"/>
    <w:rsid w:val="00766DF7"/>
    <w:rsid w:val="0076724A"/>
    <w:rsid w:val="007679C9"/>
    <w:rsid w:val="00767E74"/>
    <w:rsid w:val="007708C1"/>
    <w:rsid w:val="00771B45"/>
    <w:rsid w:val="00771ED4"/>
    <w:rsid w:val="0077213C"/>
    <w:rsid w:val="007721A9"/>
    <w:rsid w:val="007738F9"/>
    <w:rsid w:val="00774B05"/>
    <w:rsid w:val="00774E41"/>
    <w:rsid w:val="0077534A"/>
    <w:rsid w:val="007800C4"/>
    <w:rsid w:val="00780C85"/>
    <w:rsid w:val="007814AD"/>
    <w:rsid w:val="00782F3D"/>
    <w:rsid w:val="0078350A"/>
    <w:rsid w:val="00783AE9"/>
    <w:rsid w:val="00783F01"/>
    <w:rsid w:val="00785694"/>
    <w:rsid w:val="00785BFE"/>
    <w:rsid w:val="00786362"/>
    <w:rsid w:val="007864E1"/>
    <w:rsid w:val="00786C7F"/>
    <w:rsid w:val="00786CA5"/>
    <w:rsid w:val="00786CD2"/>
    <w:rsid w:val="00787C75"/>
    <w:rsid w:val="00791816"/>
    <w:rsid w:val="007921A9"/>
    <w:rsid w:val="00793974"/>
    <w:rsid w:val="00793EE7"/>
    <w:rsid w:val="007943C7"/>
    <w:rsid w:val="007948AD"/>
    <w:rsid w:val="00795B9D"/>
    <w:rsid w:val="007967FA"/>
    <w:rsid w:val="00796B10"/>
    <w:rsid w:val="0079746A"/>
    <w:rsid w:val="007978EC"/>
    <w:rsid w:val="007A0627"/>
    <w:rsid w:val="007A0878"/>
    <w:rsid w:val="007A1883"/>
    <w:rsid w:val="007A2019"/>
    <w:rsid w:val="007A22B3"/>
    <w:rsid w:val="007A2481"/>
    <w:rsid w:val="007A314C"/>
    <w:rsid w:val="007A371D"/>
    <w:rsid w:val="007A5EC0"/>
    <w:rsid w:val="007A60F5"/>
    <w:rsid w:val="007A733E"/>
    <w:rsid w:val="007A7D32"/>
    <w:rsid w:val="007B0372"/>
    <w:rsid w:val="007B0574"/>
    <w:rsid w:val="007B05B7"/>
    <w:rsid w:val="007B0B95"/>
    <w:rsid w:val="007B24A7"/>
    <w:rsid w:val="007B27B7"/>
    <w:rsid w:val="007B281C"/>
    <w:rsid w:val="007B3495"/>
    <w:rsid w:val="007B45E6"/>
    <w:rsid w:val="007B4916"/>
    <w:rsid w:val="007B5009"/>
    <w:rsid w:val="007B5304"/>
    <w:rsid w:val="007B5701"/>
    <w:rsid w:val="007B57FA"/>
    <w:rsid w:val="007B6BF2"/>
    <w:rsid w:val="007B70B1"/>
    <w:rsid w:val="007B7296"/>
    <w:rsid w:val="007B7382"/>
    <w:rsid w:val="007B7924"/>
    <w:rsid w:val="007B7D79"/>
    <w:rsid w:val="007C00C1"/>
    <w:rsid w:val="007C098A"/>
    <w:rsid w:val="007C16D7"/>
    <w:rsid w:val="007C28D5"/>
    <w:rsid w:val="007C3089"/>
    <w:rsid w:val="007C341F"/>
    <w:rsid w:val="007C35AE"/>
    <w:rsid w:val="007C39A8"/>
    <w:rsid w:val="007C3E19"/>
    <w:rsid w:val="007C3FA6"/>
    <w:rsid w:val="007C428E"/>
    <w:rsid w:val="007C44C0"/>
    <w:rsid w:val="007C45E6"/>
    <w:rsid w:val="007C5204"/>
    <w:rsid w:val="007C56B9"/>
    <w:rsid w:val="007C5711"/>
    <w:rsid w:val="007C6208"/>
    <w:rsid w:val="007C6293"/>
    <w:rsid w:val="007C7919"/>
    <w:rsid w:val="007D0293"/>
    <w:rsid w:val="007D0303"/>
    <w:rsid w:val="007D07B3"/>
    <w:rsid w:val="007D16A9"/>
    <w:rsid w:val="007D1868"/>
    <w:rsid w:val="007D1C66"/>
    <w:rsid w:val="007D245A"/>
    <w:rsid w:val="007D3284"/>
    <w:rsid w:val="007D34D2"/>
    <w:rsid w:val="007D3D17"/>
    <w:rsid w:val="007D3E21"/>
    <w:rsid w:val="007D4269"/>
    <w:rsid w:val="007D43C4"/>
    <w:rsid w:val="007D45CF"/>
    <w:rsid w:val="007D4928"/>
    <w:rsid w:val="007D4A09"/>
    <w:rsid w:val="007D4EE8"/>
    <w:rsid w:val="007D4F31"/>
    <w:rsid w:val="007D5446"/>
    <w:rsid w:val="007D5A37"/>
    <w:rsid w:val="007D5E2E"/>
    <w:rsid w:val="007D5EF5"/>
    <w:rsid w:val="007D5FD8"/>
    <w:rsid w:val="007D6079"/>
    <w:rsid w:val="007D6215"/>
    <w:rsid w:val="007D63D1"/>
    <w:rsid w:val="007D66BC"/>
    <w:rsid w:val="007D6B7B"/>
    <w:rsid w:val="007D7A9C"/>
    <w:rsid w:val="007D7BD7"/>
    <w:rsid w:val="007D7D89"/>
    <w:rsid w:val="007D7F84"/>
    <w:rsid w:val="007E0138"/>
    <w:rsid w:val="007E01E0"/>
    <w:rsid w:val="007E01F2"/>
    <w:rsid w:val="007E058E"/>
    <w:rsid w:val="007E0708"/>
    <w:rsid w:val="007E0802"/>
    <w:rsid w:val="007E1584"/>
    <w:rsid w:val="007E1EC2"/>
    <w:rsid w:val="007E1F8E"/>
    <w:rsid w:val="007E2D8B"/>
    <w:rsid w:val="007E2DB6"/>
    <w:rsid w:val="007E3337"/>
    <w:rsid w:val="007E37BD"/>
    <w:rsid w:val="007E4B3D"/>
    <w:rsid w:val="007E5247"/>
    <w:rsid w:val="007E5354"/>
    <w:rsid w:val="007E585D"/>
    <w:rsid w:val="007E649F"/>
    <w:rsid w:val="007E6B03"/>
    <w:rsid w:val="007E6B24"/>
    <w:rsid w:val="007E6B44"/>
    <w:rsid w:val="007E7F7A"/>
    <w:rsid w:val="007F03B8"/>
    <w:rsid w:val="007F1790"/>
    <w:rsid w:val="007F18B0"/>
    <w:rsid w:val="007F1C21"/>
    <w:rsid w:val="007F1ED1"/>
    <w:rsid w:val="007F3999"/>
    <w:rsid w:val="007F3EBC"/>
    <w:rsid w:val="007F41CF"/>
    <w:rsid w:val="007F436F"/>
    <w:rsid w:val="007F4DAB"/>
    <w:rsid w:val="007F664B"/>
    <w:rsid w:val="007F6C1D"/>
    <w:rsid w:val="007F6F25"/>
    <w:rsid w:val="007F75C3"/>
    <w:rsid w:val="008002A5"/>
    <w:rsid w:val="008007CB"/>
    <w:rsid w:val="00800955"/>
    <w:rsid w:val="00801185"/>
    <w:rsid w:val="0080141F"/>
    <w:rsid w:val="00801673"/>
    <w:rsid w:val="00802668"/>
    <w:rsid w:val="008034D5"/>
    <w:rsid w:val="00803BF9"/>
    <w:rsid w:val="00804A82"/>
    <w:rsid w:val="0080506A"/>
    <w:rsid w:val="00805120"/>
    <w:rsid w:val="00805A38"/>
    <w:rsid w:val="00805BC4"/>
    <w:rsid w:val="00805CB9"/>
    <w:rsid w:val="008074AE"/>
    <w:rsid w:val="008077E7"/>
    <w:rsid w:val="00810071"/>
    <w:rsid w:val="008106E3"/>
    <w:rsid w:val="00810E4D"/>
    <w:rsid w:val="00811FF2"/>
    <w:rsid w:val="00812193"/>
    <w:rsid w:val="0081256D"/>
    <w:rsid w:val="008132E1"/>
    <w:rsid w:val="00814D97"/>
    <w:rsid w:val="00815596"/>
    <w:rsid w:val="008157FD"/>
    <w:rsid w:val="00815950"/>
    <w:rsid w:val="00815AB2"/>
    <w:rsid w:val="008160FC"/>
    <w:rsid w:val="00817A43"/>
    <w:rsid w:val="00820A32"/>
    <w:rsid w:val="00820AEB"/>
    <w:rsid w:val="00820B3F"/>
    <w:rsid w:val="00820D79"/>
    <w:rsid w:val="008229E0"/>
    <w:rsid w:val="00822F90"/>
    <w:rsid w:val="00824B1E"/>
    <w:rsid w:val="00824BE2"/>
    <w:rsid w:val="00824C13"/>
    <w:rsid w:val="00825857"/>
    <w:rsid w:val="00825885"/>
    <w:rsid w:val="0082664F"/>
    <w:rsid w:val="00826673"/>
    <w:rsid w:val="008267ED"/>
    <w:rsid w:val="00826C77"/>
    <w:rsid w:val="00826F1F"/>
    <w:rsid w:val="00827BAE"/>
    <w:rsid w:val="00827BB2"/>
    <w:rsid w:val="00830383"/>
    <w:rsid w:val="00830ECD"/>
    <w:rsid w:val="008311CF"/>
    <w:rsid w:val="008314DB"/>
    <w:rsid w:val="00831960"/>
    <w:rsid w:val="00831E44"/>
    <w:rsid w:val="0083269E"/>
    <w:rsid w:val="00832A0A"/>
    <w:rsid w:val="00833C81"/>
    <w:rsid w:val="00833EEA"/>
    <w:rsid w:val="00834310"/>
    <w:rsid w:val="00834AFB"/>
    <w:rsid w:val="00836032"/>
    <w:rsid w:val="008369D1"/>
    <w:rsid w:val="00840C6F"/>
    <w:rsid w:val="00840F72"/>
    <w:rsid w:val="008413E0"/>
    <w:rsid w:val="00841779"/>
    <w:rsid w:val="0084183B"/>
    <w:rsid w:val="00842276"/>
    <w:rsid w:val="0084363F"/>
    <w:rsid w:val="00843721"/>
    <w:rsid w:val="008442DF"/>
    <w:rsid w:val="00844649"/>
    <w:rsid w:val="0084505A"/>
    <w:rsid w:val="0084536C"/>
    <w:rsid w:val="00845779"/>
    <w:rsid w:val="00845B80"/>
    <w:rsid w:val="00845CF5"/>
    <w:rsid w:val="00845E2E"/>
    <w:rsid w:val="00846D22"/>
    <w:rsid w:val="00850491"/>
    <w:rsid w:val="00850916"/>
    <w:rsid w:val="00850AAC"/>
    <w:rsid w:val="00850BEB"/>
    <w:rsid w:val="00850C1D"/>
    <w:rsid w:val="00851165"/>
    <w:rsid w:val="00851504"/>
    <w:rsid w:val="0085178C"/>
    <w:rsid w:val="00851D78"/>
    <w:rsid w:val="008520CA"/>
    <w:rsid w:val="008528E2"/>
    <w:rsid w:val="00852FA8"/>
    <w:rsid w:val="0085369C"/>
    <w:rsid w:val="00853DF7"/>
    <w:rsid w:val="00854C6B"/>
    <w:rsid w:val="00854E8C"/>
    <w:rsid w:val="00854E93"/>
    <w:rsid w:val="00855070"/>
    <w:rsid w:val="00855472"/>
    <w:rsid w:val="00856306"/>
    <w:rsid w:val="0085651A"/>
    <w:rsid w:val="008567C6"/>
    <w:rsid w:val="00856F94"/>
    <w:rsid w:val="0085725E"/>
    <w:rsid w:val="00857404"/>
    <w:rsid w:val="00857B62"/>
    <w:rsid w:val="00857D8A"/>
    <w:rsid w:val="008601D2"/>
    <w:rsid w:val="00860864"/>
    <w:rsid w:val="00860E18"/>
    <w:rsid w:val="00860E7F"/>
    <w:rsid w:val="0086202A"/>
    <w:rsid w:val="00862264"/>
    <w:rsid w:val="00863174"/>
    <w:rsid w:val="00863E03"/>
    <w:rsid w:val="00863EEF"/>
    <w:rsid w:val="008640F7"/>
    <w:rsid w:val="00864842"/>
    <w:rsid w:val="00864C47"/>
    <w:rsid w:val="00865E83"/>
    <w:rsid w:val="00866ADB"/>
    <w:rsid w:val="00866EDD"/>
    <w:rsid w:val="008675BE"/>
    <w:rsid w:val="00870BFA"/>
    <w:rsid w:val="00871C6F"/>
    <w:rsid w:val="00872963"/>
    <w:rsid w:val="00872F74"/>
    <w:rsid w:val="0087395D"/>
    <w:rsid w:val="008747EA"/>
    <w:rsid w:val="008751A0"/>
    <w:rsid w:val="00875B7B"/>
    <w:rsid w:val="00875C2C"/>
    <w:rsid w:val="00876104"/>
    <w:rsid w:val="00877A23"/>
    <w:rsid w:val="00881ABC"/>
    <w:rsid w:val="008830CF"/>
    <w:rsid w:val="0088334A"/>
    <w:rsid w:val="0088435D"/>
    <w:rsid w:val="0088488C"/>
    <w:rsid w:val="008856F9"/>
    <w:rsid w:val="00886E1C"/>
    <w:rsid w:val="00886FA0"/>
    <w:rsid w:val="00887312"/>
    <w:rsid w:val="00887372"/>
    <w:rsid w:val="00887DA2"/>
    <w:rsid w:val="00891484"/>
    <w:rsid w:val="00891582"/>
    <w:rsid w:val="00891C44"/>
    <w:rsid w:val="0089289E"/>
    <w:rsid w:val="00892A8C"/>
    <w:rsid w:val="00892FB0"/>
    <w:rsid w:val="008931D7"/>
    <w:rsid w:val="00893327"/>
    <w:rsid w:val="00893744"/>
    <w:rsid w:val="0089393F"/>
    <w:rsid w:val="00893B28"/>
    <w:rsid w:val="00893FA0"/>
    <w:rsid w:val="00896A3A"/>
    <w:rsid w:val="0089709C"/>
    <w:rsid w:val="00897368"/>
    <w:rsid w:val="008A0259"/>
    <w:rsid w:val="008A03B9"/>
    <w:rsid w:val="008A264D"/>
    <w:rsid w:val="008A2CC0"/>
    <w:rsid w:val="008A386C"/>
    <w:rsid w:val="008A3F75"/>
    <w:rsid w:val="008A49D3"/>
    <w:rsid w:val="008A4C48"/>
    <w:rsid w:val="008A50BF"/>
    <w:rsid w:val="008A5ACC"/>
    <w:rsid w:val="008A5EBA"/>
    <w:rsid w:val="008A6185"/>
    <w:rsid w:val="008A6A41"/>
    <w:rsid w:val="008A72A5"/>
    <w:rsid w:val="008A7C94"/>
    <w:rsid w:val="008B1258"/>
    <w:rsid w:val="008B1BA7"/>
    <w:rsid w:val="008B23F9"/>
    <w:rsid w:val="008B2E68"/>
    <w:rsid w:val="008B38FD"/>
    <w:rsid w:val="008B3B19"/>
    <w:rsid w:val="008B461E"/>
    <w:rsid w:val="008B4745"/>
    <w:rsid w:val="008B50EB"/>
    <w:rsid w:val="008B5420"/>
    <w:rsid w:val="008B5888"/>
    <w:rsid w:val="008B5A37"/>
    <w:rsid w:val="008B5BD0"/>
    <w:rsid w:val="008B6B87"/>
    <w:rsid w:val="008B6EDA"/>
    <w:rsid w:val="008B704B"/>
    <w:rsid w:val="008B78F8"/>
    <w:rsid w:val="008C0A2C"/>
    <w:rsid w:val="008C1316"/>
    <w:rsid w:val="008C25C0"/>
    <w:rsid w:val="008C2704"/>
    <w:rsid w:val="008C319C"/>
    <w:rsid w:val="008C3312"/>
    <w:rsid w:val="008C37D5"/>
    <w:rsid w:val="008C4690"/>
    <w:rsid w:val="008C5FEE"/>
    <w:rsid w:val="008C70B1"/>
    <w:rsid w:val="008C72BC"/>
    <w:rsid w:val="008D0D1D"/>
    <w:rsid w:val="008D0FFB"/>
    <w:rsid w:val="008D1E61"/>
    <w:rsid w:val="008D2AC1"/>
    <w:rsid w:val="008D3B4E"/>
    <w:rsid w:val="008D406C"/>
    <w:rsid w:val="008D41D9"/>
    <w:rsid w:val="008D531B"/>
    <w:rsid w:val="008D5912"/>
    <w:rsid w:val="008D5FBE"/>
    <w:rsid w:val="008D66A4"/>
    <w:rsid w:val="008D69DE"/>
    <w:rsid w:val="008D6C0C"/>
    <w:rsid w:val="008D6D76"/>
    <w:rsid w:val="008D7BC8"/>
    <w:rsid w:val="008D7F7E"/>
    <w:rsid w:val="008E073E"/>
    <w:rsid w:val="008E0A31"/>
    <w:rsid w:val="008E15C1"/>
    <w:rsid w:val="008E1B6B"/>
    <w:rsid w:val="008E1EE5"/>
    <w:rsid w:val="008E20C5"/>
    <w:rsid w:val="008E229B"/>
    <w:rsid w:val="008E22B4"/>
    <w:rsid w:val="008E2392"/>
    <w:rsid w:val="008E2442"/>
    <w:rsid w:val="008E2E98"/>
    <w:rsid w:val="008E3ACB"/>
    <w:rsid w:val="008E3BE9"/>
    <w:rsid w:val="008E3E26"/>
    <w:rsid w:val="008E40E9"/>
    <w:rsid w:val="008E48B3"/>
    <w:rsid w:val="008E63F8"/>
    <w:rsid w:val="008E6635"/>
    <w:rsid w:val="008E7648"/>
    <w:rsid w:val="008E77E3"/>
    <w:rsid w:val="008E783A"/>
    <w:rsid w:val="008E7A8A"/>
    <w:rsid w:val="008E7DFE"/>
    <w:rsid w:val="008F074B"/>
    <w:rsid w:val="008F1124"/>
    <w:rsid w:val="008F1752"/>
    <w:rsid w:val="008F1D70"/>
    <w:rsid w:val="008F22CA"/>
    <w:rsid w:val="008F246D"/>
    <w:rsid w:val="008F290D"/>
    <w:rsid w:val="008F2C10"/>
    <w:rsid w:val="008F405C"/>
    <w:rsid w:val="008F4C1D"/>
    <w:rsid w:val="008F5237"/>
    <w:rsid w:val="008F5419"/>
    <w:rsid w:val="008F6012"/>
    <w:rsid w:val="008F6145"/>
    <w:rsid w:val="008F681C"/>
    <w:rsid w:val="008F6A34"/>
    <w:rsid w:val="008F6F82"/>
    <w:rsid w:val="008F750F"/>
    <w:rsid w:val="009006A6"/>
    <w:rsid w:val="00900721"/>
    <w:rsid w:val="009013F2"/>
    <w:rsid w:val="009016CF"/>
    <w:rsid w:val="0090209D"/>
    <w:rsid w:val="009020F6"/>
    <w:rsid w:val="0090213A"/>
    <w:rsid w:val="0090365C"/>
    <w:rsid w:val="00903CBA"/>
    <w:rsid w:val="0090410B"/>
    <w:rsid w:val="0090411A"/>
    <w:rsid w:val="00904D27"/>
    <w:rsid w:val="00905A74"/>
    <w:rsid w:val="009060E2"/>
    <w:rsid w:val="009064C8"/>
    <w:rsid w:val="009067FA"/>
    <w:rsid w:val="00906A4C"/>
    <w:rsid w:val="00906D9B"/>
    <w:rsid w:val="00907E89"/>
    <w:rsid w:val="00910176"/>
    <w:rsid w:val="009117B7"/>
    <w:rsid w:val="0091195C"/>
    <w:rsid w:val="00912DB2"/>
    <w:rsid w:val="009137D9"/>
    <w:rsid w:val="0091458E"/>
    <w:rsid w:val="0091631F"/>
    <w:rsid w:val="00916884"/>
    <w:rsid w:val="00916F11"/>
    <w:rsid w:val="00917FEF"/>
    <w:rsid w:val="009204BF"/>
    <w:rsid w:val="00920574"/>
    <w:rsid w:val="009205AE"/>
    <w:rsid w:val="0092063D"/>
    <w:rsid w:val="0092141B"/>
    <w:rsid w:val="009228DB"/>
    <w:rsid w:val="009228E3"/>
    <w:rsid w:val="0092294E"/>
    <w:rsid w:val="0092315F"/>
    <w:rsid w:val="009236EA"/>
    <w:rsid w:val="00925243"/>
    <w:rsid w:val="00926159"/>
    <w:rsid w:val="00926452"/>
    <w:rsid w:val="00926664"/>
    <w:rsid w:val="00926744"/>
    <w:rsid w:val="00926958"/>
    <w:rsid w:val="00926EFC"/>
    <w:rsid w:val="009302C8"/>
    <w:rsid w:val="00930AB0"/>
    <w:rsid w:val="00930AE8"/>
    <w:rsid w:val="00931761"/>
    <w:rsid w:val="00931EAF"/>
    <w:rsid w:val="00932CDB"/>
    <w:rsid w:val="009330FC"/>
    <w:rsid w:val="009331A3"/>
    <w:rsid w:val="009333A7"/>
    <w:rsid w:val="00933465"/>
    <w:rsid w:val="00933654"/>
    <w:rsid w:val="00933808"/>
    <w:rsid w:val="00933841"/>
    <w:rsid w:val="009340A1"/>
    <w:rsid w:val="0093448E"/>
    <w:rsid w:val="00935EDA"/>
    <w:rsid w:val="0093636F"/>
    <w:rsid w:val="00936393"/>
    <w:rsid w:val="00936DF5"/>
    <w:rsid w:val="009407D9"/>
    <w:rsid w:val="00940A1E"/>
    <w:rsid w:val="00940AEF"/>
    <w:rsid w:val="00940CA8"/>
    <w:rsid w:val="00940DD0"/>
    <w:rsid w:val="00941305"/>
    <w:rsid w:val="00941566"/>
    <w:rsid w:val="009430F0"/>
    <w:rsid w:val="00943537"/>
    <w:rsid w:val="009435F8"/>
    <w:rsid w:val="0094473C"/>
    <w:rsid w:val="00944874"/>
    <w:rsid w:val="00944DAA"/>
    <w:rsid w:val="00944F20"/>
    <w:rsid w:val="009459CE"/>
    <w:rsid w:val="00945A7A"/>
    <w:rsid w:val="00946087"/>
    <w:rsid w:val="0094664C"/>
    <w:rsid w:val="0095020C"/>
    <w:rsid w:val="00952A0B"/>
    <w:rsid w:val="00952BF8"/>
    <w:rsid w:val="00952F7B"/>
    <w:rsid w:val="00954CB7"/>
    <w:rsid w:val="00954D4C"/>
    <w:rsid w:val="0095507A"/>
    <w:rsid w:val="00956101"/>
    <w:rsid w:val="00956120"/>
    <w:rsid w:val="00956506"/>
    <w:rsid w:val="00956988"/>
    <w:rsid w:val="0095752C"/>
    <w:rsid w:val="009579D0"/>
    <w:rsid w:val="00960B21"/>
    <w:rsid w:val="00960B55"/>
    <w:rsid w:val="00960BC7"/>
    <w:rsid w:val="0096116A"/>
    <w:rsid w:val="00962657"/>
    <w:rsid w:val="009635E3"/>
    <w:rsid w:val="009649FC"/>
    <w:rsid w:val="00964B61"/>
    <w:rsid w:val="0096685C"/>
    <w:rsid w:val="00967276"/>
    <w:rsid w:val="009673D8"/>
    <w:rsid w:val="00967B60"/>
    <w:rsid w:val="00967BAD"/>
    <w:rsid w:val="0097086C"/>
    <w:rsid w:val="00971F20"/>
    <w:rsid w:val="00971FF7"/>
    <w:rsid w:val="00972C7F"/>
    <w:rsid w:val="00972E34"/>
    <w:rsid w:val="009732CC"/>
    <w:rsid w:val="00973944"/>
    <w:rsid w:val="00973D42"/>
    <w:rsid w:val="0097432B"/>
    <w:rsid w:val="00974689"/>
    <w:rsid w:val="00975FEB"/>
    <w:rsid w:val="009769DE"/>
    <w:rsid w:val="00976CE6"/>
    <w:rsid w:val="00976D95"/>
    <w:rsid w:val="00977A35"/>
    <w:rsid w:val="0098053C"/>
    <w:rsid w:val="009808AC"/>
    <w:rsid w:val="009809B2"/>
    <w:rsid w:val="009814EA"/>
    <w:rsid w:val="00981A74"/>
    <w:rsid w:val="00982B5A"/>
    <w:rsid w:val="00982CEF"/>
    <w:rsid w:val="00983066"/>
    <w:rsid w:val="00983151"/>
    <w:rsid w:val="0098429B"/>
    <w:rsid w:val="00984C8F"/>
    <w:rsid w:val="00984DA4"/>
    <w:rsid w:val="00985302"/>
    <w:rsid w:val="0098633C"/>
    <w:rsid w:val="0098694B"/>
    <w:rsid w:val="00986CA1"/>
    <w:rsid w:val="00987144"/>
    <w:rsid w:val="0098780E"/>
    <w:rsid w:val="00987BFE"/>
    <w:rsid w:val="00987EC8"/>
    <w:rsid w:val="009900D4"/>
    <w:rsid w:val="009908A1"/>
    <w:rsid w:val="00990C22"/>
    <w:rsid w:val="00990ED6"/>
    <w:rsid w:val="00991044"/>
    <w:rsid w:val="0099157D"/>
    <w:rsid w:val="00991B5E"/>
    <w:rsid w:val="00991BF3"/>
    <w:rsid w:val="00992BDD"/>
    <w:rsid w:val="00992D05"/>
    <w:rsid w:val="009934D0"/>
    <w:rsid w:val="009941C6"/>
    <w:rsid w:val="00994494"/>
    <w:rsid w:val="00994540"/>
    <w:rsid w:val="0099713A"/>
    <w:rsid w:val="009A0454"/>
    <w:rsid w:val="009A12F2"/>
    <w:rsid w:val="009A278A"/>
    <w:rsid w:val="009A2FE8"/>
    <w:rsid w:val="009A393C"/>
    <w:rsid w:val="009A4928"/>
    <w:rsid w:val="009A4DA4"/>
    <w:rsid w:val="009A5365"/>
    <w:rsid w:val="009A56DF"/>
    <w:rsid w:val="009A59DD"/>
    <w:rsid w:val="009A5D40"/>
    <w:rsid w:val="009A6043"/>
    <w:rsid w:val="009A73D2"/>
    <w:rsid w:val="009A7987"/>
    <w:rsid w:val="009A7DA4"/>
    <w:rsid w:val="009B0F92"/>
    <w:rsid w:val="009B1A7D"/>
    <w:rsid w:val="009B1FEE"/>
    <w:rsid w:val="009B24B1"/>
    <w:rsid w:val="009B2568"/>
    <w:rsid w:val="009B26DE"/>
    <w:rsid w:val="009B2760"/>
    <w:rsid w:val="009B3282"/>
    <w:rsid w:val="009B393D"/>
    <w:rsid w:val="009B480E"/>
    <w:rsid w:val="009B4E07"/>
    <w:rsid w:val="009B6747"/>
    <w:rsid w:val="009B681B"/>
    <w:rsid w:val="009B6BA0"/>
    <w:rsid w:val="009B76C8"/>
    <w:rsid w:val="009B7AA5"/>
    <w:rsid w:val="009C050B"/>
    <w:rsid w:val="009C0963"/>
    <w:rsid w:val="009C0F5D"/>
    <w:rsid w:val="009C120A"/>
    <w:rsid w:val="009C1331"/>
    <w:rsid w:val="009C15C8"/>
    <w:rsid w:val="009C18A6"/>
    <w:rsid w:val="009C1C06"/>
    <w:rsid w:val="009C355E"/>
    <w:rsid w:val="009C451F"/>
    <w:rsid w:val="009C452B"/>
    <w:rsid w:val="009C4797"/>
    <w:rsid w:val="009C4C89"/>
    <w:rsid w:val="009C58CF"/>
    <w:rsid w:val="009C67F9"/>
    <w:rsid w:val="009C6AC0"/>
    <w:rsid w:val="009C718B"/>
    <w:rsid w:val="009D0091"/>
    <w:rsid w:val="009D11A9"/>
    <w:rsid w:val="009D22F1"/>
    <w:rsid w:val="009D2C7E"/>
    <w:rsid w:val="009D3E9E"/>
    <w:rsid w:val="009D4264"/>
    <w:rsid w:val="009D4B79"/>
    <w:rsid w:val="009D5A58"/>
    <w:rsid w:val="009D635E"/>
    <w:rsid w:val="009D6DCF"/>
    <w:rsid w:val="009D7466"/>
    <w:rsid w:val="009E01DA"/>
    <w:rsid w:val="009E1252"/>
    <w:rsid w:val="009E12D8"/>
    <w:rsid w:val="009E148F"/>
    <w:rsid w:val="009E150C"/>
    <w:rsid w:val="009E1534"/>
    <w:rsid w:val="009E15BB"/>
    <w:rsid w:val="009E1C70"/>
    <w:rsid w:val="009E2A6B"/>
    <w:rsid w:val="009E2E74"/>
    <w:rsid w:val="009E3C06"/>
    <w:rsid w:val="009E3EB8"/>
    <w:rsid w:val="009E40B9"/>
    <w:rsid w:val="009E411F"/>
    <w:rsid w:val="009E4405"/>
    <w:rsid w:val="009E4B6F"/>
    <w:rsid w:val="009E4F22"/>
    <w:rsid w:val="009E581C"/>
    <w:rsid w:val="009E5F47"/>
    <w:rsid w:val="009E641F"/>
    <w:rsid w:val="009E6AEC"/>
    <w:rsid w:val="009E6B53"/>
    <w:rsid w:val="009E75F4"/>
    <w:rsid w:val="009E7D35"/>
    <w:rsid w:val="009F13C5"/>
    <w:rsid w:val="009F159D"/>
    <w:rsid w:val="009F1DB6"/>
    <w:rsid w:val="009F1DD9"/>
    <w:rsid w:val="009F2193"/>
    <w:rsid w:val="009F2996"/>
    <w:rsid w:val="009F2C2D"/>
    <w:rsid w:val="009F32BE"/>
    <w:rsid w:val="009F36B7"/>
    <w:rsid w:val="009F3FAF"/>
    <w:rsid w:val="009F43E8"/>
    <w:rsid w:val="009F49EA"/>
    <w:rsid w:val="009F4DF3"/>
    <w:rsid w:val="009F4EAF"/>
    <w:rsid w:val="009F5E84"/>
    <w:rsid w:val="009F617F"/>
    <w:rsid w:val="009F61C7"/>
    <w:rsid w:val="009F6412"/>
    <w:rsid w:val="009F64C4"/>
    <w:rsid w:val="009F6ED5"/>
    <w:rsid w:val="009F718E"/>
    <w:rsid w:val="009F71AA"/>
    <w:rsid w:val="009F72CB"/>
    <w:rsid w:val="009F7348"/>
    <w:rsid w:val="009F79AF"/>
    <w:rsid w:val="009F7B87"/>
    <w:rsid w:val="009F7CC2"/>
    <w:rsid w:val="009F7E79"/>
    <w:rsid w:val="00A00685"/>
    <w:rsid w:val="00A00697"/>
    <w:rsid w:val="00A00C6B"/>
    <w:rsid w:val="00A00C79"/>
    <w:rsid w:val="00A01259"/>
    <w:rsid w:val="00A0127F"/>
    <w:rsid w:val="00A01C39"/>
    <w:rsid w:val="00A03249"/>
    <w:rsid w:val="00A03378"/>
    <w:rsid w:val="00A041C0"/>
    <w:rsid w:val="00A04449"/>
    <w:rsid w:val="00A04730"/>
    <w:rsid w:val="00A04D99"/>
    <w:rsid w:val="00A05182"/>
    <w:rsid w:val="00A058F9"/>
    <w:rsid w:val="00A05A39"/>
    <w:rsid w:val="00A06574"/>
    <w:rsid w:val="00A06D8A"/>
    <w:rsid w:val="00A06F53"/>
    <w:rsid w:val="00A074EA"/>
    <w:rsid w:val="00A11924"/>
    <w:rsid w:val="00A12A3A"/>
    <w:rsid w:val="00A12AD8"/>
    <w:rsid w:val="00A12B86"/>
    <w:rsid w:val="00A12EB4"/>
    <w:rsid w:val="00A14401"/>
    <w:rsid w:val="00A14F77"/>
    <w:rsid w:val="00A157B4"/>
    <w:rsid w:val="00A15FB8"/>
    <w:rsid w:val="00A163E3"/>
    <w:rsid w:val="00A16569"/>
    <w:rsid w:val="00A166E9"/>
    <w:rsid w:val="00A17983"/>
    <w:rsid w:val="00A206F4"/>
    <w:rsid w:val="00A20B91"/>
    <w:rsid w:val="00A20C80"/>
    <w:rsid w:val="00A20D3B"/>
    <w:rsid w:val="00A21C12"/>
    <w:rsid w:val="00A21E35"/>
    <w:rsid w:val="00A2376C"/>
    <w:rsid w:val="00A23889"/>
    <w:rsid w:val="00A23E1E"/>
    <w:rsid w:val="00A26933"/>
    <w:rsid w:val="00A26A5C"/>
    <w:rsid w:val="00A27017"/>
    <w:rsid w:val="00A27E38"/>
    <w:rsid w:val="00A30919"/>
    <w:rsid w:val="00A30C1B"/>
    <w:rsid w:val="00A3209E"/>
    <w:rsid w:val="00A32735"/>
    <w:rsid w:val="00A328D0"/>
    <w:rsid w:val="00A32B16"/>
    <w:rsid w:val="00A34B1E"/>
    <w:rsid w:val="00A3503F"/>
    <w:rsid w:val="00A352E8"/>
    <w:rsid w:val="00A35445"/>
    <w:rsid w:val="00A36754"/>
    <w:rsid w:val="00A36D2D"/>
    <w:rsid w:val="00A36E2F"/>
    <w:rsid w:val="00A37544"/>
    <w:rsid w:val="00A375AB"/>
    <w:rsid w:val="00A37662"/>
    <w:rsid w:val="00A400EA"/>
    <w:rsid w:val="00A4279E"/>
    <w:rsid w:val="00A42D3D"/>
    <w:rsid w:val="00A4374D"/>
    <w:rsid w:val="00A43A89"/>
    <w:rsid w:val="00A456B4"/>
    <w:rsid w:val="00A45A3C"/>
    <w:rsid w:val="00A4684A"/>
    <w:rsid w:val="00A47A16"/>
    <w:rsid w:val="00A47DB7"/>
    <w:rsid w:val="00A507A1"/>
    <w:rsid w:val="00A50A0D"/>
    <w:rsid w:val="00A5155A"/>
    <w:rsid w:val="00A51D30"/>
    <w:rsid w:val="00A52490"/>
    <w:rsid w:val="00A526AA"/>
    <w:rsid w:val="00A52D03"/>
    <w:rsid w:val="00A54244"/>
    <w:rsid w:val="00A553D5"/>
    <w:rsid w:val="00A55478"/>
    <w:rsid w:val="00A5683B"/>
    <w:rsid w:val="00A57F34"/>
    <w:rsid w:val="00A57FA0"/>
    <w:rsid w:val="00A6007D"/>
    <w:rsid w:val="00A60596"/>
    <w:rsid w:val="00A613FA"/>
    <w:rsid w:val="00A614A7"/>
    <w:rsid w:val="00A6151A"/>
    <w:rsid w:val="00A617D5"/>
    <w:rsid w:val="00A631AA"/>
    <w:rsid w:val="00A63FA6"/>
    <w:rsid w:val="00A63FEF"/>
    <w:rsid w:val="00A64003"/>
    <w:rsid w:val="00A640C7"/>
    <w:rsid w:val="00A64AC4"/>
    <w:rsid w:val="00A64B99"/>
    <w:rsid w:val="00A64ED9"/>
    <w:rsid w:val="00A65D34"/>
    <w:rsid w:val="00A700D9"/>
    <w:rsid w:val="00A7049B"/>
    <w:rsid w:val="00A71231"/>
    <w:rsid w:val="00A728D1"/>
    <w:rsid w:val="00A7310E"/>
    <w:rsid w:val="00A73CA1"/>
    <w:rsid w:val="00A74AF3"/>
    <w:rsid w:val="00A756FE"/>
    <w:rsid w:val="00A75FFA"/>
    <w:rsid w:val="00A7624B"/>
    <w:rsid w:val="00A77502"/>
    <w:rsid w:val="00A7759E"/>
    <w:rsid w:val="00A77DD1"/>
    <w:rsid w:val="00A804F8"/>
    <w:rsid w:val="00A813E6"/>
    <w:rsid w:val="00A816B8"/>
    <w:rsid w:val="00A8175F"/>
    <w:rsid w:val="00A819C7"/>
    <w:rsid w:val="00A81F22"/>
    <w:rsid w:val="00A8245B"/>
    <w:rsid w:val="00A824EA"/>
    <w:rsid w:val="00A82AA1"/>
    <w:rsid w:val="00A82AA9"/>
    <w:rsid w:val="00A82C2A"/>
    <w:rsid w:val="00A83DAD"/>
    <w:rsid w:val="00A84A0E"/>
    <w:rsid w:val="00A84B27"/>
    <w:rsid w:val="00A84BF7"/>
    <w:rsid w:val="00A853FA"/>
    <w:rsid w:val="00A85547"/>
    <w:rsid w:val="00A85769"/>
    <w:rsid w:val="00A86DA9"/>
    <w:rsid w:val="00A8705A"/>
    <w:rsid w:val="00A870E1"/>
    <w:rsid w:val="00A870EC"/>
    <w:rsid w:val="00A87920"/>
    <w:rsid w:val="00A90E83"/>
    <w:rsid w:val="00A917ED"/>
    <w:rsid w:val="00A927A2"/>
    <w:rsid w:val="00A92A81"/>
    <w:rsid w:val="00A92D51"/>
    <w:rsid w:val="00A933B3"/>
    <w:rsid w:val="00A94250"/>
    <w:rsid w:val="00A94626"/>
    <w:rsid w:val="00A9484E"/>
    <w:rsid w:val="00A94B6C"/>
    <w:rsid w:val="00A9518D"/>
    <w:rsid w:val="00A95CDC"/>
    <w:rsid w:val="00A95F3A"/>
    <w:rsid w:val="00A96C44"/>
    <w:rsid w:val="00A9717F"/>
    <w:rsid w:val="00AA042D"/>
    <w:rsid w:val="00AA06BA"/>
    <w:rsid w:val="00AA0DD2"/>
    <w:rsid w:val="00AA1DF9"/>
    <w:rsid w:val="00AA20C2"/>
    <w:rsid w:val="00AA2CD4"/>
    <w:rsid w:val="00AA333D"/>
    <w:rsid w:val="00AA369D"/>
    <w:rsid w:val="00AA3BEE"/>
    <w:rsid w:val="00AA486E"/>
    <w:rsid w:val="00AA60B5"/>
    <w:rsid w:val="00AA6356"/>
    <w:rsid w:val="00AA63C1"/>
    <w:rsid w:val="00AA69A2"/>
    <w:rsid w:val="00AA755E"/>
    <w:rsid w:val="00AA77AE"/>
    <w:rsid w:val="00AA7AF8"/>
    <w:rsid w:val="00AA7B0A"/>
    <w:rsid w:val="00AB004C"/>
    <w:rsid w:val="00AB07BF"/>
    <w:rsid w:val="00AB20D1"/>
    <w:rsid w:val="00AB2615"/>
    <w:rsid w:val="00AB2B1F"/>
    <w:rsid w:val="00AB3950"/>
    <w:rsid w:val="00AB41EA"/>
    <w:rsid w:val="00AB4296"/>
    <w:rsid w:val="00AB4DAD"/>
    <w:rsid w:val="00AB60F8"/>
    <w:rsid w:val="00AB6112"/>
    <w:rsid w:val="00AB64AA"/>
    <w:rsid w:val="00AB6EA1"/>
    <w:rsid w:val="00AC0B51"/>
    <w:rsid w:val="00AC1028"/>
    <w:rsid w:val="00AC11ED"/>
    <w:rsid w:val="00AC160C"/>
    <w:rsid w:val="00AC1C90"/>
    <w:rsid w:val="00AC2FC9"/>
    <w:rsid w:val="00AC36ED"/>
    <w:rsid w:val="00AC41DD"/>
    <w:rsid w:val="00AC4AAA"/>
    <w:rsid w:val="00AC54BB"/>
    <w:rsid w:val="00AC591C"/>
    <w:rsid w:val="00AC598C"/>
    <w:rsid w:val="00AC5CCD"/>
    <w:rsid w:val="00AC602A"/>
    <w:rsid w:val="00AC6315"/>
    <w:rsid w:val="00AC6724"/>
    <w:rsid w:val="00AC6F10"/>
    <w:rsid w:val="00AC748B"/>
    <w:rsid w:val="00AC778E"/>
    <w:rsid w:val="00AC7D5C"/>
    <w:rsid w:val="00AD001D"/>
    <w:rsid w:val="00AD04F6"/>
    <w:rsid w:val="00AD051C"/>
    <w:rsid w:val="00AD0805"/>
    <w:rsid w:val="00AD18FC"/>
    <w:rsid w:val="00AD3364"/>
    <w:rsid w:val="00AD3681"/>
    <w:rsid w:val="00AD49B8"/>
    <w:rsid w:val="00AD58CC"/>
    <w:rsid w:val="00AD6FB7"/>
    <w:rsid w:val="00AD78CF"/>
    <w:rsid w:val="00AD7A36"/>
    <w:rsid w:val="00AE084E"/>
    <w:rsid w:val="00AE098E"/>
    <w:rsid w:val="00AE10FE"/>
    <w:rsid w:val="00AE143F"/>
    <w:rsid w:val="00AE2520"/>
    <w:rsid w:val="00AE2BCE"/>
    <w:rsid w:val="00AE2D71"/>
    <w:rsid w:val="00AE3288"/>
    <w:rsid w:val="00AE3AA1"/>
    <w:rsid w:val="00AE4057"/>
    <w:rsid w:val="00AE49D0"/>
    <w:rsid w:val="00AE4DF4"/>
    <w:rsid w:val="00AE509F"/>
    <w:rsid w:val="00AE5346"/>
    <w:rsid w:val="00AE5842"/>
    <w:rsid w:val="00AE58C5"/>
    <w:rsid w:val="00AE6201"/>
    <w:rsid w:val="00AE78F1"/>
    <w:rsid w:val="00AF0344"/>
    <w:rsid w:val="00AF047E"/>
    <w:rsid w:val="00AF06BA"/>
    <w:rsid w:val="00AF0911"/>
    <w:rsid w:val="00AF0A39"/>
    <w:rsid w:val="00AF0BF5"/>
    <w:rsid w:val="00AF0D66"/>
    <w:rsid w:val="00AF1CFA"/>
    <w:rsid w:val="00AF2309"/>
    <w:rsid w:val="00AF246B"/>
    <w:rsid w:val="00AF28C1"/>
    <w:rsid w:val="00AF2AD8"/>
    <w:rsid w:val="00AF3469"/>
    <w:rsid w:val="00AF4011"/>
    <w:rsid w:val="00AF5353"/>
    <w:rsid w:val="00AF5AAF"/>
    <w:rsid w:val="00AF5DD3"/>
    <w:rsid w:val="00AF676D"/>
    <w:rsid w:val="00AF6B2D"/>
    <w:rsid w:val="00AF76C5"/>
    <w:rsid w:val="00AF7A7E"/>
    <w:rsid w:val="00AF7FAD"/>
    <w:rsid w:val="00B0083E"/>
    <w:rsid w:val="00B02527"/>
    <w:rsid w:val="00B02892"/>
    <w:rsid w:val="00B02D69"/>
    <w:rsid w:val="00B034C5"/>
    <w:rsid w:val="00B0505C"/>
    <w:rsid w:val="00B054C5"/>
    <w:rsid w:val="00B05D93"/>
    <w:rsid w:val="00B0607B"/>
    <w:rsid w:val="00B06CAF"/>
    <w:rsid w:val="00B06DEB"/>
    <w:rsid w:val="00B07320"/>
    <w:rsid w:val="00B10732"/>
    <w:rsid w:val="00B118C9"/>
    <w:rsid w:val="00B11BD9"/>
    <w:rsid w:val="00B124CD"/>
    <w:rsid w:val="00B12837"/>
    <w:rsid w:val="00B12BB7"/>
    <w:rsid w:val="00B12F6E"/>
    <w:rsid w:val="00B13255"/>
    <w:rsid w:val="00B16859"/>
    <w:rsid w:val="00B16B3E"/>
    <w:rsid w:val="00B16BC2"/>
    <w:rsid w:val="00B1785B"/>
    <w:rsid w:val="00B17FF3"/>
    <w:rsid w:val="00B21EF8"/>
    <w:rsid w:val="00B22C1E"/>
    <w:rsid w:val="00B23009"/>
    <w:rsid w:val="00B232CC"/>
    <w:rsid w:val="00B23BC4"/>
    <w:rsid w:val="00B23E0C"/>
    <w:rsid w:val="00B2417E"/>
    <w:rsid w:val="00B24919"/>
    <w:rsid w:val="00B267E3"/>
    <w:rsid w:val="00B26861"/>
    <w:rsid w:val="00B268F1"/>
    <w:rsid w:val="00B26DED"/>
    <w:rsid w:val="00B27CB8"/>
    <w:rsid w:val="00B3016D"/>
    <w:rsid w:val="00B30546"/>
    <w:rsid w:val="00B30A0B"/>
    <w:rsid w:val="00B30F28"/>
    <w:rsid w:val="00B312EF"/>
    <w:rsid w:val="00B31FE3"/>
    <w:rsid w:val="00B322FC"/>
    <w:rsid w:val="00B326EE"/>
    <w:rsid w:val="00B32C32"/>
    <w:rsid w:val="00B33E5F"/>
    <w:rsid w:val="00B33F59"/>
    <w:rsid w:val="00B3418E"/>
    <w:rsid w:val="00B34268"/>
    <w:rsid w:val="00B34A3A"/>
    <w:rsid w:val="00B35ED7"/>
    <w:rsid w:val="00B36748"/>
    <w:rsid w:val="00B36972"/>
    <w:rsid w:val="00B36E89"/>
    <w:rsid w:val="00B3701A"/>
    <w:rsid w:val="00B37351"/>
    <w:rsid w:val="00B37CA3"/>
    <w:rsid w:val="00B40B80"/>
    <w:rsid w:val="00B4106E"/>
    <w:rsid w:val="00B4116D"/>
    <w:rsid w:val="00B41327"/>
    <w:rsid w:val="00B41681"/>
    <w:rsid w:val="00B41A5F"/>
    <w:rsid w:val="00B41C1A"/>
    <w:rsid w:val="00B42C6C"/>
    <w:rsid w:val="00B43A5C"/>
    <w:rsid w:val="00B43AE2"/>
    <w:rsid w:val="00B43DE1"/>
    <w:rsid w:val="00B442CD"/>
    <w:rsid w:val="00B44B05"/>
    <w:rsid w:val="00B45C96"/>
    <w:rsid w:val="00B47089"/>
    <w:rsid w:val="00B502FE"/>
    <w:rsid w:val="00B50F17"/>
    <w:rsid w:val="00B51804"/>
    <w:rsid w:val="00B5194C"/>
    <w:rsid w:val="00B52E90"/>
    <w:rsid w:val="00B53468"/>
    <w:rsid w:val="00B53AFE"/>
    <w:rsid w:val="00B541E2"/>
    <w:rsid w:val="00B5468B"/>
    <w:rsid w:val="00B558F0"/>
    <w:rsid w:val="00B55E6E"/>
    <w:rsid w:val="00B562A7"/>
    <w:rsid w:val="00B568AE"/>
    <w:rsid w:val="00B56BC8"/>
    <w:rsid w:val="00B576A2"/>
    <w:rsid w:val="00B60640"/>
    <w:rsid w:val="00B607D3"/>
    <w:rsid w:val="00B619BD"/>
    <w:rsid w:val="00B62497"/>
    <w:rsid w:val="00B62576"/>
    <w:rsid w:val="00B62928"/>
    <w:rsid w:val="00B63A30"/>
    <w:rsid w:val="00B643EB"/>
    <w:rsid w:val="00B64C27"/>
    <w:rsid w:val="00B64E53"/>
    <w:rsid w:val="00B6515D"/>
    <w:rsid w:val="00B654B7"/>
    <w:rsid w:val="00B65FC4"/>
    <w:rsid w:val="00B6608F"/>
    <w:rsid w:val="00B66B28"/>
    <w:rsid w:val="00B66C99"/>
    <w:rsid w:val="00B66E38"/>
    <w:rsid w:val="00B67038"/>
    <w:rsid w:val="00B67D20"/>
    <w:rsid w:val="00B70021"/>
    <w:rsid w:val="00B70641"/>
    <w:rsid w:val="00B70C9F"/>
    <w:rsid w:val="00B7136A"/>
    <w:rsid w:val="00B721E5"/>
    <w:rsid w:val="00B7229C"/>
    <w:rsid w:val="00B72342"/>
    <w:rsid w:val="00B72402"/>
    <w:rsid w:val="00B72619"/>
    <w:rsid w:val="00B73410"/>
    <w:rsid w:val="00B7396C"/>
    <w:rsid w:val="00B74D33"/>
    <w:rsid w:val="00B75828"/>
    <w:rsid w:val="00B75DD4"/>
    <w:rsid w:val="00B7612D"/>
    <w:rsid w:val="00B765AA"/>
    <w:rsid w:val="00B76721"/>
    <w:rsid w:val="00B76CB3"/>
    <w:rsid w:val="00B774E4"/>
    <w:rsid w:val="00B7762A"/>
    <w:rsid w:val="00B77EFC"/>
    <w:rsid w:val="00B80D65"/>
    <w:rsid w:val="00B80E7C"/>
    <w:rsid w:val="00B80F21"/>
    <w:rsid w:val="00B81C06"/>
    <w:rsid w:val="00B81EF9"/>
    <w:rsid w:val="00B81FB2"/>
    <w:rsid w:val="00B83007"/>
    <w:rsid w:val="00B8338E"/>
    <w:rsid w:val="00B83510"/>
    <w:rsid w:val="00B84268"/>
    <w:rsid w:val="00B8490C"/>
    <w:rsid w:val="00B858F8"/>
    <w:rsid w:val="00B865CC"/>
    <w:rsid w:val="00B8709F"/>
    <w:rsid w:val="00B871B1"/>
    <w:rsid w:val="00B873D0"/>
    <w:rsid w:val="00B87543"/>
    <w:rsid w:val="00B87FEA"/>
    <w:rsid w:val="00B9021E"/>
    <w:rsid w:val="00B90309"/>
    <w:rsid w:val="00B909C3"/>
    <w:rsid w:val="00B90D2B"/>
    <w:rsid w:val="00B90D53"/>
    <w:rsid w:val="00B914DD"/>
    <w:rsid w:val="00B917C9"/>
    <w:rsid w:val="00B91D73"/>
    <w:rsid w:val="00B92B7D"/>
    <w:rsid w:val="00B92E8B"/>
    <w:rsid w:val="00B932E7"/>
    <w:rsid w:val="00B938AC"/>
    <w:rsid w:val="00B939C0"/>
    <w:rsid w:val="00B93F47"/>
    <w:rsid w:val="00B94B3D"/>
    <w:rsid w:val="00B94D6C"/>
    <w:rsid w:val="00B95537"/>
    <w:rsid w:val="00B959B0"/>
    <w:rsid w:val="00B95CCE"/>
    <w:rsid w:val="00B95D27"/>
    <w:rsid w:val="00B95E0D"/>
    <w:rsid w:val="00B962F4"/>
    <w:rsid w:val="00B9642B"/>
    <w:rsid w:val="00B96C5C"/>
    <w:rsid w:val="00B96DAB"/>
    <w:rsid w:val="00B97900"/>
    <w:rsid w:val="00B97FEE"/>
    <w:rsid w:val="00BA0719"/>
    <w:rsid w:val="00BA0802"/>
    <w:rsid w:val="00BA0D52"/>
    <w:rsid w:val="00BA126A"/>
    <w:rsid w:val="00BA1CBE"/>
    <w:rsid w:val="00BA1E96"/>
    <w:rsid w:val="00BA4649"/>
    <w:rsid w:val="00BA57B6"/>
    <w:rsid w:val="00BA5B0A"/>
    <w:rsid w:val="00BA65FC"/>
    <w:rsid w:val="00BA7E54"/>
    <w:rsid w:val="00BA7FC0"/>
    <w:rsid w:val="00BB01C3"/>
    <w:rsid w:val="00BB07E6"/>
    <w:rsid w:val="00BB0E60"/>
    <w:rsid w:val="00BB2CE3"/>
    <w:rsid w:val="00BB2F11"/>
    <w:rsid w:val="00BB457A"/>
    <w:rsid w:val="00BB5444"/>
    <w:rsid w:val="00BB58D4"/>
    <w:rsid w:val="00BB6A09"/>
    <w:rsid w:val="00BB7566"/>
    <w:rsid w:val="00BB7C4C"/>
    <w:rsid w:val="00BC024A"/>
    <w:rsid w:val="00BC0D35"/>
    <w:rsid w:val="00BC1E88"/>
    <w:rsid w:val="00BC1F9E"/>
    <w:rsid w:val="00BC252F"/>
    <w:rsid w:val="00BC2CE5"/>
    <w:rsid w:val="00BC317B"/>
    <w:rsid w:val="00BC358E"/>
    <w:rsid w:val="00BC4C21"/>
    <w:rsid w:val="00BC4E06"/>
    <w:rsid w:val="00BC5212"/>
    <w:rsid w:val="00BC549E"/>
    <w:rsid w:val="00BC5636"/>
    <w:rsid w:val="00BC573C"/>
    <w:rsid w:val="00BC5880"/>
    <w:rsid w:val="00BC5EF9"/>
    <w:rsid w:val="00BC6144"/>
    <w:rsid w:val="00BC77E0"/>
    <w:rsid w:val="00BC7894"/>
    <w:rsid w:val="00BD12AF"/>
    <w:rsid w:val="00BD142D"/>
    <w:rsid w:val="00BD19BD"/>
    <w:rsid w:val="00BD2137"/>
    <w:rsid w:val="00BD2509"/>
    <w:rsid w:val="00BD32D8"/>
    <w:rsid w:val="00BD3768"/>
    <w:rsid w:val="00BD4B0C"/>
    <w:rsid w:val="00BD4FEB"/>
    <w:rsid w:val="00BD5642"/>
    <w:rsid w:val="00BD5C6A"/>
    <w:rsid w:val="00BD6255"/>
    <w:rsid w:val="00BD69AF"/>
    <w:rsid w:val="00BD7227"/>
    <w:rsid w:val="00BD73E4"/>
    <w:rsid w:val="00BE0D80"/>
    <w:rsid w:val="00BE0EE9"/>
    <w:rsid w:val="00BE1AC7"/>
    <w:rsid w:val="00BE1C94"/>
    <w:rsid w:val="00BE2331"/>
    <w:rsid w:val="00BE2BEB"/>
    <w:rsid w:val="00BE2F11"/>
    <w:rsid w:val="00BE2FC7"/>
    <w:rsid w:val="00BE3657"/>
    <w:rsid w:val="00BE5175"/>
    <w:rsid w:val="00BE5685"/>
    <w:rsid w:val="00BE65FE"/>
    <w:rsid w:val="00BE66B0"/>
    <w:rsid w:val="00BE678B"/>
    <w:rsid w:val="00BE6A1F"/>
    <w:rsid w:val="00BE6EFF"/>
    <w:rsid w:val="00BE7D43"/>
    <w:rsid w:val="00BF06B3"/>
    <w:rsid w:val="00BF0812"/>
    <w:rsid w:val="00BF141C"/>
    <w:rsid w:val="00BF1686"/>
    <w:rsid w:val="00BF1C79"/>
    <w:rsid w:val="00BF23F2"/>
    <w:rsid w:val="00BF2583"/>
    <w:rsid w:val="00BF25BD"/>
    <w:rsid w:val="00BF3EBA"/>
    <w:rsid w:val="00BF4AF1"/>
    <w:rsid w:val="00BF5176"/>
    <w:rsid w:val="00BF55A4"/>
    <w:rsid w:val="00BF5AE8"/>
    <w:rsid w:val="00BF5E5E"/>
    <w:rsid w:val="00BF6200"/>
    <w:rsid w:val="00BF62E0"/>
    <w:rsid w:val="00BF716D"/>
    <w:rsid w:val="00BF737C"/>
    <w:rsid w:val="00BF7983"/>
    <w:rsid w:val="00BF7BA2"/>
    <w:rsid w:val="00C00376"/>
    <w:rsid w:val="00C005D2"/>
    <w:rsid w:val="00C00B3C"/>
    <w:rsid w:val="00C025A1"/>
    <w:rsid w:val="00C036F0"/>
    <w:rsid w:val="00C067EC"/>
    <w:rsid w:val="00C110BB"/>
    <w:rsid w:val="00C13EA0"/>
    <w:rsid w:val="00C143A4"/>
    <w:rsid w:val="00C14DB1"/>
    <w:rsid w:val="00C1500B"/>
    <w:rsid w:val="00C1541F"/>
    <w:rsid w:val="00C156C4"/>
    <w:rsid w:val="00C15A9B"/>
    <w:rsid w:val="00C15B49"/>
    <w:rsid w:val="00C160D4"/>
    <w:rsid w:val="00C16D04"/>
    <w:rsid w:val="00C176C4"/>
    <w:rsid w:val="00C17DF9"/>
    <w:rsid w:val="00C20971"/>
    <w:rsid w:val="00C20C15"/>
    <w:rsid w:val="00C219E3"/>
    <w:rsid w:val="00C21BD0"/>
    <w:rsid w:val="00C21C40"/>
    <w:rsid w:val="00C22316"/>
    <w:rsid w:val="00C23740"/>
    <w:rsid w:val="00C242E3"/>
    <w:rsid w:val="00C24596"/>
    <w:rsid w:val="00C24B7B"/>
    <w:rsid w:val="00C24F26"/>
    <w:rsid w:val="00C2546B"/>
    <w:rsid w:val="00C254EE"/>
    <w:rsid w:val="00C25686"/>
    <w:rsid w:val="00C25C19"/>
    <w:rsid w:val="00C25C4F"/>
    <w:rsid w:val="00C2705E"/>
    <w:rsid w:val="00C27673"/>
    <w:rsid w:val="00C27E6E"/>
    <w:rsid w:val="00C3049F"/>
    <w:rsid w:val="00C30780"/>
    <w:rsid w:val="00C30C41"/>
    <w:rsid w:val="00C321ED"/>
    <w:rsid w:val="00C32857"/>
    <w:rsid w:val="00C334CF"/>
    <w:rsid w:val="00C33A33"/>
    <w:rsid w:val="00C34243"/>
    <w:rsid w:val="00C342E0"/>
    <w:rsid w:val="00C34EDE"/>
    <w:rsid w:val="00C35759"/>
    <w:rsid w:val="00C35CB2"/>
    <w:rsid w:val="00C360AC"/>
    <w:rsid w:val="00C36EB4"/>
    <w:rsid w:val="00C37F42"/>
    <w:rsid w:val="00C40394"/>
    <w:rsid w:val="00C4086C"/>
    <w:rsid w:val="00C40930"/>
    <w:rsid w:val="00C40B67"/>
    <w:rsid w:val="00C40EA3"/>
    <w:rsid w:val="00C41359"/>
    <w:rsid w:val="00C41725"/>
    <w:rsid w:val="00C43BBD"/>
    <w:rsid w:val="00C448D8"/>
    <w:rsid w:val="00C4692B"/>
    <w:rsid w:val="00C47390"/>
    <w:rsid w:val="00C47BE8"/>
    <w:rsid w:val="00C47EBE"/>
    <w:rsid w:val="00C505D0"/>
    <w:rsid w:val="00C51F8E"/>
    <w:rsid w:val="00C5243B"/>
    <w:rsid w:val="00C5287A"/>
    <w:rsid w:val="00C5377B"/>
    <w:rsid w:val="00C53B3D"/>
    <w:rsid w:val="00C53C26"/>
    <w:rsid w:val="00C54244"/>
    <w:rsid w:val="00C5428E"/>
    <w:rsid w:val="00C549B2"/>
    <w:rsid w:val="00C5579F"/>
    <w:rsid w:val="00C55E07"/>
    <w:rsid w:val="00C55F35"/>
    <w:rsid w:val="00C56511"/>
    <w:rsid w:val="00C56CD3"/>
    <w:rsid w:val="00C5763D"/>
    <w:rsid w:val="00C57B8C"/>
    <w:rsid w:val="00C57C1B"/>
    <w:rsid w:val="00C57C9D"/>
    <w:rsid w:val="00C603A3"/>
    <w:rsid w:val="00C6085D"/>
    <w:rsid w:val="00C60AA5"/>
    <w:rsid w:val="00C61140"/>
    <w:rsid w:val="00C61AA2"/>
    <w:rsid w:val="00C628D7"/>
    <w:rsid w:val="00C62A18"/>
    <w:rsid w:val="00C62DF2"/>
    <w:rsid w:val="00C634C6"/>
    <w:rsid w:val="00C63C72"/>
    <w:rsid w:val="00C64F11"/>
    <w:rsid w:val="00C657A2"/>
    <w:rsid w:val="00C65C6C"/>
    <w:rsid w:val="00C65D90"/>
    <w:rsid w:val="00C66069"/>
    <w:rsid w:val="00C66FD0"/>
    <w:rsid w:val="00C66FDB"/>
    <w:rsid w:val="00C67B44"/>
    <w:rsid w:val="00C67C74"/>
    <w:rsid w:val="00C70436"/>
    <w:rsid w:val="00C705D2"/>
    <w:rsid w:val="00C70CB4"/>
    <w:rsid w:val="00C70D92"/>
    <w:rsid w:val="00C710AF"/>
    <w:rsid w:val="00C72454"/>
    <w:rsid w:val="00C72B39"/>
    <w:rsid w:val="00C73B15"/>
    <w:rsid w:val="00C73EE7"/>
    <w:rsid w:val="00C7428E"/>
    <w:rsid w:val="00C74706"/>
    <w:rsid w:val="00C7565D"/>
    <w:rsid w:val="00C757EB"/>
    <w:rsid w:val="00C7705B"/>
    <w:rsid w:val="00C772DD"/>
    <w:rsid w:val="00C80C8F"/>
    <w:rsid w:val="00C812B1"/>
    <w:rsid w:val="00C815C2"/>
    <w:rsid w:val="00C81D96"/>
    <w:rsid w:val="00C81E5B"/>
    <w:rsid w:val="00C82C9D"/>
    <w:rsid w:val="00C831A9"/>
    <w:rsid w:val="00C834CE"/>
    <w:rsid w:val="00C83933"/>
    <w:rsid w:val="00C83951"/>
    <w:rsid w:val="00C839B1"/>
    <w:rsid w:val="00C84508"/>
    <w:rsid w:val="00C84596"/>
    <w:rsid w:val="00C857BB"/>
    <w:rsid w:val="00C86C01"/>
    <w:rsid w:val="00C86CB5"/>
    <w:rsid w:val="00C8700C"/>
    <w:rsid w:val="00C873FE"/>
    <w:rsid w:val="00C87DCD"/>
    <w:rsid w:val="00C87FE3"/>
    <w:rsid w:val="00C9018C"/>
    <w:rsid w:val="00C918D4"/>
    <w:rsid w:val="00C92FB3"/>
    <w:rsid w:val="00C94074"/>
    <w:rsid w:val="00C955CA"/>
    <w:rsid w:val="00C974CF"/>
    <w:rsid w:val="00C975B7"/>
    <w:rsid w:val="00C97EB9"/>
    <w:rsid w:val="00CA0EA7"/>
    <w:rsid w:val="00CA1DA3"/>
    <w:rsid w:val="00CA1E64"/>
    <w:rsid w:val="00CA225A"/>
    <w:rsid w:val="00CA3768"/>
    <w:rsid w:val="00CA3F75"/>
    <w:rsid w:val="00CA4522"/>
    <w:rsid w:val="00CA4A3E"/>
    <w:rsid w:val="00CA4A7B"/>
    <w:rsid w:val="00CA4ED6"/>
    <w:rsid w:val="00CA7742"/>
    <w:rsid w:val="00CA77CE"/>
    <w:rsid w:val="00CB0CE7"/>
    <w:rsid w:val="00CB19BA"/>
    <w:rsid w:val="00CB216F"/>
    <w:rsid w:val="00CB229A"/>
    <w:rsid w:val="00CB25D7"/>
    <w:rsid w:val="00CB2D47"/>
    <w:rsid w:val="00CB4154"/>
    <w:rsid w:val="00CB4A6F"/>
    <w:rsid w:val="00CB4C47"/>
    <w:rsid w:val="00CB4FBE"/>
    <w:rsid w:val="00CB52A3"/>
    <w:rsid w:val="00CB5377"/>
    <w:rsid w:val="00CB56CB"/>
    <w:rsid w:val="00CB5A6D"/>
    <w:rsid w:val="00CB5E8D"/>
    <w:rsid w:val="00CB61A2"/>
    <w:rsid w:val="00CB65BB"/>
    <w:rsid w:val="00CB6F05"/>
    <w:rsid w:val="00CC08B3"/>
    <w:rsid w:val="00CC0ACC"/>
    <w:rsid w:val="00CC0FDD"/>
    <w:rsid w:val="00CC1066"/>
    <w:rsid w:val="00CC13B1"/>
    <w:rsid w:val="00CC2608"/>
    <w:rsid w:val="00CC36FE"/>
    <w:rsid w:val="00CC398B"/>
    <w:rsid w:val="00CC3E27"/>
    <w:rsid w:val="00CC42B0"/>
    <w:rsid w:val="00CC452F"/>
    <w:rsid w:val="00CC463A"/>
    <w:rsid w:val="00CC4D74"/>
    <w:rsid w:val="00CC54AD"/>
    <w:rsid w:val="00CC569B"/>
    <w:rsid w:val="00CC5C05"/>
    <w:rsid w:val="00CC657B"/>
    <w:rsid w:val="00CC736B"/>
    <w:rsid w:val="00CC78EE"/>
    <w:rsid w:val="00CC7F19"/>
    <w:rsid w:val="00CD09BD"/>
    <w:rsid w:val="00CD0E4B"/>
    <w:rsid w:val="00CD288F"/>
    <w:rsid w:val="00CD3B67"/>
    <w:rsid w:val="00CD4321"/>
    <w:rsid w:val="00CD4796"/>
    <w:rsid w:val="00CD4D9B"/>
    <w:rsid w:val="00CD4E58"/>
    <w:rsid w:val="00CD5F8D"/>
    <w:rsid w:val="00CD63FC"/>
    <w:rsid w:val="00CD6B8B"/>
    <w:rsid w:val="00CD7401"/>
    <w:rsid w:val="00CD7B09"/>
    <w:rsid w:val="00CE1793"/>
    <w:rsid w:val="00CE1A7F"/>
    <w:rsid w:val="00CE1F73"/>
    <w:rsid w:val="00CE204C"/>
    <w:rsid w:val="00CE29E9"/>
    <w:rsid w:val="00CE31F6"/>
    <w:rsid w:val="00CE3BDF"/>
    <w:rsid w:val="00CE45F8"/>
    <w:rsid w:val="00CE4C71"/>
    <w:rsid w:val="00CE5A3B"/>
    <w:rsid w:val="00CE609F"/>
    <w:rsid w:val="00CE65ED"/>
    <w:rsid w:val="00CE6919"/>
    <w:rsid w:val="00CE6C33"/>
    <w:rsid w:val="00CE6D68"/>
    <w:rsid w:val="00CE7846"/>
    <w:rsid w:val="00CE796A"/>
    <w:rsid w:val="00CF03CD"/>
    <w:rsid w:val="00CF0A4C"/>
    <w:rsid w:val="00CF1B54"/>
    <w:rsid w:val="00CF213C"/>
    <w:rsid w:val="00CF2826"/>
    <w:rsid w:val="00CF282A"/>
    <w:rsid w:val="00CF36E4"/>
    <w:rsid w:val="00CF40BD"/>
    <w:rsid w:val="00CF413F"/>
    <w:rsid w:val="00CF4E2B"/>
    <w:rsid w:val="00CF5A35"/>
    <w:rsid w:val="00CF5A51"/>
    <w:rsid w:val="00CF635D"/>
    <w:rsid w:val="00CF6612"/>
    <w:rsid w:val="00CF6D1B"/>
    <w:rsid w:val="00CF6D67"/>
    <w:rsid w:val="00CF749B"/>
    <w:rsid w:val="00CF7C62"/>
    <w:rsid w:val="00CF7F89"/>
    <w:rsid w:val="00D00A0E"/>
    <w:rsid w:val="00D01701"/>
    <w:rsid w:val="00D02FD6"/>
    <w:rsid w:val="00D03918"/>
    <w:rsid w:val="00D0393F"/>
    <w:rsid w:val="00D04B6B"/>
    <w:rsid w:val="00D04DC8"/>
    <w:rsid w:val="00D0552B"/>
    <w:rsid w:val="00D06BA5"/>
    <w:rsid w:val="00D07434"/>
    <w:rsid w:val="00D0793A"/>
    <w:rsid w:val="00D106E5"/>
    <w:rsid w:val="00D11915"/>
    <w:rsid w:val="00D13B09"/>
    <w:rsid w:val="00D14179"/>
    <w:rsid w:val="00D14456"/>
    <w:rsid w:val="00D145A7"/>
    <w:rsid w:val="00D1521D"/>
    <w:rsid w:val="00D15E0A"/>
    <w:rsid w:val="00D16224"/>
    <w:rsid w:val="00D169B9"/>
    <w:rsid w:val="00D17CD8"/>
    <w:rsid w:val="00D20629"/>
    <w:rsid w:val="00D21226"/>
    <w:rsid w:val="00D219F3"/>
    <w:rsid w:val="00D21DFC"/>
    <w:rsid w:val="00D23127"/>
    <w:rsid w:val="00D237CD"/>
    <w:rsid w:val="00D23BA1"/>
    <w:rsid w:val="00D23BDA"/>
    <w:rsid w:val="00D23F69"/>
    <w:rsid w:val="00D25849"/>
    <w:rsid w:val="00D260E3"/>
    <w:rsid w:val="00D26556"/>
    <w:rsid w:val="00D266CA"/>
    <w:rsid w:val="00D26793"/>
    <w:rsid w:val="00D2759A"/>
    <w:rsid w:val="00D27B95"/>
    <w:rsid w:val="00D30D71"/>
    <w:rsid w:val="00D311EE"/>
    <w:rsid w:val="00D31635"/>
    <w:rsid w:val="00D318A9"/>
    <w:rsid w:val="00D32E5F"/>
    <w:rsid w:val="00D33353"/>
    <w:rsid w:val="00D33B0E"/>
    <w:rsid w:val="00D33EA8"/>
    <w:rsid w:val="00D34115"/>
    <w:rsid w:val="00D34B92"/>
    <w:rsid w:val="00D35ACB"/>
    <w:rsid w:val="00D35D05"/>
    <w:rsid w:val="00D35EF2"/>
    <w:rsid w:val="00D35FFD"/>
    <w:rsid w:val="00D36073"/>
    <w:rsid w:val="00D363E4"/>
    <w:rsid w:val="00D3782F"/>
    <w:rsid w:val="00D37B4C"/>
    <w:rsid w:val="00D40B60"/>
    <w:rsid w:val="00D40E48"/>
    <w:rsid w:val="00D4106D"/>
    <w:rsid w:val="00D41E55"/>
    <w:rsid w:val="00D430C2"/>
    <w:rsid w:val="00D43D26"/>
    <w:rsid w:val="00D466D1"/>
    <w:rsid w:val="00D470C2"/>
    <w:rsid w:val="00D470F7"/>
    <w:rsid w:val="00D50A30"/>
    <w:rsid w:val="00D51E54"/>
    <w:rsid w:val="00D52A05"/>
    <w:rsid w:val="00D52CBD"/>
    <w:rsid w:val="00D54ECE"/>
    <w:rsid w:val="00D5525A"/>
    <w:rsid w:val="00D55A52"/>
    <w:rsid w:val="00D56428"/>
    <w:rsid w:val="00D56726"/>
    <w:rsid w:val="00D56CE9"/>
    <w:rsid w:val="00D57F49"/>
    <w:rsid w:val="00D60697"/>
    <w:rsid w:val="00D611F0"/>
    <w:rsid w:val="00D614CC"/>
    <w:rsid w:val="00D61537"/>
    <w:rsid w:val="00D61732"/>
    <w:rsid w:val="00D619B1"/>
    <w:rsid w:val="00D623E1"/>
    <w:rsid w:val="00D624D0"/>
    <w:rsid w:val="00D62D27"/>
    <w:rsid w:val="00D62F43"/>
    <w:rsid w:val="00D6309D"/>
    <w:rsid w:val="00D64116"/>
    <w:rsid w:val="00D64B2D"/>
    <w:rsid w:val="00D64C7F"/>
    <w:rsid w:val="00D65C28"/>
    <w:rsid w:val="00D66CA8"/>
    <w:rsid w:val="00D70700"/>
    <w:rsid w:val="00D70A35"/>
    <w:rsid w:val="00D70B97"/>
    <w:rsid w:val="00D70C01"/>
    <w:rsid w:val="00D71462"/>
    <w:rsid w:val="00D72671"/>
    <w:rsid w:val="00D7274C"/>
    <w:rsid w:val="00D72BC3"/>
    <w:rsid w:val="00D734F6"/>
    <w:rsid w:val="00D73D14"/>
    <w:rsid w:val="00D73E45"/>
    <w:rsid w:val="00D7406A"/>
    <w:rsid w:val="00D74DB5"/>
    <w:rsid w:val="00D74FDD"/>
    <w:rsid w:val="00D75463"/>
    <w:rsid w:val="00D75976"/>
    <w:rsid w:val="00D7634E"/>
    <w:rsid w:val="00D76387"/>
    <w:rsid w:val="00D7670F"/>
    <w:rsid w:val="00D77729"/>
    <w:rsid w:val="00D802B2"/>
    <w:rsid w:val="00D802B4"/>
    <w:rsid w:val="00D80344"/>
    <w:rsid w:val="00D804ED"/>
    <w:rsid w:val="00D8358E"/>
    <w:rsid w:val="00D83C4B"/>
    <w:rsid w:val="00D84911"/>
    <w:rsid w:val="00D849AA"/>
    <w:rsid w:val="00D85F42"/>
    <w:rsid w:val="00D860AE"/>
    <w:rsid w:val="00D869E1"/>
    <w:rsid w:val="00D86EB8"/>
    <w:rsid w:val="00D8762A"/>
    <w:rsid w:val="00D876F9"/>
    <w:rsid w:val="00D87902"/>
    <w:rsid w:val="00D91D1C"/>
    <w:rsid w:val="00D938B5"/>
    <w:rsid w:val="00D93F16"/>
    <w:rsid w:val="00D962C3"/>
    <w:rsid w:val="00D96F4B"/>
    <w:rsid w:val="00D96F68"/>
    <w:rsid w:val="00D97797"/>
    <w:rsid w:val="00DA08AB"/>
    <w:rsid w:val="00DA109E"/>
    <w:rsid w:val="00DA2031"/>
    <w:rsid w:val="00DA4580"/>
    <w:rsid w:val="00DA4977"/>
    <w:rsid w:val="00DA5120"/>
    <w:rsid w:val="00DA557D"/>
    <w:rsid w:val="00DA7021"/>
    <w:rsid w:val="00DA7CC5"/>
    <w:rsid w:val="00DB06C6"/>
    <w:rsid w:val="00DB128D"/>
    <w:rsid w:val="00DB2273"/>
    <w:rsid w:val="00DB3A31"/>
    <w:rsid w:val="00DB41CE"/>
    <w:rsid w:val="00DB4E83"/>
    <w:rsid w:val="00DB4F42"/>
    <w:rsid w:val="00DB5DCA"/>
    <w:rsid w:val="00DB5F30"/>
    <w:rsid w:val="00DB6382"/>
    <w:rsid w:val="00DB67B0"/>
    <w:rsid w:val="00DB7A1B"/>
    <w:rsid w:val="00DB7F94"/>
    <w:rsid w:val="00DC012B"/>
    <w:rsid w:val="00DC0E83"/>
    <w:rsid w:val="00DC1140"/>
    <w:rsid w:val="00DC16B3"/>
    <w:rsid w:val="00DC1760"/>
    <w:rsid w:val="00DC28A6"/>
    <w:rsid w:val="00DC36B3"/>
    <w:rsid w:val="00DC3835"/>
    <w:rsid w:val="00DC3D70"/>
    <w:rsid w:val="00DC48A8"/>
    <w:rsid w:val="00DC50DD"/>
    <w:rsid w:val="00DC7351"/>
    <w:rsid w:val="00DC7999"/>
    <w:rsid w:val="00DC7D62"/>
    <w:rsid w:val="00DD10C8"/>
    <w:rsid w:val="00DD19D4"/>
    <w:rsid w:val="00DD1F8B"/>
    <w:rsid w:val="00DD2C9F"/>
    <w:rsid w:val="00DD2CCD"/>
    <w:rsid w:val="00DD2E80"/>
    <w:rsid w:val="00DD322A"/>
    <w:rsid w:val="00DD39A9"/>
    <w:rsid w:val="00DD3D8C"/>
    <w:rsid w:val="00DD44C0"/>
    <w:rsid w:val="00DD4956"/>
    <w:rsid w:val="00DD526C"/>
    <w:rsid w:val="00DD6519"/>
    <w:rsid w:val="00DD68D2"/>
    <w:rsid w:val="00DE074A"/>
    <w:rsid w:val="00DE0BAF"/>
    <w:rsid w:val="00DE1074"/>
    <w:rsid w:val="00DE16FC"/>
    <w:rsid w:val="00DE1CCF"/>
    <w:rsid w:val="00DE269C"/>
    <w:rsid w:val="00DE2701"/>
    <w:rsid w:val="00DE2D36"/>
    <w:rsid w:val="00DE2F71"/>
    <w:rsid w:val="00DE2FAD"/>
    <w:rsid w:val="00DE32C9"/>
    <w:rsid w:val="00DE3A0E"/>
    <w:rsid w:val="00DE3D75"/>
    <w:rsid w:val="00DE421E"/>
    <w:rsid w:val="00DE4428"/>
    <w:rsid w:val="00DE4A40"/>
    <w:rsid w:val="00DE4B84"/>
    <w:rsid w:val="00DE5446"/>
    <w:rsid w:val="00DE55AA"/>
    <w:rsid w:val="00DE62EA"/>
    <w:rsid w:val="00DE6319"/>
    <w:rsid w:val="00DE645B"/>
    <w:rsid w:val="00DE6534"/>
    <w:rsid w:val="00DE7C52"/>
    <w:rsid w:val="00DF0796"/>
    <w:rsid w:val="00DF0E5B"/>
    <w:rsid w:val="00DF313E"/>
    <w:rsid w:val="00DF353D"/>
    <w:rsid w:val="00DF5236"/>
    <w:rsid w:val="00DF5835"/>
    <w:rsid w:val="00DF690E"/>
    <w:rsid w:val="00DF72D8"/>
    <w:rsid w:val="00DF772D"/>
    <w:rsid w:val="00E00136"/>
    <w:rsid w:val="00E008C9"/>
    <w:rsid w:val="00E00C16"/>
    <w:rsid w:val="00E025EC"/>
    <w:rsid w:val="00E028AA"/>
    <w:rsid w:val="00E04665"/>
    <w:rsid w:val="00E0479D"/>
    <w:rsid w:val="00E074A6"/>
    <w:rsid w:val="00E0752B"/>
    <w:rsid w:val="00E1032E"/>
    <w:rsid w:val="00E10907"/>
    <w:rsid w:val="00E10ABA"/>
    <w:rsid w:val="00E10D1F"/>
    <w:rsid w:val="00E114C7"/>
    <w:rsid w:val="00E11C57"/>
    <w:rsid w:val="00E12BD5"/>
    <w:rsid w:val="00E13A4A"/>
    <w:rsid w:val="00E14380"/>
    <w:rsid w:val="00E14496"/>
    <w:rsid w:val="00E147A6"/>
    <w:rsid w:val="00E161C5"/>
    <w:rsid w:val="00E164AF"/>
    <w:rsid w:val="00E16777"/>
    <w:rsid w:val="00E16CEB"/>
    <w:rsid w:val="00E17AA3"/>
    <w:rsid w:val="00E17C8D"/>
    <w:rsid w:val="00E17DE6"/>
    <w:rsid w:val="00E2308E"/>
    <w:rsid w:val="00E255E1"/>
    <w:rsid w:val="00E27419"/>
    <w:rsid w:val="00E306AA"/>
    <w:rsid w:val="00E30DF7"/>
    <w:rsid w:val="00E312DA"/>
    <w:rsid w:val="00E3176C"/>
    <w:rsid w:val="00E31C8E"/>
    <w:rsid w:val="00E3246D"/>
    <w:rsid w:val="00E3263C"/>
    <w:rsid w:val="00E329A6"/>
    <w:rsid w:val="00E32DFC"/>
    <w:rsid w:val="00E33C96"/>
    <w:rsid w:val="00E34094"/>
    <w:rsid w:val="00E347BB"/>
    <w:rsid w:val="00E350F6"/>
    <w:rsid w:val="00E35A0B"/>
    <w:rsid w:val="00E35A91"/>
    <w:rsid w:val="00E365AB"/>
    <w:rsid w:val="00E36901"/>
    <w:rsid w:val="00E369B3"/>
    <w:rsid w:val="00E379DB"/>
    <w:rsid w:val="00E40563"/>
    <w:rsid w:val="00E40855"/>
    <w:rsid w:val="00E40AA0"/>
    <w:rsid w:val="00E4106C"/>
    <w:rsid w:val="00E43C8F"/>
    <w:rsid w:val="00E4468F"/>
    <w:rsid w:val="00E45233"/>
    <w:rsid w:val="00E45EA3"/>
    <w:rsid w:val="00E467BD"/>
    <w:rsid w:val="00E470B0"/>
    <w:rsid w:val="00E501CE"/>
    <w:rsid w:val="00E5055C"/>
    <w:rsid w:val="00E50C90"/>
    <w:rsid w:val="00E51847"/>
    <w:rsid w:val="00E51F77"/>
    <w:rsid w:val="00E5255A"/>
    <w:rsid w:val="00E52A0A"/>
    <w:rsid w:val="00E542CC"/>
    <w:rsid w:val="00E54ED9"/>
    <w:rsid w:val="00E55142"/>
    <w:rsid w:val="00E55185"/>
    <w:rsid w:val="00E5692D"/>
    <w:rsid w:val="00E60BCB"/>
    <w:rsid w:val="00E611CD"/>
    <w:rsid w:val="00E61617"/>
    <w:rsid w:val="00E6216E"/>
    <w:rsid w:val="00E6275F"/>
    <w:rsid w:val="00E62B12"/>
    <w:rsid w:val="00E6391B"/>
    <w:rsid w:val="00E63B18"/>
    <w:rsid w:val="00E63E08"/>
    <w:rsid w:val="00E64152"/>
    <w:rsid w:val="00E64A10"/>
    <w:rsid w:val="00E650C0"/>
    <w:rsid w:val="00E65105"/>
    <w:rsid w:val="00E6567F"/>
    <w:rsid w:val="00E663BB"/>
    <w:rsid w:val="00E67B59"/>
    <w:rsid w:val="00E67DE5"/>
    <w:rsid w:val="00E70D55"/>
    <w:rsid w:val="00E70D99"/>
    <w:rsid w:val="00E71563"/>
    <w:rsid w:val="00E71938"/>
    <w:rsid w:val="00E71C0E"/>
    <w:rsid w:val="00E71FAF"/>
    <w:rsid w:val="00E731CF"/>
    <w:rsid w:val="00E746E6"/>
    <w:rsid w:val="00E752FD"/>
    <w:rsid w:val="00E76BD7"/>
    <w:rsid w:val="00E76DE0"/>
    <w:rsid w:val="00E77A61"/>
    <w:rsid w:val="00E80106"/>
    <w:rsid w:val="00E816C3"/>
    <w:rsid w:val="00E81989"/>
    <w:rsid w:val="00E82A0D"/>
    <w:rsid w:val="00E83C2C"/>
    <w:rsid w:val="00E841C7"/>
    <w:rsid w:val="00E84529"/>
    <w:rsid w:val="00E84549"/>
    <w:rsid w:val="00E8475A"/>
    <w:rsid w:val="00E84850"/>
    <w:rsid w:val="00E861C2"/>
    <w:rsid w:val="00E8621D"/>
    <w:rsid w:val="00E86D6F"/>
    <w:rsid w:val="00E8743E"/>
    <w:rsid w:val="00E874C8"/>
    <w:rsid w:val="00E87755"/>
    <w:rsid w:val="00E87771"/>
    <w:rsid w:val="00E90885"/>
    <w:rsid w:val="00E912E6"/>
    <w:rsid w:val="00E92100"/>
    <w:rsid w:val="00E92464"/>
    <w:rsid w:val="00E92BD5"/>
    <w:rsid w:val="00E92CEB"/>
    <w:rsid w:val="00E93204"/>
    <w:rsid w:val="00E94088"/>
    <w:rsid w:val="00E95281"/>
    <w:rsid w:val="00E9599D"/>
    <w:rsid w:val="00E964AC"/>
    <w:rsid w:val="00E96526"/>
    <w:rsid w:val="00E9748D"/>
    <w:rsid w:val="00E97B6F"/>
    <w:rsid w:val="00E97E61"/>
    <w:rsid w:val="00EA0294"/>
    <w:rsid w:val="00EA072B"/>
    <w:rsid w:val="00EA0E95"/>
    <w:rsid w:val="00EA0F4C"/>
    <w:rsid w:val="00EA208F"/>
    <w:rsid w:val="00EA2106"/>
    <w:rsid w:val="00EA219B"/>
    <w:rsid w:val="00EA2E5E"/>
    <w:rsid w:val="00EA3490"/>
    <w:rsid w:val="00EA405C"/>
    <w:rsid w:val="00EA40A5"/>
    <w:rsid w:val="00EA4C99"/>
    <w:rsid w:val="00EA5AB0"/>
    <w:rsid w:val="00EA617B"/>
    <w:rsid w:val="00EA622D"/>
    <w:rsid w:val="00EA64F4"/>
    <w:rsid w:val="00EA6696"/>
    <w:rsid w:val="00EA6840"/>
    <w:rsid w:val="00EA7352"/>
    <w:rsid w:val="00EA7BF3"/>
    <w:rsid w:val="00EA7D0C"/>
    <w:rsid w:val="00EB0010"/>
    <w:rsid w:val="00EB05C4"/>
    <w:rsid w:val="00EB05DD"/>
    <w:rsid w:val="00EB07A9"/>
    <w:rsid w:val="00EB0863"/>
    <w:rsid w:val="00EB0A28"/>
    <w:rsid w:val="00EB159F"/>
    <w:rsid w:val="00EB15EF"/>
    <w:rsid w:val="00EB1E03"/>
    <w:rsid w:val="00EB22C2"/>
    <w:rsid w:val="00EB2CCD"/>
    <w:rsid w:val="00EB3A9E"/>
    <w:rsid w:val="00EB3D53"/>
    <w:rsid w:val="00EB46F0"/>
    <w:rsid w:val="00EB569C"/>
    <w:rsid w:val="00EB580D"/>
    <w:rsid w:val="00EB5AD6"/>
    <w:rsid w:val="00EB5C38"/>
    <w:rsid w:val="00EB5D4F"/>
    <w:rsid w:val="00EB5E81"/>
    <w:rsid w:val="00EB625E"/>
    <w:rsid w:val="00EB79FD"/>
    <w:rsid w:val="00EC00DC"/>
    <w:rsid w:val="00EC0A6F"/>
    <w:rsid w:val="00EC1018"/>
    <w:rsid w:val="00EC140F"/>
    <w:rsid w:val="00EC1BC8"/>
    <w:rsid w:val="00EC2525"/>
    <w:rsid w:val="00EC2ADC"/>
    <w:rsid w:val="00EC3121"/>
    <w:rsid w:val="00EC4204"/>
    <w:rsid w:val="00EC452A"/>
    <w:rsid w:val="00EC47EB"/>
    <w:rsid w:val="00EC4B87"/>
    <w:rsid w:val="00EC4ED2"/>
    <w:rsid w:val="00EC593F"/>
    <w:rsid w:val="00EC5B4D"/>
    <w:rsid w:val="00EC61E1"/>
    <w:rsid w:val="00EC673A"/>
    <w:rsid w:val="00EC680D"/>
    <w:rsid w:val="00EC7B53"/>
    <w:rsid w:val="00ED063F"/>
    <w:rsid w:val="00ED147E"/>
    <w:rsid w:val="00ED189B"/>
    <w:rsid w:val="00ED1973"/>
    <w:rsid w:val="00ED2A6A"/>
    <w:rsid w:val="00ED327E"/>
    <w:rsid w:val="00ED40C2"/>
    <w:rsid w:val="00ED453A"/>
    <w:rsid w:val="00ED4635"/>
    <w:rsid w:val="00ED53F7"/>
    <w:rsid w:val="00ED5C95"/>
    <w:rsid w:val="00ED5D17"/>
    <w:rsid w:val="00ED68F9"/>
    <w:rsid w:val="00ED72CF"/>
    <w:rsid w:val="00ED7D85"/>
    <w:rsid w:val="00ED7F29"/>
    <w:rsid w:val="00ED7F3C"/>
    <w:rsid w:val="00EE0CE7"/>
    <w:rsid w:val="00EE1455"/>
    <w:rsid w:val="00EE30A2"/>
    <w:rsid w:val="00EE342E"/>
    <w:rsid w:val="00EE3A5E"/>
    <w:rsid w:val="00EE43D7"/>
    <w:rsid w:val="00EE47D5"/>
    <w:rsid w:val="00EE4E86"/>
    <w:rsid w:val="00EE5720"/>
    <w:rsid w:val="00EE6592"/>
    <w:rsid w:val="00EE6C63"/>
    <w:rsid w:val="00EE6FDB"/>
    <w:rsid w:val="00EE773F"/>
    <w:rsid w:val="00EE79CD"/>
    <w:rsid w:val="00EF07EF"/>
    <w:rsid w:val="00EF0D76"/>
    <w:rsid w:val="00EF1070"/>
    <w:rsid w:val="00EF136C"/>
    <w:rsid w:val="00EF1AD9"/>
    <w:rsid w:val="00EF1BC9"/>
    <w:rsid w:val="00EF1E00"/>
    <w:rsid w:val="00EF296C"/>
    <w:rsid w:val="00EF381F"/>
    <w:rsid w:val="00EF3C45"/>
    <w:rsid w:val="00EF4140"/>
    <w:rsid w:val="00EF586F"/>
    <w:rsid w:val="00EF7544"/>
    <w:rsid w:val="00EF7E86"/>
    <w:rsid w:val="00EF7F06"/>
    <w:rsid w:val="00F00883"/>
    <w:rsid w:val="00F00FDD"/>
    <w:rsid w:val="00F0128C"/>
    <w:rsid w:val="00F0144D"/>
    <w:rsid w:val="00F015D0"/>
    <w:rsid w:val="00F01C8E"/>
    <w:rsid w:val="00F0249F"/>
    <w:rsid w:val="00F0310B"/>
    <w:rsid w:val="00F047AC"/>
    <w:rsid w:val="00F04C94"/>
    <w:rsid w:val="00F05112"/>
    <w:rsid w:val="00F06271"/>
    <w:rsid w:val="00F06DA3"/>
    <w:rsid w:val="00F06E6D"/>
    <w:rsid w:val="00F07246"/>
    <w:rsid w:val="00F07333"/>
    <w:rsid w:val="00F07D0D"/>
    <w:rsid w:val="00F1039B"/>
    <w:rsid w:val="00F10970"/>
    <w:rsid w:val="00F10C31"/>
    <w:rsid w:val="00F11233"/>
    <w:rsid w:val="00F11A49"/>
    <w:rsid w:val="00F11F4D"/>
    <w:rsid w:val="00F125F3"/>
    <w:rsid w:val="00F1290B"/>
    <w:rsid w:val="00F130AA"/>
    <w:rsid w:val="00F134D8"/>
    <w:rsid w:val="00F13CC6"/>
    <w:rsid w:val="00F15A8D"/>
    <w:rsid w:val="00F17A99"/>
    <w:rsid w:val="00F2121C"/>
    <w:rsid w:val="00F2269C"/>
    <w:rsid w:val="00F2271B"/>
    <w:rsid w:val="00F22CD6"/>
    <w:rsid w:val="00F23940"/>
    <w:rsid w:val="00F23A8F"/>
    <w:rsid w:val="00F23ACD"/>
    <w:rsid w:val="00F23F37"/>
    <w:rsid w:val="00F2588B"/>
    <w:rsid w:val="00F258F2"/>
    <w:rsid w:val="00F25A9E"/>
    <w:rsid w:val="00F25C4B"/>
    <w:rsid w:val="00F26449"/>
    <w:rsid w:val="00F2664F"/>
    <w:rsid w:val="00F305C6"/>
    <w:rsid w:val="00F30793"/>
    <w:rsid w:val="00F30C10"/>
    <w:rsid w:val="00F329AB"/>
    <w:rsid w:val="00F32B13"/>
    <w:rsid w:val="00F32D7B"/>
    <w:rsid w:val="00F331CC"/>
    <w:rsid w:val="00F336D0"/>
    <w:rsid w:val="00F33D07"/>
    <w:rsid w:val="00F344C5"/>
    <w:rsid w:val="00F346B2"/>
    <w:rsid w:val="00F34D55"/>
    <w:rsid w:val="00F35C33"/>
    <w:rsid w:val="00F36290"/>
    <w:rsid w:val="00F3640F"/>
    <w:rsid w:val="00F373CE"/>
    <w:rsid w:val="00F40871"/>
    <w:rsid w:val="00F40E95"/>
    <w:rsid w:val="00F40F27"/>
    <w:rsid w:val="00F415AB"/>
    <w:rsid w:val="00F415D9"/>
    <w:rsid w:val="00F417D6"/>
    <w:rsid w:val="00F41D1F"/>
    <w:rsid w:val="00F41D43"/>
    <w:rsid w:val="00F41E7A"/>
    <w:rsid w:val="00F436D9"/>
    <w:rsid w:val="00F43994"/>
    <w:rsid w:val="00F44443"/>
    <w:rsid w:val="00F44657"/>
    <w:rsid w:val="00F45F43"/>
    <w:rsid w:val="00F46576"/>
    <w:rsid w:val="00F46927"/>
    <w:rsid w:val="00F46A5C"/>
    <w:rsid w:val="00F47E5E"/>
    <w:rsid w:val="00F5008D"/>
    <w:rsid w:val="00F5056B"/>
    <w:rsid w:val="00F5067D"/>
    <w:rsid w:val="00F50D8C"/>
    <w:rsid w:val="00F51DB7"/>
    <w:rsid w:val="00F51F0C"/>
    <w:rsid w:val="00F520AD"/>
    <w:rsid w:val="00F53275"/>
    <w:rsid w:val="00F535AF"/>
    <w:rsid w:val="00F53CA4"/>
    <w:rsid w:val="00F53F7F"/>
    <w:rsid w:val="00F54F02"/>
    <w:rsid w:val="00F55A22"/>
    <w:rsid w:val="00F561C5"/>
    <w:rsid w:val="00F56D80"/>
    <w:rsid w:val="00F57389"/>
    <w:rsid w:val="00F57662"/>
    <w:rsid w:val="00F5790D"/>
    <w:rsid w:val="00F57B0D"/>
    <w:rsid w:val="00F57EA5"/>
    <w:rsid w:val="00F60572"/>
    <w:rsid w:val="00F60652"/>
    <w:rsid w:val="00F60760"/>
    <w:rsid w:val="00F618E9"/>
    <w:rsid w:val="00F61BD1"/>
    <w:rsid w:val="00F61D57"/>
    <w:rsid w:val="00F62D54"/>
    <w:rsid w:val="00F62EE8"/>
    <w:rsid w:val="00F632BC"/>
    <w:rsid w:val="00F635BD"/>
    <w:rsid w:val="00F63882"/>
    <w:rsid w:val="00F665D4"/>
    <w:rsid w:val="00F66714"/>
    <w:rsid w:val="00F66D50"/>
    <w:rsid w:val="00F6738F"/>
    <w:rsid w:val="00F67E6A"/>
    <w:rsid w:val="00F7034C"/>
    <w:rsid w:val="00F729BA"/>
    <w:rsid w:val="00F734E8"/>
    <w:rsid w:val="00F735D4"/>
    <w:rsid w:val="00F746D7"/>
    <w:rsid w:val="00F74811"/>
    <w:rsid w:val="00F758CE"/>
    <w:rsid w:val="00F76287"/>
    <w:rsid w:val="00F766E9"/>
    <w:rsid w:val="00F768A7"/>
    <w:rsid w:val="00F76A53"/>
    <w:rsid w:val="00F775C6"/>
    <w:rsid w:val="00F77B2C"/>
    <w:rsid w:val="00F77CCF"/>
    <w:rsid w:val="00F77FF8"/>
    <w:rsid w:val="00F80677"/>
    <w:rsid w:val="00F81078"/>
    <w:rsid w:val="00F815B3"/>
    <w:rsid w:val="00F816D8"/>
    <w:rsid w:val="00F81A71"/>
    <w:rsid w:val="00F82235"/>
    <w:rsid w:val="00F8272C"/>
    <w:rsid w:val="00F82D18"/>
    <w:rsid w:val="00F85979"/>
    <w:rsid w:val="00F85EE3"/>
    <w:rsid w:val="00F86115"/>
    <w:rsid w:val="00F86ACC"/>
    <w:rsid w:val="00F8711B"/>
    <w:rsid w:val="00F90671"/>
    <w:rsid w:val="00F90A47"/>
    <w:rsid w:val="00F9116A"/>
    <w:rsid w:val="00F9166E"/>
    <w:rsid w:val="00F91F86"/>
    <w:rsid w:val="00F93795"/>
    <w:rsid w:val="00F93CEF"/>
    <w:rsid w:val="00F9434F"/>
    <w:rsid w:val="00F9504C"/>
    <w:rsid w:val="00F96219"/>
    <w:rsid w:val="00F97278"/>
    <w:rsid w:val="00F97C53"/>
    <w:rsid w:val="00F97C8A"/>
    <w:rsid w:val="00F97EC8"/>
    <w:rsid w:val="00F97F2C"/>
    <w:rsid w:val="00FA1B58"/>
    <w:rsid w:val="00FA2064"/>
    <w:rsid w:val="00FA2616"/>
    <w:rsid w:val="00FA2B6F"/>
    <w:rsid w:val="00FA31B1"/>
    <w:rsid w:val="00FA36DE"/>
    <w:rsid w:val="00FA3B47"/>
    <w:rsid w:val="00FA4F85"/>
    <w:rsid w:val="00FA526F"/>
    <w:rsid w:val="00FA53F4"/>
    <w:rsid w:val="00FA5CC0"/>
    <w:rsid w:val="00FA5D74"/>
    <w:rsid w:val="00FA61B4"/>
    <w:rsid w:val="00FA6B5A"/>
    <w:rsid w:val="00FA6FAF"/>
    <w:rsid w:val="00FA7B79"/>
    <w:rsid w:val="00FA7EDD"/>
    <w:rsid w:val="00FB006E"/>
    <w:rsid w:val="00FB07F8"/>
    <w:rsid w:val="00FB0C70"/>
    <w:rsid w:val="00FB147D"/>
    <w:rsid w:val="00FB161E"/>
    <w:rsid w:val="00FB342B"/>
    <w:rsid w:val="00FB39DE"/>
    <w:rsid w:val="00FB3CF0"/>
    <w:rsid w:val="00FB3F8E"/>
    <w:rsid w:val="00FB4079"/>
    <w:rsid w:val="00FB4082"/>
    <w:rsid w:val="00FB43D1"/>
    <w:rsid w:val="00FB4420"/>
    <w:rsid w:val="00FB4B03"/>
    <w:rsid w:val="00FB4F32"/>
    <w:rsid w:val="00FB557C"/>
    <w:rsid w:val="00FB6303"/>
    <w:rsid w:val="00FB6E5F"/>
    <w:rsid w:val="00FB760B"/>
    <w:rsid w:val="00FC0696"/>
    <w:rsid w:val="00FC099A"/>
    <w:rsid w:val="00FC13FF"/>
    <w:rsid w:val="00FC26C4"/>
    <w:rsid w:val="00FC34F6"/>
    <w:rsid w:val="00FC3529"/>
    <w:rsid w:val="00FC3759"/>
    <w:rsid w:val="00FC4F12"/>
    <w:rsid w:val="00FC5277"/>
    <w:rsid w:val="00FC61C9"/>
    <w:rsid w:val="00FC62CF"/>
    <w:rsid w:val="00FC66B4"/>
    <w:rsid w:val="00FC7251"/>
    <w:rsid w:val="00FC72BF"/>
    <w:rsid w:val="00FC73E5"/>
    <w:rsid w:val="00FD055D"/>
    <w:rsid w:val="00FD05A8"/>
    <w:rsid w:val="00FD06B7"/>
    <w:rsid w:val="00FD0BFB"/>
    <w:rsid w:val="00FD1CEC"/>
    <w:rsid w:val="00FD1E7B"/>
    <w:rsid w:val="00FD284C"/>
    <w:rsid w:val="00FD2E47"/>
    <w:rsid w:val="00FD339C"/>
    <w:rsid w:val="00FD56E2"/>
    <w:rsid w:val="00FD5C4F"/>
    <w:rsid w:val="00FD6E82"/>
    <w:rsid w:val="00FD70B9"/>
    <w:rsid w:val="00FD7137"/>
    <w:rsid w:val="00FD75EA"/>
    <w:rsid w:val="00FD76AA"/>
    <w:rsid w:val="00FE296C"/>
    <w:rsid w:val="00FE4647"/>
    <w:rsid w:val="00FE48FC"/>
    <w:rsid w:val="00FE4E1C"/>
    <w:rsid w:val="00FE565C"/>
    <w:rsid w:val="00FE5762"/>
    <w:rsid w:val="00FE5F2D"/>
    <w:rsid w:val="00FE6432"/>
    <w:rsid w:val="00FE6624"/>
    <w:rsid w:val="00FE6ADE"/>
    <w:rsid w:val="00FE7168"/>
    <w:rsid w:val="00FE76EC"/>
    <w:rsid w:val="00FE78AA"/>
    <w:rsid w:val="00FF0147"/>
    <w:rsid w:val="00FF1BD3"/>
    <w:rsid w:val="00FF408C"/>
    <w:rsid w:val="00FF50DC"/>
    <w:rsid w:val="00FF58BF"/>
    <w:rsid w:val="00FF5D43"/>
    <w:rsid w:val="00FF5E10"/>
    <w:rsid w:val="00FF6A96"/>
    <w:rsid w:val="00FF7588"/>
    <w:rsid w:val="047EC3C3"/>
    <w:rsid w:val="0731472C"/>
    <w:rsid w:val="115161E3"/>
    <w:rsid w:val="173FD6A8"/>
    <w:rsid w:val="19CCAC01"/>
    <w:rsid w:val="2F83F54E"/>
    <w:rsid w:val="48F7004C"/>
    <w:rsid w:val="49122776"/>
    <w:rsid w:val="596F96D1"/>
    <w:rsid w:val="60CE0B10"/>
    <w:rsid w:val="6DF53346"/>
    <w:rsid w:val="71E601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5E96F"/>
  <w15:chartTrackingRefBased/>
  <w15:docId w15:val="{C604778D-6A8C-4060-B62D-191279A5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27F"/>
  </w:style>
  <w:style w:type="paragraph" w:styleId="Ttulo1">
    <w:name w:val="heading 1"/>
    <w:basedOn w:val="Normal"/>
    <w:next w:val="Normal"/>
    <w:link w:val="Ttulo1Car"/>
    <w:uiPriority w:val="9"/>
    <w:qFormat/>
    <w:rsid w:val="0049027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49027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49027F"/>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49027F"/>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semiHidden/>
    <w:unhideWhenUsed/>
    <w:qFormat/>
    <w:rsid w:val="0049027F"/>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semiHidden/>
    <w:unhideWhenUsed/>
    <w:qFormat/>
    <w:rsid w:val="0049027F"/>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tulo7">
    <w:name w:val="heading 7"/>
    <w:basedOn w:val="Normal"/>
    <w:next w:val="Normal"/>
    <w:link w:val="Ttulo7Car"/>
    <w:uiPriority w:val="9"/>
    <w:semiHidden/>
    <w:unhideWhenUsed/>
    <w:qFormat/>
    <w:rsid w:val="004902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9027F"/>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
    <w:next w:val="Normal"/>
    <w:link w:val="Ttulo9Car"/>
    <w:uiPriority w:val="9"/>
    <w:semiHidden/>
    <w:unhideWhenUsed/>
    <w:qFormat/>
    <w:rsid w:val="004902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rsid w:val="008157FD"/>
    <w:pPr>
      <w:tabs>
        <w:tab w:val="left" w:pos="284"/>
        <w:tab w:val="right" w:leader="dot" w:pos="8828"/>
      </w:tabs>
      <w:spacing w:before="120"/>
    </w:pPr>
    <w:rPr>
      <w:noProof/>
      <w:szCs w:val="24"/>
    </w:rPr>
  </w:style>
  <w:style w:type="paragraph" w:styleId="Textoindependiente">
    <w:name w:val="Body Text"/>
    <w:basedOn w:val="Normal"/>
    <w:link w:val="TextoindependienteCar"/>
    <w:semiHidden/>
    <w:rsid w:val="00E816C3"/>
    <w:pPr>
      <w:jc w:val="center"/>
    </w:pPr>
    <w:rPr>
      <w:b/>
      <w:sz w:val="48"/>
    </w:rPr>
  </w:style>
  <w:style w:type="character" w:customStyle="1" w:styleId="TextoindependienteCar">
    <w:name w:val="Texto independiente Car"/>
    <w:basedOn w:val="Fuentedeprrafopredeter"/>
    <w:link w:val="Textoindependiente"/>
    <w:semiHidden/>
    <w:rsid w:val="00E816C3"/>
    <w:rPr>
      <w:rFonts w:ascii="Arial" w:eastAsia="Times New Roman" w:hAnsi="Arial" w:cs="Times New Roman"/>
      <w:b/>
      <w:sz w:val="48"/>
      <w:szCs w:val="20"/>
      <w:lang w:val="es-ES" w:eastAsia="es-ES"/>
    </w:rPr>
  </w:style>
  <w:style w:type="paragraph" w:styleId="TDC2">
    <w:name w:val="toc 2"/>
    <w:basedOn w:val="Normal"/>
    <w:next w:val="Normal"/>
    <w:autoRedefine/>
    <w:uiPriority w:val="39"/>
    <w:unhideWhenUsed/>
    <w:rsid w:val="00D311EE"/>
    <w:pPr>
      <w:tabs>
        <w:tab w:val="left" w:pos="480"/>
        <w:tab w:val="right" w:leader="dot" w:pos="8828"/>
      </w:tabs>
      <w:spacing w:after="100"/>
      <w:ind w:left="240"/>
    </w:pPr>
  </w:style>
  <w:style w:type="paragraph" w:styleId="TDC3">
    <w:name w:val="toc 3"/>
    <w:basedOn w:val="Normal"/>
    <w:next w:val="Normal"/>
    <w:autoRedefine/>
    <w:uiPriority w:val="39"/>
    <w:unhideWhenUsed/>
    <w:rsid w:val="00367A1D"/>
    <w:pPr>
      <w:spacing w:after="100"/>
      <w:ind w:left="480"/>
    </w:pPr>
  </w:style>
  <w:style w:type="character" w:customStyle="1" w:styleId="Ttulo1Car">
    <w:name w:val="Título 1 Car"/>
    <w:basedOn w:val="Fuentedeprrafopredeter"/>
    <w:link w:val="Ttulo1"/>
    <w:uiPriority w:val="9"/>
    <w:rsid w:val="0049027F"/>
    <w:rPr>
      <w:rFonts w:asciiTheme="majorHAnsi" w:eastAsiaTheme="majorEastAsia" w:hAnsiTheme="majorHAnsi" w:cstheme="majorBidi"/>
      <w:b/>
      <w:bCs/>
      <w:color w:val="2F5496" w:themeColor="accent1" w:themeShade="BF"/>
      <w:sz w:val="28"/>
      <w:szCs w:val="28"/>
    </w:rPr>
  </w:style>
  <w:style w:type="paragraph" w:styleId="TtuloTDC">
    <w:name w:val="TOC Heading"/>
    <w:basedOn w:val="Ttulo1"/>
    <w:next w:val="Normal"/>
    <w:uiPriority w:val="39"/>
    <w:semiHidden/>
    <w:unhideWhenUsed/>
    <w:qFormat/>
    <w:rsid w:val="0049027F"/>
    <w:pPr>
      <w:outlineLvl w:val="9"/>
    </w:pPr>
  </w:style>
  <w:style w:type="paragraph" w:styleId="Prrafodelista">
    <w:name w:val="List Paragraph"/>
    <w:aliases w:val="titulo 3,Liste 1,Bullets,References,Lista vistosa - Énfasis 11,Bolita,BOLA,BOLADEF,Antes de enumeración,Párrafo de lista2,Suntítulo 4,Bullet,lista numerada,Subtítulo 4,titulo 4,Fluvial1,Párrafo numerado,Titulo 4,lp1"/>
    <w:basedOn w:val="Normal"/>
    <w:link w:val="PrrafodelistaCar"/>
    <w:uiPriority w:val="34"/>
    <w:qFormat/>
    <w:rsid w:val="00D26556"/>
    <w:pPr>
      <w:ind w:left="720"/>
      <w:contextualSpacing/>
    </w:pPr>
  </w:style>
  <w:style w:type="paragraph" w:styleId="Textonotapie">
    <w:name w:val="footnote text"/>
    <w:aliases w:val="fn,footnote text,Footnote Text Char Char Char Char Char,Footnote Text Char Char Char Char,Footnote reference,FA Fu,Footnote Text Cha,Footnote Text Char Char Char,FA Fußnotentext,FA Fuﬂnotentext,Footnote Text Char Char,texto de nota al p"/>
    <w:basedOn w:val="Normal"/>
    <w:link w:val="TextonotapieCar"/>
    <w:uiPriority w:val="99"/>
    <w:unhideWhenUsed/>
    <w:rsid w:val="007D16A9"/>
    <w:rPr>
      <w:sz w:val="20"/>
    </w:rPr>
  </w:style>
  <w:style w:type="character" w:customStyle="1" w:styleId="TextonotapieCar">
    <w:name w:val="Texto nota pie Car"/>
    <w:aliases w:val="fn Car,footnote text Car,Footnote Text Char Char Char Char Char Car,Footnote Text Char Char Char Char Car,Footnote reference Car,FA Fu Car,Footnote Text Cha Car,Footnote Text Char Char Char Car,FA Fußnotentext Car,FA Fuﬂnotentext Car"/>
    <w:basedOn w:val="Fuentedeprrafopredeter"/>
    <w:link w:val="Textonotapie"/>
    <w:uiPriority w:val="99"/>
    <w:rsid w:val="007D16A9"/>
    <w:rPr>
      <w:rFonts w:ascii="Arial" w:eastAsia="Times New Roman" w:hAnsi="Arial"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basedOn w:val="Fuentedeprrafopredeter"/>
    <w:uiPriority w:val="99"/>
    <w:unhideWhenUsed/>
    <w:rsid w:val="007D16A9"/>
    <w:rPr>
      <w:vertAlign w:val="superscript"/>
    </w:rPr>
  </w:style>
  <w:style w:type="paragraph" w:styleId="Descripcin">
    <w:name w:val="caption"/>
    <w:basedOn w:val="Normal"/>
    <w:next w:val="Normal"/>
    <w:uiPriority w:val="35"/>
    <w:unhideWhenUsed/>
    <w:qFormat/>
    <w:rsid w:val="0049027F"/>
    <w:pPr>
      <w:spacing w:line="240" w:lineRule="auto"/>
    </w:pPr>
    <w:rPr>
      <w:b/>
      <w:bCs/>
      <w:color w:val="4472C4" w:themeColor="accent1"/>
      <w:sz w:val="18"/>
      <w:szCs w:val="18"/>
    </w:rPr>
  </w:style>
  <w:style w:type="character" w:styleId="Hipervnculo">
    <w:name w:val="Hyperlink"/>
    <w:basedOn w:val="Fuentedeprrafopredeter"/>
    <w:uiPriority w:val="99"/>
    <w:unhideWhenUsed/>
    <w:rsid w:val="00436EAD"/>
    <w:rPr>
      <w:color w:val="0563C1" w:themeColor="hyperlink"/>
      <w:u w:val="single"/>
    </w:rPr>
  </w:style>
  <w:style w:type="paragraph" w:styleId="Tabladeilustraciones">
    <w:name w:val="table of figures"/>
    <w:basedOn w:val="Normal"/>
    <w:next w:val="Normal"/>
    <w:uiPriority w:val="99"/>
    <w:unhideWhenUsed/>
    <w:rsid w:val="004650EB"/>
  </w:style>
  <w:style w:type="paragraph" w:styleId="Encabezado">
    <w:name w:val="header"/>
    <w:basedOn w:val="Normal"/>
    <w:link w:val="EncabezadoCar"/>
    <w:uiPriority w:val="99"/>
    <w:unhideWhenUsed/>
    <w:rsid w:val="0029589B"/>
    <w:pPr>
      <w:tabs>
        <w:tab w:val="center" w:pos="4419"/>
        <w:tab w:val="right" w:pos="8838"/>
      </w:tabs>
    </w:pPr>
  </w:style>
  <w:style w:type="character" w:customStyle="1" w:styleId="EncabezadoCar">
    <w:name w:val="Encabezado Car"/>
    <w:basedOn w:val="Fuentedeprrafopredeter"/>
    <w:link w:val="Encabezado"/>
    <w:uiPriority w:val="99"/>
    <w:rsid w:val="0029589B"/>
    <w:rPr>
      <w:rFonts w:ascii="Arial" w:eastAsia="Times New Roman" w:hAnsi="Arial" w:cs="Times New Roman"/>
      <w:sz w:val="24"/>
      <w:szCs w:val="20"/>
      <w:lang w:val="es-ES" w:eastAsia="es-ES"/>
    </w:rPr>
  </w:style>
  <w:style w:type="paragraph" w:styleId="Piedepgina">
    <w:name w:val="footer"/>
    <w:basedOn w:val="Normal"/>
    <w:link w:val="PiedepginaCar"/>
    <w:uiPriority w:val="99"/>
    <w:unhideWhenUsed/>
    <w:rsid w:val="0029589B"/>
    <w:pPr>
      <w:tabs>
        <w:tab w:val="center" w:pos="4419"/>
        <w:tab w:val="right" w:pos="8838"/>
      </w:tabs>
    </w:pPr>
  </w:style>
  <w:style w:type="character" w:customStyle="1" w:styleId="PiedepginaCar">
    <w:name w:val="Pie de página Car"/>
    <w:basedOn w:val="Fuentedeprrafopredeter"/>
    <w:link w:val="Piedepgina"/>
    <w:uiPriority w:val="99"/>
    <w:rsid w:val="0029589B"/>
    <w:rPr>
      <w:rFonts w:ascii="Arial" w:eastAsia="Times New Roman" w:hAnsi="Arial" w:cs="Times New Roman"/>
      <w:sz w:val="24"/>
      <w:szCs w:val="20"/>
      <w:lang w:val="es-ES" w:eastAsia="es-ES"/>
    </w:rPr>
  </w:style>
  <w:style w:type="paragraph" w:styleId="Revisin">
    <w:name w:val="Revision"/>
    <w:hidden/>
    <w:uiPriority w:val="99"/>
    <w:semiHidden/>
    <w:rsid w:val="0029589B"/>
    <w:pPr>
      <w:spacing w:after="0" w:line="240" w:lineRule="auto"/>
    </w:pPr>
    <w:rPr>
      <w:rFonts w:ascii="Arial" w:eastAsia="Times New Roman" w:hAnsi="Arial" w:cs="Times New Roman"/>
      <w:sz w:val="24"/>
      <w:szCs w:val="20"/>
      <w:lang w:val="es-ES" w:eastAsia="es-ES"/>
    </w:rPr>
  </w:style>
  <w:style w:type="character" w:styleId="Refdecomentario">
    <w:name w:val="annotation reference"/>
    <w:basedOn w:val="Fuentedeprrafopredeter"/>
    <w:uiPriority w:val="99"/>
    <w:semiHidden/>
    <w:unhideWhenUsed/>
    <w:rsid w:val="0029589B"/>
    <w:rPr>
      <w:sz w:val="16"/>
      <w:szCs w:val="16"/>
    </w:rPr>
  </w:style>
  <w:style w:type="paragraph" w:styleId="Textocomentario">
    <w:name w:val="annotation text"/>
    <w:basedOn w:val="Normal"/>
    <w:link w:val="TextocomentarioCar"/>
    <w:uiPriority w:val="99"/>
    <w:unhideWhenUsed/>
    <w:rsid w:val="0029589B"/>
    <w:rPr>
      <w:sz w:val="20"/>
    </w:rPr>
  </w:style>
  <w:style w:type="character" w:customStyle="1" w:styleId="TextocomentarioCar">
    <w:name w:val="Texto comentario Car"/>
    <w:basedOn w:val="Fuentedeprrafopredeter"/>
    <w:link w:val="Textocomentario"/>
    <w:uiPriority w:val="99"/>
    <w:rsid w:val="0029589B"/>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9589B"/>
    <w:rPr>
      <w:b/>
      <w:bCs/>
    </w:rPr>
  </w:style>
  <w:style w:type="character" w:customStyle="1" w:styleId="AsuntodelcomentarioCar">
    <w:name w:val="Asunto del comentario Car"/>
    <w:basedOn w:val="TextocomentarioCar"/>
    <w:link w:val="Asuntodelcomentario"/>
    <w:uiPriority w:val="99"/>
    <w:semiHidden/>
    <w:rsid w:val="0029589B"/>
    <w:rPr>
      <w:rFonts w:ascii="Arial" w:eastAsia="Times New Roman" w:hAnsi="Arial" w:cs="Times New Roman"/>
      <w:b/>
      <w:bCs/>
      <w:sz w:val="20"/>
      <w:szCs w:val="20"/>
      <w:lang w:val="es-ES" w:eastAsia="es-ES"/>
    </w:rPr>
  </w:style>
  <w:style w:type="character" w:styleId="Mencinsinresolver">
    <w:name w:val="Unresolved Mention"/>
    <w:basedOn w:val="Fuentedeprrafopredeter"/>
    <w:uiPriority w:val="99"/>
    <w:semiHidden/>
    <w:unhideWhenUsed/>
    <w:rsid w:val="00E6567F"/>
    <w:rPr>
      <w:color w:val="605E5C"/>
      <w:shd w:val="clear" w:color="auto" w:fill="E1DFDD"/>
    </w:rPr>
  </w:style>
  <w:style w:type="character" w:customStyle="1" w:styleId="Ttulo2Car">
    <w:name w:val="Título 2 Car"/>
    <w:basedOn w:val="Fuentedeprrafopredeter"/>
    <w:link w:val="Ttulo2"/>
    <w:uiPriority w:val="9"/>
    <w:rsid w:val="0049027F"/>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uiPriority w:val="9"/>
    <w:rsid w:val="0049027F"/>
    <w:rPr>
      <w:rFonts w:asciiTheme="majorHAnsi" w:eastAsiaTheme="majorEastAsia" w:hAnsiTheme="majorHAnsi" w:cstheme="majorBidi"/>
      <w:b/>
      <w:bCs/>
      <w:color w:val="4472C4" w:themeColor="accent1"/>
    </w:rPr>
  </w:style>
  <w:style w:type="character" w:customStyle="1" w:styleId="PrrafodelistaCar">
    <w:name w:val="Párrafo de lista Car"/>
    <w:aliases w:val="titulo 3 Car,Liste 1 Car,Bullets Car,References Car,Lista vistosa - Énfasis 11 Car,Bolita Car,BOLA Car,BOLADEF Car,Antes de enumeración Car,Párrafo de lista2 Car,Suntítulo 4 Car,Bullet Car,lista numerada Car,Subtítulo 4 Car,lp1 Car"/>
    <w:basedOn w:val="Fuentedeprrafopredeter"/>
    <w:link w:val="Prrafodelista"/>
    <w:uiPriority w:val="34"/>
    <w:qFormat/>
    <w:locked/>
    <w:rsid w:val="009814EA"/>
  </w:style>
  <w:style w:type="table" w:styleId="Tablaconcuadrcula">
    <w:name w:val="Table Grid"/>
    <w:basedOn w:val="Tablanormal"/>
    <w:uiPriority w:val="39"/>
    <w:rsid w:val="00B41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83C2C"/>
    <w:pPr>
      <w:spacing w:after="120" w:line="480" w:lineRule="auto"/>
    </w:pPr>
  </w:style>
  <w:style w:type="character" w:customStyle="1" w:styleId="Textoindependiente2Car">
    <w:name w:val="Texto independiente 2 Car"/>
    <w:basedOn w:val="Fuentedeprrafopredeter"/>
    <w:link w:val="Textoindependiente2"/>
    <w:uiPriority w:val="99"/>
    <w:semiHidden/>
    <w:rsid w:val="00E83C2C"/>
    <w:rPr>
      <w:rFonts w:ascii="Arial" w:eastAsia="Times New Roman" w:hAnsi="Arial" w:cs="Times New Roman"/>
      <w:sz w:val="24"/>
      <w:szCs w:val="20"/>
      <w:lang w:val="es-ES" w:eastAsia="es-ES"/>
    </w:rPr>
  </w:style>
  <w:style w:type="paragraph" w:styleId="Cita">
    <w:name w:val="Quote"/>
    <w:basedOn w:val="Normal"/>
    <w:next w:val="Normal"/>
    <w:link w:val="CitaCar"/>
    <w:uiPriority w:val="29"/>
    <w:qFormat/>
    <w:rsid w:val="0049027F"/>
    <w:rPr>
      <w:i/>
      <w:iCs/>
      <w:color w:val="000000" w:themeColor="text1"/>
    </w:rPr>
  </w:style>
  <w:style w:type="character" w:customStyle="1" w:styleId="CitaCar">
    <w:name w:val="Cita Car"/>
    <w:basedOn w:val="Fuentedeprrafopredeter"/>
    <w:link w:val="Cita"/>
    <w:uiPriority w:val="29"/>
    <w:rsid w:val="0049027F"/>
    <w:rPr>
      <w:i/>
      <w:iCs/>
      <w:color w:val="000000" w:themeColor="text1"/>
    </w:rPr>
  </w:style>
  <w:style w:type="paragraph" w:customStyle="1" w:styleId="Default">
    <w:name w:val="Default"/>
    <w:rsid w:val="00E65105"/>
    <w:pPr>
      <w:autoSpaceDE w:val="0"/>
      <w:autoSpaceDN w:val="0"/>
      <w:adjustRightInd w:val="0"/>
      <w:spacing w:after="0" w:line="240" w:lineRule="auto"/>
    </w:pPr>
    <w:rPr>
      <w:rFonts w:ascii="Times New Roman" w:hAnsi="Times New Roman" w:cs="Times New Roman"/>
      <w:color w:val="000000"/>
      <w:sz w:val="24"/>
      <w:szCs w:val="24"/>
      <w:lang w:val="es-CO"/>
    </w:rPr>
  </w:style>
  <w:style w:type="table" w:styleId="Tablaconcuadrcula1clara">
    <w:name w:val="Grid Table 1 Light"/>
    <w:basedOn w:val="Tablanormal"/>
    <w:uiPriority w:val="46"/>
    <w:rsid w:val="00B94D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semiHidden/>
    <w:rsid w:val="0049027F"/>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uiPriority w:val="9"/>
    <w:semiHidden/>
    <w:rsid w:val="0049027F"/>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semiHidden/>
    <w:rsid w:val="0049027F"/>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49027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9027F"/>
    <w:rPr>
      <w:rFonts w:asciiTheme="majorHAnsi" w:eastAsiaTheme="majorEastAsia" w:hAnsiTheme="majorHAnsi" w:cstheme="majorBidi"/>
      <w:color w:val="4472C4" w:themeColor="accent1"/>
      <w:sz w:val="20"/>
      <w:szCs w:val="20"/>
    </w:rPr>
  </w:style>
  <w:style w:type="character" w:customStyle="1" w:styleId="Ttulo9Car">
    <w:name w:val="Título 9 Car"/>
    <w:basedOn w:val="Fuentedeprrafopredeter"/>
    <w:link w:val="Ttulo9"/>
    <w:uiPriority w:val="9"/>
    <w:semiHidden/>
    <w:rsid w:val="0049027F"/>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
    <w:uiPriority w:val="10"/>
    <w:qFormat/>
    <w:rsid w:val="0049027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ar">
    <w:name w:val="Título Car"/>
    <w:basedOn w:val="Fuentedeprrafopredeter"/>
    <w:link w:val="Ttulo"/>
    <w:uiPriority w:val="10"/>
    <w:rsid w:val="0049027F"/>
    <w:rPr>
      <w:rFonts w:asciiTheme="majorHAnsi" w:eastAsiaTheme="majorEastAsia" w:hAnsiTheme="majorHAnsi" w:cstheme="majorBidi"/>
      <w:color w:val="323E4F" w:themeColor="text2" w:themeShade="BF"/>
      <w:spacing w:val="5"/>
      <w:sz w:val="52"/>
      <w:szCs w:val="52"/>
    </w:rPr>
  </w:style>
  <w:style w:type="paragraph" w:styleId="Subttulo">
    <w:name w:val="Subtitle"/>
    <w:basedOn w:val="Normal"/>
    <w:next w:val="Normal"/>
    <w:link w:val="SubttuloCar"/>
    <w:uiPriority w:val="11"/>
    <w:qFormat/>
    <w:rsid w:val="0049027F"/>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49027F"/>
    <w:rPr>
      <w:rFonts w:asciiTheme="majorHAnsi" w:eastAsiaTheme="majorEastAsia" w:hAnsiTheme="majorHAnsi" w:cstheme="majorBidi"/>
      <w:i/>
      <w:iCs/>
      <w:color w:val="4472C4" w:themeColor="accent1"/>
      <w:spacing w:val="15"/>
      <w:sz w:val="24"/>
      <w:szCs w:val="24"/>
    </w:rPr>
  </w:style>
  <w:style w:type="character" w:styleId="Textoennegrita">
    <w:name w:val="Strong"/>
    <w:basedOn w:val="Fuentedeprrafopredeter"/>
    <w:uiPriority w:val="22"/>
    <w:qFormat/>
    <w:rsid w:val="0049027F"/>
    <w:rPr>
      <w:b/>
      <w:bCs/>
    </w:rPr>
  </w:style>
  <w:style w:type="character" w:styleId="nfasis">
    <w:name w:val="Emphasis"/>
    <w:basedOn w:val="Fuentedeprrafopredeter"/>
    <w:uiPriority w:val="20"/>
    <w:qFormat/>
    <w:rsid w:val="0049027F"/>
    <w:rPr>
      <w:i/>
      <w:iCs/>
    </w:rPr>
  </w:style>
  <w:style w:type="paragraph" w:styleId="Sinespaciado">
    <w:name w:val="No Spacing"/>
    <w:uiPriority w:val="1"/>
    <w:qFormat/>
    <w:rsid w:val="0049027F"/>
    <w:pPr>
      <w:spacing w:after="0" w:line="240" w:lineRule="auto"/>
    </w:pPr>
  </w:style>
  <w:style w:type="paragraph" w:styleId="Citadestacada">
    <w:name w:val="Intense Quote"/>
    <w:basedOn w:val="Normal"/>
    <w:next w:val="Normal"/>
    <w:link w:val="CitadestacadaCar"/>
    <w:uiPriority w:val="30"/>
    <w:qFormat/>
    <w:rsid w:val="0049027F"/>
    <w:pPr>
      <w:pBdr>
        <w:bottom w:val="single" w:sz="4" w:space="4" w:color="4472C4" w:themeColor="accent1"/>
      </w:pBdr>
      <w:spacing w:before="200" w:after="280"/>
      <w:ind w:left="936" w:right="936"/>
    </w:pPr>
    <w:rPr>
      <w:b/>
      <w:bCs/>
      <w:i/>
      <w:iCs/>
      <w:color w:val="4472C4" w:themeColor="accent1"/>
    </w:rPr>
  </w:style>
  <w:style w:type="character" w:customStyle="1" w:styleId="CitadestacadaCar">
    <w:name w:val="Cita destacada Car"/>
    <w:basedOn w:val="Fuentedeprrafopredeter"/>
    <w:link w:val="Citadestacada"/>
    <w:uiPriority w:val="30"/>
    <w:rsid w:val="0049027F"/>
    <w:rPr>
      <w:b/>
      <w:bCs/>
      <w:i/>
      <w:iCs/>
      <w:color w:val="4472C4" w:themeColor="accent1"/>
    </w:rPr>
  </w:style>
  <w:style w:type="character" w:styleId="nfasissutil">
    <w:name w:val="Subtle Emphasis"/>
    <w:basedOn w:val="Fuentedeprrafopredeter"/>
    <w:uiPriority w:val="19"/>
    <w:qFormat/>
    <w:rsid w:val="0049027F"/>
    <w:rPr>
      <w:i/>
      <w:iCs/>
      <w:color w:val="808080" w:themeColor="text1" w:themeTint="7F"/>
    </w:rPr>
  </w:style>
  <w:style w:type="character" w:styleId="nfasisintenso">
    <w:name w:val="Intense Emphasis"/>
    <w:basedOn w:val="Fuentedeprrafopredeter"/>
    <w:uiPriority w:val="21"/>
    <w:qFormat/>
    <w:rsid w:val="0049027F"/>
    <w:rPr>
      <w:b/>
      <w:bCs/>
      <w:i/>
      <w:iCs/>
      <w:color w:val="4472C4" w:themeColor="accent1"/>
    </w:rPr>
  </w:style>
  <w:style w:type="character" w:styleId="Referenciasutil">
    <w:name w:val="Subtle Reference"/>
    <w:basedOn w:val="Fuentedeprrafopredeter"/>
    <w:uiPriority w:val="31"/>
    <w:qFormat/>
    <w:rsid w:val="0049027F"/>
    <w:rPr>
      <w:smallCaps/>
      <w:color w:val="ED7D31" w:themeColor="accent2"/>
      <w:u w:val="single"/>
    </w:rPr>
  </w:style>
  <w:style w:type="character" w:styleId="Referenciaintensa">
    <w:name w:val="Intense Reference"/>
    <w:basedOn w:val="Fuentedeprrafopredeter"/>
    <w:uiPriority w:val="32"/>
    <w:qFormat/>
    <w:rsid w:val="0049027F"/>
    <w:rPr>
      <w:b/>
      <w:bCs/>
      <w:smallCaps/>
      <w:color w:val="ED7D31" w:themeColor="accent2"/>
      <w:spacing w:val="5"/>
      <w:u w:val="single"/>
    </w:rPr>
  </w:style>
  <w:style w:type="character" w:styleId="Ttulodellibro">
    <w:name w:val="Book Title"/>
    <w:basedOn w:val="Fuentedeprrafopredeter"/>
    <w:uiPriority w:val="33"/>
    <w:qFormat/>
    <w:rsid w:val="0049027F"/>
    <w:rPr>
      <w:b/>
      <w:bCs/>
      <w:smallCaps/>
      <w:spacing w:val="5"/>
    </w:rPr>
  </w:style>
  <w:style w:type="paragraph" w:customStyle="1" w:styleId="Estilo1">
    <w:name w:val="Estilo1"/>
    <w:basedOn w:val="Ttulo1"/>
    <w:link w:val="Estilo1Car"/>
    <w:qFormat/>
    <w:rsid w:val="00CE5A3B"/>
  </w:style>
  <w:style w:type="paragraph" w:customStyle="1" w:styleId="Estilo2">
    <w:name w:val="Estilo2"/>
    <w:basedOn w:val="Estilo1"/>
    <w:link w:val="Estilo2Car"/>
    <w:qFormat/>
    <w:rsid w:val="00CE5A3B"/>
    <w:pPr>
      <w:spacing w:line="360" w:lineRule="auto"/>
      <w:jc w:val="center"/>
    </w:pPr>
  </w:style>
  <w:style w:type="character" w:customStyle="1" w:styleId="Estilo1Car">
    <w:name w:val="Estilo1 Car"/>
    <w:basedOn w:val="Ttulo1Car"/>
    <w:link w:val="Estilo1"/>
    <w:rsid w:val="00CE5A3B"/>
    <w:rPr>
      <w:rFonts w:asciiTheme="majorHAnsi" w:eastAsiaTheme="majorEastAsia" w:hAnsiTheme="majorHAnsi" w:cstheme="majorBidi"/>
      <w:b/>
      <w:bCs/>
      <w:color w:val="2F5496" w:themeColor="accent1" w:themeShade="BF"/>
      <w:sz w:val="28"/>
      <w:szCs w:val="28"/>
    </w:rPr>
  </w:style>
  <w:style w:type="character" w:customStyle="1" w:styleId="Estilo2Car">
    <w:name w:val="Estilo2 Car"/>
    <w:basedOn w:val="Estilo1Car"/>
    <w:link w:val="Estilo2"/>
    <w:rsid w:val="00CE5A3B"/>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0209D"/>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paragraph" w:customStyle="1" w:styleId="paragraph">
    <w:name w:val="paragraph"/>
    <w:basedOn w:val="Normal"/>
    <w:rsid w:val="000A332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0A3322"/>
  </w:style>
  <w:style w:type="character" w:customStyle="1" w:styleId="eop">
    <w:name w:val="eop"/>
    <w:basedOn w:val="Fuentedeprrafopredeter"/>
    <w:rsid w:val="000A3322"/>
  </w:style>
  <w:style w:type="paragraph" w:styleId="Listaconvietas">
    <w:name w:val="List Bullet"/>
    <w:basedOn w:val="Normal"/>
    <w:uiPriority w:val="99"/>
    <w:unhideWhenUsed/>
    <w:rsid w:val="00D16224"/>
    <w:pPr>
      <w:numPr>
        <w:numId w:val="4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482145">
      <w:bodyDiv w:val="1"/>
      <w:marLeft w:val="0"/>
      <w:marRight w:val="0"/>
      <w:marTop w:val="0"/>
      <w:marBottom w:val="0"/>
      <w:divBdr>
        <w:top w:val="none" w:sz="0" w:space="0" w:color="auto"/>
        <w:left w:val="none" w:sz="0" w:space="0" w:color="auto"/>
        <w:bottom w:val="none" w:sz="0" w:space="0" w:color="auto"/>
        <w:right w:val="none" w:sz="0" w:space="0" w:color="auto"/>
      </w:divBdr>
      <w:divsChild>
        <w:div w:id="435491334">
          <w:marLeft w:val="0"/>
          <w:marRight w:val="0"/>
          <w:marTop w:val="0"/>
          <w:marBottom w:val="0"/>
          <w:divBdr>
            <w:top w:val="none" w:sz="0" w:space="0" w:color="auto"/>
            <w:left w:val="none" w:sz="0" w:space="0" w:color="auto"/>
            <w:bottom w:val="none" w:sz="0" w:space="0" w:color="auto"/>
            <w:right w:val="none" w:sz="0" w:space="0" w:color="auto"/>
          </w:divBdr>
          <w:divsChild>
            <w:div w:id="1369256630">
              <w:marLeft w:val="0"/>
              <w:marRight w:val="0"/>
              <w:marTop w:val="0"/>
              <w:marBottom w:val="0"/>
              <w:divBdr>
                <w:top w:val="none" w:sz="0" w:space="0" w:color="auto"/>
                <w:left w:val="none" w:sz="0" w:space="0" w:color="auto"/>
                <w:bottom w:val="none" w:sz="0" w:space="0" w:color="auto"/>
                <w:right w:val="none" w:sz="0" w:space="0" w:color="auto"/>
              </w:divBdr>
              <w:divsChild>
                <w:div w:id="886837485">
                  <w:marLeft w:val="0"/>
                  <w:marRight w:val="0"/>
                  <w:marTop w:val="0"/>
                  <w:marBottom w:val="0"/>
                  <w:divBdr>
                    <w:top w:val="none" w:sz="0" w:space="0" w:color="auto"/>
                    <w:left w:val="none" w:sz="0" w:space="0" w:color="auto"/>
                    <w:bottom w:val="none" w:sz="0" w:space="0" w:color="auto"/>
                    <w:right w:val="none" w:sz="0" w:space="0" w:color="auto"/>
                  </w:divBdr>
                  <w:divsChild>
                    <w:div w:id="14456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5997">
      <w:bodyDiv w:val="1"/>
      <w:marLeft w:val="0"/>
      <w:marRight w:val="0"/>
      <w:marTop w:val="0"/>
      <w:marBottom w:val="0"/>
      <w:divBdr>
        <w:top w:val="none" w:sz="0" w:space="0" w:color="auto"/>
        <w:left w:val="none" w:sz="0" w:space="0" w:color="auto"/>
        <w:bottom w:val="none" w:sz="0" w:space="0" w:color="auto"/>
        <w:right w:val="none" w:sz="0" w:space="0" w:color="auto"/>
      </w:divBdr>
      <w:divsChild>
        <w:div w:id="1725716673">
          <w:marLeft w:val="0"/>
          <w:marRight w:val="0"/>
          <w:marTop w:val="0"/>
          <w:marBottom w:val="0"/>
          <w:divBdr>
            <w:top w:val="none" w:sz="0" w:space="0" w:color="auto"/>
            <w:left w:val="none" w:sz="0" w:space="0" w:color="auto"/>
            <w:bottom w:val="none" w:sz="0" w:space="0" w:color="auto"/>
            <w:right w:val="none" w:sz="0" w:space="0" w:color="auto"/>
          </w:divBdr>
          <w:divsChild>
            <w:div w:id="12877659">
              <w:marLeft w:val="0"/>
              <w:marRight w:val="0"/>
              <w:marTop w:val="0"/>
              <w:marBottom w:val="0"/>
              <w:divBdr>
                <w:top w:val="none" w:sz="0" w:space="0" w:color="auto"/>
                <w:left w:val="none" w:sz="0" w:space="0" w:color="auto"/>
                <w:bottom w:val="none" w:sz="0" w:space="0" w:color="auto"/>
                <w:right w:val="none" w:sz="0" w:space="0" w:color="auto"/>
              </w:divBdr>
              <w:divsChild>
                <w:div w:id="1574124988">
                  <w:marLeft w:val="0"/>
                  <w:marRight w:val="0"/>
                  <w:marTop w:val="0"/>
                  <w:marBottom w:val="0"/>
                  <w:divBdr>
                    <w:top w:val="none" w:sz="0" w:space="0" w:color="auto"/>
                    <w:left w:val="none" w:sz="0" w:space="0" w:color="auto"/>
                    <w:bottom w:val="none" w:sz="0" w:space="0" w:color="auto"/>
                    <w:right w:val="none" w:sz="0" w:space="0" w:color="auto"/>
                  </w:divBdr>
                  <w:divsChild>
                    <w:div w:id="9930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76332">
      <w:bodyDiv w:val="1"/>
      <w:marLeft w:val="0"/>
      <w:marRight w:val="0"/>
      <w:marTop w:val="0"/>
      <w:marBottom w:val="0"/>
      <w:divBdr>
        <w:top w:val="none" w:sz="0" w:space="0" w:color="auto"/>
        <w:left w:val="none" w:sz="0" w:space="0" w:color="auto"/>
        <w:bottom w:val="none" w:sz="0" w:space="0" w:color="auto"/>
        <w:right w:val="none" w:sz="0" w:space="0" w:color="auto"/>
      </w:divBdr>
    </w:div>
    <w:div w:id="385446181">
      <w:bodyDiv w:val="1"/>
      <w:marLeft w:val="0"/>
      <w:marRight w:val="0"/>
      <w:marTop w:val="0"/>
      <w:marBottom w:val="0"/>
      <w:divBdr>
        <w:top w:val="none" w:sz="0" w:space="0" w:color="auto"/>
        <w:left w:val="none" w:sz="0" w:space="0" w:color="auto"/>
        <w:bottom w:val="none" w:sz="0" w:space="0" w:color="auto"/>
        <w:right w:val="none" w:sz="0" w:space="0" w:color="auto"/>
      </w:divBdr>
    </w:div>
    <w:div w:id="417555364">
      <w:bodyDiv w:val="1"/>
      <w:marLeft w:val="0"/>
      <w:marRight w:val="0"/>
      <w:marTop w:val="0"/>
      <w:marBottom w:val="0"/>
      <w:divBdr>
        <w:top w:val="none" w:sz="0" w:space="0" w:color="auto"/>
        <w:left w:val="none" w:sz="0" w:space="0" w:color="auto"/>
        <w:bottom w:val="none" w:sz="0" w:space="0" w:color="auto"/>
        <w:right w:val="none" w:sz="0" w:space="0" w:color="auto"/>
      </w:divBdr>
      <w:divsChild>
        <w:div w:id="408887095">
          <w:marLeft w:val="0"/>
          <w:marRight w:val="0"/>
          <w:marTop w:val="0"/>
          <w:marBottom w:val="0"/>
          <w:divBdr>
            <w:top w:val="none" w:sz="0" w:space="0" w:color="auto"/>
            <w:left w:val="none" w:sz="0" w:space="0" w:color="auto"/>
            <w:bottom w:val="none" w:sz="0" w:space="0" w:color="auto"/>
            <w:right w:val="none" w:sz="0" w:space="0" w:color="auto"/>
          </w:divBdr>
          <w:divsChild>
            <w:div w:id="1507667818">
              <w:marLeft w:val="0"/>
              <w:marRight w:val="0"/>
              <w:marTop w:val="0"/>
              <w:marBottom w:val="0"/>
              <w:divBdr>
                <w:top w:val="none" w:sz="0" w:space="0" w:color="auto"/>
                <w:left w:val="none" w:sz="0" w:space="0" w:color="auto"/>
                <w:bottom w:val="none" w:sz="0" w:space="0" w:color="auto"/>
                <w:right w:val="none" w:sz="0" w:space="0" w:color="auto"/>
              </w:divBdr>
              <w:divsChild>
                <w:div w:id="1362973694">
                  <w:marLeft w:val="0"/>
                  <w:marRight w:val="0"/>
                  <w:marTop w:val="0"/>
                  <w:marBottom w:val="0"/>
                  <w:divBdr>
                    <w:top w:val="none" w:sz="0" w:space="0" w:color="auto"/>
                    <w:left w:val="none" w:sz="0" w:space="0" w:color="auto"/>
                    <w:bottom w:val="none" w:sz="0" w:space="0" w:color="auto"/>
                    <w:right w:val="none" w:sz="0" w:space="0" w:color="auto"/>
                  </w:divBdr>
                  <w:divsChild>
                    <w:div w:id="1926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330894">
      <w:bodyDiv w:val="1"/>
      <w:marLeft w:val="0"/>
      <w:marRight w:val="0"/>
      <w:marTop w:val="0"/>
      <w:marBottom w:val="0"/>
      <w:divBdr>
        <w:top w:val="none" w:sz="0" w:space="0" w:color="auto"/>
        <w:left w:val="none" w:sz="0" w:space="0" w:color="auto"/>
        <w:bottom w:val="none" w:sz="0" w:space="0" w:color="auto"/>
        <w:right w:val="none" w:sz="0" w:space="0" w:color="auto"/>
      </w:divBdr>
      <w:divsChild>
        <w:div w:id="2025202928">
          <w:marLeft w:val="0"/>
          <w:marRight w:val="0"/>
          <w:marTop w:val="0"/>
          <w:marBottom w:val="0"/>
          <w:divBdr>
            <w:top w:val="none" w:sz="0" w:space="0" w:color="auto"/>
            <w:left w:val="none" w:sz="0" w:space="0" w:color="auto"/>
            <w:bottom w:val="none" w:sz="0" w:space="0" w:color="auto"/>
            <w:right w:val="none" w:sz="0" w:space="0" w:color="auto"/>
          </w:divBdr>
          <w:divsChild>
            <w:div w:id="2037072894">
              <w:marLeft w:val="0"/>
              <w:marRight w:val="0"/>
              <w:marTop w:val="0"/>
              <w:marBottom w:val="0"/>
              <w:divBdr>
                <w:top w:val="none" w:sz="0" w:space="0" w:color="auto"/>
                <w:left w:val="none" w:sz="0" w:space="0" w:color="auto"/>
                <w:bottom w:val="none" w:sz="0" w:space="0" w:color="auto"/>
                <w:right w:val="none" w:sz="0" w:space="0" w:color="auto"/>
              </w:divBdr>
              <w:divsChild>
                <w:div w:id="1218707592">
                  <w:marLeft w:val="0"/>
                  <w:marRight w:val="0"/>
                  <w:marTop w:val="0"/>
                  <w:marBottom w:val="0"/>
                  <w:divBdr>
                    <w:top w:val="none" w:sz="0" w:space="0" w:color="auto"/>
                    <w:left w:val="none" w:sz="0" w:space="0" w:color="auto"/>
                    <w:bottom w:val="none" w:sz="0" w:space="0" w:color="auto"/>
                    <w:right w:val="none" w:sz="0" w:space="0" w:color="auto"/>
                  </w:divBdr>
                  <w:divsChild>
                    <w:div w:id="7286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7537">
      <w:bodyDiv w:val="1"/>
      <w:marLeft w:val="0"/>
      <w:marRight w:val="0"/>
      <w:marTop w:val="0"/>
      <w:marBottom w:val="0"/>
      <w:divBdr>
        <w:top w:val="none" w:sz="0" w:space="0" w:color="auto"/>
        <w:left w:val="none" w:sz="0" w:space="0" w:color="auto"/>
        <w:bottom w:val="none" w:sz="0" w:space="0" w:color="auto"/>
        <w:right w:val="none" w:sz="0" w:space="0" w:color="auto"/>
      </w:divBdr>
    </w:div>
    <w:div w:id="807093398">
      <w:bodyDiv w:val="1"/>
      <w:marLeft w:val="0"/>
      <w:marRight w:val="0"/>
      <w:marTop w:val="0"/>
      <w:marBottom w:val="0"/>
      <w:divBdr>
        <w:top w:val="none" w:sz="0" w:space="0" w:color="auto"/>
        <w:left w:val="none" w:sz="0" w:space="0" w:color="auto"/>
        <w:bottom w:val="none" w:sz="0" w:space="0" w:color="auto"/>
        <w:right w:val="none" w:sz="0" w:space="0" w:color="auto"/>
      </w:divBdr>
      <w:divsChild>
        <w:div w:id="1755393709">
          <w:marLeft w:val="0"/>
          <w:marRight w:val="0"/>
          <w:marTop w:val="0"/>
          <w:marBottom w:val="0"/>
          <w:divBdr>
            <w:top w:val="none" w:sz="0" w:space="0" w:color="auto"/>
            <w:left w:val="none" w:sz="0" w:space="0" w:color="auto"/>
            <w:bottom w:val="none" w:sz="0" w:space="0" w:color="auto"/>
            <w:right w:val="none" w:sz="0" w:space="0" w:color="auto"/>
          </w:divBdr>
          <w:divsChild>
            <w:div w:id="457573886">
              <w:marLeft w:val="0"/>
              <w:marRight w:val="0"/>
              <w:marTop w:val="0"/>
              <w:marBottom w:val="0"/>
              <w:divBdr>
                <w:top w:val="none" w:sz="0" w:space="0" w:color="auto"/>
                <w:left w:val="none" w:sz="0" w:space="0" w:color="auto"/>
                <w:bottom w:val="none" w:sz="0" w:space="0" w:color="auto"/>
                <w:right w:val="none" w:sz="0" w:space="0" w:color="auto"/>
              </w:divBdr>
              <w:divsChild>
                <w:div w:id="2026248464">
                  <w:marLeft w:val="0"/>
                  <w:marRight w:val="0"/>
                  <w:marTop w:val="0"/>
                  <w:marBottom w:val="0"/>
                  <w:divBdr>
                    <w:top w:val="none" w:sz="0" w:space="0" w:color="auto"/>
                    <w:left w:val="none" w:sz="0" w:space="0" w:color="auto"/>
                    <w:bottom w:val="none" w:sz="0" w:space="0" w:color="auto"/>
                    <w:right w:val="none" w:sz="0" w:space="0" w:color="auto"/>
                  </w:divBdr>
                  <w:divsChild>
                    <w:div w:id="637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10022">
      <w:bodyDiv w:val="1"/>
      <w:marLeft w:val="0"/>
      <w:marRight w:val="0"/>
      <w:marTop w:val="0"/>
      <w:marBottom w:val="0"/>
      <w:divBdr>
        <w:top w:val="none" w:sz="0" w:space="0" w:color="auto"/>
        <w:left w:val="none" w:sz="0" w:space="0" w:color="auto"/>
        <w:bottom w:val="none" w:sz="0" w:space="0" w:color="auto"/>
        <w:right w:val="none" w:sz="0" w:space="0" w:color="auto"/>
      </w:divBdr>
    </w:div>
    <w:div w:id="861550060">
      <w:bodyDiv w:val="1"/>
      <w:marLeft w:val="0"/>
      <w:marRight w:val="0"/>
      <w:marTop w:val="0"/>
      <w:marBottom w:val="0"/>
      <w:divBdr>
        <w:top w:val="none" w:sz="0" w:space="0" w:color="auto"/>
        <w:left w:val="none" w:sz="0" w:space="0" w:color="auto"/>
        <w:bottom w:val="none" w:sz="0" w:space="0" w:color="auto"/>
        <w:right w:val="none" w:sz="0" w:space="0" w:color="auto"/>
      </w:divBdr>
    </w:div>
    <w:div w:id="952597322">
      <w:bodyDiv w:val="1"/>
      <w:marLeft w:val="0"/>
      <w:marRight w:val="0"/>
      <w:marTop w:val="0"/>
      <w:marBottom w:val="0"/>
      <w:divBdr>
        <w:top w:val="none" w:sz="0" w:space="0" w:color="auto"/>
        <w:left w:val="none" w:sz="0" w:space="0" w:color="auto"/>
        <w:bottom w:val="none" w:sz="0" w:space="0" w:color="auto"/>
        <w:right w:val="none" w:sz="0" w:space="0" w:color="auto"/>
      </w:divBdr>
    </w:div>
    <w:div w:id="1060325279">
      <w:bodyDiv w:val="1"/>
      <w:marLeft w:val="0"/>
      <w:marRight w:val="0"/>
      <w:marTop w:val="0"/>
      <w:marBottom w:val="0"/>
      <w:divBdr>
        <w:top w:val="none" w:sz="0" w:space="0" w:color="auto"/>
        <w:left w:val="none" w:sz="0" w:space="0" w:color="auto"/>
        <w:bottom w:val="none" w:sz="0" w:space="0" w:color="auto"/>
        <w:right w:val="none" w:sz="0" w:space="0" w:color="auto"/>
      </w:divBdr>
    </w:div>
    <w:div w:id="1278364705">
      <w:bodyDiv w:val="1"/>
      <w:marLeft w:val="0"/>
      <w:marRight w:val="0"/>
      <w:marTop w:val="0"/>
      <w:marBottom w:val="0"/>
      <w:divBdr>
        <w:top w:val="none" w:sz="0" w:space="0" w:color="auto"/>
        <w:left w:val="none" w:sz="0" w:space="0" w:color="auto"/>
        <w:bottom w:val="none" w:sz="0" w:space="0" w:color="auto"/>
        <w:right w:val="none" w:sz="0" w:space="0" w:color="auto"/>
      </w:divBdr>
    </w:div>
    <w:div w:id="1658221154">
      <w:bodyDiv w:val="1"/>
      <w:marLeft w:val="0"/>
      <w:marRight w:val="0"/>
      <w:marTop w:val="0"/>
      <w:marBottom w:val="0"/>
      <w:divBdr>
        <w:top w:val="none" w:sz="0" w:space="0" w:color="auto"/>
        <w:left w:val="none" w:sz="0" w:space="0" w:color="auto"/>
        <w:bottom w:val="none" w:sz="0" w:space="0" w:color="auto"/>
        <w:right w:val="none" w:sz="0" w:space="0" w:color="auto"/>
      </w:divBdr>
      <w:divsChild>
        <w:div w:id="1863470845">
          <w:marLeft w:val="0"/>
          <w:marRight w:val="0"/>
          <w:marTop w:val="0"/>
          <w:marBottom w:val="0"/>
          <w:divBdr>
            <w:top w:val="none" w:sz="0" w:space="0" w:color="auto"/>
            <w:left w:val="none" w:sz="0" w:space="0" w:color="auto"/>
            <w:bottom w:val="none" w:sz="0" w:space="0" w:color="auto"/>
            <w:right w:val="none" w:sz="0" w:space="0" w:color="auto"/>
          </w:divBdr>
          <w:divsChild>
            <w:div w:id="235941370">
              <w:marLeft w:val="0"/>
              <w:marRight w:val="0"/>
              <w:marTop w:val="0"/>
              <w:marBottom w:val="0"/>
              <w:divBdr>
                <w:top w:val="none" w:sz="0" w:space="0" w:color="auto"/>
                <w:left w:val="none" w:sz="0" w:space="0" w:color="auto"/>
                <w:bottom w:val="none" w:sz="0" w:space="0" w:color="auto"/>
                <w:right w:val="none" w:sz="0" w:space="0" w:color="auto"/>
              </w:divBdr>
              <w:divsChild>
                <w:div w:id="793670194">
                  <w:marLeft w:val="0"/>
                  <w:marRight w:val="0"/>
                  <w:marTop w:val="0"/>
                  <w:marBottom w:val="0"/>
                  <w:divBdr>
                    <w:top w:val="none" w:sz="0" w:space="0" w:color="auto"/>
                    <w:left w:val="none" w:sz="0" w:space="0" w:color="auto"/>
                    <w:bottom w:val="none" w:sz="0" w:space="0" w:color="auto"/>
                    <w:right w:val="none" w:sz="0" w:space="0" w:color="auto"/>
                  </w:divBdr>
                  <w:divsChild>
                    <w:div w:id="12177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131707">
      <w:bodyDiv w:val="1"/>
      <w:marLeft w:val="0"/>
      <w:marRight w:val="0"/>
      <w:marTop w:val="0"/>
      <w:marBottom w:val="0"/>
      <w:divBdr>
        <w:top w:val="none" w:sz="0" w:space="0" w:color="auto"/>
        <w:left w:val="none" w:sz="0" w:space="0" w:color="auto"/>
        <w:bottom w:val="none" w:sz="0" w:space="0" w:color="auto"/>
        <w:right w:val="none" w:sz="0" w:space="0" w:color="auto"/>
      </w:divBdr>
      <w:divsChild>
        <w:div w:id="603804407">
          <w:marLeft w:val="0"/>
          <w:marRight w:val="0"/>
          <w:marTop w:val="0"/>
          <w:marBottom w:val="0"/>
          <w:divBdr>
            <w:top w:val="none" w:sz="0" w:space="0" w:color="auto"/>
            <w:left w:val="none" w:sz="0" w:space="0" w:color="auto"/>
            <w:bottom w:val="none" w:sz="0" w:space="0" w:color="auto"/>
            <w:right w:val="none" w:sz="0" w:space="0" w:color="auto"/>
          </w:divBdr>
          <w:divsChild>
            <w:div w:id="1636641946">
              <w:marLeft w:val="0"/>
              <w:marRight w:val="0"/>
              <w:marTop w:val="0"/>
              <w:marBottom w:val="0"/>
              <w:divBdr>
                <w:top w:val="none" w:sz="0" w:space="0" w:color="auto"/>
                <w:left w:val="none" w:sz="0" w:space="0" w:color="auto"/>
                <w:bottom w:val="none" w:sz="0" w:space="0" w:color="auto"/>
                <w:right w:val="none" w:sz="0" w:space="0" w:color="auto"/>
              </w:divBdr>
              <w:divsChild>
                <w:div w:id="271597742">
                  <w:marLeft w:val="0"/>
                  <w:marRight w:val="0"/>
                  <w:marTop w:val="0"/>
                  <w:marBottom w:val="0"/>
                  <w:divBdr>
                    <w:top w:val="none" w:sz="0" w:space="0" w:color="auto"/>
                    <w:left w:val="none" w:sz="0" w:space="0" w:color="auto"/>
                    <w:bottom w:val="none" w:sz="0" w:space="0" w:color="auto"/>
                    <w:right w:val="none" w:sz="0" w:space="0" w:color="auto"/>
                  </w:divBdr>
                  <w:divsChild>
                    <w:div w:id="11611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393960">
      <w:bodyDiv w:val="1"/>
      <w:marLeft w:val="0"/>
      <w:marRight w:val="0"/>
      <w:marTop w:val="0"/>
      <w:marBottom w:val="0"/>
      <w:divBdr>
        <w:top w:val="none" w:sz="0" w:space="0" w:color="auto"/>
        <w:left w:val="none" w:sz="0" w:space="0" w:color="auto"/>
        <w:bottom w:val="none" w:sz="0" w:space="0" w:color="auto"/>
        <w:right w:val="none" w:sz="0" w:space="0" w:color="auto"/>
      </w:divBdr>
    </w:div>
    <w:div w:id="1747875669">
      <w:bodyDiv w:val="1"/>
      <w:marLeft w:val="0"/>
      <w:marRight w:val="0"/>
      <w:marTop w:val="0"/>
      <w:marBottom w:val="0"/>
      <w:divBdr>
        <w:top w:val="none" w:sz="0" w:space="0" w:color="auto"/>
        <w:left w:val="none" w:sz="0" w:space="0" w:color="auto"/>
        <w:bottom w:val="none" w:sz="0" w:space="0" w:color="auto"/>
        <w:right w:val="none" w:sz="0" w:space="0" w:color="auto"/>
      </w:divBdr>
    </w:div>
    <w:div w:id="1844929569">
      <w:bodyDiv w:val="1"/>
      <w:marLeft w:val="0"/>
      <w:marRight w:val="0"/>
      <w:marTop w:val="0"/>
      <w:marBottom w:val="0"/>
      <w:divBdr>
        <w:top w:val="none" w:sz="0" w:space="0" w:color="auto"/>
        <w:left w:val="none" w:sz="0" w:space="0" w:color="auto"/>
        <w:bottom w:val="none" w:sz="0" w:space="0" w:color="auto"/>
        <w:right w:val="none" w:sz="0" w:space="0" w:color="auto"/>
      </w:divBdr>
    </w:div>
    <w:div w:id="1865511904">
      <w:bodyDiv w:val="1"/>
      <w:marLeft w:val="0"/>
      <w:marRight w:val="0"/>
      <w:marTop w:val="0"/>
      <w:marBottom w:val="0"/>
      <w:divBdr>
        <w:top w:val="none" w:sz="0" w:space="0" w:color="auto"/>
        <w:left w:val="none" w:sz="0" w:space="0" w:color="auto"/>
        <w:bottom w:val="none" w:sz="0" w:space="0" w:color="auto"/>
        <w:right w:val="none" w:sz="0" w:space="0" w:color="auto"/>
      </w:divBdr>
      <w:divsChild>
        <w:div w:id="440491534">
          <w:marLeft w:val="0"/>
          <w:marRight w:val="0"/>
          <w:marTop w:val="0"/>
          <w:marBottom w:val="0"/>
          <w:divBdr>
            <w:top w:val="none" w:sz="0" w:space="0" w:color="auto"/>
            <w:left w:val="none" w:sz="0" w:space="0" w:color="auto"/>
            <w:bottom w:val="none" w:sz="0" w:space="0" w:color="auto"/>
            <w:right w:val="none" w:sz="0" w:space="0" w:color="auto"/>
          </w:divBdr>
          <w:divsChild>
            <w:div w:id="1589190425">
              <w:marLeft w:val="0"/>
              <w:marRight w:val="0"/>
              <w:marTop w:val="0"/>
              <w:marBottom w:val="0"/>
              <w:divBdr>
                <w:top w:val="none" w:sz="0" w:space="0" w:color="auto"/>
                <w:left w:val="none" w:sz="0" w:space="0" w:color="auto"/>
                <w:bottom w:val="none" w:sz="0" w:space="0" w:color="auto"/>
                <w:right w:val="none" w:sz="0" w:space="0" w:color="auto"/>
              </w:divBdr>
              <w:divsChild>
                <w:div w:id="564027471">
                  <w:marLeft w:val="0"/>
                  <w:marRight w:val="0"/>
                  <w:marTop w:val="0"/>
                  <w:marBottom w:val="0"/>
                  <w:divBdr>
                    <w:top w:val="none" w:sz="0" w:space="0" w:color="auto"/>
                    <w:left w:val="none" w:sz="0" w:space="0" w:color="auto"/>
                    <w:bottom w:val="none" w:sz="0" w:space="0" w:color="auto"/>
                    <w:right w:val="none" w:sz="0" w:space="0" w:color="auto"/>
                  </w:divBdr>
                  <w:divsChild>
                    <w:div w:id="16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82618">
      <w:bodyDiv w:val="1"/>
      <w:marLeft w:val="0"/>
      <w:marRight w:val="0"/>
      <w:marTop w:val="0"/>
      <w:marBottom w:val="0"/>
      <w:divBdr>
        <w:top w:val="none" w:sz="0" w:space="0" w:color="auto"/>
        <w:left w:val="none" w:sz="0" w:space="0" w:color="auto"/>
        <w:bottom w:val="none" w:sz="0" w:space="0" w:color="auto"/>
        <w:right w:val="none" w:sz="0" w:space="0" w:color="auto"/>
      </w:divBdr>
      <w:divsChild>
        <w:div w:id="1630667445">
          <w:marLeft w:val="0"/>
          <w:marRight w:val="0"/>
          <w:marTop w:val="0"/>
          <w:marBottom w:val="0"/>
          <w:divBdr>
            <w:top w:val="none" w:sz="0" w:space="0" w:color="auto"/>
            <w:left w:val="none" w:sz="0" w:space="0" w:color="auto"/>
            <w:bottom w:val="none" w:sz="0" w:space="0" w:color="auto"/>
            <w:right w:val="none" w:sz="0" w:space="0" w:color="auto"/>
          </w:divBdr>
          <w:divsChild>
            <w:div w:id="2123104949">
              <w:marLeft w:val="0"/>
              <w:marRight w:val="0"/>
              <w:marTop w:val="0"/>
              <w:marBottom w:val="0"/>
              <w:divBdr>
                <w:top w:val="none" w:sz="0" w:space="0" w:color="auto"/>
                <w:left w:val="none" w:sz="0" w:space="0" w:color="auto"/>
                <w:bottom w:val="none" w:sz="0" w:space="0" w:color="auto"/>
                <w:right w:val="none" w:sz="0" w:space="0" w:color="auto"/>
              </w:divBdr>
              <w:divsChild>
                <w:div w:id="1281716485">
                  <w:marLeft w:val="0"/>
                  <w:marRight w:val="0"/>
                  <w:marTop w:val="0"/>
                  <w:marBottom w:val="0"/>
                  <w:divBdr>
                    <w:top w:val="none" w:sz="0" w:space="0" w:color="auto"/>
                    <w:left w:val="none" w:sz="0" w:space="0" w:color="auto"/>
                    <w:bottom w:val="none" w:sz="0" w:space="0" w:color="auto"/>
                    <w:right w:val="none" w:sz="0" w:space="0" w:color="auto"/>
                  </w:divBdr>
                  <w:divsChild>
                    <w:div w:id="14272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08153">
      <w:bodyDiv w:val="1"/>
      <w:marLeft w:val="0"/>
      <w:marRight w:val="0"/>
      <w:marTop w:val="0"/>
      <w:marBottom w:val="0"/>
      <w:divBdr>
        <w:top w:val="none" w:sz="0" w:space="0" w:color="auto"/>
        <w:left w:val="none" w:sz="0" w:space="0" w:color="auto"/>
        <w:bottom w:val="none" w:sz="0" w:space="0" w:color="auto"/>
        <w:right w:val="none" w:sz="0" w:space="0" w:color="auto"/>
      </w:divBdr>
      <w:divsChild>
        <w:div w:id="1693531430">
          <w:marLeft w:val="0"/>
          <w:marRight w:val="0"/>
          <w:marTop w:val="0"/>
          <w:marBottom w:val="0"/>
          <w:divBdr>
            <w:top w:val="none" w:sz="0" w:space="0" w:color="auto"/>
            <w:left w:val="none" w:sz="0" w:space="0" w:color="auto"/>
            <w:bottom w:val="none" w:sz="0" w:space="0" w:color="auto"/>
            <w:right w:val="none" w:sz="0" w:space="0" w:color="auto"/>
          </w:divBdr>
          <w:divsChild>
            <w:div w:id="1453091013">
              <w:marLeft w:val="0"/>
              <w:marRight w:val="0"/>
              <w:marTop w:val="0"/>
              <w:marBottom w:val="0"/>
              <w:divBdr>
                <w:top w:val="none" w:sz="0" w:space="0" w:color="auto"/>
                <w:left w:val="none" w:sz="0" w:space="0" w:color="auto"/>
                <w:bottom w:val="none" w:sz="0" w:space="0" w:color="auto"/>
                <w:right w:val="none" w:sz="0" w:space="0" w:color="auto"/>
              </w:divBdr>
              <w:divsChild>
                <w:div w:id="406348315">
                  <w:marLeft w:val="0"/>
                  <w:marRight w:val="0"/>
                  <w:marTop w:val="0"/>
                  <w:marBottom w:val="0"/>
                  <w:divBdr>
                    <w:top w:val="none" w:sz="0" w:space="0" w:color="auto"/>
                    <w:left w:val="none" w:sz="0" w:space="0" w:color="auto"/>
                    <w:bottom w:val="none" w:sz="0" w:space="0" w:color="auto"/>
                    <w:right w:val="none" w:sz="0" w:space="0" w:color="auto"/>
                  </w:divBdr>
                  <w:divsChild>
                    <w:div w:id="11918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494">
      <w:bodyDiv w:val="1"/>
      <w:marLeft w:val="0"/>
      <w:marRight w:val="0"/>
      <w:marTop w:val="0"/>
      <w:marBottom w:val="0"/>
      <w:divBdr>
        <w:top w:val="none" w:sz="0" w:space="0" w:color="auto"/>
        <w:left w:val="none" w:sz="0" w:space="0" w:color="auto"/>
        <w:bottom w:val="none" w:sz="0" w:space="0" w:color="auto"/>
        <w:right w:val="none" w:sz="0" w:space="0" w:color="auto"/>
      </w:divBdr>
    </w:div>
    <w:div w:id="212160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2.xml"/><Relationship Id="rId42" Type="http://schemas.openxmlformats.org/officeDocument/2006/relationships/image" Target="media/image24.png"/><Relationship Id="rId47" Type="http://schemas.openxmlformats.org/officeDocument/2006/relationships/image" Target="media/image29.svg"/><Relationship Id="rId63" Type="http://schemas.openxmlformats.org/officeDocument/2006/relationships/image" Target="media/image45.svg"/><Relationship Id="rId68"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2.svg"/><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19.gif"/><Relationship Id="rId40" Type="http://schemas.openxmlformats.org/officeDocument/2006/relationships/image" Target="media/image22.png"/><Relationship Id="rId45" Type="http://schemas.openxmlformats.org/officeDocument/2006/relationships/image" Target="media/image27.svg"/><Relationship Id="rId53" Type="http://schemas.openxmlformats.org/officeDocument/2006/relationships/image" Target="media/image35.svg"/><Relationship Id="rId58" Type="http://schemas.openxmlformats.org/officeDocument/2006/relationships/image" Target="media/image40.png"/><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3.svg"/><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5.sv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eader" Target="header4.xm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3.sv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16.sv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svg"/><Relationship Id="rId67" Type="http://schemas.openxmlformats.org/officeDocument/2006/relationships/footer" Target="footer5.xml"/><Relationship Id="rId20" Type="http://schemas.openxmlformats.org/officeDocument/2006/relationships/header" Target="header1.xml"/><Relationship Id="rId41" Type="http://schemas.openxmlformats.org/officeDocument/2006/relationships/image" Target="media/image23.sv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hyperlink" Target="https://normas.cra.gov.co/gestor/docs/resolucion_cra_0962_2022.htm" TargetMode="External"/><Relationship Id="rId49" Type="http://schemas.openxmlformats.org/officeDocument/2006/relationships/image" Target="media/image31.svg"/><Relationship Id="rId57" Type="http://schemas.openxmlformats.org/officeDocument/2006/relationships/image" Target="media/image39.svg"/><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image" Target="media/image21.sv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svg"/></Relationships>
</file>

<file path=word/_rels/footnotes.xml.rels><?xml version="1.0" encoding="UTF-8" standalone="yes"?>
<Relationships xmlns="http://schemas.openxmlformats.org/package/2006/relationships"><Relationship Id="rId1" Type="http://schemas.openxmlformats.org/officeDocument/2006/relationships/hyperlink" Target="https://www.dane.gov.co/index.php/estadisticas-por-tema/precios-y-costos/indice-de-precios-del-productor-ip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CDD0B26ABEDD0459BD4267A57D8442E" ma:contentTypeVersion="17" ma:contentTypeDescription="Crear nuevo documento." ma:contentTypeScope="" ma:versionID="d2cb70e79c00bed14d5a5536c55124d2">
  <xsd:schema xmlns:xsd="http://www.w3.org/2001/XMLSchema" xmlns:xs="http://www.w3.org/2001/XMLSchema" xmlns:p="http://schemas.microsoft.com/office/2006/metadata/properties" xmlns:ns2="52f50d89-700a-49c3-acb1-cc45863f80d1" xmlns:ns3="c5e352c5-a0a5-4aff-9101-fc8c076df9f7" targetNamespace="http://schemas.microsoft.com/office/2006/metadata/properties" ma:root="true" ma:fieldsID="c18c26698dd5add1dafe0ebada72a9fc" ns2:_="" ns3:_="">
    <xsd:import namespace="52f50d89-700a-49c3-acb1-cc45863f80d1"/>
    <xsd:import namespace="c5e352c5-a0a5-4aff-9101-fc8c076df9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50d89-700a-49c3-acb1-cc45863f8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e352c5-a0a5-4aff-9101-fc8c076df9f7"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c4f91114-da55-458f-b2e4-07801fb3de9c}" ma:internalName="TaxCatchAll" ma:showField="CatchAllData" ma:web="c5e352c5-a0a5-4aff-9101-fc8c076df9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f50d89-700a-49c3-acb1-cc45863f80d1">
      <Terms xmlns="http://schemas.microsoft.com/office/infopath/2007/PartnerControls"/>
    </lcf76f155ced4ddcb4097134ff3c332f>
    <TaxCatchAll xmlns="c5e352c5-a0a5-4aff-9101-fc8c076df9f7" xsi:nil="true"/>
    <SharedWithUsers xmlns="c5e352c5-a0a5-4aff-9101-fc8c076df9f7">
      <UserInfo>
        <DisplayName>Angela Ximena Leal Baquero</DisplayName>
        <AccountId>46</AccountId>
        <AccountType/>
      </UserInfo>
    </SharedWithUsers>
  </documentManagement>
</p:properties>
</file>

<file path=customXml/itemProps1.xml><?xml version="1.0" encoding="utf-8"?>
<ds:datastoreItem xmlns:ds="http://schemas.openxmlformats.org/officeDocument/2006/customXml" ds:itemID="{80AFCADD-1A71-40B9-AE82-64237336F817}">
  <ds:schemaRefs>
    <ds:schemaRef ds:uri="http://schemas.microsoft.com/sharepoint/v3/contenttype/forms"/>
  </ds:schemaRefs>
</ds:datastoreItem>
</file>

<file path=customXml/itemProps2.xml><?xml version="1.0" encoding="utf-8"?>
<ds:datastoreItem xmlns:ds="http://schemas.openxmlformats.org/officeDocument/2006/customXml" ds:itemID="{B5E452B4-56DD-4792-93A0-0DF1DE5A1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50d89-700a-49c3-acb1-cc45863f80d1"/>
    <ds:schemaRef ds:uri="c5e352c5-a0a5-4aff-9101-fc8c076df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269105-C251-4303-B9CB-A2F10E39B4C1}">
  <ds:schemaRefs>
    <ds:schemaRef ds:uri="http://schemas.openxmlformats.org/officeDocument/2006/bibliography"/>
  </ds:schemaRefs>
</ds:datastoreItem>
</file>

<file path=customXml/itemProps4.xml><?xml version="1.0" encoding="utf-8"?>
<ds:datastoreItem xmlns:ds="http://schemas.openxmlformats.org/officeDocument/2006/customXml" ds:itemID="{A82505EB-E5F6-4BE1-B957-6B9D2C6192A6}">
  <ds:schemaRefs>
    <ds:schemaRef ds:uri="http://schemas.microsoft.com/office/2006/metadata/properties"/>
    <ds:schemaRef ds:uri="http://schemas.microsoft.com/office/infopath/2007/PartnerControls"/>
    <ds:schemaRef ds:uri="52f50d89-700a-49c3-acb1-cc45863f80d1"/>
    <ds:schemaRef ds:uri="c5e352c5-a0a5-4aff-9101-fc8c076df9f7"/>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45</Pages>
  <Words>13692</Words>
  <Characters>75306</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88821</CharactersWithSpaces>
  <SharedDoc>false</SharedDoc>
  <HLinks>
    <vt:vector size="132" baseType="variant">
      <vt:variant>
        <vt:i4>3538949</vt:i4>
      </vt:variant>
      <vt:variant>
        <vt:i4>129</vt:i4>
      </vt:variant>
      <vt:variant>
        <vt:i4>0</vt:i4>
      </vt:variant>
      <vt:variant>
        <vt:i4>5</vt:i4>
      </vt:variant>
      <vt:variant>
        <vt:lpwstr>https://normas.cra.gov.co/gestor/docs/resolucion_cra_0962_2022.htm</vt:lpwstr>
      </vt:variant>
      <vt:variant>
        <vt:lpwstr>NF5</vt:lpwstr>
      </vt:variant>
      <vt:variant>
        <vt:i4>1703985</vt:i4>
      </vt:variant>
      <vt:variant>
        <vt:i4>104</vt:i4>
      </vt:variant>
      <vt:variant>
        <vt:i4>0</vt:i4>
      </vt:variant>
      <vt:variant>
        <vt:i4>5</vt:i4>
      </vt:variant>
      <vt:variant>
        <vt:lpwstr/>
      </vt:variant>
      <vt:variant>
        <vt:lpwstr>_Toc145508547</vt:lpwstr>
      </vt:variant>
      <vt:variant>
        <vt:i4>1703985</vt:i4>
      </vt:variant>
      <vt:variant>
        <vt:i4>98</vt:i4>
      </vt:variant>
      <vt:variant>
        <vt:i4>0</vt:i4>
      </vt:variant>
      <vt:variant>
        <vt:i4>5</vt:i4>
      </vt:variant>
      <vt:variant>
        <vt:lpwstr/>
      </vt:variant>
      <vt:variant>
        <vt:lpwstr>_Toc145508546</vt:lpwstr>
      </vt:variant>
      <vt:variant>
        <vt:i4>1703985</vt:i4>
      </vt:variant>
      <vt:variant>
        <vt:i4>92</vt:i4>
      </vt:variant>
      <vt:variant>
        <vt:i4>0</vt:i4>
      </vt:variant>
      <vt:variant>
        <vt:i4>5</vt:i4>
      </vt:variant>
      <vt:variant>
        <vt:lpwstr/>
      </vt:variant>
      <vt:variant>
        <vt:lpwstr>_Toc145508545</vt:lpwstr>
      </vt:variant>
      <vt:variant>
        <vt:i4>1703985</vt:i4>
      </vt:variant>
      <vt:variant>
        <vt:i4>86</vt:i4>
      </vt:variant>
      <vt:variant>
        <vt:i4>0</vt:i4>
      </vt:variant>
      <vt:variant>
        <vt:i4>5</vt:i4>
      </vt:variant>
      <vt:variant>
        <vt:lpwstr/>
      </vt:variant>
      <vt:variant>
        <vt:lpwstr>_Toc145508544</vt:lpwstr>
      </vt:variant>
      <vt:variant>
        <vt:i4>1703985</vt:i4>
      </vt:variant>
      <vt:variant>
        <vt:i4>80</vt:i4>
      </vt:variant>
      <vt:variant>
        <vt:i4>0</vt:i4>
      </vt:variant>
      <vt:variant>
        <vt:i4>5</vt:i4>
      </vt:variant>
      <vt:variant>
        <vt:lpwstr/>
      </vt:variant>
      <vt:variant>
        <vt:lpwstr>_Toc145508543</vt:lpwstr>
      </vt:variant>
      <vt:variant>
        <vt:i4>1703985</vt:i4>
      </vt:variant>
      <vt:variant>
        <vt:i4>74</vt:i4>
      </vt:variant>
      <vt:variant>
        <vt:i4>0</vt:i4>
      </vt:variant>
      <vt:variant>
        <vt:i4>5</vt:i4>
      </vt:variant>
      <vt:variant>
        <vt:lpwstr/>
      </vt:variant>
      <vt:variant>
        <vt:lpwstr>_Toc145508542</vt:lpwstr>
      </vt:variant>
      <vt:variant>
        <vt:i4>1703985</vt:i4>
      </vt:variant>
      <vt:variant>
        <vt:i4>68</vt:i4>
      </vt:variant>
      <vt:variant>
        <vt:i4>0</vt:i4>
      </vt:variant>
      <vt:variant>
        <vt:i4>5</vt:i4>
      </vt:variant>
      <vt:variant>
        <vt:lpwstr/>
      </vt:variant>
      <vt:variant>
        <vt:lpwstr>_Toc145508541</vt:lpwstr>
      </vt:variant>
      <vt:variant>
        <vt:i4>1900593</vt:i4>
      </vt:variant>
      <vt:variant>
        <vt:i4>62</vt:i4>
      </vt:variant>
      <vt:variant>
        <vt:i4>0</vt:i4>
      </vt:variant>
      <vt:variant>
        <vt:i4>5</vt:i4>
      </vt:variant>
      <vt:variant>
        <vt:lpwstr/>
      </vt:variant>
      <vt:variant>
        <vt:lpwstr>_Toc145508537</vt:lpwstr>
      </vt:variant>
      <vt:variant>
        <vt:i4>1900593</vt:i4>
      </vt:variant>
      <vt:variant>
        <vt:i4>56</vt:i4>
      </vt:variant>
      <vt:variant>
        <vt:i4>0</vt:i4>
      </vt:variant>
      <vt:variant>
        <vt:i4>5</vt:i4>
      </vt:variant>
      <vt:variant>
        <vt:lpwstr/>
      </vt:variant>
      <vt:variant>
        <vt:lpwstr>_Toc145508536</vt:lpwstr>
      </vt:variant>
      <vt:variant>
        <vt:i4>1900593</vt:i4>
      </vt:variant>
      <vt:variant>
        <vt:i4>50</vt:i4>
      </vt:variant>
      <vt:variant>
        <vt:i4>0</vt:i4>
      </vt:variant>
      <vt:variant>
        <vt:i4>5</vt:i4>
      </vt:variant>
      <vt:variant>
        <vt:lpwstr/>
      </vt:variant>
      <vt:variant>
        <vt:lpwstr>_Toc145508535</vt:lpwstr>
      </vt:variant>
      <vt:variant>
        <vt:i4>1900593</vt:i4>
      </vt:variant>
      <vt:variant>
        <vt:i4>44</vt:i4>
      </vt:variant>
      <vt:variant>
        <vt:i4>0</vt:i4>
      </vt:variant>
      <vt:variant>
        <vt:i4>5</vt:i4>
      </vt:variant>
      <vt:variant>
        <vt:lpwstr/>
      </vt:variant>
      <vt:variant>
        <vt:lpwstr>_Toc145508534</vt:lpwstr>
      </vt:variant>
      <vt:variant>
        <vt:i4>1900593</vt:i4>
      </vt:variant>
      <vt:variant>
        <vt:i4>38</vt:i4>
      </vt:variant>
      <vt:variant>
        <vt:i4>0</vt:i4>
      </vt:variant>
      <vt:variant>
        <vt:i4>5</vt:i4>
      </vt:variant>
      <vt:variant>
        <vt:lpwstr/>
      </vt:variant>
      <vt:variant>
        <vt:lpwstr>_Toc145508533</vt:lpwstr>
      </vt:variant>
      <vt:variant>
        <vt:i4>1900593</vt:i4>
      </vt:variant>
      <vt:variant>
        <vt:i4>32</vt:i4>
      </vt:variant>
      <vt:variant>
        <vt:i4>0</vt:i4>
      </vt:variant>
      <vt:variant>
        <vt:i4>5</vt:i4>
      </vt:variant>
      <vt:variant>
        <vt:lpwstr/>
      </vt:variant>
      <vt:variant>
        <vt:lpwstr>_Toc145508532</vt:lpwstr>
      </vt:variant>
      <vt:variant>
        <vt:i4>1900593</vt:i4>
      </vt:variant>
      <vt:variant>
        <vt:i4>26</vt:i4>
      </vt:variant>
      <vt:variant>
        <vt:i4>0</vt:i4>
      </vt:variant>
      <vt:variant>
        <vt:i4>5</vt:i4>
      </vt:variant>
      <vt:variant>
        <vt:lpwstr/>
      </vt:variant>
      <vt:variant>
        <vt:lpwstr>_Toc145508531</vt:lpwstr>
      </vt:variant>
      <vt:variant>
        <vt:i4>1900593</vt:i4>
      </vt:variant>
      <vt:variant>
        <vt:i4>20</vt:i4>
      </vt:variant>
      <vt:variant>
        <vt:i4>0</vt:i4>
      </vt:variant>
      <vt:variant>
        <vt:i4>5</vt:i4>
      </vt:variant>
      <vt:variant>
        <vt:lpwstr/>
      </vt:variant>
      <vt:variant>
        <vt:lpwstr>_Toc145508530</vt:lpwstr>
      </vt:variant>
      <vt:variant>
        <vt:i4>1835057</vt:i4>
      </vt:variant>
      <vt:variant>
        <vt:i4>14</vt:i4>
      </vt:variant>
      <vt:variant>
        <vt:i4>0</vt:i4>
      </vt:variant>
      <vt:variant>
        <vt:i4>5</vt:i4>
      </vt:variant>
      <vt:variant>
        <vt:lpwstr/>
      </vt:variant>
      <vt:variant>
        <vt:lpwstr>_Toc145508529</vt:lpwstr>
      </vt:variant>
      <vt:variant>
        <vt:i4>1835057</vt:i4>
      </vt:variant>
      <vt:variant>
        <vt:i4>8</vt:i4>
      </vt:variant>
      <vt:variant>
        <vt:i4>0</vt:i4>
      </vt:variant>
      <vt:variant>
        <vt:i4>5</vt:i4>
      </vt:variant>
      <vt:variant>
        <vt:lpwstr/>
      </vt:variant>
      <vt:variant>
        <vt:lpwstr>_Toc145508528</vt:lpwstr>
      </vt:variant>
      <vt:variant>
        <vt:i4>1835057</vt:i4>
      </vt:variant>
      <vt:variant>
        <vt:i4>2</vt:i4>
      </vt:variant>
      <vt:variant>
        <vt:i4>0</vt:i4>
      </vt:variant>
      <vt:variant>
        <vt:i4>5</vt:i4>
      </vt:variant>
      <vt:variant>
        <vt:lpwstr/>
      </vt:variant>
      <vt:variant>
        <vt:lpwstr>_Toc145508527</vt:lpwstr>
      </vt:variant>
      <vt:variant>
        <vt:i4>4587595</vt:i4>
      </vt:variant>
      <vt:variant>
        <vt:i4>9</vt:i4>
      </vt:variant>
      <vt:variant>
        <vt:i4>0</vt:i4>
      </vt:variant>
      <vt:variant>
        <vt:i4>5</vt:i4>
      </vt:variant>
      <vt:variant>
        <vt:lpwstr>https://www.dane.gov.co/index.php/estadisticas-por-tema/precios-y-costos/indice-de-precios-al-consumidor-ipc</vt:lpwstr>
      </vt:variant>
      <vt:variant>
        <vt:lpwstr/>
      </vt:variant>
      <vt:variant>
        <vt:i4>1703947</vt:i4>
      </vt:variant>
      <vt:variant>
        <vt:i4>6</vt:i4>
      </vt:variant>
      <vt:variant>
        <vt:i4>0</vt:i4>
      </vt:variant>
      <vt:variant>
        <vt:i4>5</vt:i4>
      </vt:variant>
      <vt:variant>
        <vt:lpwstr>https://www.dane.gov.co/index.php/estadisticas-por-tema/precios-y-costos/indice-de-precios-del-productor-ipp</vt:lpwstr>
      </vt:variant>
      <vt:variant>
        <vt:lpwstr/>
      </vt:variant>
      <vt:variant>
        <vt:i4>5046356</vt:i4>
      </vt:variant>
      <vt:variant>
        <vt:i4>3</vt:i4>
      </vt:variant>
      <vt:variant>
        <vt:i4>0</vt:i4>
      </vt:variant>
      <vt:variant>
        <vt:i4>5</vt:i4>
      </vt:variant>
      <vt:variant>
        <vt:lpwstr>https://www.dane.gov.co/index.php/estadisticas-por-tema/precios-y-costos/indice-de-costos-de-la-construccion-de-obras-civiles-icociv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Maria Gonzalez Paez</dc:creator>
  <cp:keywords/>
  <dc:description/>
  <cp:lastModifiedBy>Jonathan Ramirez Ochoa</cp:lastModifiedBy>
  <cp:revision>69</cp:revision>
  <cp:lastPrinted>2024-07-17T14:56:00Z</cp:lastPrinted>
  <dcterms:created xsi:type="dcterms:W3CDTF">2024-07-15T16:23:00Z</dcterms:created>
  <dcterms:modified xsi:type="dcterms:W3CDTF">2024-07-17T18:37:00Z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0x010100DCDD0B26ABEDD0459BD4267A57D8442E</vt:lpwstr>
  </property>
  <property fmtid="{D5CDD505-2E9C-101B-9397-08002B2CF9AE}" pid="3" name="MediaServiceImageTags">
    <vt:lpwstr/>
  </property>
  <property fmtid="{D5CDD505-2E9C-101B-9397-08002B2CF9AE}" pid="4" name="GrammarlyDocumentId">
    <vt:lpwstr>d378876ec017e024be7574aefb602ff23aa0b109aa76153272a8013cb1c0c91f</vt:lpwstr>
  </property>
</Properties>
</file>