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BB7E" w14:textId="75620214" w:rsidR="00BA6D78" w:rsidRPr="00157B52" w:rsidRDefault="00BA6D78" w:rsidP="00A0349A">
      <w:pPr>
        <w:spacing w:before="0" w:after="0" w:line="276" w:lineRule="auto"/>
        <w:rPr>
          <w:rFonts w:ascii="Arial" w:hAnsi="Arial" w:cs="Arial"/>
          <w:lang w:val="es-MX"/>
        </w:rPr>
      </w:pPr>
      <w:r w:rsidRPr="00157B52">
        <w:rPr>
          <w:rFonts w:ascii="Arial" w:hAnsi="Arial" w:cs="Arial"/>
          <w:lang w:val="es-MX"/>
        </w:rPr>
        <w:t xml:space="preserve">Bogotá, D. C.,  </w:t>
      </w:r>
      <w:r w:rsidRPr="00157B52">
        <w:rPr>
          <w:rFonts w:ascii="Arial" w:hAnsi="Arial" w:cs="Arial"/>
          <w:lang w:val="es-MX"/>
        </w:rPr>
        <w:fldChar w:fldCharType="begin"/>
      </w:r>
      <w:r w:rsidRPr="00157B52">
        <w:rPr>
          <w:rFonts w:ascii="Arial" w:hAnsi="Arial" w:cs="Arial"/>
          <w:lang w:val="es-MX"/>
        </w:rPr>
        <w:instrText xml:space="preserve"> MERGEFIELD  Fecha  \* MERGEFORMAT </w:instrText>
      </w:r>
      <w:r w:rsidRPr="00157B52">
        <w:rPr>
          <w:rFonts w:ascii="Arial" w:hAnsi="Arial" w:cs="Arial"/>
          <w:lang w:val="es-MX"/>
        </w:rPr>
        <w:fldChar w:fldCharType="separate"/>
      </w:r>
      <w:r w:rsidRPr="00157B52">
        <w:rPr>
          <w:rFonts w:ascii="Arial" w:hAnsi="Arial" w:cs="Arial"/>
          <w:noProof/>
          <w:lang w:val="es-MX"/>
        </w:rPr>
        <w:t>22 de julio de 2024</w:t>
      </w:r>
      <w:r w:rsidRPr="00157B52">
        <w:rPr>
          <w:rFonts w:ascii="Arial" w:hAnsi="Arial" w:cs="Arial"/>
          <w:lang w:val="es-MX"/>
        </w:rPr>
        <w:fldChar w:fldCharType="end"/>
      </w:r>
    </w:p>
    <w:p w14:paraId="4BF6BC04" w14:textId="77777777" w:rsidR="00BA6D78" w:rsidRDefault="00BA6D78" w:rsidP="00A0349A">
      <w:pPr>
        <w:spacing w:before="0" w:after="0" w:line="276" w:lineRule="auto"/>
        <w:rPr>
          <w:rFonts w:ascii="Arial" w:hAnsi="Arial" w:cs="Arial"/>
          <w:sz w:val="22"/>
          <w:szCs w:val="22"/>
          <w:lang w:val="es-MX"/>
        </w:rPr>
      </w:pPr>
    </w:p>
    <w:p w14:paraId="6C426F69" w14:textId="77777777" w:rsidR="00A0349A" w:rsidRDefault="00A0349A" w:rsidP="00A0349A">
      <w:pPr>
        <w:spacing w:before="0" w:after="0" w:line="276" w:lineRule="auto"/>
        <w:rPr>
          <w:rFonts w:ascii="Arial" w:hAnsi="Arial" w:cs="Arial"/>
          <w:sz w:val="22"/>
          <w:szCs w:val="22"/>
          <w:lang w:val="es-MX"/>
        </w:rPr>
      </w:pPr>
    </w:p>
    <w:p w14:paraId="2DF36FC6" w14:textId="33257262" w:rsidR="00BA6D78" w:rsidRPr="00BA6D78" w:rsidRDefault="00BA6D78" w:rsidP="00A0349A">
      <w:pPr>
        <w:pStyle w:val="Ttulo5"/>
        <w:spacing w:before="0" w:line="276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045 de 2024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1208BE" w:rsidRDefault="00BA6D78" w:rsidP="00A0349A">
      <w:pPr>
        <w:pStyle w:val="Ttulo5"/>
        <w:spacing w:before="0" w:line="276" w:lineRule="auto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32"/>
          <w:szCs w:val="32"/>
        </w:rPr>
      </w:pPr>
    </w:p>
    <w:p w14:paraId="74FF62B2" w14:textId="545EC703" w:rsidR="00BA6D78" w:rsidRPr="00157B52" w:rsidRDefault="00BA6D78" w:rsidP="00A0349A">
      <w:pPr>
        <w:tabs>
          <w:tab w:val="left" w:pos="709"/>
        </w:tabs>
        <w:spacing w:before="0" w:after="0" w:line="276" w:lineRule="auto"/>
        <w:ind w:left="1418" w:hanging="1418"/>
        <w:jc w:val="both"/>
        <w:rPr>
          <w:rFonts w:ascii="Arial" w:eastAsia="Times New Roman" w:hAnsi="Arial" w:cs="Arial"/>
          <w:spacing w:val="-5"/>
        </w:rPr>
      </w:pPr>
      <w:r w:rsidRPr="00157B52">
        <w:rPr>
          <w:rFonts w:ascii="Arial" w:hAnsi="Arial" w:cs="Arial"/>
          <w:b/>
        </w:rPr>
        <w:t>PARA:</w:t>
      </w:r>
      <w:r w:rsidRPr="00157B52">
        <w:rPr>
          <w:rFonts w:ascii="Arial" w:hAnsi="Arial" w:cs="Arial"/>
          <w:b/>
        </w:rPr>
        <w:tab/>
      </w:r>
      <w:r w:rsidRPr="00157B52">
        <w:rPr>
          <w:rFonts w:ascii="Arial" w:hAnsi="Arial" w:cs="Arial"/>
          <w:b/>
        </w:rPr>
        <w:fldChar w:fldCharType="begin"/>
      </w:r>
      <w:r w:rsidRPr="00157B52">
        <w:rPr>
          <w:rFonts w:ascii="Arial" w:hAnsi="Arial" w:cs="Arial"/>
          <w:b/>
        </w:rPr>
        <w:instrText xml:space="preserve"> MERGEFIELD  Destinatario  \* MERGEFORMAT </w:instrText>
      </w:r>
      <w:r w:rsidRPr="00157B52">
        <w:rPr>
          <w:rFonts w:ascii="Arial" w:hAnsi="Arial" w:cs="Arial"/>
          <w:b/>
        </w:rPr>
        <w:fldChar w:fldCharType="separate"/>
      </w:r>
      <w:r w:rsidRPr="00157B52">
        <w:rPr>
          <w:rFonts w:ascii="Arial" w:hAnsi="Arial" w:cs="Arial"/>
          <w:b/>
          <w:noProof/>
        </w:rPr>
        <w:t>PÚBLICO EN GENERAL</w:t>
      </w:r>
      <w:r w:rsidRPr="00157B52">
        <w:rPr>
          <w:rFonts w:ascii="Arial" w:hAnsi="Arial" w:cs="Arial"/>
          <w:b/>
        </w:rPr>
        <w:fldChar w:fldCharType="end"/>
      </w:r>
    </w:p>
    <w:p w14:paraId="047A3184" w14:textId="77777777" w:rsidR="00BA6D78" w:rsidRPr="00157B52" w:rsidRDefault="00BA6D78" w:rsidP="00A0349A">
      <w:pPr>
        <w:spacing w:before="0" w:after="0" w:line="276" w:lineRule="auto"/>
        <w:ind w:left="1410" w:hanging="1410"/>
        <w:rPr>
          <w:rFonts w:ascii="Arial" w:hAnsi="Arial" w:cs="Arial"/>
          <w:b/>
        </w:rPr>
      </w:pPr>
    </w:p>
    <w:p w14:paraId="5ECA4954" w14:textId="77777777" w:rsidR="00BA6D78" w:rsidRPr="00157B52" w:rsidRDefault="00BA6D78" w:rsidP="00A0349A">
      <w:pPr>
        <w:pStyle w:val="Sangradetextonormal"/>
        <w:spacing w:after="0" w:line="276" w:lineRule="auto"/>
        <w:ind w:left="1410" w:hanging="1410"/>
        <w:rPr>
          <w:rFonts w:ascii="Arial" w:hAnsi="Arial" w:cs="Arial"/>
          <w:b/>
        </w:rPr>
      </w:pPr>
      <w:r w:rsidRPr="00157B52">
        <w:rPr>
          <w:rFonts w:ascii="Arial" w:hAnsi="Arial" w:cs="Arial"/>
          <w:b/>
        </w:rPr>
        <w:t>DE:</w:t>
      </w:r>
      <w:r w:rsidRPr="00157B52">
        <w:rPr>
          <w:rFonts w:ascii="Arial" w:hAnsi="Arial" w:cs="Arial"/>
          <w:b/>
        </w:rPr>
        <w:tab/>
      </w:r>
      <w:r w:rsidRPr="00157B52">
        <w:rPr>
          <w:rFonts w:ascii="Arial" w:hAnsi="Arial" w:cs="Arial"/>
          <w:b/>
        </w:rPr>
        <w:fldChar w:fldCharType="begin"/>
      </w:r>
      <w:r w:rsidRPr="00157B52">
        <w:rPr>
          <w:rFonts w:ascii="Arial" w:hAnsi="Arial" w:cs="Arial"/>
          <w:b/>
        </w:rPr>
        <w:instrText xml:space="preserve"> MERGEFIELD  Remitente  \* MERGEFORMAT </w:instrText>
      </w:r>
      <w:r w:rsidRPr="00157B52">
        <w:rPr>
          <w:rFonts w:ascii="Arial" w:hAnsi="Arial" w:cs="Arial"/>
          <w:b/>
        </w:rPr>
        <w:fldChar w:fldCharType="separate"/>
      </w:r>
      <w:r w:rsidRPr="00157B52">
        <w:rPr>
          <w:rFonts w:ascii="Arial" w:hAnsi="Arial" w:cs="Arial"/>
          <w:b/>
          <w:noProof/>
        </w:rPr>
        <w:t>DIRECCIÓN EJECUTIVA</w:t>
      </w:r>
      <w:r w:rsidRPr="00157B52">
        <w:rPr>
          <w:rFonts w:ascii="Arial" w:hAnsi="Arial" w:cs="Arial"/>
          <w:b/>
        </w:rPr>
        <w:fldChar w:fldCharType="end"/>
      </w:r>
    </w:p>
    <w:p w14:paraId="116BF416" w14:textId="77777777" w:rsidR="00BA6D78" w:rsidRPr="00157B52" w:rsidRDefault="00BA6D78" w:rsidP="00A0349A">
      <w:pPr>
        <w:spacing w:before="0" w:after="0" w:line="276" w:lineRule="auto"/>
        <w:ind w:left="1410" w:hanging="1410"/>
        <w:rPr>
          <w:rFonts w:ascii="Arial" w:hAnsi="Arial" w:cs="Arial"/>
          <w:b/>
        </w:rPr>
      </w:pPr>
    </w:p>
    <w:p w14:paraId="757F97ED" w14:textId="77777777" w:rsidR="00BA6D78" w:rsidRPr="00157B52" w:rsidRDefault="00BA6D78" w:rsidP="001208BE">
      <w:pPr>
        <w:spacing w:before="0" w:after="0" w:line="240" w:lineRule="auto"/>
        <w:rPr>
          <w:rFonts w:ascii="Arial" w:hAnsi="Arial" w:cs="Arial"/>
        </w:rPr>
      </w:pPr>
    </w:p>
    <w:p w14:paraId="3AF4582F" w14:textId="77777777" w:rsidR="00BA6D78" w:rsidRPr="00157B52" w:rsidRDefault="00BA6D78" w:rsidP="00A0349A">
      <w:pPr>
        <w:pStyle w:val="Sangradetextonormal"/>
        <w:spacing w:after="0" w:line="276" w:lineRule="auto"/>
        <w:ind w:left="1410" w:hanging="1410"/>
        <w:rPr>
          <w:rFonts w:ascii="Arial" w:hAnsi="Arial" w:cs="Arial"/>
          <w:b/>
        </w:rPr>
      </w:pPr>
      <w:r w:rsidRPr="00157B52">
        <w:rPr>
          <w:rFonts w:ascii="Arial" w:hAnsi="Arial" w:cs="Arial"/>
          <w:b/>
        </w:rPr>
        <w:t>ASUNTO:</w:t>
      </w:r>
      <w:r w:rsidRPr="00157B52">
        <w:rPr>
          <w:rFonts w:ascii="Arial" w:hAnsi="Arial" w:cs="Arial"/>
          <w:b/>
        </w:rPr>
        <w:tab/>
      </w:r>
      <w:r w:rsidRPr="00157B52">
        <w:rPr>
          <w:rFonts w:ascii="Arial" w:hAnsi="Arial" w:cs="Arial"/>
          <w:b/>
        </w:rPr>
        <w:fldChar w:fldCharType="begin"/>
      </w:r>
      <w:r w:rsidRPr="00157B52">
        <w:rPr>
          <w:rFonts w:ascii="Arial" w:hAnsi="Arial" w:cs="Arial"/>
          <w:b/>
        </w:rPr>
        <w:instrText xml:space="preserve"> MERGEFIELD  Asunto  \* MERGEFORMAT </w:instrText>
      </w:r>
      <w:r w:rsidRPr="00157B52">
        <w:rPr>
          <w:rFonts w:ascii="Arial" w:hAnsi="Arial" w:cs="Arial"/>
          <w:b/>
        </w:rPr>
        <w:fldChar w:fldCharType="separate"/>
      </w:r>
      <w:r w:rsidRPr="00157B52">
        <w:rPr>
          <w:rFonts w:ascii="Arial" w:hAnsi="Arial" w:cs="Arial"/>
          <w:b/>
          <w:noProof/>
        </w:rPr>
        <w:t>ANÁLISIS EX POST RESOLUCIÓN CREG 130 DE 2019</w:t>
      </w:r>
      <w:r w:rsidRPr="00157B52">
        <w:rPr>
          <w:rFonts w:ascii="Arial" w:hAnsi="Arial" w:cs="Arial"/>
          <w:b/>
        </w:rPr>
        <w:fldChar w:fldCharType="end"/>
      </w:r>
    </w:p>
    <w:p w14:paraId="4AE7CAEE" w14:textId="77777777" w:rsidR="00BA6D78" w:rsidRPr="00157B52" w:rsidRDefault="00BA6D78" w:rsidP="00A0349A">
      <w:pPr>
        <w:pStyle w:val="Textoindependiente"/>
        <w:spacing w:before="0" w:after="0" w:line="276" w:lineRule="auto"/>
        <w:ind w:left="1410" w:hanging="1410"/>
        <w:rPr>
          <w:rFonts w:cs="Arial"/>
          <w:sz w:val="24"/>
          <w:szCs w:val="24"/>
        </w:rPr>
      </w:pPr>
    </w:p>
    <w:p w14:paraId="3960EDB8" w14:textId="77777777" w:rsidR="00BA6D78" w:rsidRPr="00157B52" w:rsidRDefault="00BA6D78" w:rsidP="00A0349A">
      <w:pPr>
        <w:spacing w:before="0" w:after="0" w:line="276" w:lineRule="auto"/>
        <w:rPr>
          <w:rFonts w:ascii="Arial" w:hAnsi="Arial" w:cs="Arial"/>
        </w:rPr>
      </w:pPr>
    </w:p>
    <w:p w14:paraId="415A6DBE" w14:textId="06E32D3C" w:rsidR="00157B52" w:rsidRDefault="00157B52" w:rsidP="00A0349A">
      <w:pPr>
        <w:pStyle w:val="Textoindependiente"/>
        <w:spacing w:before="0" w:after="0" w:line="276" w:lineRule="auto"/>
        <w:rPr>
          <w:rFonts w:cs="Arial"/>
          <w:sz w:val="24"/>
          <w:szCs w:val="24"/>
        </w:rPr>
      </w:pPr>
      <w:r w:rsidRPr="00157B52">
        <w:rPr>
          <w:rFonts w:cs="Arial"/>
          <w:sz w:val="24"/>
          <w:szCs w:val="24"/>
        </w:rPr>
        <w:t>En desarrollo de la Agenda Regulatoria Indicativa 2024</w:t>
      </w:r>
      <w:r>
        <w:rPr>
          <w:rFonts w:cs="Arial"/>
          <w:sz w:val="24"/>
          <w:szCs w:val="24"/>
        </w:rPr>
        <w:t xml:space="preserve"> y de conformidad con la metodología de Análisis de Impacto Normativo,</w:t>
      </w:r>
      <w:r w:rsidRPr="00157B52">
        <w:rPr>
          <w:rFonts w:cs="Arial"/>
          <w:sz w:val="24"/>
          <w:szCs w:val="24"/>
        </w:rPr>
        <w:t xml:space="preserve"> esta Comisión adelanta </w:t>
      </w:r>
      <w:r>
        <w:rPr>
          <w:rFonts w:cs="Arial"/>
          <w:sz w:val="24"/>
          <w:szCs w:val="24"/>
        </w:rPr>
        <w:t>la evaluación</w:t>
      </w:r>
      <w:r w:rsidRPr="00157B52">
        <w:rPr>
          <w:rFonts w:cs="Arial"/>
          <w:sz w:val="24"/>
          <w:szCs w:val="24"/>
        </w:rPr>
        <w:t xml:space="preserve"> ex post de la Resolución CREG 130 de 2019, cumplidos los primeros cinco (5) años desde su implementación.</w:t>
      </w:r>
    </w:p>
    <w:p w14:paraId="262A3FA6" w14:textId="77777777" w:rsidR="00112604" w:rsidRDefault="00112604" w:rsidP="00A0349A">
      <w:pPr>
        <w:pStyle w:val="Textoindependiente"/>
        <w:spacing w:before="0" w:after="0" w:line="276" w:lineRule="auto"/>
        <w:rPr>
          <w:rFonts w:cs="Arial"/>
          <w:sz w:val="24"/>
          <w:szCs w:val="24"/>
        </w:rPr>
      </w:pPr>
    </w:p>
    <w:p w14:paraId="3879387A" w14:textId="1764B01B" w:rsidR="00112604" w:rsidRDefault="00112604" w:rsidP="00A0349A">
      <w:pPr>
        <w:pStyle w:val="Textoindependiente"/>
        <w:spacing w:before="0" w:after="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 objetivo principal de esta revisión es el de promover una mayor eficiencia en las compras de energía que adelantan los comercializadores con destino al mercado regulado.</w:t>
      </w:r>
    </w:p>
    <w:p w14:paraId="299D065B" w14:textId="77777777" w:rsidR="00157B52" w:rsidRPr="00157B52" w:rsidRDefault="00157B52" w:rsidP="00A0349A">
      <w:pPr>
        <w:pStyle w:val="Textoindependiente"/>
        <w:spacing w:before="0" w:after="0" w:line="276" w:lineRule="auto"/>
        <w:rPr>
          <w:rFonts w:cs="Arial"/>
          <w:sz w:val="24"/>
          <w:szCs w:val="24"/>
        </w:rPr>
      </w:pPr>
    </w:p>
    <w:p w14:paraId="463945E9" w14:textId="4AC20917" w:rsidR="00157B52" w:rsidRDefault="00A0349A" w:rsidP="00A0349A">
      <w:pPr>
        <w:pStyle w:val="Textoindependiente"/>
        <w:spacing w:before="0" w:after="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 el propósito de enriquecer el análisis propuesto, </w:t>
      </w:r>
      <w:r w:rsidR="00157B52" w:rsidRPr="00157B52">
        <w:rPr>
          <w:rFonts w:cs="Arial"/>
          <w:sz w:val="24"/>
          <w:szCs w:val="24"/>
        </w:rPr>
        <w:t xml:space="preserve">se invita a los interesados a presentar sus </w:t>
      </w:r>
      <w:r w:rsidR="00112604">
        <w:rPr>
          <w:rFonts w:cs="Arial"/>
          <w:sz w:val="24"/>
          <w:szCs w:val="24"/>
        </w:rPr>
        <w:t>observaciones</w:t>
      </w:r>
      <w:r w:rsidR="00157B52">
        <w:rPr>
          <w:rFonts w:cs="Arial"/>
          <w:sz w:val="24"/>
          <w:szCs w:val="24"/>
        </w:rPr>
        <w:t xml:space="preserve"> sobre</w:t>
      </w:r>
      <w:r w:rsidR="00112604">
        <w:rPr>
          <w:rFonts w:cs="Arial"/>
          <w:sz w:val="24"/>
          <w:szCs w:val="24"/>
        </w:rPr>
        <w:t xml:space="preserve"> los</w:t>
      </w:r>
      <w:r w:rsidR="00157B52">
        <w:rPr>
          <w:rFonts w:cs="Arial"/>
          <w:sz w:val="24"/>
          <w:szCs w:val="24"/>
        </w:rPr>
        <w:t xml:space="preserve"> beneficios,</w:t>
      </w:r>
      <w:r w:rsidR="00112604">
        <w:rPr>
          <w:rFonts w:cs="Arial"/>
          <w:sz w:val="24"/>
          <w:szCs w:val="24"/>
        </w:rPr>
        <w:t xml:space="preserve"> las</w:t>
      </w:r>
      <w:r w:rsidR="00157B52">
        <w:rPr>
          <w:rFonts w:cs="Arial"/>
          <w:sz w:val="24"/>
          <w:szCs w:val="24"/>
        </w:rPr>
        <w:t xml:space="preserve"> dificultades u oportunidades de mejora de las reglas contenidas en la </w:t>
      </w:r>
      <w:r w:rsidR="00112604" w:rsidRPr="00157B52">
        <w:rPr>
          <w:rFonts w:cs="Arial"/>
          <w:sz w:val="24"/>
          <w:szCs w:val="24"/>
        </w:rPr>
        <w:t>Resolución CREG 130 de 201</w:t>
      </w:r>
      <w:r w:rsidR="00112604">
        <w:rPr>
          <w:rFonts w:cs="Arial"/>
          <w:sz w:val="24"/>
          <w:szCs w:val="24"/>
        </w:rPr>
        <w:t>9.</w:t>
      </w:r>
    </w:p>
    <w:p w14:paraId="427486A3" w14:textId="77777777" w:rsidR="00112604" w:rsidRDefault="00112604" w:rsidP="00A0349A">
      <w:pPr>
        <w:pStyle w:val="Textoindependiente"/>
        <w:spacing w:before="0" w:after="0" w:line="276" w:lineRule="auto"/>
        <w:rPr>
          <w:rFonts w:cs="Arial"/>
          <w:sz w:val="24"/>
          <w:szCs w:val="24"/>
        </w:rPr>
      </w:pPr>
    </w:p>
    <w:p w14:paraId="301B99E9" w14:textId="69170A07" w:rsidR="00112604" w:rsidRPr="00157B52" w:rsidRDefault="00112604" w:rsidP="00A0349A">
      <w:pPr>
        <w:pStyle w:val="Textoindependiente"/>
        <w:spacing w:before="0" w:after="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Asimismo, invitamos a los interesados a remitir información o estudios relacionados con el asunto que resulten de utilidad para el análisis que adelanta esta Comisión.</w:t>
      </w:r>
    </w:p>
    <w:p w14:paraId="06C59B56" w14:textId="0822FBDD" w:rsidR="00157B52" w:rsidRDefault="00157B52" w:rsidP="00A0349A">
      <w:pPr>
        <w:pStyle w:val="Textoindependiente"/>
        <w:spacing w:before="0" w:after="0" w:line="276" w:lineRule="auto"/>
        <w:rPr>
          <w:rFonts w:cs="Arial"/>
          <w:sz w:val="24"/>
          <w:szCs w:val="24"/>
        </w:rPr>
      </w:pPr>
    </w:p>
    <w:p w14:paraId="41480548" w14:textId="0DEE4CB3" w:rsidR="00A0349A" w:rsidRPr="00157B52" w:rsidRDefault="00A0349A" w:rsidP="00A0349A">
      <w:pPr>
        <w:pStyle w:val="Textoindependiente"/>
        <w:spacing w:before="0" w:after="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Las comunicaciones deben ser remitidas </w:t>
      </w:r>
      <w:r w:rsidRPr="00A0349A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</w:t>
      </w:r>
      <w:r w:rsidRPr="00A0349A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a</w:t>
      </w:r>
      <w:r w:rsidRPr="00A0349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</w:t>
      </w:r>
      <w:r w:rsidRPr="00A0349A">
        <w:rPr>
          <w:rFonts w:cs="Arial"/>
          <w:sz w:val="24"/>
          <w:szCs w:val="24"/>
        </w:rPr>
        <w:t>irec</w:t>
      </w:r>
      <w:r>
        <w:rPr>
          <w:rFonts w:cs="Arial"/>
          <w:sz w:val="24"/>
          <w:szCs w:val="24"/>
        </w:rPr>
        <w:t>ción</w:t>
      </w:r>
      <w:r w:rsidRPr="00A0349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</w:t>
      </w:r>
      <w:r w:rsidRPr="00A0349A">
        <w:rPr>
          <w:rFonts w:cs="Arial"/>
          <w:sz w:val="24"/>
          <w:szCs w:val="24"/>
        </w:rPr>
        <w:t>jecutiv</w:t>
      </w:r>
      <w:r>
        <w:rPr>
          <w:rFonts w:cs="Arial"/>
          <w:sz w:val="24"/>
          <w:szCs w:val="24"/>
        </w:rPr>
        <w:t>a</w:t>
      </w:r>
      <w:r w:rsidRPr="00A0349A">
        <w:rPr>
          <w:rFonts w:cs="Arial"/>
          <w:sz w:val="24"/>
          <w:szCs w:val="24"/>
        </w:rPr>
        <w:t xml:space="preserve"> de la Comisión de Regulación de Energía y Gas, al correo electrónico creg@creg.gov.co, dentro de</w:t>
      </w:r>
      <w:r>
        <w:rPr>
          <w:rFonts w:cs="Arial"/>
          <w:sz w:val="24"/>
          <w:szCs w:val="24"/>
        </w:rPr>
        <w:t xml:space="preserve"> los siguientes treinta (30) días hábiles</w:t>
      </w:r>
      <w:r w:rsidR="00231E33">
        <w:rPr>
          <w:rFonts w:cs="Arial"/>
          <w:sz w:val="24"/>
          <w:szCs w:val="24"/>
        </w:rPr>
        <w:t xml:space="preserve"> siguientes a la publicación de la presente Circular</w:t>
      </w:r>
      <w:r w:rsidRPr="00A0349A">
        <w:rPr>
          <w:rFonts w:cs="Arial"/>
          <w:sz w:val="24"/>
          <w:szCs w:val="24"/>
        </w:rPr>
        <w:t>.</w:t>
      </w:r>
    </w:p>
    <w:p w14:paraId="5CF7E72D" w14:textId="77777777" w:rsidR="00BA6D78" w:rsidRPr="00157B52" w:rsidRDefault="00BA6D78" w:rsidP="00A0349A">
      <w:pPr>
        <w:pStyle w:val="Textoindependiente"/>
        <w:spacing w:before="0" w:after="0" w:line="276" w:lineRule="auto"/>
        <w:rPr>
          <w:rFonts w:cs="Arial"/>
          <w:sz w:val="24"/>
          <w:szCs w:val="24"/>
        </w:rPr>
      </w:pPr>
    </w:p>
    <w:p w14:paraId="2D6C9818" w14:textId="77777777" w:rsidR="00BA6D78" w:rsidRPr="00157B52" w:rsidRDefault="00BA6D78" w:rsidP="00A0349A">
      <w:pPr>
        <w:pStyle w:val="Textoindependiente"/>
        <w:spacing w:before="0" w:after="0" w:line="276" w:lineRule="auto"/>
        <w:rPr>
          <w:rFonts w:cs="Arial"/>
          <w:sz w:val="24"/>
          <w:szCs w:val="24"/>
        </w:rPr>
      </w:pPr>
      <w:r w:rsidRPr="00157B52">
        <w:rPr>
          <w:rFonts w:cs="Arial"/>
          <w:sz w:val="24"/>
          <w:szCs w:val="24"/>
        </w:rPr>
        <w:t>Cordialmente,</w:t>
      </w:r>
    </w:p>
    <w:p w14:paraId="519602C4" w14:textId="77777777" w:rsidR="00BA6D78" w:rsidRDefault="00BA6D78" w:rsidP="00A0349A">
      <w:pPr>
        <w:pStyle w:val="Textoindependiente"/>
        <w:spacing w:before="0" w:after="0" w:line="276" w:lineRule="auto"/>
        <w:rPr>
          <w:rFonts w:cs="Arial"/>
          <w:sz w:val="24"/>
          <w:szCs w:val="24"/>
        </w:rPr>
      </w:pPr>
    </w:p>
    <w:p w14:paraId="2E98ECA6" w14:textId="77777777" w:rsidR="00291446" w:rsidRPr="00157B52" w:rsidRDefault="00291446" w:rsidP="00A0349A">
      <w:pPr>
        <w:pStyle w:val="Textoindependiente"/>
        <w:spacing w:before="0" w:after="0" w:line="276" w:lineRule="auto"/>
        <w:rPr>
          <w:rFonts w:cs="Arial"/>
          <w:sz w:val="24"/>
          <w:szCs w:val="24"/>
        </w:rPr>
      </w:pPr>
    </w:p>
    <w:p w14:paraId="17BCB55E" w14:textId="77777777" w:rsidR="0008504E" w:rsidRPr="0008504E" w:rsidRDefault="0008504E" w:rsidP="0008504E">
      <w:pPr>
        <w:pStyle w:val="Textoindependiente"/>
        <w:spacing w:before="0"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08504E">
        <w:rPr>
          <w:rFonts w:cs="Arial"/>
          <w:b/>
          <w:bCs/>
          <w:sz w:val="24"/>
          <w:szCs w:val="24"/>
        </w:rPr>
        <w:t>ANTONIO JIMENEZ RIVERA</w:t>
      </w:r>
    </w:p>
    <w:p w14:paraId="43552E67" w14:textId="72E8A6E6" w:rsidR="0008504E" w:rsidRDefault="0008504E" w:rsidP="00B501EB">
      <w:pPr>
        <w:pStyle w:val="Textoindependiente"/>
        <w:spacing w:before="0" w:after="0" w:line="276" w:lineRule="auto"/>
        <w:jc w:val="center"/>
        <w:rPr>
          <w:rFonts w:cs="Arial"/>
          <w:sz w:val="24"/>
          <w:szCs w:val="24"/>
        </w:rPr>
      </w:pPr>
      <w:r w:rsidRPr="0008504E">
        <w:rPr>
          <w:rFonts w:cs="Arial"/>
          <w:sz w:val="24"/>
          <w:szCs w:val="24"/>
        </w:rPr>
        <w:t>Director Ejecutivo</w:t>
      </w:r>
    </w:p>
    <w:sectPr w:rsidR="0008504E" w:rsidSect="001208BE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96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0050C" w14:textId="77777777" w:rsidR="008015FD" w:rsidRDefault="008015FD" w:rsidP="00AA0519">
      <w:r>
        <w:separator/>
      </w:r>
    </w:p>
  </w:endnote>
  <w:endnote w:type="continuationSeparator" w:id="0">
    <w:p w14:paraId="401F2004" w14:textId="77777777" w:rsidR="008015FD" w:rsidRDefault="008015FD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D4D3C" w14:textId="1CD12A4E" w:rsidR="0008504E" w:rsidRDefault="0008504E" w:rsidP="00B501EB">
    <w:pPr>
      <w:spacing w:before="0" w:after="0"/>
      <w:rPr>
        <w:rStyle w:val="nfasis"/>
      </w:rPr>
    </w:pPr>
    <w:r w:rsidRPr="00C37978">
      <w:rPr>
        <w:rStyle w:val="nfasis"/>
      </w:rPr>
      <w:t>____________________________________________________________________________________</w:t>
    </w:r>
  </w:p>
  <w:p w14:paraId="1F8E7336" w14:textId="590FF9C1" w:rsidR="0008504E" w:rsidRPr="00C37978" w:rsidRDefault="0008504E" w:rsidP="00B501EB">
    <w:pPr>
      <w:spacing w:before="0" w:after="0"/>
      <w:rPr>
        <w:rStyle w:val="nfasis"/>
      </w:rPr>
    </w:pPr>
    <w:r w:rsidRPr="00C37978">
      <w:rPr>
        <w:rStyle w:val="nfasis"/>
      </w:rPr>
      <w:t>Comisión de Regulación de Energía y Gas</w:t>
    </w:r>
  </w:p>
  <w:p w14:paraId="36E69F48" w14:textId="77777777" w:rsidR="0008504E" w:rsidRPr="00C37978" w:rsidRDefault="0008504E" w:rsidP="00B501EB">
    <w:pPr>
      <w:spacing w:before="0" w:after="0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48795DA1" w14:textId="77777777" w:rsidR="0008504E" w:rsidRPr="00C37978" w:rsidRDefault="0008504E" w:rsidP="00B501EB">
    <w:pPr>
      <w:spacing w:before="0" w:after="0"/>
      <w:rPr>
        <w:rStyle w:val="nfasis"/>
      </w:rPr>
    </w:pPr>
    <w:r w:rsidRPr="00C37978">
      <w:rPr>
        <w:rStyle w:val="nfasis"/>
      </w:rPr>
      <w:t>Conmutador: (+57) 601 603 2020</w:t>
    </w:r>
  </w:p>
  <w:p w14:paraId="12EB656D" w14:textId="7309C679" w:rsidR="00735E1F" w:rsidRDefault="0008504E" w:rsidP="00B501EB">
    <w:pPr>
      <w:spacing w:before="0"/>
      <w:jc w:val="both"/>
    </w:pPr>
    <w:r w:rsidRPr="00C37978">
      <w:rPr>
        <w:rStyle w:val="nfasis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9D339" w14:textId="5ACD94D3" w:rsidR="0008504E" w:rsidRDefault="0008504E" w:rsidP="006F5C85">
    <w:pPr>
      <w:spacing w:after="0" w:line="240" w:lineRule="auto"/>
      <w:rPr>
        <w:rStyle w:val="nfasis"/>
      </w:rPr>
    </w:pPr>
    <w:r w:rsidRPr="00C37978">
      <w:rPr>
        <w:rStyle w:val="nfasis"/>
      </w:rPr>
      <w:t>____________________________________________________________________________________</w:t>
    </w:r>
  </w:p>
  <w:p w14:paraId="73CBE638" w14:textId="04449BCE" w:rsidR="0008504E" w:rsidRPr="00C37978" w:rsidRDefault="0008504E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Comisión de Regulación de Energía y Gas</w:t>
    </w:r>
  </w:p>
  <w:p w14:paraId="704BE222" w14:textId="77777777" w:rsidR="0008504E" w:rsidRPr="00C37978" w:rsidRDefault="0008504E" w:rsidP="006F5C85">
    <w:pPr>
      <w:spacing w:after="0" w:line="240" w:lineRule="auto"/>
      <w:rPr>
        <w:rStyle w:val="nfasis"/>
      </w:rPr>
    </w:pPr>
    <w:r w:rsidRPr="00C37978">
      <w:rPr>
        <w:rStyle w:val="nfasis"/>
      </w:rPr>
      <w:t>Dirección: Calle 116 No.</w:t>
    </w:r>
    <w:r>
      <w:rPr>
        <w:rStyle w:val="nfasis"/>
      </w:rPr>
      <w:t xml:space="preserve"> </w:t>
    </w:r>
    <w:r w:rsidRPr="00C37978">
      <w:rPr>
        <w:rStyle w:val="nfasis"/>
      </w:rPr>
      <w:t>7 - 15, Bogotá D.C., Colombia</w:t>
    </w:r>
  </w:p>
  <w:p w14:paraId="2A2F32DB" w14:textId="77777777" w:rsidR="0008504E" w:rsidRPr="00C37978" w:rsidRDefault="0008504E" w:rsidP="006F5C85">
    <w:pPr>
      <w:spacing w:after="0" w:line="240" w:lineRule="auto"/>
      <w:rPr>
        <w:rStyle w:val="nfasis"/>
      </w:rPr>
    </w:pPr>
    <w:r w:rsidRPr="00C37978">
      <w:rPr>
        <w:rStyle w:val="nfasis"/>
      </w:rPr>
      <w:t>Conmutador: (+57) 601 603 2020</w:t>
    </w:r>
  </w:p>
  <w:p w14:paraId="726A889B" w14:textId="6FBEC2D0" w:rsidR="003F2F4B" w:rsidRDefault="0008504E" w:rsidP="0008504E">
    <w:r w:rsidRPr="00C37978">
      <w:rPr>
        <w:rStyle w:val="nfasis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16A77" w14:textId="77777777" w:rsidR="008015FD" w:rsidRDefault="008015FD" w:rsidP="00AA0519">
      <w:r>
        <w:separator/>
      </w:r>
    </w:p>
  </w:footnote>
  <w:footnote w:type="continuationSeparator" w:id="0">
    <w:p w14:paraId="4FBCFA31" w14:textId="77777777" w:rsidR="008015FD" w:rsidRDefault="008015FD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8324" w14:textId="7E37E6EA" w:rsidR="003F2F4B" w:rsidRPr="008C0A5F" w:rsidRDefault="0008504E" w:rsidP="0008504E">
    <w:pPr>
      <w:pStyle w:val="Destinario"/>
      <w:spacing w:before="240"/>
      <w:rPr>
        <w:sz w:val="22"/>
        <w:szCs w:val="22"/>
      </w:rPr>
    </w:pPr>
    <w:r w:rsidRPr="0008504E">
      <w:rPr>
        <w:noProof/>
        <w:sz w:val="22"/>
        <w:szCs w:val="22"/>
      </w:rPr>
      <w:drawing>
        <wp:anchor distT="0" distB="0" distL="114300" distR="114300" simplePos="0" relativeHeight="251668480" behindDoc="0" locked="0" layoutInCell="1" allowOverlap="1" wp14:anchorId="41A297DE" wp14:editId="3BD2BBC7">
          <wp:simplePos x="0" y="0"/>
          <wp:positionH relativeFrom="column">
            <wp:posOffset>4445</wp:posOffset>
          </wp:positionH>
          <wp:positionV relativeFrom="paragraph">
            <wp:posOffset>-127940</wp:posOffset>
          </wp:positionV>
          <wp:extent cx="5971540" cy="412678"/>
          <wp:effectExtent l="0" t="0" r="0" b="6985"/>
          <wp:wrapNone/>
          <wp:docPr id="13153496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63DE" w14:textId="74449CA7" w:rsidR="00F82573" w:rsidRPr="0008504E" w:rsidRDefault="0008504E" w:rsidP="0008504E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73AB160" wp14:editId="506015E4">
          <wp:simplePos x="0" y="0"/>
          <wp:positionH relativeFrom="column">
            <wp:posOffset>4445</wp:posOffset>
          </wp:positionH>
          <wp:positionV relativeFrom="paragraph">
            <wp:posOffset>-409575</wp:posOffset>
          </wp:positionV>
          <wp:extent cx="5971540" cy="412678"/>
          <wp:effectExtent l="0" t="0" r="0" b="6985"/>
          <wp:wrapNone/>
          <wp:docPr id="17430195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41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8504E"/>
    <w:rsid w:val="000B439A"/>
    <w:rsid w:val="000F11F6"/>
    <w:rsid w:val="000F38B4"/>
    <w:rsid w:val="00112604"/>
    <w:rsid w:val="001208BE"/>
    <w:rsid w:val="001215BB"/>
    <w:rsid w:val="00124C31"/>
    <w:rsid w:val="0014353D"/>
    <w:rsid w:val="00153BE7"/>
    <w:rsid w:val="00157B52"/>
    <w:rsid w:val="001E2DD2"/>
    <w:rsid w:val="001F303A"/>
    <w:rsid w:val="001F47AB"/>
    <w:rsid w:val="00212267"/>
    <w:rsid w:val="00231E33"/>
    <w:rsid w:val="0024085D"/>
    <w:rsid w:val="00241CBE"/>
    <w:rsid w:val="00291446"/>
    <w:rsid w:val="002C26C3"/>
    <w:rsid w:val="00324760"/>
    <w:rsid w:val="00353D1D"/>
    <w:rsid w:val="0035632E"/>
    <w:rsid w:val="00361DFF"/>
    <w:rsid w:val="0038014E"/>
    <w:rsid w:val="003A7FC9"/>
    <w:rsid w:val="003B1FEC"/>
    <w:rsid w:val="003B4AA8"/>
    <w:rsid w:val="003C7E1C"/>
    <w:rsid w:val="003E59BC"/>
    <w:rsid w:val="003F2F4B"/>
    <w:rsid w:val="00401E61"/>
    <w:rsid w:val="004142B1"/>
    <w:rsid w:val="004170AF"/>
    <w:rsid w:val="004254B5"/>
    <w:rsid w:val="00456720"/>
    <w:rsid w:val="00457CC2"/>
    <w:rsid w:val="00483D6B"/>
    <w:rsid w:val="004A6CAB"/>
    <w:rsid w:val="004C0855"/>
    <w:rsid w:val="004C69B7"/>
    <w:rsid w:val="004D1A15"/>
    <w:rsid w:val="004E017D"/>
    <w:rsid w:val="00515BEF"/>
    <w:rsid w:val="0053330D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51863"/>
    <w:rsid w:val="006629AD"/>
    <w:rsid w:val="006E1726"/>
    <w:rsid w:val="006E22E8"/>
    <w:rsid w:val="00717096"/>
    <w:rsid w:val="007247FF"/>
    <w:rsid w:val="00735E1F"/>
    <w:rsid w:val="0074199A"/>
    <w:rsid w:val="00752DEC"/>
    <w:rsid w:val="00762CBD"/>
    <w:rsid w:val="0078631A"/>
    <w:rsid w:val="007A1415"/>
    <w:rsid w:val="007A7C1D"/>
    <w:rsid w:val="007F42E3"/>
    <w:rsid w:val="007F4E31"/>
    <w:rsid w:val="008015FD"/>
    <w:rsid w:val="008066FD"/>
    <w:rsid w:val="00823401"/>
    <w:rsid w:val="00847FE4"/>
    <w:rsid w:val="008776E3"/>
    <w:rsid w:val="008B0943"/>
    <w:rsid w:val="008C0A5F"/>
    <w:rsid w:val="00902889"/>
    <w:rsid w:val="00915D75"/>
    <w:rsid w:val="00930F73"/>
    <w:rsid w:val="00957BE3"/>
    <w:rsid w:val="00976702"/>
    <w:rsid w:val="009A3312"/>
    <w:rsid w:val="009E7865"/>
    <w:rsid w:val="009F3478"/>
    <w:rsid w:val="009F5428"/>
    <w:rsid w:val="00A0349A"/>
    <w:rsid w:val="00A15CDD"/>
    <w:rsid w:val="00A15D55"/>
    <w:rsid w:val="00A84924"/>
    <w:rsid w:val="00A90A86"/>
    <w:rsid w:val="00A92B44"/>
    <w:rsid w:val="00AA0519"/>
    <w:rsid w:val="00AA7A5F"/>
    <w:rsid w:val="00B37FAA"/>
    <w:rsid w:val="00B501EB"/>
    <w:rsid w:val="00B74DFE"/>
    <w:rsid w:val="00BA6D78"/>
    <w:rsid w:val="00C81E1F"/>
    <w:rsid w:val="00C9169C"/>
    <w:rsid w:val="00C93328"/>
    <w:rsid w:val="00CB3666"/>
    <w:rsid w:val="00CD6394"/>
    <w:rsid w:val="00CE66F4"/>
    <w:rsid w:val="00CF500C"/>
    <w:rsid w:val="00D31768"/>
    <w:rsid w:val="00D754A1"/>
    <w:rsid w:val="00D915DC"/>
    <w:rsid w:val="00DF79E2"/>
    <w:rsid w:val="00E035CC"/>
    <w:rsid w:val="00E56853"/>
    <w:rsid w:val="00E77923"/>
    <w:rsid w:val="00EC5291"/>
    <w:rsid w:val="00F02D43"/>
    <w:rsid w:val="00F13D47"/>
    <w:rsid w:val="00F35EFC"/>
    <w:rsid w:val="00F652F3"/>
    <w:rsid w:val="00F66BF3"/>
    <w:rsid w:val="00F80B1D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6D78"/>
    <w:rPr>
      <w:rFonts w:eastAsiaTheme="minorEastAsia"/>
      <w:lang w:val="es-ES_tradnl"/>
    </w:rPr>
  </w:style>
  <w:style w:type="character" w:styleId="nfasis">
    <w:name w:val="Emphasis"/>
    <w:uiPriority w:val="20"/>
    <w:qFormat/>
    <w:rsid w:val="00085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Wilson Sanchez Sanchez</cp:lastModifiedBy>
  <cp:revision>11</cp:revision>
  <cp:lastPrinted>2024-07-22T14:47:00Z</cp:lastPrinted>
  <dcterms:created xsi:type="dcterms:W3CDTF">2022-08-09T13:58:00Z</dcterms:created>
  <dcterms:modified xsi:type="dcterms:W3CDTF">2024-07-22T14:50:00Z</dcterms:modified>
</cp:coreProperties>
</file>